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jc w:val="both"/>
        <w:rPr>
          <w:rFonts w:hint="eastAsia" w:ascii="黑体" w:hAnsi="黑体" w:eastAsia="黑体" w:cs="黑体"/>
          <w:sz w:val="32"/>
          <w:szCs w:val="32"/>
        </w:rPr>
      </w:pPr>
      <w:r>
        <w:rPr>
          <w:rFonts w:hint="eastAsia" w:ascii="黑体" w:hAnsi="黑体" w:eastAsia="黑体" w:cs="黑体"/>
          <w:color w:val="000000"/>
          <w:sz w:val="32"/>
          <w:szCs w:val="32"/>
        </w:rPr>
        <w:t>附件：</w:t>
      </w:r>
    </w:p>
    <w:p>
      <w:pPr>
        <w:spacing w:line="660" w:lineRule="exact"/>
        <w:ind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2021年省第三次政务公开测评问题清单</w:t>
      </w:r>
    </w:p>
    <w:p/>
    <w:tbl>
      <w:tblPr>
        <w:tblStyle w:val="2"/>
        <w:tblW w:w="1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88"/>
        <w:gridCol w:w="2553"/>
        <w:gridCol w:w="5878"/>
        <w:gridCol w:w="1795"/>
        <w:gridCol w:w="1711"/>
        <w:gridCol w:w="5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4" w:hRule="atLeast"/>
          <w:jc w:val="center"/>
        </w:trPr>
        <w:tc>
          <w:tcPr>
            <w:tcW w:w="78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55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省级反馈问题</w:t>
            </w:r>
          </w:p>
        </w:tc>
        <w:tc>
          <w:tcPr>
            <w:tcW w:w="587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整改要求。</w:t>
            </w:r>
          </w:p>
        </w:tc>
        <w:tc>
          <w:tcPr>
            <w:tcW w:w="179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责任单位</w:t>
            </w:r>
          </w:p>
        </w:tc>
        <w:tc>
          <w:tcPr>
            <w:tcW w:w="171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整改时限</w:t>
            </w:r>
          </w:p>
        </w:tc>
        <w:tc>
          <w:tcPr>
            <w:tcW w:w="5793"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54" w:hRule="atLeast"/>
          <w:jc w:val="center"/>
        </w:trPr>
        <w:tc>
          <w:tcPr>
            <w:tcW w:w="78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55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涉企意见征集发布较少</w:t>
            </w:r>
          </w:p>
        </w:tc>
        <w:tc>
          <w:tcPr>
            <w:tcW w:w="5878"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已经入库的涉企意见征集要及时在“其他渠道意见及采纳情况”中体现（含参会图片、文字报道、发言材料、意见反馈或者会议小结等要素），未入库的涉企意见要及时入库，并按要求补充相关信息。</w:t>
            </w:r>
          </w:p>
        </w:tc>
        <w:tc>
          <w:tcPr>
            <w:tcW w:w="179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各县区政府</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负责落实</w:t>
            </w:r>
          </w:p>
        </w:tc>
        <w:tc>
          <w:tcPr>
            <w:tcW w:w="171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10月28日前</w:t>
            </w:r>
          </w:p>
        </w:tc>
        <w:tc>
          <w:tcPr>
            <w:tcW w:w="5793"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60" w:hRule="atLeast"/>
          <w:jc w:val="center"/>
        </w:trPr>
        <w:tc>
          <w:tcPr>
            <w:tcW w:w="78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55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未按月或按季度汇总发布政府重点工作任务的执行和落实情况</w:t>
            </w:r>
          </w:p>
        </w:tc>
        <w:tc>
          <w:tcPr>
            <w:tcW w:w="5878"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根据市政府工作报告，按月或季度公开执行落实情况或者根据县区实际公开季度、月度执行落实情况通报。</w:t>
            </w:r>
          </w:p>
        </w:tc>
        <w:tc>
          <w:tcPr>
            <w:tcW w:w="179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各县区政府</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负责落实</w:t>
            </w:r>
          </w:p>
        </w:tc>
        <w:tc>
          <w:tcPr>
            <w:tcW w:w="171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10月28日前</w:t>
            </w:r>
          </w:p>
        </w:tc>
        <w:tc>
          <w:tcPr>
            <w:tcW w:w="5793"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已按季度发布工作完成情况http://www.ahhuoshan.gov.cn/public/column/6596221?type=4&amp;action=list&amp;nav=3&amp;catId=7297891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27" w:hRule="atLeast"/>
          <w:jc w:val="center"/>
        </w:trPr>
        <w:tc>
          <w:tcPr>
            <w:tcW w:w="78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55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部分行政处罚、行政强制程序公开不完善</w:t>
            </w:r>
          </w:p>
        </w:tc>
        <w:tc>
          <w:tcPr>
            <w:tcW w:w="5878"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县政府本级信息公开目录下要参照合肥市开设行政处罚文书栏目，收集本地区具有代表性的行政处罚结果并及时公开。</w:t>
            </w:r>
          </w:p>
        </w:tc>
        <w:tc>
          <w:tcPr>
            <w:tcW w:w="179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各县区政府</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负责落实</w:t>
            </w:r>
          </w:p>
        </w:tc>
        <w:tc>
          <w:tcPr>
            <w:tcW w:w="171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10月28日前</w:t>
            </w:r>
          </w:p>
        </w:tc>
        <w:tc>
          <w:tcPr>
            <w:tcW w:w="5793"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已新建行政处罚文书栏目http://www.ahhuoshan.gov.cn/public/column/6596221?type=4&amp;action=list&amp;nav=3&amp;catId=7333817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2" w:hRule="atLeast"/>
          <w:jc w:val="center"/>
        </w:trPr>
        <w:tc>
          <w:tcPr>
            <w:tcW w:w="78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55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建议设置专题或目录公开行政事业收费相关情况</w:t>
            </w:r>
          </w:p>
        </w:tc>
        <w:tc>
          <w:tcPr>
            <w:tcW w:w="5878"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置专题的做好信息维护，未设置专题的，建议参照市本级在“行政权力”栏目下新建“行政事业性收费”一级目录，公开行政事业性收费清单、办件信息以及行政事业性收费依据文件（只放本级文件，文件对应放到法规政策对用栏目中）；注意区分行政事业性收费和涉企行政事业性收费区别，严格界定公开内容。</w:t>
            </w:r>
          </w:p>
        </w:tc>
        <w:tc>
          <w:tcPr>
            <w:tcW w:w="179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各县区政府</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负责落实</w:t>
            </w:r>
          </w:p>
        </w:tc>
        <w:tc>
          <w:tcPr>
            <w:tcW w:w="171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10月28日前</w:t>
            </w:r>
          </w:p>
        </w:tc>
        <w:tc>
          <w:tcPr>
            <w:tcW w:w="5793"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已新建“行政事业性收费”栏目http://www.ahhuoshan.gov.cn/public/column/6596221?type=4&amp;action=list&amp;nav=3&amp;catId=7333839</w:t>
            </w:r>
            <w:bookmarkStart w:id="0" w:name="_GoBack"/>
            <w:bookmarkEnd w:id="0"/>
          </w:p>
        </w:tc>
      </w:tr>
    </w:tbl>
    <w:p>
      <w:r>
        <w:br w:type="page"/>
      </w:r>
      <w:r>
        <mc:AlternateContent>
          <mc:Choice Requires="wps">
            <w:drawing>
              <wp:anchor distT="0" distB="0" distL="114300" distR="114300" simplePos="0" relativeHeight="251659264" behindDoc="0" locked="0" layoutInCell="1" allowOverlap="1">
                <wp:simplePos x="0" y="0"/>
                <wp:positionH relativeFrom="page">
                  <wp:posOffset>342900</wp:posOffset>
                </wp:positionH>
                <wp:positionV relativeFrom="page">
                  <wp:posOffset>1079500</wp:posOffset>
                </wp:positionV>
                <wp:extent cx="330200" cy="457200"/>
                <wp:effectExtent l="0" t="0" r="635" b="14605"/>
                <wp:wrapSquare wrapText="bothSides"/>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lIns="25400" tIns="0" rIns="25400" bIns="0">
                        <a:noAutofit/>
                      </wps:bodyPr>
                    </wps:wsp>
                  </a:graphicData>
                </a:graphic>
              </wp:anchor>
            </w:drawing>
          </mc:Choice>
          <mc:Fallback>
            <w:pict>
              <v:shape id="_x0000_s1026" o:spid="_x0000_s1026" o:spt="202" type="#_x0000_t202" style="position:absolute;left:0pt;margin-left:27pt;margin-top:85pt;height:36pt;width:26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mRJgoG&#10;fv718/z77/nPD1RGeQbrG8i6s5AXxvdmhKV58HtwRtYjdyp+gQ+K8Tovrq5B4hPAFtWqKpaT0GwM&#10;iEICOMtVvcSIQkZVXdflKmVkj1DW+fCBGYWi0WIHk0wCk+MnH6AtSH1IiZW1uRVSpmlKjYYW19Uy&#10;Tw8uEXghNTyMhKbGoxXG3Tiz3JnuBCTlRw0Cl8urPC5MuoDhnnp3s3eq/O4QDBepqYg4wcyFYGyp&#10;13nF4l48vaesx99qc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WrEDJ2QAAAAoBAAAPAAAAAAAA&#10;AAEAIAAAACIAAABkcnMvZG93bnJldi54bWxQSwECFAAUAAAACACHTuJAVED6+NgBAACeAwAADgAA&#10;AAAAAAABACAAAAAoAQAAZHJzL2Uyb0RvYy54bWxQSwUGAAAAAAYABgBZAQAAcgUAAAAA&#10;">
                <v:fill on="f" focussize="0,0"/>
                <v:stroke on="f" weight="0.5pt"/>
                <v:imagedata o:title=""/>
                <o:lock v:ext="edit" aspectratio="f"/>
                <v:textbox inset="2pt,0mm,2pt,0mm">
                  <w:txbxContent>
                    <w:p/>
                  </w:txbxContent>
                </v:textbox>
                <w10:wrap type="square"/>
              </v:shape>
            </w:pict>
          </mc:Fallback>
        </mc:AlternateContent>
      </w:r>
    </w:p>
    <w:tbl>
      <w:tblPr>
        <w:tblStyle w:val="2"/>
        <w:tblW w:w="17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53"/>
        <w:gridCol w:w="2392"/>
        <w:gridCol w:w="5077"/>
        <w:gridCol w:w="1667"/>
        <w:gridCol w:w="1806"/>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1" w:hRule="atLeast"/>
          <w:jc w:val="center"/>
        </w:trPr>
        <w:tc>
          <w:tcPr>
            <w:tcW w:w="93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308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省级反馈问题</w:t>
            </w:r>
          </w:p>
        </w:tc>
        <w:tc>
          <w:tcPr>
            <w:tcW w:w="65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整改要求</w:t>
            </w:r>
          </w:p>
        </w:tc>
        <w:tc>
          <w:tcPr>
            <w:tcW w:w="21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责任单位</w:t>
            </w:r>
          </w:p>
        </w:tc>
        <w:tc>
          <w:tcPr>
            <w:tcW w:w="236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整改时限</w:t>
            </w:r>
          </w:p>
        </w:tc>
        <w:tc>
          <w:tcPr>
            <w:tcW w:w="2587" w:type="dxa"/>
            <w:vAlign w:val="center"/>
          </w:tcPr>
          <w:p>
            <w:pPr>
              <w:jc w:val="center"/>
              <w:rPr>
                <w:rFonts w:hint="eastAsia" w:ascii="宋体" w:hAnsi="宋体" w:eastAsia="宋体" w:cs="宋体"/>
                <w:sz w:val="24"/>
                <w:szCs w:val="24"/>
              </w:rPr>
            </w:pPr>
            <w:r>
              <w:rPr>
                <w:rFonts w:hint="eastAsia" w:asciiTheme="minorEastAsia" w:hAnsiTheme="minorEastAsia" w:eastAsiaTheme="minorEastAsia" w:cstheme="minorEastAsia"/>
                <w:sz w:val="24"/>
                <w:szCs w:val="24"/>
                <w:lang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0" w:hRule="atLeast"/>
          <w:jc w:val="center"/>
        </w:trPr>
        <w:tc>
          <w:tcPr>
            <w:tcW w:w="93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308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建议进一步加强“双招双引”政策、进展及成效等信息公开力度</w:t>
            </w:r>
          </w:p>
        </w:tc>
        <w:tc>
          <w:tcPr>
            <w:tcW w:w="6567"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参照市本级，及时增加“双招双引”一级栏目，可直接外链至本地专题，未设置专题的县区，也可根据实际情况设置二级目录并及时补充相关信息。</w:t>
            </w:r>
          </w:p>
        </w:tc>
        <w:tc>
          <w:tcPr>
            <w:tcW w:w="21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236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10月28日前</w:t>
            </w:r>
          </w:p>
        </w:tc>
        <w:tc>
          <w:tcPr>
            <w:tcW w:w="258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已新建“双招双引”栏目http://www.ahhuoshan.gov.cn/public/column/6596221?type=4&amp;action=list&amp;nav=3&amp;catId=7333805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33" w:hRule="atLeast"/>
          <w:jc w:val="center"/>
        </w:trPr>
        <w:tc>
          <w:tcPr>
            <w:tcW w:w="93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308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政策文件图解质量有待进一步提高</w:t>
            </w:r>
          </w:p>
        </w:tc>
        <w:tc>
          <w:tcPr>
            <w:tcW w:w="6567"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各县区政务公开办要严格把关图片解读质量，避免出现图文的生搬硬套，更注重图文并茂的效果展示；二、要严格做好后期图片解读的质量把关，抓好前期文字解读的起草，杜绝整篇复制文字，要让图片解读发挥作用，达到一图读懂政策文件的效果。</w:t>
            </w:r>
          </w:p>
        </w:tc>
        <w:tc>
          <w:tcPr>
            <w:tcW w:w="21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236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持续推进</w:t>
            </w:r>
          </w:p>
        </w:tc>
        <w:tc>
          <w:tcPr>
            <w:tcW w:w="258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51" w:hRule="atLeast"/>
          <w:jc w:val="center"/>
        </w:trPr>
        <w:tc>
          <w:tcPr>
            <w:tcW w:w="93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308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互相交流中部分在线咨询问题回复时间超过5个工作日</w:t>
            </w:r>
          </w:p>
        </w:tc>
        <w:tc>
          <w:tcPr>
            <w:tcW w:w="6567" w:type="dxa"/>
            <w:vAlign w:val="center"/>
          </w:tcPr>
          <w:p>
            <w:pPr>
              <w:jc w:val="both"/>
              <w:rPr>
                <w:rFonts w:hint="eastAsia" w:ascii="宋体" w:hAnsi="宋体" w:eastAsia="宋体" w:cs="宋体"/>
                <w:sz w:val="24"/>
                <w:szCs w:val="24"/>
                <w:lang w:eastAsia="zh-CN"/>
              </w:rPr>
            </w:pPr>
            <w:r>
              <w:rPr>
                <w:rFonts w:hint="eastAsia" w:ascii="宋体" w:hAnsi="宋体" w:eastAsia="宋体" w:cs="宋体"/>
                <w:sz w:val="24"/>
                <w:szCs w:val="24"/>
              </w:rPr>
              <w:t>要按照《六安市人民政府办公室关于进一步规范网上留言办理工作的通知》（六政办秘【2020］74号）文件，规范办理流程，注意日常问题答复时限的把关，特别注意简单咨询类回复时间把控在5个工作日之内</w:t>
            </w:r>
            <w:r>
              <w:rPr>
                <w:rFonts w:hint="eastAsia" w:ascii="宋体" w:hAnsi="宋体" w:eastAsia="宋体" w:cs="宋体"/>
                <w:sz w:val="24"/>
                <w:szCs w:val="24"/>
                <w:lang w:eastAsia="zh-CN"/>
              </w:rPr>
              <w:t>。</w:t>
            </w:r>
          </w:p>
        </w:tc>
        <w:tc>
          <w:tcPr>
            <w:tcW w:w="217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236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持续推进</w:t>
            </w:r>
          </w:p>
        </w:tc>
        <w:tc>
          <w:tcPr>
            <w:tcW w:w="258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持续推进</w:t>
            </w:r>
          </w:p>
        </w:tc>
      </w:tr>
    </w:tbl>
    <w:p>
      <w:r>
        <w:br w:type="page"/>
      </w:r>
    </w:p>
    <w:tbl>
      <w:tblPr>
        <w:tblStyle w:val="2"/>
        <w:tblW w:w="1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67"/>
        <w:gridCol w:w="3153"/>
        <w:gridCol w:w="8276"/>
        <w:gridCol w:w="1851"/>
        <w:gridCol w:w="1951"/>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78" w:hRule="atLeast"/>
        </w:trPr>
        <w:tc>
          <w:tcPr>
            <w:tcW w:w="9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31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省级反馈问题</w:t>
            </w:r>
          </w:p>
        </w:tc>
        <w:tc>
          <w:tcPr>
            <w:tcW w:w="82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整改要求。</w:t>
            </w:r>
          </w:p>
        </w:tc>
        <w:tc>
          <w:tcPr>
            <w:tcW w:w="18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责任单位。</w:t>
            </w:r>
          </w:p>
        </w:tc>
        <w:tc>
          <w:tcPr>
            <w:tcW w:w="19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整改时限</w:t>
            </w:r>
          </w:p>
        </w:tc>
        <w:tc>
          <w:tcPr>
            <w:tcW w:w="2218" w:type="dxa"/>
            <w:vAlign w:val="center"/>
          </w:tcPr>
          <w:p>
            <w:pPr>
              <w:jc w:val="center"/>
              <w:rPr>
                <w:rFonts w:hint="eastAsia" w:ascii="宋体" w:hAnsi="宋体" w:eastAsia="宋体" w:cs="宋体"/>
                <w:sz w:val="24"/>
                <w:szCs w:val="24"/>
              </w:rPr>
            </w:pPr>
            <w:r>
              <w:rPr>
                <w:rFonts w:hint="eastAsia" w:asciiTheme="minorEastAsia" w:hAnsiTheme="minorEastAsia" w:eastAsiaTheme="minorEastAsia" w:cstheme="minorEastAsia"/>
                <w:sz w:val="24"/>
                <w:szCs w:val="24"/>
                <w:lang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6" w:hRule="atLeast"/>
        </w:trPr>
        <w:tc>
          <w:tcPr>
            <w:tcW w:w="9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31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基层政务公开标准化规范化工作推进情况及专区建设情况发布较少</w:t>
            </w:r>
          </w:p>
        </w:tc>
        <w:tc>
          <w:tcPr>
            <w:tcW w:w="8276"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一、及时在监督保障工作推进栏目中补充有关标准化规范化目录及专区建设情况工作推进信息；二、及时在基层政务公开标准化规范化专题“工作推进”页面补充相关工作推进信息。</w:t>
            </w:r>
          </w:p>
        </w:tc>
        <w:tc>
          <w:tcPr>
            <w:tcW w:w="18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19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10月28日前</w:t>
            </w:r>
          </w:p>
        </w:tc>
        <w:tc>
          <w:tcPr>
            <w:tcW w:w="221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7" w:hRule="atLeast"/>
        </w:trPr>
        <w:tc>
          <w:tcPr>
            <w:tcW w:w="9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31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建议进一步加强集政策发布、解读、咨询、服务为一体的综合信息服务专栏建设</w:t>
            </w:r>
          </w:p>
        </w:tc>
        <w:tc>
          <w:tcPr>
            <w:tcW w:w="8276"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一、各县区要建立集政策发布、解读、咨询、服务（兑现）、政策问答为一体的综合信息服务专题专栏（政策文件库）；二、在政府服务大厅设置政策咨询综合服务窗口（服务台），向公众和企业提供“一口对外，直通部门”的线上、线下相融合的政策咨询服务。</w:t>
            </w:r>
          </w:p>
        </w:tc>
        <w:tc>
          <w:tcPr>
            <w:tcW w:w="18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19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12月10日前</w:t>
            </w:r>
          </w:p>
        </w:tc>
        <w:tc>
          <w:tcPr>
            <w:tcW w:w="2218" w:type="dxa"/>
            <w:vAlign w:val="center"/>
          </w:tcPr>
          <w:p>
            <w:pPr>
              <w:numPr>
                <w:ilvl w:val="0"/>
                <w:numId w:val="1"/>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已跟龙训对接，专题制作已报日程</w:t>
            </w:r>
          </w:p>
          <w:p>
            <w:pPr>
              <w:numPr>
                <w:ilvl w:val="0"/>
                <w:numId w:val="1"/>
              </w:num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专区建设正在施工中，设置的有政策咨询服务台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65" w:hRule="atLeast"/>
        </w:trPr>
        <w:tc>
          <w:tcPr>
            <w:tcW w:w="9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31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建议部分县区加快推进基层政务公开标准化规范化工作，进一步提高基层各领域公开目录的规范度及信息发布质量</w:t>
            </w:r>
          </w:p>
        </w:tc>
        <w:tc>
          <w:tcPr>
            <w:tcW w:w="8276"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一、要将本县区统一的基层政务公开标准化规范化目录文件在监督保障工作推进及两化专题里面公开，确保公开内容有对比；二、各县区要对县本级和所属乡镇的基层政务公开标准化规范化目录及信息发布情况做初步摸底梳理，后期要及时对照市级梳理完成的考评指标体系整改完善，确保栏目设置符合省定要求、信息公开符合要素要求。</w:t>
            </w:r>
          </w:p>
        </w:tc>
        <w:tc>
          <w:tcPr>
            <w:tcW w:w="18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195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12月10日前</w:t>
            </w:r>
          </w:p>
        </w:tc>
        <w:tc>
          <w:tcPr>
            <w:tcW w:w="221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已整改、持续推进</w:t>
            </w:r>
          </w:p>
        </w:tc>
      </w:tr>
    </w:tbl>
    <w:p>
      <w:r>
        <w:br w:type="page"/>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49"/>
        <w:gridCol w:w="1969"/>
        <w:gridCol w:w="4782"/>
        <w:gridCol w:w="1133"/>
        <w:gridCol w:w="1199"/>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7" w:hRule="atLeast"/>
        </w:trPr>
        <w:tc>
          <w:tcPr>
            <w:tcW w:w="9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316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省级反馈问题</w:t>
            </w:r>
          </w:p>
        </w:tc>
        <w:tc>
          <w:tcPr>
            <w:tcW w:w="82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整改要求。</w:t>
            </w:r>
          </w:p>
        </w:tc>
        <w:tc>
          <w:tcPr>
            <w:tcW w:w="18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责任单位</w:t>
            </w:r>
          </w:p>
        </w:tc>
        <w:tc>
          <w:tcPr>
            <w:tcW w:w="196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整改时限</w:t>
            </w:r>
          </w:p>
        </w:tc>
        <w:tc>
          <w:tcPr>
            <w:tcW w:w="1961" w:type="dxa"/>
            <w:vAlign w:val="center"/>
          </w:tcPr>
          <w:p>
            <w:pPr>
              <w:jc w:val="center"/>
              <w:rPr>
                <w:rFonts w:hint="eastAsia" w:ascii="宋体" w:hAnsi="宋体" w:eastAsia="宋体" w:cs="宋体"/>
                <w:sz w:val="24"/>
                <w:szCs w:val="24"/>
              </w:rPr>
            </w:pPr>
            <w:r>
              <w:rPr>
                <w:rFonts w:hint="eastAsia" w:asciiTheme="minorEastAsia" w:hAnsiTheme="minorEastAsia" w:eastAsiaTheme="minorEastAsia" w:cstheme="minorEastAsia"/>
                <w:sz w:val="24"/>
                <w:szCs w:val="24"/>
                <w:lang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0" w:hRule="atLeast"/>
        </w:trPr>
        <w:tc>
          <w:tcPr>
            <w:tcW w:w="9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316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部分县区存在向社会公众征集意见数量较少、意见征集不规范</w:t>
            </w:r>
          </w:p>
        </w:tc>
        <w:tc>
          <w:tcPr>
            <w:tcW w:w="8259"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各县区要及时对照规范性文件清理结果确保今年以来印发的规范性文件与意见征集信息一一对应，同时要规范意见征集标题、时间等要素，重点筛查规范性文件未进行征集或者征集内容仅向部门而未向公众或者征集时间短、渠道不畅通的问题。</w:t>
            </w:r>
          </w:p>
        </w:tc>
        <w:tc>
          <w:tcPr>
            <w:tcW w:w="18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196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10月28日前</w:t>
            </w:r>
          </w:p>
        </w:tc>
        <w:tc>
          <w:tcPr>
            <w:tcW w:w="196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已整改、持续推进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36" w:hRule="atLeast"/>
        </w:trPr>
        <w:tc>
          <w:tcPr>
            <w:tcW w:w="9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316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部分未发布本地区具有检测资质的核酸检测机构名单以及本地区医疗机构发热门诊的设置情况</w:t>
            </w:r>
          </w:p>
        </w:tc>
        <w:tc>
          <w:tcPr>
            <w:tcW w:w="8259"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一、及时在疫情专题专栏、办事服务专栏中新增相关信息；二、及时在主动回应栏目增加相关信息。</w:t>
            </w:r>
          </w:p>
        </w:tc>
        <w:tc>
          <w:tcPr>
            <w:tcW w:w="18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196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10月28日前</w:t>
            </w:r>
          </w:p>
        </w:tc>
        <w:tc>
          <w:tcPr>
            <w:tcW w:w="1961"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已在疫情专题里面发布相关内容http://www.ahhuoshan.gov.cn/ztzl/ztzl/qszhxxgzbdgrdfyyqfkgz/index.html</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已在主动回应发布相关内容http://www.ahhuoshan.gov.cn/public/column/6596221?type=4&amp;action=list&amp;nav=3&amp;catId=7066901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84" w:hRule="atLeast"/>
        </w:trPr>
        <w:tc>
          <w:tcPr>
            <w:tcW w:w="9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316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部分县区文件解读未公开政策咨询渠道</w:t>
            </w:r>
          </w:p>
        </w:tc>
        <w:tc>
          <w:tcPr>
            <w:tcW w:w="8259"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可参照芜湖市或者其它优秀地市，在解读内容文件页面右侧位置的栏目导航页或者在政策解读下方添加解读单位、解读人、联系电话、地址等信息。</w:t>
            </w:r>
          </w:p>
        </w:tc>
        <w:tc>
          <w:tcPr>
            <w:tcW w:w="18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196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10月28日前</w:t>
            </w:r>
          </w:p>
        </w:tc>
        <w:tc>
          <w:tcPr>
            <w:tcW w:w="196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9" w:hRule="atLeast"/>
        </w:trPr>
        <w:tc>
          <w:tcPr>
            <w:tcW w:w="9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316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部分县区规范性文件未标注有效性等问题</w:t>
            </w:r>
          </w:p>
        </w:tc>
        <w:tc>
          <w:tcPr>
            <w:tcW w:w="8259"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对照规范性文件清理结果和网上公开的规范性文件，及时标注有效、无效，确保栏目下的每条信息都要素齐全。</w:t>
            </w:r>
          </w:p>
        </w:tc>
        <w:tc>
          <w:tcPr>
            <w:tcW w:w="18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各县区政府</w:t>
            </w:r>
          </w:p>
          <w:p>
            <w:pPr>
              <w:jc w:val="center"/>
              <w:rPr>
                <w:rFonts w:hint="eastAsia" w:ascii="宋体" w:hAnsi="宋体" w:eastAsia="宋体" w:cs="宋体"/>
                <w:sz w:val="24"/>
                <w:szCs w:val="24"/>
              </w:rPr>
            </w:pPr>
            <w:r>
              <w:rPr>
                <w:rFonts w:hint="eastAsia" w:ascii="宋体" w:hAnsi="宋体" w:eastAsia="宋体" w:cs="宋体"/>
                <w:sz w:val="24"/>
                <w:szCs w:val="24"/>
              </w:rPr>
              <w:t>负责落实</w:t>
            </w:r>
          </w:p>
        </w:tc>
        <w:tc>
          <w:tcPr>
            <w:tcW w:w="196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10月28日前</w:t>
            </w:r>
          </w:p>
        </w:tc>
        <w:tc>
          <w:tcPr>
            <w:tcW w:w="196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已整改</w:t>
            </w:r>
          </w:p>
        </w:tc>
      </w:tr>
    </w:tbl>
    <w:p>
      <w:r>
        <mc:AlternateContent>
          <mc:Choice Requires="wps">
            <w:drawing>
              <wp:anchor distT="0" distB="0" distL="114300" distR="114300" simplePos="0" relativeHeight="251659264" behindDoc="0" locked="0" layoutInCell="1" allowOverlap="1">
                <wp:simplePos x="0" y="0"/>
                <wp:positionH relativeFrom="page">
                  <wp:posOffset>12395200</wp:posOffset>
                </wp:positionH>
                <wp:positionV relativeFrom="page">
                  <wp:posOffset>3937000</wp:posOffset>
                </wp:positionV>
                <wp:extent cx="342900" cy="419100"/>
                <wp:effectExtent l="0" t="0" r="635" b="14605"/>
                <wp:wrapSquare wrapText="bothSides"/>
                <wp:docPr id="1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13" w:lineRule="exact"/>
                              <w:ind w:firstLine="0"/>
                              <w:jc w:val="both"/>
                            </w:pPr>
                            <w:r>
                              <w:rPr>
                                <w:color w:val="000000"/>
                                <w:sz w:val="22"/>
                              </w:rPr>
                              <w:t xml:space="preserve">+ </w:t>
                            </w:r>
                          </w:p>
                        </w:txbxContent>
                      </wps:txbx>
                      <wps:bodyPr lIns="25400" tIns="0" rIns="25400" bIns="0">
                        <a:noAutofit/>
                      </wps:bodyPr>
                    </wps:wsp>
                  </a:graphicData>
                </a:graphic>
              </wp:anchor>
            </w:drawing>
          </mc:Choice>
          <mc:Fallback>
            <w:pict>
              <v:shape id="文本框 2" o:spid="_x0000_s1026" o:spt="202" type="#_x0000_t202" style="position:absolute;left:0pt;margin-left:976pt;margin-top:310pt;height:33pt;width:27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isGG9cAAAANAQAADwAAAAAAAAAB&#10;ACAAAAAiAAAAZHJzL2Rvd25yZXYueG1sUEsBAhQAFAAAAAgAh07iQFTXVRnYAQAAnwMAAA4AAAAA&#10;AAAAAQAgAAAAJgEAAGRycy9lMm9Eb2MueG1sUEsFBgAAAAAGAAYAWQEAAHAFAAAAAA==&#10;">
                <v:fill on="f" focussize="0,0"/>
                <v:stroke on="f" weight="0.5pt"/>
                <v:imagedata o:title=""/>
                <o:lock v:ext="edit" aspectratio="f"/>
                <v:textbox inset="2pt,0mm,2pt,0mm">
                  <w:txbxContent>
                    <w:p>
                      <w:pPr>
                        <w:spacing w:line="313" w:lineRule="exact"/>
                        <w:ind w:firstLine="0"/>
                        <w:jc w:val="both"/>
                      </w:pPr>
                      <w:r>
                        <w:rPr>
                          <w:color w:val="000000"/>
                          <w:sz w:val="22"/>
                        </w:rPr>
                        <w:t xml:space="preserve">+ </w:t>
                      </w:r>
                    </w:p>
                  </w:txbxContent>
                </v:textbox>
                <w10:wrap type="square"/>
              </v:shape>
            </w:pict>
          </mc:Fallback>
        </mc:AlternateContent>
      </w:r>
    </w:p>
    <w:sectPr>
      <w:pgSz w:w="20400" w:h="11880" w:orient="landscape"/>
      <w:pgMar w:top="1134" w:right="1134" w:bottom="1134" w:left="1134" w:header="0" w:footer="0" w:gutter="0"/>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4E6E60"/>
    <w:multiLevelType w:val="singleLevel"/>
    <w:tmpl w:val="504E6E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compat>
    <w:useFELayout/>
    <w:splitPgBreakAndParaMark/>
    <w:compatSetting w:name="compatibilityMode" w:uri="http://schemas.microsoft.com/office/word" w:val="12"/>
  </w:compat>
  <w:rsids>
    <w:rsidRoot w:val="00000000"/>
    <w:rsid w:val="046735C2"/>
    <w:rsid w:val="0E1E18CE"/>
    <w:rsid w:val="149D66F2"/>
    <w:rsid w:val="15760804"/>
    <w:rsid w:val="25FA44E0"/>
    <w:rsid w:val="2BB51202"/>
    <w:rsid w:val="3DD801F5"/>
    <w:rsid w:val="4BC20D4D"/>
    <w:rsid w:val="526C09E6"/>
    <w:rsid w:val="55D66AD6"/>
    <w:rsid w:val="5B006C69"/>
    <w:rsid w:val="5C7274BE"/>
    <w:rsid w:val="5CF74058"/>
    <w:rsid w:val="658630B1"/>
    <w:rsid w:val="66130225"/>
    <w:rsid w:val="6C4B1D44"/>
    <w:rsid w:val="71202466"/>
    <w:rsid w:val="77B865A5"/>
    <w:rsid w:val="7BF24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301</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2021-10-25T07:31:00Z</dcterms:created>
  <dc:creator>openxml-sdk </dc:creator>
  <dc:description>openxml-sdk, CCi Textin Word Converter, JL</dc:description>
  <cp:keywords>CCi</cp:keywords>
  <cp:lastModifiedBy>lenovo7</cp:lastModifiedBy>
  <dcterms:modified xsi:type="dcterms:W3CDTF">2021-10-27T09:22:21Z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DC38B4C8E1AA4677A8FD3F41B26221B9</vt:lpwstr>
  </property>
</Properties>
</file>