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before="95" w:beforeLines="30"/>
        <w:jc w:val="center"/>
        <w:textAlignment w:val="auto"/>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霍人</w:t>
      </w:r>
      <w:bookmarkStart w:id="0" w:name="_GoBack"/>
      <w:bookmarkEnd w:id="0"/>
      <w:r>
        <w:rPr>
          <w:rFonts w:hint="eastAsia" w:ascii="仿宋_GB2312" w:hAnsi="仿宋_GB2312" w:eastAsia="仿宋_GB2312" w:cs="仿宋_GB2312"/>
          <w:color w:val="auto"/>
          <w:sz w:val="34"/>
          <w:szCs w:val="34"/>
        </w:rPr>
        <w:t>社</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2021</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7</w:t>
      </w:r>
      <w:r>
        <w:rPr>
          <w:rFonts w:hint="eastAsia" w:ascii="仿宋_GB2312" w:hAnsi="仿宋_GB2312" w:eastAsia="仿宋_GB2312" w:cs="仿宋_GB2312"/>
          <w:color w:val="auto"/>
          <w:sz w:val="34"/>
          <w:szCs w:val="34"/>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关于调整2021年度工伤保险浮动费率的通知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各有关参保单位：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为完善工伤保险费率机制，强化工伤管理，提高企业的安全管理意识，促进工伤预防工作，确保工伤保险基金安全高效运转，根据《安徽省工伤保险费率管理暂行办法》（皖人社秘</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2018</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188号和《关于调整工伤保险结算年度等有关问题的通知》（皖社险</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2020</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37号）文件规定，我县2020年度工伤保险支缴率（参保单位工伤保险基金使用金额占正常状况下应缴工伤保险费的比例）大于120%，小于150%，2021年度上浮基准费率的120%；支缴率大于150%，2021年度上浮基准费率的150%。现对符合文件规定的全县61家参保单位调整浮动费率（费率调整单位名单附后），自2021年元月执行。</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before="63" w:beforeLines="20" w:line="540" w:lineRule="exact"/>
        <w:ind w:firstLine="5440" w:firstLineChars="1600"/>
        <w:textAlignment w:val="auto"/>
        <w:rPr>
          <w:rFonts w:hint="eastAsia" w:ascii="仿宋_GB2312" w:hAnsi="仿宋_GB2312" w:eastAsia="仿宋_GB2312" w:cs="仿宋_GB2312"/>
          <w:color w:val="auto"/>
          <w:sz w:val="34"/>
          <w:szCs w:val="34"/>
        </w:rPr>
        <w:sectPr>
          <w:footerReference r:id="rId3" w:type="default"/>
          <w:pgSz w:w="11906" w:h="16838"/>
          <w:pgMar w:top="1417" w:right="1587" w:bottom="1417" w:left="1587" w:header="851" w:footer="992" w:gutter="0"/>
          <w:cols w:space="425" w:num="1"/>
          <w:docGrid w:type="lines" w:linePitch="312" w:charSpace="0"/>
        </w:sectPr>
      </w:pPr>
      <w:r>
        <w:rPr>
          <w:rFonts w:hint="eastAsia" w:ascii="仿宋_GB2312" w:hAnsi="仿宋_GB2312" w:eastAsia="仿宋_GB2312" w:cs="仿宋_GB2312"/>
          <w:color w:val="auto"/>
          <w:sz w:val="34"/>
          <w:szCs w:val="34"/>
        </w:rPr>
        <w:t>2021年2月5日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4"/>
          <w:szCs w:val="34"/>
        </w:rPr>
      </w:pPr>
      <w:r>
        <w:rPr>
          <w:rFonts w:hint="eastAsia" w:ascii="黑体" w:hAnsi="黑体" w:eastAsia="黑体" w:cs="黑体"/>
          <w:color w:val="auto"/>
          <w:sz w:val="34"/>
          <w:szCs w:val="34"/>
        </w:rPr>
        <w:t>附：</w:t>
      </w:r>
    </w:p>
    <w:p>
      <w:pPr>
        <w:keepNext w:val="0"/>
        <w:keepLines w:val="0"/>
        <w:pageBreakBefore w:val="0"/>
        <w:widowControl w:val="0"/>
        <w:kinsoku/>
        <w:wordWrap/>
        <w:overflowPunct/>
        <w:topLinePunct w:val="0"/>
        <w:autoSpaceDE/>
        <w:autoSpaceDN/>
        <w:bidi w:val="0"/>
        <w:adjustRightInd/>
        <w:snapToGrid/>
        <w:spacing w:after="66" w:afterLines="20"/>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2021年工伤保险费率调整明细表</w:t>
      </w:r>
    </w:p>
    <w:tbl>
      <w:tblPr>
        <w:tblStyle w:val="6"/>
        <w:tblW w:w="13985" w:type="dxa"/>
        <w:jc w:val="center"/>
        <w:shd w:val="clear" w:color="auto" w:fill="auto"/>
        <w:tblLayout w:type="fixed"/>
        <w:tblCellMar>
          <w:top w:w="0" w:type="dxa"/>
          <w:left w:w="0" w:type="dxa"/>
          <w:bottom w:w="0" w:type="dxa"/>
          <w:right w:w="0" w:type="dxa"/>
        </w:tblCellMar>
      </w:tblPr>
      <w:tblGrid>
        <w:gridCol w:w="630"/>
        <w:gridCol w:w="4170"/>
        <w:gridCol w:w="1576"/>
        <w:gridCol w:w="1545"/>
        <w:gridCol w:w="1081"/>
        <w:gridCol w:w="1599"/>
        <w:gridCol w:w="1127"/>
        <w:gridCol w:w="2257"/>
      </w:tblGrid>
      <w:tr>
        <w:tblPrEx>
          <w:shd w:val="clear" w:color="auto" w:fill="auto"/>
          <w:tblCellMar>
            <w:top w:w="0" w:type="dxa"/>
            <w:left w:w="0" w:type="dxa"/>
            <w:bottom w:w="0" w:type="dxa"/>
            <w:right w:w="0" w:type="dxa"/>
          </w:tblCellMar>
        </w:tblPrEx>
        <w:trPr>
          <w:trHeight w:val="482" w:hRule="atLeast"/>
          <w:tblHeader/>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2020支付合计</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2020应缴合计</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支缴率</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行业基准费率</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浮动标准</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2021年调整后费率</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安徽博壹企业管理咨询有限公司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152296.88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1176.55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12944%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霍山安乐陵园管理有限公司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51464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241.32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21326%</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霍山县富诚再生资源利用有限公司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64330</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1445.11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4452%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诸佛庵镇钰菲竹制品厂</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9676.8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217.20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4455%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安徽鸿升建筑安装有限公司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148631.35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3536.88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4202%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安徽霍山亚力包装材料有限公司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904046.2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25621.09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3529%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安徽省金顺达生物能源有限公司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22617.13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1037.83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2179%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安徽霍山巨邦建筑安装有限责任公司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782261.52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7992.31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9788%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霍山县金林金属制品有限公司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22642.32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788.45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2872%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安徽稳健机械制造有限公司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87488.8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3751.21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2332%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安徽龙鑫金属科技有限公司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266301.85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17695.32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安徽物宝光电材料有限公司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898788.7</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47745.88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1882%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霍山县大国工贸有限公司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14441.67</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868.93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1662%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安徽霍山县四海制罐有限公司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59068.18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4316.26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1369%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安徽霍山联合村镇银行股份有限公司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27018.6</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2090.01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1293%</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0.20%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0.30000%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霍山县运享金属制品加工有限公司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191749.58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12295.77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1559%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霍山县诸佛庵镇鑫虎机制炭厂</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34738.2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2655.01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霍山县星晨再生资源有限公司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124628.67</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3873.70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3217%</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安徽霍山县华鑫金属制品有限公司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122779.45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10471.97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1172%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霍山县昌海竹制品厂</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23774.45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2582.47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921%</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霍山县国祯污水处理有限公司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34260.38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3147.10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1089%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安徽兴隆钢结构有限责任公司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46416.77</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4490.80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1034%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安徽霍山县医药公司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12605.28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506.80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2487%</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霍山县汇川水电实业有限公司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90256.38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7627.14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1183%</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安徽徽鼎竹业有限责任公司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15192.18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3264.06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霍山县飞虹印务有限公司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34738.2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6833.44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安徽迎驾贡酒股份有限公司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224738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41771.33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538%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安徽海泓丝绸有限公司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73336.2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13922.46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527%</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六安阳光电力维修工程有限公司霍山分公司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876164.08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63925.32</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1371%</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安徽世林制衣有限公司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84354.6</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16782.44</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503%</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安徽安力建设工程有限公司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511915.5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6196.89</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8261%</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安徽迎驾贡酒股份有限公司曲酒分公司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2019128.14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180266.63</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1120%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南京肯德基有限公司霍山苏果餐厅</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61268.94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1933.70</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3168%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霍山丰乐生物能源科技有限公司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10573.53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4820.98</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35</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霍山县夏海洋毛竹加工厂</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2721.49</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1089.10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36</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霍山县华宸旅游房地产开发有限公司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34738.2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10391.67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37</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衡宇建设集团有限公司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146399.03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48751.89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38</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安徽宜康食品有限公司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28427.24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10191.61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安徽一路明光电科技有限公司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29712.12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11529.07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安徽华宸文化旅游发展公司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62845.63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21916.00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287%</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41</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安徽龙盛纺织科技有限公司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72974.93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6725.63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1085%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42</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霍山东磁电子科技有限公司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151222.53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60493.70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43</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安徽华宸文化旅游房地产公司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27018.6</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10391.67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44</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安徽迎驾集团股份有限公司迎驾山庄</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20077.84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9077.25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221%</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45</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安徽艾丽格斯服饰有限公司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83369.7</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48458.94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安徽水电霍山有限公司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39650.85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19494.32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203%</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47</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安徽应流铸业有限公司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377027.25</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172415.14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219%</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48</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安徽安康生态农业科技有限公司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3929.42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2791.71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141%</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0.80%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安徽精正机电科技有限公司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11826.53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5854.16 </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安徽龙钰徽派古建工艺制品有限公司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116210.13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50482.21</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51</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霍山县忠福机电科技有限公司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32237.38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18577.33</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安徽明华纺织科技有限公司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64530.63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32951.91</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196%</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53</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安徽野岭饮料食品有限公司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189704.31</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70838.88</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54</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霍山县旭尧金属有限公司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163239.3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8929.00</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1828%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55</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安徽省霍山县鑫钰工程有限公司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8674.24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3216.13</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270%</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56</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安徽文峰特种纸业有限公司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22642.32</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12024.35</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188%</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57</w:t>
            </w:r>
          </w:p>
        </w:tc>
        <w:tc>
          <w:tcPr>
            <w:tcW w:w="417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苏果超市(安徽)有限公司霍山分公司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52750.6</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11354.01</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58</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安徽迎驾洞藏酒销售公司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81466.63</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26150.86</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312%</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0.40%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59</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安徽应流集团霍山铸造有限公司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1880657.98</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1211289.32</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155%</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w:t>
            </w:r>
          </w:p>
        </w:tc>
        <w:tc>
          <w:tcPr>
            <w:tcW w:w="417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安徽霍山科皖特种铸造有限公司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55090.1</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17524.85</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1.95000%</w:t>
            </w:r>
          </w:p>
        </w:tc>
      </w:tr>
      <w:tr>
        <w:tblPrEx>
          <w:tblCellMar>
            <w:top w:w="0" w:type="dxa"/>
            <w:left w:w="0" w:type="dxa"/>
            <w:bottom w:w="0" w:type="dxa"/>
            <w:right w:w="0"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61</w:t>
            </w:r>
          </w:p>
        </w:tc>
        <w:tc>
          <w:tcPr>
            <w:tcW w:w="417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霍山隆兴竹业制造公司</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22034.4</w:t>
            </w:r>
          </w:p>
        </w:tc>
        <w:tc>
          <w:tcPr>
            <w:tcW w:w="154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2739.45</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804%</w:t>
            </w:r>
          </w:p>
        </w:tc>
        <w:tc>
          <w:tcPr>
            <w:tcW w:w="159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0.60%</w:t>
            </w:r>
          </w:p>
        </w:tc>
        <w:tc>
          <w:tcPr>
            <w:tcW w:w="1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150.00%</w:t>
            </w:r>
          </w:p>
        </w:tc>
        <w:tc>
          <w:tcPr>
            <w:tcW w:w="2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0.90000%</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sectPr>
          <w:pgSz w:w="16838" w:h="11906" w:orient="landscape"/>
          <w:pgMar w:top="1417" w:right="1134" w:bottom="1417" w:left="1134" w:header="851" w:footer="992" w:gutter="0"/>
          <w:cols w:space="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4"/>
          <w:szCs w:val="34"/>
        </w:rPr>
      </w:pPr>
    </w:p>
    <w:p>
      <w:pPr>
        <w:keepNext w:val="0"/>
        <w:keepLines w:val="0"/>
        <w:pageBreakBefore w:val="0"/>
        <w:widowControl w:val="0"/>
        <w:pBdr>
          <w:top w:val="single" w:color="auto" w:sz="4" w:space="0"/>
          <w:bottom w:val="single" w:color="auto" w:sz="4" w:space="0"/>
        </w:pBdr>
        <w:kinsoku/>
        <w:wordWrap/>
        <w:overflowPunct/>
        <w:topLinePunct w:val="0"/>
        <w:autoSpaceDE w:val="0"/>
        <w:autoSpaceDN/>
        <w:bidi w:val="0"/>
        <w:adjustRightInd/>
        <w:snapToGrid/>
        <w:spacing w:line="460" w:lineRule="exact"/>
        <w:ind w:firstLine="170" w:firstLineChars="50"/>
        <w:textAlignment w:val="auto"/>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lang w:val="en-US" w:eastAsia="zh-CN"/>
        </w:rPr>
        <w:t>霍山县人力资源和社会保障局    2021年2月5日印发</w:t>
      </w:r>
    </w:p>
    <w:sectPr>
      <w:pgSz w:w="11906" w:h="16838"/>
      <w:pgMar w:top="1417" w:right="1587" w:bottom="1417"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E"/>
    <w:rsid w:val="00004884"/>
    <w:rsid w:val="0034101C"/>
    <w:rsid w:val="004A2E1E"/>
    <w:rsid w:val="00690251"/>
    <w:rsid w:val="007B1C0A"/>
    <w:rsid w:val="00857707"/>
    <w:rsid w:val="008C0023"/>
    <w:rsid w:val="008C3A91"/>
    <w:rsid w:val="008E2538"/>
    <w:rsid w:val="0091454C"/>
    <w:rsid w:val="00AE55BC"/>
    <w:rsid w:val="00C83B99"/>
    <w:rsid w:val="00C858D1"/>
    <w:rsid w:val="00C94318"/>
    <w:rsid w:val="00CC7F05"/>
    <w:rsid w:val="00E1080A"/>
    <w:rsid w:val="00E55780"/>
    <w:rsid w:val="00EC1DAE"/>
    <w:rsid w:val="00F53096"/>
    <w:rsid w:val="01384B54"/>
    <w:rsid w:val="1A497F2C"/>
    <w:rsid w:val="3D5B300C"/>
    <w:rsid w:val="3D8B437A"/>
    <w:rsid w:val="54152515"/>
    <w:rsid w:val="786649EB"/>
    <w:rsid w:val="7C2A4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spacing w:after="0"/>
      <w:ind w:left="0" w:leftChars="0" w:firstLine="420" w:firstLineChars="200"/>
      <w:jc w:val="both"/>
    </w:pPr>
    <w:rPr>
      <w:rFonts w:ascii="Arial" w:hAnsi="Arial" w:eastAsia="仿宋_GB2312" w:cs="Times New Roman"/>
      <w:kern w:val="2"/>
      <w:sz w:val="28"/>
      <w:szCs w:val="24"/>
      <w:lang w:val="en-US" w:eastAsia="zh-CN" w:bidi="ar-SA"/>
    </w:rPr>
  </w:style>
  <w:style w:type="paragraph" w:styleId="3">
    <w:name w:val="Body Text Indent"/>
    <w:basedOn w:val="1"/>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297</Characters>
  <Lines>2</Lines>
  <Paragraphs>1</Paragraphs>
  <TotalTime>4</TotalTime>
  <ScaleCrop>false</ScaleCrop>
  <LinksUpToDate>false</LinksUpToDate>
  <CharactersWithSpaces>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2021-02-05T02:48:00Z</dcterms:created>
  <dc:creator>USER</dc:creator>
  <cp:lastModifiedBy>北岸初晴</cp:lastModifiedBy>
  <cp:lastPrinted>2021-02-05T07:52:00Z</cp:lastPrinted>
  <dcterms:modified xsi:type="dcterms:W3CDTF">2021-12-13T01:22:58Z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