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t>但政〔2021〕13号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Cs/>
          <w:color w:val="000000" w:themeColor="text1"/>
          <w:sz w:val="34"/>
          <w:szCs w:val="34"/>
          <w:lang w:val="en-US" w:eastAsia="zh-CN"/>
          <w14:textFill>
            <w14:solidFill>
              <w14:schemeClr w14:val="tx1"/>
            </w14:solidFill>
          </w14:textFill>
        </w:rPr>
      </w:pPr>
    </w:p>
    <w:p>
      <w:pPr>
        <w:spacing w:line="60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关于印发《但家庙镇2021年度防台风山洪汛情灾害防御预案》的通知</w:t>
      </w:r>
    </w:p>
    <w:p>
      <w:pPr>
        <w:spacing w:line="600" w:lineRule="exact"/>
        <w:jc w:val="left"/>
        <w:rPr>
          <w:rFonts w:hint="default" w:ascii="Times New Roman" w:hAnsi="Times New Roman" w:eastAsia="方正小标宋简体" w:cs="Times New Roman"/>
          <w:bCs/>
          <w:color w:val="000000" w:themeColor="text1"/>
          <w:sz w:val="44"/>
          <w:szCs w:val="44"/>
          <w14:textFill>
            <w14:solidFill>
              <w14:schemeClr w14:val="tx1"/>
            </w14:solidFill>
          </w14:textFill>
        </w:rPr>
      </w:pPr>
    </w:p>
    <w:p>
      <w:pPr>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各村、镇直各单位：</w:t>
      </w:r>
    </w:p>
    <w:p>
      <w:pPr>
        <w:ind w:firstLine="680" w:firstLineChars="200"/>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为了进一步加强镇防台风山洪汛情灾害工作力度，确保我镇安全度汛，维护人民群众的财产和人身安全，现将《但家庙镇2021年防台风山洪汛情灾害防御预案》印发给你们，请遵照执行。</w:t>
      </w:r>
    </w:p>
    <w:p>
      <w:pPr>
        <w:ind w:firstLine="5440" w:firstLineChars="1600"/>
        <w:rPr>
          <w:rFonts w:hint="default" w:ascii="Times New Roman" w:hAnsi="Times New Roman" w:eastAsia="方正仿宋简体" w:cs="Times New Roman"/>
          <w:color w:val="000000" w:themeColor="text1"/>
          <w:sz w:val="34"/>
          <w:szCs w:val="34"/>
          <w14:textFill>
            <w14:solidFill>
              <w14:schemeClr w14:val="tx1"/>
            </w14:solidFill>
          </w14:textFill>
        </w:rPr>
      </w:pPr>
    </w:p>
    <w:p>
      <w:pPr>
        <w:ind w:firstLine="5440" w:firstLineChars="1600"/>
        <w:rPr>
          <w:rFonts w:hint="default" w:ascii="Times New Roman" w:hAnsi="Times New Roman" w:eastAsia="方正仿宋简体" w:cs="Times New Roman"/>
          <w:color w:val="000000" w:themeColor="text1"/>
          <w:sz w:val="34"/>
          <w:szCs w:val="34"/>
          <w14:textFill>
            <w14:solidFill>
              <w14:schemeClr w14:val="tx1"/>
            </w14:solidFill>
          </w14:textFill>
        </w:rPr>
      </w:pPr>
    </w:p>
    <w:p>
      <w:pPr>
        <w:jc w:val="right"/>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但家庙镇人民政府</w:t>
      </w:r>
    </w:p>
    <w:p>
      <w:pPr>
        <w:jc w:val="right"/>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2021年</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4"/>
          <w:szCs w:val="34"/>
          <w14:textFill>
            <w14:solidFill>
              <w14:schemeClr w14:val="tx1"/>
            </w14:solidFill>
          </w14:textFill>
        </w:rPr>
        <w:t>月</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34"/>
          <w:szCs w:val="34"/>
          <w14:textFill>
            <w14:solidFill>
              <w14:schemeClr w14:val="tx1"/>
            </w14:solidFill>
          </w14:textFill>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组织指挥体系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组织指挥机构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镇成立山洪灾害防御指挥部，由镇政府主要领导任指挥长，镇分管领导任副指挥长，由党政办、民政办、经发办、派出所、卫生院、财政所、综治办、水利站及</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5</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个村为成员成立防御指挥部。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指挥部成员名单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政</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委：储著时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指</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挥</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长：张</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副指挥长：陈</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波、汪</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杰、李</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兵、魏</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3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杨劲松、孔祥琦、陈正发、张</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3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黄玲玲、邓宏超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成</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员：邵</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勋、叶祥恕、陈学荣、黄志昂、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3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汪家海、叶宇进、王玉生、庞</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3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何祥兵、曹安平、陈以田、李良三、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3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张文生、汪瑞军、陈久浩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 职责和分工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镇防汛指挥机构在县级防汛指挥部的统一领导下开展山洪灾害防御工作，具体组织镇和村的山洪灾害防御工作，发现异常情况及时向有关部门汇报，并采取相应的应急处理措施等。村级山洪灾害防御工作组负责本村内降雨监测、预警、人员转移和抢险等工作；</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明确工作职责。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eastAsia" w:ascii="方正黑体简体" w:hAnsi="方正黑体简体" w:eastAsia="方正黑体简体" w:cs="方正黑体简体"/>
          <w:b w:val="0"/>
          <w:bCs w:val="0"/>
          <w:i w:val="0"/>
          <w:iCs w:val="0"/>
          <w:caps w:val="0"/>
          <w:color w:val="000000" w:themeColor="text1"/>
          <w:spacing w:val="0"/>
          <w:sz w:val="21"/>
          <w:szCs w:val="21"/>
          <w14:textFill>
            <w14:solidFill>
              <w14:schemeClr w14:val="tx1"/>
            </w14:solidFill>
          </w14:textFill>
        </w:rPr>
      </w:pPr>
      <w:r>
        <w:rPr>
          <w:rFonts w:hint="eastAsia" w:ascii="方正黑体简体" w:hAnsi="方正黑体简体" w:eastAsia="方正黑体简体" w:cs="方正黑体简体"/>
          <w:b w:val="0"/>
          <w:bCs w:val="0"/>
          <w:i w:val="0"/>
          <w:iCs w:val="0"/>
          <w:caps w:val="0"/>
          <w:color w:val="000000" w:themeColor="text1"/>
          <w:spacing w:val="0"/>
          <w:kern w:val="0"/>
          <w:sz w:val="34"/>
          <w:szCs w:val="34"/>
          <w:shd w:val="clear" w:fill="FFFFFF"/>
          <w:lang w:val="en-US" w:eastAsia="zh-CN" w:bidi="ar"/>
          <w14:textFill>
            <w14:solidFill>
              <w14:schemeClr w14:val="tx1"/>
            </w14:solidFill>
          </w14:textFill>
        </w:rPr>
        <w:t>一、指挥部工作职责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负责对全镇防汛工作的重大事项进行研究和部署；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负责组织协调抢险救灾工作；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负责指导抢险救灾，安置疏散灾民，设置避难场所，做好疏散点食宿物品的供应工作；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4</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负责发布灾情信息，组织查灾、核灾，向上级报告灾情，接收、调拨救灾物品，保障灾民的基本生活。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default" w:ascii="方正黑体简体" w:hAnsi="方正黑体简体" w:eastAsia="方正黑体简体" w:cs="方正黑体简体"/>
          <w:b w:val="0"/>
          <w:bCs w:val="0"/>
          <w:i w:val="0"/>
          <w:iCs w:val="0"/>
          <w:caps w:val="0"/>
          <w:color w:val="000000" w:themeColor="text1"/>
          <w:spacing w:val="0"/>
          <w:kern w:val="0"/>
          <w:sz w:val="34"/>
          <w:szCs w:val="34"/>
          <w:shd w:val="clear" w:fill="FFFFFF"/>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34"/>
          <w:szCs w:val="34"/>
          <w:shd w:val="clear" w:fill="FFFFFF"/>
          <w:lang w:val="en-US" w:eastAsia="zh-CN" w:bidi="ar"/>
          <w14:textFill>
            <w14:solidFill>
              <w14:schemeClr w14:val="tx1"/>
            </w14:solidFill>
          </w14:textFill>
        </w:rPr>
        <w:t>二、办公室工作职责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收集灾情信息，及时向领导汇报，做好下情上报；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及时将上级要求向主要领导汇报，做到上情下达；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收集整理各种资料，为抢险救灾提供科学决策依据；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4</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负责统筹、协调和督促指导各村居、各部门的防汛工作；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5</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贯彻落实指挥部安排的其它工作。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eastAsia" w:ascii="方正黑体简体" w:hAnsi="方正黑体简体" w:eastAsia="方正黑体简体" w:cs="方正黑体简体"/>
          <w:b w:val="0"/>
          <w:bCs w:val="0"/>
          <w:i w:val="0"/>
          <w:iCs w:val="0"/>
          <w:caps w:val="0"/>
          <w:color w:val="000000" w:themeColor="text1"/>
          <w:spacing w:val="0"/>
          <w:sz w:val="21"/>
          <w:szCs w:val="21"/>
          <w14:textFill>
            <w14:solidFill>
              <w14:schemeClr w14:val="tx1"/>
            </w14:solidFill>
          </w14:textFill>
        </w:rPr>
      </w:pPr>
      <w:r>
        <w:rPr>
          <w:rFonts w:hint="eastAsia" w:ascii="方正黑体简体" w:hAnsi="方正黑体简体" w:eastAsia="方正黑体简体" w:cs="方正黑体简体"/>
          <w:b w:val="0"/>
          <w:bCs w:val="0"/>
          <w:i w:val="0"/>
          <w:iCs w:val="0"/>
          <w:caps w:val="0"/>
          <w:color w:val="000000" w:themeColor="text1"/>
          <w:spacing w:val="0"/>
          <w:kern w:val="0"/>
          <w:sz w:val="34"/>
          <w:szCs w:val="34"/>
          <w:shd w:val="clear" w:fill="FFFFFF"/>
          <w:lang w:val="en-US" w:eastAsia="zh-CN" w:bidi="ar"/>
          <w14:textFill>
            <w14:solidFill>
              <w14:schemeClr w14:val="tx1"/>
            </w14:solidFill>
          </w14:textFill>
        </w:rPr>
        <w:t>三、抢险应急队伍工作职责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抢险救灾组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责任部门：镇政府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任</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人：陈正发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职</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责：负责灾区的抢险救灾工作。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安全保卫组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责任部门：派出所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任</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人：庞</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职</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责：负责现场警戒、维护秩序、疏导交通、疏散群众等工作，确定死亡人员姓名、身份并通知死者和伤员家属，防止和处理事故现场可能发生的刑事案件。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医疗救护组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责任部门：镇卫生院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任</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人：陈久浩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职</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责：负责现场伤员抢救和治疗工作。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4</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后勤保障组责任部门：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责任部门：党政办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任</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人：邵</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职</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责：负责现场抢险物资供应及其它后勤保障工作。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eastAsia" w:ascii="方正黑体简体" w:hAnsi="方正黑体简体" w:eastAsia="方正黑体简体" w:cs="方正黑体简体"/>
          <w:b w:val="0"/>
          <w:bCs w:val="0"/>
          <w:i w:val="0"/>
          <w:iCs w:val="0"/>
          <w:caps w:val="0"/>
          <w:color w:val="000000" w:themeColor="text1"/>
          <w:spacing w:val="0"/>
          <w:sz w:val="21"/>
          <w:szCs w:val="21"/>
          <w14:textFill>
            <w14:solidFill>
              <w14:schemeClr w14:val="tx1"/>
            </w14:solidFill>
          </w14:textFill>
        </w:rPr>
      </w:pPr>
      <w:r>
        <w:rPr>
          <w:rFonts w:hint="eastAsia" w:ascii="方正黑体简体" w:hAnsi="方正黑体简体" w:eastAsia="方正黑体简体" w:cs="方正黑体简体"/>
          <w:b w:val="0"/>
          <w:bCs w:val="0"/>
          <w:i w:val="0"/>
          <w:iCs w:val="0"/>
          <w:caps w:val="0"/>
          <w:color w:val="000000" w:themeColor="text1"/>
          <w:spacing w:val="0"/>
          <w:kern w:val="0"/>
          <w:sz w:val="34"/>
          <w:szCs w:val="34"/>
          <w:shd w:val="clear" w:fill="FFFFFF"/>
          <w:lang w:val="en-US" w:eastAsia="zh-CN" w:bidi="ar"/>
          <w14:textFill>
            <w14:solidFill>
              <w14:schemeClr w14:val="tx1"/>
            </w14:solidFill>
          </w14:textFill>
        </w:rPr>
        <w:t>四、村委会主要工作职责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根据镇防汛抢险预案，制定本地区的防汛预案，并报镇防汛办公室备案。在汛期来临之前，按照镇防汛指挥部的要求，对防汛工作进行全面细致的安排，确定防汛第一责任人和防汛分片包干人员，并签订防汛安全责任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各村防汛第一责任人，要对本辖区的防汛工作负总责。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防汛分片包干人员要坚决服从第一责任人的命令，并按要求对包干地区进行认真的汛前、汛期、汛后三个环节的检查，将检查情况及时反馈给包干区第一责任人，并向镇防汛指挥部办公室上报书面材料，并及时处理，不留后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4</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对辖区内的河道、沟渠、易发生滑坡和泥石流等重点地段进行详细排查，发现险情及时处理。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5</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对阻碍防汛工作的违章建筑物，要依据《防洪法》、《河道管理条例》坚决予以拆除。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eastAsia" w:ascii="方正黑体简体" w:hAnsi="方正黑体简体" w:eastAsia="方正黑体简体" w:cs="方正黑体简体"/>
          <w:b w:val="0"/>
          <w:bCs w:val="0"/>
          <w:i w:val="0"/>
          <w:iCs w:val="0"/>
          <w:caps w:val="0"/>
          <w:color w:val="000000" w:themeColor="text1"/>
          <w:spacing w:val="0"/>
          <w:sz w:val="21"/>
          <w:szCs w:val="21"/>
          <w14:textFill>
            <w14:solidFill>
              <w14:schemeClr w14:val="tx1"/>
            </w14:solidFill>
          </w14:textFill>
        </w:rPr>
      </w:pPr>
      <w:r>
        <w:rPr>
          <w:rFonts w:hint="eastAsia" w:ascii="方正黑体简体" w:hAnsi="方正黑体简体" w:eastAsia="方正黑体简体" w:cs="方正黑体简体"/>
          <w:b w:val="0"/>
          <w:bCs w:val="0"/>
          <w:i w:val="0"/>
          <w:iCs w:val="0"/>
          <w:caps w:val="0"/>
          <w:color w:val="000000" w:themeColor="text1"/>
          <w:spacing w:val="0"/>
          <w:kern w:val="0"/>
          <w:sz w:val="34"/>
          <w:szCs w:val="34"/>
          <w:shd w:val="clear" w:fill="FFFFFF"/>
          <w:lang w:val="en-US" w:eastAsia="zh-CN" w:bidi="ar"/>
          <w14:textFill>
            <w14:solidFill>
              <w14:schemeClr w14:val="tx1"/>
            </w14:solidFill>
          </w14:textFill>
        </w:rPr>
        <w:t>五、其它单位主要工作职责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武装部、派出所、综治办、经发办：负责维护灾区治安秩序，打击趁灾打劫等各类违法犯罪活动，确保重点目标安全，做好交通疏导、交通管制以及救灾物资牵引等工作。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民政办：负责救灾款物的筹集和储备，制定救灾款物分配方案，组织救灾捐赠工作，做好救灾及捐赠款物的接收、使用、管理工作；开展救灾政策的宣传，提高全社会的防灾和减灾意识。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农技站：负责组织灾民开展生产自救，指导灾民搞好抢种补种等灾后生产，做好灾区种苗供应和动植物病的防治工作。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4</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水利站：负责对灾区雨情、水情、汛情的预报和监测。做好水位监测，分析预测未来水流量以及可能出现的险情；组织灾区重要水利、供水等设施的抢险修复工作，提出恢复重建方案。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5</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卫生院：负责灾区防病治病和卫生防疫工作。组织开展疾病预防控制、医疗救护和卫生监督工作，报告、发布疫情信息，负责疾病防治药品、器械的管理、使用和救灾药品的质量监督。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6</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财政所：做好救灾经费下拨工作，保证救灾款及时到位。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7</w:t>
      </w:r>
      <w:r>
        <w:rPr>
          <w:rFonts w:hint="eastAsia"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其他单位和部门要全力支持和配合防汛救灾工作。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监测预警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 通信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选取适宜的通信方式。常用的通信方式有电视、无线广播、电话、传真、短信指挥系统、专用警报系统、锣鼓、号等；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以经济、实用为原则，因地制宜地建设与通信方式相适应的山洪灾害监测信息、警报等的传输和信息反馈通信网络；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1.3</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可逐步建立山洪灾害各类数据汇集及信息共享平台；</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 预报预警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预报内容：气象预报、溪河洪水预报、泥石流和滑坡预报。气象预报由气象部门发布，溪河洪水预报由水利部门发布，泥石流和滑坡预报由国土部门发布；</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预警内容：暴雨洪水预报信息；暴雨洪水监测信息；降雨、洪水位是否达到临界值；水库及山塘水位监测信息；可能发生泥石流或滑坡的监测和预报信息等；</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2.3</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预警启用时机：（</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）当接到暴雨天气预报，相关行政责任人应引起重视。当预报或发生的降雨接近或将超过临界雨量值时，应发布暴雨预警信息；（</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）当上游水位急剧上涨，将对下游造成山洪灾害，应立即向下游发布预警信息；（</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）当出现发生泥石流、滑坡的征兆时，应发布泥石流、滑坡灾害预警信息；（</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）水库及山塘发生溃决性重大险情时应及时发布相关信息；</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2.4</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预警的实施：根据各自职责分工，并按照防汛突发事件发生、发展的等级、趋势和危害程度，及时向防汛抗旱指挥部办公室提出相应的预警建议。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当接到上级汛情预警时，立即通知各村、学校（幼儿园）、施工企业、地质灾害监测点人员做好避灾、防灾工作，并做好群众撤离的各项准备；如果接到上级群众转移的指令，则立即组织群众和立即转移。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转移安置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 转移安置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确定需要转移的人员；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转移遵循先人员后财产，先老弱病残人员后一般人员的原则，应以集体、有组织转移为主；</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1.3</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转移地点、路线的确定遵循就近、安全的原则。汛前拟定好转移路线、安置地点，汛期必须经常检查转移路线、安置地点是否出现异常，如有异常应及时修补或改变线路。转移路线要避开跨河、跨溪或易滑坡等地带。不要顺着溪河沟谷上下游、泥石流沟上下游、滑坡的滑动方向转移，应向溪河沟谷两侧山坡或滑动体的两侧方向转移。填写群众转移安置计划表，绘制人员转移安置图；</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1.4</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制作明白卡，将转移路线、时机、安置地点、责任人等有关信息发放到每户。制作标识牌，标明安全区、危险区、转移路线、安置地点等；</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1.5</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因地制宜地采取集中、分散等安置方式；</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1.6</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制定当交通、通讯中断时，镇、村（居）躲灾避灾的应急措施。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 转移安置纪律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转移工作采取县、镇、村、组干部层层包干负责的办法实施，明确转移安置纪律，统一指挥、安全第一。</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抢险救灾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 抢险救灾准备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普及山洪灾害防御的基本知识，增强防灾意识；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建立抢险救灾工作机制，确定抢险救灾方案；主要包括人员组织、物资调拨、车辆调配和救护等；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1.3 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抢险救灾的准备包括救助装备准备、资金准备、物资准备等。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 抢险、救灾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一旦发生险情，在及时向上一级防汛指挥部门报告的同时，应急抢险队投入抢险救灾，确保灾区人民群众的生命安全，尽量减少财产损失。紧急情况下可以强制征用和调配车辆、设备、物资等；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对可能造成新的危害的山体、建筑物等要安排专人监测、防御；</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2.3</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发生灾情，要首先把被困人员迅速转移到安全地带；</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2.4</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如有人畜伤亡，及时抢救受伤人员，清理、掩埋人畜尸体；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2.5</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对紧急转移的人员作好临时安置，发放粮食、衣物，对灾区作好卫生防疫工作；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2.6</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迅速组织力量抢修水、电、路、通信等基础设施。</w:t>
      </w: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 汛前检查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汛前，我镇对所辖区域进行全面普查，发现问题登记造册，及时处理，同时对可能引发山洪灾害的工程、区域等安排专人负责防守。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80" w:firstLineChars="20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eastAsia"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宣传教育及演练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2.1</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对本预案内的主要内容，要利用会议、广播、电视、墙报、标语等多种形式，向辖区内群众进行宣传；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2.2</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组织居民熟悉转移路线及安置方案；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2.3</w:t>
      </w:r>
      <w:r>
        <w:rPr>
          <w:rFonts w:hint="eastAsia"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组织区域内人员开展实战演练。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3</w:t>
      </w:r>
      <w:r>
        <w:rPr>
          <w:rFonts w:hint="eastAsia"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 xml:space="preserve"> </w:t>
      </w: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为及时、有效地实施预案，需制定相应的工作纪律，以确保各项工作落到实处，一般包括：各责任人执行职责纪律、紧急转移纪律、灾民安置纪律等。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转移工作小组一览表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2.</w:t>
      </w:r>
      <w:r>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领导小组组成人员及各工作组工作职责表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default" w:ascii="Times New Roman" w:hAnsi="Times New Roman" w:eastAsia="方正仿宋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附件1</w:t>
      </w:r>
      <w:r>
        <w:rPr>
          <w:rFonts w:hint="eastAsia"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w:t>
      </w:r>
    </w:p>
    <w:tbl>
      <w:tblPr>
        <w:tblStyle w:val="3"/>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71"/>
        <w:gridCol w:w="1335"/>
        <w:gridCol w:w="2220"/>
        <w:gridCol w:w="3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680" w:type="dxa"/>
            <w:gridSpan w:val="4"/>
            <w:tcBorders>
              <w:top w:val="nil"/>
              <w:left w:val="nil"/>
              <w:bottom w:val="single" w:color="auto" w:sz="8" w:space="0"/>
              <w:right w:val="nil"/>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lang w:val="en-US" w:eastAsia="zh-CN" w:bidi="ar"/>
                <w14:textFill>
                  <w14:solidFill>
                    <w14:schemeClr w14:val="tx1"/>
                  </w14:solidFill>
                </w14:textFill>
              </w:rPr>
              <w:t>转移小组工作一览表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2" w:hRule="atLeast"/>
        </w:trPr>
        <w:tc>
          <w:tcPr>
            <w:tcW w:w="1671" w:type="dxa"/>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6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组</w:t>
            </w:r>
            <w:r>
              <w:rPr>
                <w:rFonts w:hint="eastAsia"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别</w:t>
            </w:r>
          </w:p>
        </w:tc>
        <w:tc>
          <w:tcPr>
            <w:tcW w:w="1335" w:type="dxa"/>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负责人</w:t>
            </w:r>
          </w:p>
        </w:tc>
        <w:tc>
          <w:tcPr>
            <w:tcW w:w="2220" w:type="dxa"/>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电</w:t>
            </w:r>
            <w:r>
              <w:rPr>
                <w:rFonts w:hint="eastAsia"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话</w:t>
            </w:r>
          </w:p>
        </w:tc>
        <w:tc>
          <w:tcPr>
            <w:tcW w:w="3454" w:type="dxa"/>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6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28"/>
                <w:szCs w:val="28"/>
                <w:lang w:val="en-US" w:eastAsia="zh-CN" w:bidi="ar"/>
                <w14:textFill>
                  <w14:solidFill>
                    <w14:schemeClr w14:val="tx1"/>
                  </w14:solidFill>
                </w14:textFill>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7" w:hRule="atLeast"/>
        </w:trPr>
        <w:tc>
          <w:tcPr>
            <w:tcW w:w="1671" w:type="dxa"/>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转移1组</w:t>
            </w:r>
          </w:p>
        </w:tc>
        <w:tc>
          <w:tcPr>
            <w:tcW w:w="1335"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杨劲松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陈恩兵</w:t>
            </w:r>
          </w:p>
        </w:tc>
        <w:tc>
          <w:tcPr>
            <w:tcW w:w="2220"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15905648414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15005648829</w:t>
            </w:r>
          </w:p>
        </w:tc>
        <w:tc>
          <w:tcPr>
            <w:tcW w:w="3454"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负责大河厂村受灾群众的安全转移工作。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68" w:hRule="atLeast"/>
        </w:trPr>
        <w:tc>
          <w:tcPr>
            <w:tcW w:w="1671" w:type="dxa"/>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转移2组</w:t>
            </w:r>
          </w:p>
        </w:tc>
        <w:tc>
          <w:tcPr>
            <w:tcW w:w="1335"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邓宏超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周自刚</w:t>
            </w:r>
          </w:p>
        </w:tc>
        <w:tc>
          <w:tcPr>
            <w:tcW w:w="2220"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15240160903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13665544769</w:t>
            </w:r>
          </w:p>
        </w:tc>
        <w:tc>
          <w:tcPr>
            <w:tcW w:w="3454"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负责但家庙村受灾群众的安全转移工作。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46" w:hRule="atLeast"/>
        </w:trPr>
        <w:tc>
          <w:tcPr>
            <w:tcW w:w="1671" w:type="dxa"/>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转移3组</w:t>
            </w:r>
          </w:p>
        </w:tc>
        <w:tc>
          <w:tcPr>
            <w:tcW w:w="1335"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张  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倪  勇</w:t>
            </w:r>
          </w:p>
        </w:tc>
        <w:tc>
          <w:tcPr>
            <w:tcW w:w="2220"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15956436333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18326351555</w:t>
            </w:r>
          </w:p>
        </w:tc>
        <w:tc>
          <w:tcPr>
            <w:tcW w:w="3454"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负责花石嘴村受灾群众的安全转移工作。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4" w:hRule="atLeast"/>
        </w:trPr>
        <w:tc>
          <w:tcPr>
            <w:tcW w:w="1671" w:type="dxa"/>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转移4组</w:t>
            </w:r>
          </w:p>
        </w:tc>
        <w:tc>
          <w:tcPr>
            <w:tcW w:w="1335"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魏  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彭义香</w:t>
            </w:r>
          </w:p>
        </w:tc>
        <w:tc>
          <w:tcPr>
            <w:tcW w:w="2220"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18326252990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15156975466</w:t>
            </w:r>
          </w:p>
        </w:tc>
        <w:tc>
          <w:tcPr>
            <w:tcW w:w="3454"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负责胡大桥村受灾群众的安全转移工作。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52" w:hRule="atLeast"/>
        </w:trPr>
        <w:tc>
          <w:tcPr>
            <w:tcW w:w="1671" w:type="dxa"/>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转移5组</w:t>
            </w:r>
          </w:p>
        </w:tc>
        <w:tc>
          <w:tcPr>
            <w:tcW w:w="1335"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黄玲玲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汪帮满</w:t>
            </w:r>
          </w:p>
        </w:tc>
        <w:tc>
          <w:tcPr>
            <w:tcW w:w="2220"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1505513360213856482603</w:t>
            </w:r>
          </w:p>
        </w:tc>
        <w:tc>
          <w:tcPr>
            <w:tcW w:w="3454"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负责观音岩村受灾群众的安全转移工作。</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简体" w:cs="Times New Roman"/>
          <w:i w:val="0"/>
          <w:iCs w:val="0"/>
          <w:caps w:val="0"/>
          <w:color w:val="000000" w:themeColor="text1"/>
          <w:spacing w:val="0"/>
          <w:kern w:val="0"/>
          <w:sz w:val="34"/>
          <w:szCs w:val="34"/>
          <w:shd w:val="clear" w:fill="FFFFFF"/>
          <w:lang w:val="en-US" w:eastAsia="zh-CN" w:bidi="ar"/>
          <w14:textFill>
            <w14:solidFill>
              <w14:schemeClr w14:val="tx1"/>
            </w14:solidFill>
          </w14:textFill>
        </w:rPr>
        <w:t>附件2：</w:t>
      </w:r>
    </w:p>
    <w:tbl>
      <w:tblPr>
        <w:tblStyle w:val="3"/>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5"/>
        <w:gridCol w:w="850"/>
        <w:gridCol w:w="1326"/>
        <w:gridCol w:w="1055"/>
        <w:gridCol w:w="5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5" w:hRule="atLeast"/>
        </w:trPr>
        <w:tc>
          <w:tcPr>
            <w:tcW w:w="9540" w:type="dxa"/>
            <w:gridSpan w:val="5"/>
            <w:tcBorders>
              <w:top w:val="nil"/>
              <w:left w:val="nil"/>
              <w:bottom w:val="single" w:color="auto" w:sz="8" w:space="0"/>
              <w:right w:val="nil"/>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lang w:val="en-US" w:eastAsia="zh-CN" w:bidi="ar"/>
                <w14:textFill>
                  <w14:solidFill>
                    <w14:schemeClr w14:val="tx1"/>
                  </w14:solidFill>
                </w14:textFill>
              </w:rPr>
              <w:t>领导机构组成人员及各工作组工作职责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95" w:hRule="atLeast"/>
        </w:trPr>
        <w:tc>
          <w:tcPr>
            <w:tcW w:w="1465" w:type="dxa"/>
            <w:gridSpan w:val="2"/>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政</w:t>
            </w:r>
            <w:r>
              <w:rPr>
                <w:rFonts w:hint="eastAsia"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委</w:t>
            </w:r>
          </w:p>
        </w:tc>
        <w:tc>
          <w:tcPr>
            <w:tcW w:w="1326" w:type="dxa"/>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储著时</w:t>
            </w:r>
          </w:p>
        </w:tc>
        <w:tc>
          <w:tcPr>
            <w:tcW w:w="1055" w:type="dxa"/>
            <w:vMerge w:val="restart"/>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黑体简体" w:hAnsi="方正黑体简体" w:eastAsia="方正黑体简体" w:cs="方正黑体简体"/>
                <w:b w:val="0"/>
                <w:bCs w:val="0"/>
                <w:color w:val="000000" w:themeColor="text1"/>
                <w14:textFill>
                  <w14:solidFill>
                    <w14:schemeClr w14:val="tx1"/>
                  </w14:solidFill>
                </w14:textFill>
              </w:rPr>
            </w:pPr>
            <w:r>
              <w:rPr>
                <w:rFonts w:hint="eastAsia"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副 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eastAsia"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挥 长</w:t>
            </w:r>
          </w:p>
        </w:tc>
        <w:tc>
          <w:tcPr>
            <w:tcW w:w="5694" w:type="dxa"/>
            <w:vMerge w:val="restart"/>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  波、汪  杰、李  兵、程  浩、魏  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Times New Roman" w:hAnsi="Times New Roman" w:cs="Times New Roman"/>
                <w:color w:val="000000" w:themeColor="text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杨劲松、孔祥琦、陈正发、张  婧、黄玲玲、邓宏超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5" w:hRule="atLeast"/>
        </w:trPr>
        <w:tc>
          <w:tcPr>
            <w:tcW w:w="1465" w:type="dxa"/>
            <w:gridSpan w:val="2"/>
            <w:tcBorders>
              <w:top w:val="nil"/>
              <w:left w:val="single" w:color="000000" w:sz="8" w:space="0"/>
              <w:bottom w:val="single" w:color="auto" w:sz="8" w:space="0"/>
              <w:right w:val="single" w:color="000000"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指挥长</w:t>
            </w:r>
          </w:p>
        </w:tc>
        <w:tc>
          <w:tcPr>
            <w:tcW w:w="1326" w:type="dxa"/>
            <w:tcBorders>
              <w:top w:val="nil"/>
              <w:left w:val="nil"/>
              <w:bottom w:val="single" w:color="auto" w:sz="8" w:space="0"/>
              <w:right w:val="single" w:color="000000"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张  焱</w:t>
            </w:r>
          </w:p>
        </w:tc>
        <w:tc>
          <w:tcPr>
            <w:tcW w:w="1055" w:type="dxa"/>
            <w:vMerge w:val="continue"/>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c>
          <w:tcPr>
            <w:tcW w:w="5694" w:type="dxa"/>
            <w:vMerge w:val="continue"/>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7" w:hRule="atLeast"/>
        </w:trPr>
        <w:tc>
          <w:tcPr>
            <w:tcW w:w="2791" w:type="dxa"/>
            <w:gridSpan w:val="3"/>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kern w:val="0"/>
                <w:sz w:val="28"/>
                <w:szCs w:val="28"/>
                <w:lang w:val="en-US" w:eastAsia="zh-CN" w:bidi="ar"/>
                <w14:textFill>
                  <w14:solidFill>
                    <w14:schemeClr w14:val="tx1"/>
                  </w14:solidFill>
                </w14:textFill>
              </w:rPr>
              <w:t>成员</w:t>
            </w:r>
          </w:p>
        </w:tc>
        <w:tc>
          <w:tcPr>
            <w:tcW w:w="6749" w:type="dxa"/>
            <w:gridSpan w:val="2"/>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邵</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勋</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叶祥恕</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陈学荣</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刘</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明</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汪家海</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王玉生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周自刚</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庞</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军</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何祥兵</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曹安平</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陈以田</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张京文</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汪瑞军</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陈久浩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8" w:hRule="atLeast"/>
        </w:trPr>
        <w:tc>
          <w:tcPr>
            <w:tcW w:w="615" w:type="dxa"/>
            <w:vMerge w:val="restart"/>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构</w:t>
            </w:r>
          </w:p>
        </w:tc>
        <w:tc>
          <w:tcPr>
            <w:tcW w:w="850" w:type="dxa"/>
            <w:vMerge w:val="restart"/>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组</w:t>
            </w:r>
          </w:p>
        </w:tc>
        <w:tc>
          <w:tcPr>
            <w:tcW w:w="1326" w:type="dxa"/>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汪</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杰</w:t>
            </w:r>
          </w:p>
        </w:tc>
        <w:tc>
          <w:tcPr>
            <w:tcW w:w="6749" w:type="dxa"/>
            <w:gridSpan w:val="2"/>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夏</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伟</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刘启佳</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叶宇进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2"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075" w:type="dxa"/>
            <w:gridSpan w:val="3"/>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值班电话：5417016</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传真：5417016 </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专职信息员：刘启佳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5"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075" w:type="dxa"/>
            <w:gridSpan w:val="3"/>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主要职责：负责各类信息的接受和上下传递，如发布台风、暴雨、山洪灾害信息、险情警报人员撤离信息、及时掌握并上报灾情等；负责镇指挥中心的有关工作。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restart"/>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组</w:t>
            </w:r>
          </w:p>
        </w:tc>
        <w:tc>
          <w:tcPr>
            <w:tcW w:w="1326"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陈正发</w:t>
            </w:r>
          </w:p>
        </w:tc>
        <w:tc>
          <w:tcPr>
            <w:tcW w:w="6749" w:type="dxa"/>
            <w:gridSpan w:val="2"/>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王玉生</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李良三</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何祥兵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075" w:type="dxa"/>
            <w:gridSpan w:val="3"/>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主要职责：负责水库、重点山塘、堤坝、涵闸等水利工程、电力、通信、交通、学校、企业、危房及公共设施等项目的防台风、防山洪灾害、防洪安全检查；配合开展应急抢险及其他安全处置工作。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restart"/>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组</w:t>
            </w:r>
          </w:p>
        </w:tc>
        <w:tc>
          <w:tcPr>
            <w:tcW w:w="1326"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波</w:t>
            </w:r>
          </w:p>
        </w:tc>
        <w:tc>
          <w:tcPr>
            <w:tcW w:w="6749" w:type="dxa"/>
            <w:gridSpan w:val="2"/>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各村主任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7"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075" w:type="dxa"/>
            <w:gridSpan w:val="3"/>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主要职责：负责人员及重要物资的安全转移及安置工作。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7"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p>
        </w:tc>
        <w:tc>
          <w:tcPr>
            <w:tcW w:w="850" w:type="dxa"/>
            <w:vMerge w:val="restart"/>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组</w:t>
            </w:r>
          </w:p>
        </w:tc>
        <w:tc>
          <w:tcPr>
            <w:tcW w:w="1326"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陈正发</w:t>
            </w:r>
          </w:p>
        </w:tc>
        <w:tc>
          <w:tcPr>
            <w:tcW w:w="6749" w:type="dxa"/>
            <w:gridSpan w:val="2"/>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各村营长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c>
          <w:tcPr>
            <w:tcW w:w="8075" w:type="dxa"/>
            <w:gridSpan w:val="3"/>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主要职责：负责工程抢险；撤离道路抢护，受困人员的紧急施救。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c>
          <w:tcPr>
            <w:tcW w:w="850" w:type="dxa"/>
            <w:vMerge w:val="restart"/>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方正黑体简体" w:hAnsi="方正黑体简体" w:eastAsia="方正黑体简体" w:cs="方正黑体简体"/>
                <w:b w:val="0"/>
                <w:bCs w:val="0"/>
                <w:i w:val="0"/>
                <w:iCs w:val="0"/>
                <w:caps w:val="0"/>
                <w:color w:val="000000" w:themeColor="text1"/>
                <w:spacing w:val="0"/>
                <w:kern w:val="0"/>
                <w:sz w:val="28"/>
                <w:szCs w:val="28"/>
                <w:lang w:val="en-US" w:eastAsia="zh-CN" w:bidi="ar"/>
                <w14:textFill>
                  <w14:solidFill>
                    <w14:schemeClr w14:val="tx1"/>
                  </w14:solidFill>
                </w14:textFill>
              </w:rPr>
              <w:t>组</w:t>
            </w:r>
          </w:p>
        </w:tc>
        <w:tc>
          <w:tcPr>
            <w:tcW w:w="1326" w:type="dxa"/>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邓宏超</w:t>
            </w:r>
          </w:p>
        </w:tc>
        <w:tc>
          <w:tcPr>
            <w:tcW w:w="6749" w:type="dxa"/>
            <w:gridSpan w:val="2"/>
            <w:tcBorders>
              <w:top w:val="single" w:color="auto" w:sz="8" w:space="0"/>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邵</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勋</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杨</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冬</w:t>
            </w:r>
            <w:r>
              <w:rPr>
                <w:rFonts w:hint="eastAsia"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杨建国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4" w:hRule="atLeast"/>
        </w:trPr>
        <w:tc>
          <w:tcPr>
            <w:tcW w:w="615" w:type="dxa"/>
            <w:vMerge w:val="continue"/>
            <w:tcBorders>
              <w:top w:val="nil"/>
              <w:left w:val="single" w:color="auto" w:sz="8" w:space="0"/>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c>
          <w:tcPr>
            <w:tcW w:w="850" w:type="dxa"/>
            <w:vMerge w:val="continue"/>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kinsoku/>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p>
        </w:tc>
        <w:tc>
          <w:tcPr>
            <w:tcW w:w="8075" w:type="dxa"/>
            <w:gridSpan w:val="3"/>
            <w:tcBorders>
              <w:top w:val="nil"/>
              <w:left w:val="nil"/>
              <w:bottom w:val="single" w:color="auto" w:sz="8" w:space="0"/>
              <w:right w:val="single" w:color="auto" w:sz="8"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主要职责：负责抢险救灾需要的车辆等机械、抢险工具、物资的组织和调度；抗洪工作人员、撤离安置和被围困人员的生活必需品的组织和供应。配合转移组维持人员撤离秩序；负责救助物资的发放和重点</w:t>
            </w:r>
            <w:bookmarkStart w:id="0" w:name="_GoBack"/>
            <w:bookmarkEnd w:id="0"/>
            <w:r>
              <w:rPr>
                <w:rFonts w:hint="default" w:ascii="方正仿宋简体" w:hAnsi="方正仿宋简体" w:eastAsia="方正仿宋简体" w:cs="方正仿宋简体"/>
                <w:i w:val="0"/>
                <w:iCs w:val="0"/>
                <w:caps w:val="0"/>
                <w:color w:val="000000" w:themeColor="text1"/>
                <w:spacing w:val="0"/>
                <w:kern w:val="0"/>
                <w:sz w:val="28"/>
                <w:szCs w:val="28"/>
                <w:lang w:val="en-US" w:eastAsia="zh-CN" w:bidi="ar"/>
                <w14:textFill>
                  <w14:solidFill>
                    <w14:schemeClr w14:val="tx1"/>
                  </w14:solidFill>
                </w14:textFill>
              </w:rPr>
              <w:t>灾民的灾后生活安置。</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9068C"/>
    <w:rsid w:val="1EE12BC5"/>
    <w:rsid w:val="2E727617"/>
    <w:rsid w:val="649F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2021-12-14T08:13:00Z</dcterms:created>
  <dc:creator>Administrator</dc:creator>
  <cp:lastModifiedBy>WPS_522362900</cp:lastModifiedBy>
  <cp:lastPrinted>2021-12-14T08:56:00Z</cp:lastPrinted>
  <dcterms:modified xsi:type="dcterms:W3CDTF">2021-12-14T08:59:48Z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C75EEB3336574134AD053F5C4C3AC4B3</vt:lpwstr>
  </property>
</Properties>
</file>