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hint="eastAsia" w:ascii="微软雅黑" w:hAnsi="微软雅黑" w:eastAsia="微软雅黑" w:cs="微软雅黑"/>
          <w:b w:val="0"/>
          <w:bCs w:val="0"/>
          <w:i w:val="0"/>
          <w:iCs w:val="0"/>
          <w:caps w:val="0"/>
          <w:color w:val="auto"/>
          <w:spacing w:val="0"/>
          <w:sz w:val="45"/>
          <w:szCs w:val="45"/>
        </w:rPr>
      </w:pPr>
      <w:r>
        <w:rPr>
          <w:rFonts w:hint="eastAsia" w:ascii="微软雅黑" w:hAnsi="微软雅黑" w:eastAsia="微软雅黑" w:cs="微软雅黑"/>
          <w:b w:val="0"/>
          <w:bCs w:val="0"/>
          <w:i w:val="0"/>
          <w:iCs w:val="0"/>
          <w:caps w:val="0"/>
          <w:color w:val="auto"/>
          <w:spacing w:val="0"/>
          <w:sz w:val="45"/>
          <w:szCs w:val="45"/>
          <w:shd w:val="clear" w:fill="FFFFFF"/>
        </w:rPr>
        <w:t>霍山县单龙寺镇2021年政府信息公开工作年度报告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仿宋" w:hAnsi="仿宋" w:eastAsia="仿宋" w:cs="仿宋"/>
          <w:i w:val="0"/>
          <w:iCs w:val="0"/>
          <w:caps w:val="0"/>
          <w:color w:val="333333"/>
          <w:spacing w:val="0"/>
          <w:sz w:val="32"/>
          <w:szCs w:val="32"/>
        </w:rPr>
      </w:pPr>
      <w:r>
        <w:rPr>
          <w:rFonts w:hint="eastAsia" w:ascii="微软雅黑" w:hAnsi="微软雅黑" w:eastAsia="微软雅黑" w:cs="微软雅黑"/>
          <w:i w:val="0"/>
          <w:iCs w:val="0"/>
          <w:caps w:val="0"/>
          <w:color w:val="333333"/>
          <w:spacing w:val="0"/>
          <w:sz w:val="27"/>
          <w:szCs w:val="27"/>
          <w:shd w:val="clear" w:fill="FFFFFF"/>
        </w:rPr>
        <w:t>    </w:t>
      </w:r>
      <w:r>
        <w:rPr>
          <w:rFonts w:hint="eastAsia" w:ascii="仿宋" w:hAnsi="仿宋" w:eastAsia="仿宋" w:cs="仿宋"/>
          <w:i w:val="0"/>
          <w:iCs w:val="0"/>
          <w:caps w:val="0"/>
          <w:color w:val="333333"/>
          <w:spacing w:val="0"/>
          <w:sz w:val="32"/>
          <w:szCs w:val="32"/>
          <w:shd w:val="clear" w:fill="FFFFFF"/>
        </w:rPr>
        <w:t>2021年度，单龙寺镇严格按照县委县政府要求，认真贯彻落实《中华人民共和国政府信息公开条例》与《安徽省政务公开办公室关于做好政府信息公开工作年报编制及统计数据报送工作的通知》，在镇党委、政府的正确领导和具体指导下以及经办人员的共同努力下，紧紧围绕年度中心工作和群众关注关切的热点问题，坚持统筹兼顾、突出重点，将信息公开作为推进依法行政的重要方式，强化制度建设，扩大公开范围，细化公开内容，不断提升信息公开质量和实效，有力促进了各项工作的开展和政府自身建设。现将2021年1月1日至2021年12月31日的工作落实情况报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仿宋" w:hAnsi="仿宋" w:eastAsia="仿宋" w:cs="仿宋"/>
          <w:i w:val="0"/>
          <w:iCs w:val="0"/>
          <w:caps w:val="0"/>
          <w:color w:val="333333"/>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仿宋" w:hAnsi="仿宋" w:eastAsia="仿宋" w:cs="仿宋"/>
          <w:i w:val="0"/>
          <w:iCs w:val="0"/>
          <w:caps w:val="0"/>
          <w:color w:val="333333"/>
          <w:spacing w:val="0"/>
          <w:sz w:val="32"/>
          <w:szCs w:val="32"/>
        </w:rPr>
      </w:pPr>
      <w:bookmarkStart w:id="0" w:name="_GoBack"/>
      <w:r>
        <w:rPr>
          <w:rFonts w:hint="eastAsia" w:ascii="仿宋" w:hAnsi="仿宋" w:eastAsia="仿宋" w:cs="仿宋"/>
          <w:i w:val="0"/>
          <w:iCs w:val="0"/>
          <w:caps w:val="0"/>
          <w:color w:val="333333"/>
          <w:spacing w:val="0"/>
          <w:sz w:val="32"/>
          <w:szCs w:val="32"/>
          <w:shd w:val="clear" w:fill="FFFFFF"/>
        </w:rPr>
        <w:t>一、总体情况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（一）主动公开情况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exact"/>
        <w:ind w:left="0" w:leftChars="0" w:right="0" w:firstLine="620" w:firstLineChars="0"/>
        <w:jc w:val="both"/>
        <w:rPr>
          <w:rFonts w:hint="eastAsia" w:ascii="仿宋" w:hAnsi="仿宋" w:eastAsia="仿宋" w:cs="仿宋"/>
          <w:i w:val="0"/>
          <w:iCs w:val="0"/>
          <w:caps w:val="0"/>
          <w:color w:val="333333"/>
          <w:spacing w:val="0"/>
          <w:sz w:val="32"/>
          <w:szCs w:val="32"/>
          <w:shd w:val="clear" w:fill="FFFFFF"/>
        </w:rPr>
      </w:pPr>
      <w:r>
        <w:rPr>
          <w:rFonts w:ascii="仿宋" w:hAnsi="仿宋" w:eastAsia="仿宋" w:cs="仿宋"/>
          <w:caps w:val="0"/>
          <w:spacing w:val="0"/>
          <w:sz w:val="32"/>
          <w:szCs w:val="32"/>
          <w:shd w:val="clear" w:fill="FFFFFF"/>
        </w:rPr>
        <w:t>单龙寺镇严格按照市、县上级部门要求</w:t>
      </w:r>
      <w:r>
        <w:rPr>
          <w:rFonts w:hint="eastAsia" w:ascii="仿宋" w:hAnsi="仿宋" w:eastAsia="仿宋" w:cs="仿宋"/>
          <w:caps w:val="0"/>
          <w:spacing w:val="0"/>
          <w:sz w:val="32"/>
          <w:szCs w:val="32"/>
          <w:shd w:val="clear" w:fill="FFFFFF"/>
        </w:rPr>
        <w:t>，积极推进政务信息公开标准化、规范化有序运行，</w:t>
      </w:r>
      <w:r>
        <w:rPr>
          <w:rFonts w:hint="eastAsia" w:ascii="仿宋" w:hAnsi="仿宋" w:eastAsia="仿宋" w:cs="仿宋"/>
          <w:sz w:val="32"/>
          <w:szCs w:val="32"/>
        </w:rPr>
        <w:t>2021年政府主动公开政府信息1077条，</w:t>
      </w:r>
      <w:r>
        <w:rPr>
          <w:rFonts w:hint="eastAsia" w:ascii="仿宋" w:hAnsi="仿宋" w:eastAsia="仿宋" w:cs="仿宋"/>
          <w:caps w:val="0"/>
          <w:spacing w:val="0"/>
          <w:sz w:val="32"/>
          <w:szCs w:val="32"/>
          <w:shd w:val="clear" w:fill="FFFFFF"/>
        </w:rPr>
        <w:t>主动公开的政府信息包括政府本级、基层政务公开标准化规范化专题和村务公开三个领域的内容，</w:t>
      </w:r>
      <w:r>
        <w:rPr>
          <w:rFonts w:hint="eastAsia" w:ascii="仿宋" w:hAnsi="仿宋" w:eastAsia="仿宋" w:cs="仿宋"/>
          <w:caps w:val="0"/>
          <w:spacing w:val="0"/>
          <w:sz w:val="32"/>
          <w:szCs w:val="32"/>
          <w:shd w:val="clear" w:fill="FFFFFF"/>
        </w:rPr>
        <w:t>主要涉及政策文件、行政权力、回应关切、国民经济发展和社会发展规划、财政资金以及公共事业服务等方面信息，涉及回应关切信息10条；文字、图片类政策解读共7条；财政预决算、三公经费、政府债务及财政专项资金等信息318条</w:t>
      </w:r>
      <w:r>
        <w:rPr>
          <w:rFonts w:hint="eastAsia" w:ascii="仿宋" w:hAnsi="仿宋" w:eastAsia="仿宋" w:cs="仿宋"/>
          <w:caps w:val="0"/>
          <w:spacing w:val="0"/>
          <w:sz w:val="32"/>
          <w:szCs w:val="32"/>
          <w:shd w:val="clear" w:fill="FFFFFF"/>
          <w:lang w:eastAsia="zh-CN"/>
        </w:rPr>
        <w:t>，</w:t>
      </w:r>
      <w:r>
        <w:rPr>
          <w:rFonts w:hint="default" w:ascii="仿宋" w:hAnsi="仿宋" w:eastAsia="仿宋" w:cs="仿宋"/>
          <w:caps w:val="0"/>
          <w:spacing w:val="0"/>
          <w:sz w:val="32"/>
          <w:szCs w:val="32"/>
          <w:shd w:val="clear" w:fill="FFFFFF"/>
          <w:lang w:val="en-US" w:eastAsia="zh-CN"/>
        </w:rPr>
        <w:t>以及政务服务等与群众生产生活密切相关的领域各类信息</w:t>
      </w:r>
      <w:r>
        <w:rPr>
          <w:rFonts w:hint="eastAsia" w:ascii="仿宋" w:hAnsi="仿宋" w:eastAsia="仿宋" w:cs="仿宋"/>
          <w:caps w:val="0"/>
          <w:spacing w:val="0"/>
          <w:sz w:val="32"/>
          <w:szCs w:val="32"/>
          <w:shd w:val="clear" w:fill="FFFFFF"/>
          <w:lang w:eastAsia="zh-CN"/>
        </w:rPr>
        <w:t>，</w:t>
      </w:r>
      <w:r>
        <w:rPr>
          <w:rFonts w:hint="eastAsia" w:ascii="仿宋" w:hAnsi="仿宋" w:eastAsia="仿宋" w:cs="仿宋"/>
          <w:caps w:val="0"/>
          <w:spacing w:val="0"/>
          <w:sz w:val="32"/>
          <w:szCs w:val="32"/>
          <w:shd w:val="clear" w:fill="FFFFFF"/>
        </w:rPr>
        <w:t>其他信息共742条。</w:t>
      </w:r>
      <w:r>
        <w:rPr>
          <w:rFonts w:hint="eastAsia" w:ascii="仿宋" w:hAnsi="仿宋" w:eastAsia="仿宋" w:cs="仿宋"/>
          <w:i w:val="0"/>
          <w:iCs w:val="0"/>
          <w:caps w:val="0"/>
          <w:color w:val="333333"/>
          <w:spacing w:val="0"/>
          <w:sz w:val="32"/>
          <w:szCs w:val="32"/>
          <w:shd w:val="clear" w:fill="FFFFFF"/>
        </w:rPr>
        <w:t>    </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exact"/>
        <w:ind w:left="0" w:leftChars="0" w:right="0" w:firstLine="620" w:firstLineChars="0"/>
        <w:jc w:val="both"/>
        <w:rPr>
          <w:rFonts w:hint="eastAsia" w:ascii="仿宋" w:hAnsi="仿宋" w:eastAsia="仿宋" w:cs="仿宋"/>
          <w:caps w:val="0"/>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依申请公开情况</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exact"/>
        <w:ind w:right="0" w:rightChars="0" w:firstLine="640" w:firstLineChars="200"/>
        <w:jc w:val="both"/>
        <w:rPr>
          <w:rFonts w:hint="eastAsia" w:ascii="仿宋" w:hAnsi="仿宋" w:eastAsia="仿宋" w:cs="仿宋"/>
          <w:caps w:val="0"/>
          <w:spacing w:val="0"/>
          <w:sz w:val="32"/>
          <w:szCs w:val="32"/>
          <w:shd w:val="clear" w:fill="FFFFFF"/>
        </w:rPr>
      </w:pPr>
      <w:r>
        <w:rPr>
          <w:rFonts w:hint="default" w:ascii="仿宋" w:hAnsi="仿宋" w:eastAsia="仿宋" w:cs="仿宋"/>
          <w:caps w:val="0"/>
          <w:spacing w:val="0"/>
          <w:sz w:val="32"/>
          <w:szCs w:val="32"/>
          <w:shd w:val="clear" w:fill="FFFFFF"/>
          <w:lang w:val="en-US" w:eastAsia="zh-CN"/>
        </w:rPr>
        <w:t>我镇及时更新并发布了依申请公开条件、申请流程、网上申请渠道及结果查询渠道，保证政务公开申请平台畅通。截止2021年12月31日，未收到来自社会的信息公开申请，无行政复议和行政诉讼。</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leftChars="0" w:right="0" w:firstLine="620" w:firstLineChars="0"/>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政府信息管理情况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exact"/>
        <w:ind w:left="0" w:leftChars="0" w:right="0" w:firstLine="620" w:firstLineChars="0"/>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2021年来我镇严格执行《政府信息公开条例》，</w:t>
      </w:r>
      <w:r>
        <w:rPr>
          <w:rFonts w:hint="eastAsia" w:ascii="仿宋" w:hAnsi="仿宋" w:eastAsia="仿宋" w:cs="仿宋"/>
          <w:i w:val="0"/>
          <w:iCs w:val="0"/>
          <w:caps w:val="0"/>
          <w:color w:val="333333"/>
          <w:spacing w:val="0"/>
          <w:sz w:val="32"/>
          <w:szCs w:val="32"/>
          <w:shd w:val="clear" w:fill="FFFFFF"/>
        </w:rPr>
        <w:t>及时发布和审核公开信息</w:t>
      </w:r>
      <w:r>
        <w:rPr>
          <w:rFonts w:hint="default" w:ascii="仿宋" w:hAnsi="仿宋" w:eastAsia="仿宋" w:cs="仿宋"/>
          <w:i w:val="0"/>
          <w:iCs w:val="0"/>
          <w:caps w:val="0"/>
          <w:color w:val="333333"/>
          <w:spacing w:val="0"/>
          <w:sz w:val="32"/>
          <w:szCs w:val="32"/>
          <w:shd w:val="clear" w:fill="FFFFFF"/>
          <w:lang w:val="en-US" w:eastAsia="zh-CN"/>
        </w:rPr>
        <w:t>及时调整政府信息公开领导小组，统筹协调落实我镇的政府信息公开工作，确定专职经办人员具体负责日常政务信息公开工作，严格按照“谁职责、谁公开”，“谁公开、谁审查”，“谁审查、谁负责”的原则，确保政务信息收集准确、完整、及时，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（四）政府信息公开平台建设情况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83"/>
        <w:jc w:val="both"/>
        <w:rPr>
          <w:rFonts w:hint="eastAsia" w:ascii="仿宋" w:hAnsi="仿宋" w:eastAsia="仿宋" w:cs="仿宋"/>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一是加强线下公开</w:t>
      </w:r>
      <w:r>
        <w:rPr>
          <w:rFonts w:hint="eastAsia" w:ascii="仿宋" w:hAnsi="仿宋" w:eastAsia="仿宋" w:cs="仿宋"/>
          <w:i w:val="0"/>
          <w:iCs w:val="0"/>
          <w:caps w:val="0"/>
          <w:color w:val="333333"/>
          <w:spacing w:val="0"/>
          <w:kern w:val="0"/>
          <w:sz w:val="32"/>
          <w:szCs w:val="32"/>
          <w:shd w:val="clear" w:fill="FFFFFF"/>
          <w:lang w:val="en-US" w:eastAsia="zh-CN" w:bidi="ar"/>
        </w:rPr>
        <w:t>。利用传统的公开栏按月更新，在便民大厅设置事项理流程并张贴办事指南，打造高标准的乡、村级便民服务大厅。</w:t>
      </w:r>
      <w:r>
        <w:rPr>
          <w:rFonts w:hint="eastAsia" w:ascii="仿宋" w:hAnsi="仿宋" w:eastAsia="仿宋" w:cs="仿宋"/>
          <w:b/>
          <w:bCs/>
          <w:i w:val="0"/>
          <w:iCs w:val="0"/>
          <w:caps w:val="0"/>
          <w:color w:val="333333"/>
          <w:spacing w:val="0"/>
          <w:kern w:val="0"/>
          <w:sz w:val="32"/>
          <w:szCs w:val="32"/>
          <w:shd w:val="clear" w:fill="FFFFFF"/>
          <w:lang w:val="en-US" w:eastAsia="zh-CN" w:bidi="ar"/>
        </w:rPr>
        <w:t>二是完善线上公开。</w:t>
      </w:r>
      <w:r>
        <w:rPr>
          <w:rFonts w:hint="eastAsia" w:ascii="仿宋" w:hAnsi="仿宋" w:eastAsia="仿宋" w:cs="仿宋"/>
          <w:i w:val="0"/>
          <w:iCs w:val="0"/>
          <w:caps w:val="0"/>
          <w:color w:val="333333"/>
          <w:spacing w:val="0"/>
          <w:kern w:val="0"/>
          <w:sz w:val="32"/>
          <w:szCs w:val="32"/>
          <w:shd w:val="clear" w:fill="FFFFFF"/>
          <w:lang w:val="en-US" w:eastAsia="zh-CN" w:bidi="ar"/>
        </w:rPr>
        <w:t>定期安排网站平台的维护、更新，配合做好上级安全评估和审查；按照上级部门安排实时调整我乡门户网站栏目，及时调整政务公开目录。</w:t>
      </w:r>
      <w:r>
        <w:rPr>
          <w:rFonts w:hint="eastAsia" w:ascii="仿宋" w:hAnsi="仿宋" w:eastAsia="仿宋" w:cs="仿宋"/>
          <w:b/>
          <w:bCs/>
          <w:i w:val="0"/>
          <w:iCs w:val="0"/>
          <w:caps w:val="0"/>
          <w:color w:val="333333"/>
          <w:spacing w:val="0"/>
          <w:kern w:val="0"/>
          <w:sz w:val="32"/>
          <w:szCs w:val="32"/>
          <w:shd w:val="clear" w:fill="FFFFFF"/>
          <w:lang w:val="en-US" w:eastAsia="zh-CN" w:bidi="ar"/>
        </w:rPr>
        <w:t>三是建设两化栏目。</w:t>
      </w:r>
      <w:r>
        <w:rPr>
          <w:rFonts w:hint="eastAsia" w:ascii="仿宋" w:hAnsi="仿宋" w:eastAsia="仿宋" w:cs="仿宋"/>
          <w:i w:val="0"/>
          <w:iCs w:val="0"/>
          <w:caps w:val="0"/>
          <w:color w:val="333333"/>
          <w:spacing w:val="0"/>
          <w:kern w:val="0"/>
          <w:sz w:val="32"/>
          <w:szCs w:val="32"/>
          <w:shd w:val="clear" w:fill="FFFFFF"/>
          <w:lang w:val="en-US" w:eastAsia="zh-CN" w:bidi="ar"/>
        </w:rPr>
        <w:t>建立标准化、规范化（两化）专题，按照上级下发公开细则，梳理公开事项，严格界定公开范围。完善充实栏目内容。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8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（五）监督保障情况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83"/>
        <w:jc w:val="both"/>
        <w:rPr>
          <w:rFonts w:hint="eastAsia" w:ascii="仿宋" w:hAnsi="仿宋" w:eastAsia="仿宋" w:cs="仿宋"/>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一是完善制度。</w:t>
      </w:r>
      <w:r>
        <w:rPr>
          <w:rFonts w:hint="eastAsia" w:ascii="仿宋" w:hAnsi="仿宋" w:eastAsia="仿宋" w:cs="仿宋"/>
          <w:i w:val="0"/>
          <w:iCs w:val="0"/>
          <w:caps w:val="0"/>
          <w:color w:val="333333"/>
          <w:spacing w:val="0"/>
          <w:kern w:val="0"/>
          <w:sz w:val="32"/>
          <w:szCs w:val="32"/>
          <w:shd w:val="clear" w:fill="FFFFFF"/>
          <w:lang w:val="en-US" w:eastAsia="zh-CN" w:bidi="ar"/>
        </w:rPr>
        <w:t>我乡通过建立健全政务公开责任、审议、社会评议、反馈、审查和监督等多项制度，做好信息公开保密审查工作，做到了无涉密事件的发生。</w:t>
      </w:r>
      <w:r>
        <w:rPr>
          <w:rFonts w:hint="eastAsia" w:ascii="仿宋" w:hAnsi="仿宋" w:eastAsia="仿宋" w:cs="仿宋"/>
          <w:b/>
          <w:bCs/>
          <w:i w:val="0"/>
          <w:iCs w:val="0"/>
          <w:caps w:val="0"/>
          <w:color w:val="333333"/>
          <w:spacing w:val="0"/>
          <w:kern w:val="0"/>
          <w:sz w:val="32"/>
          <w:szCs w:val="32"/>
          <w:shd w:val="clear" w:fill="FFFFFF"/>
          <w:lang w:val="en-US" w:eastAsia="zh-CN" w:bidi="ar"/>
        </w:rPr>
        <w:t>二是部署落实。</w:t>
      </w:r>
      <w:r>
        <w:rPr>
          <w:rFonts w:hint="eastAsia" w:ascii="仿宋" w:hAnsi="仿宋" w:eastAsia="仿宋" w:cs="仿宋"/>
          <w:i w:val="0"/>
          <w:iCs w:val="0"/>
          <w:caps w:val="0"/>
          <w:color w:val="333333"/>
          <w:spacing w:val="0"/>
          <w:kern w:val="0"/>
          <w:sz w:val="32"/>
          <w:szCs w:val="32"/>
          <w:shd w:val="clear" w:fill="FFFFFF"/>
          <w:lang w:val="en-US" w:eastAsia="zh-CN" w:bidi="ar"/>
        </w:rPr>
        <w:t>将政务公开列入我镇重点工作，明确各部门责任，按月总结并统计工作进展情况，结合效能建设、电子政务及等工作加以推进落实。</w:t>
      </w:r>
      <w:r>
        <w:rPr>
          <w:rFonts w:hint="eastAsia" w:ascii="仿宋" w:hAnsi="仿宋" w:eastAsia="仿宋" w:cs="仿宋"/>
          <w:b/>
          <w:bCs/>
          <w:i w:val="0"/>
          <w:iCs w:val="0"/>
          <w:caps w:val="0"/>
          <w:color w:val="333333"/>
          <w:spacing w:val="0"/>
          <w:kern w:val="0"/>
          <w:sz w:val="32"/>
          <w:szCs w:val="32"/>
          <w:shd w:val="clear" w:fill="FFFFFF"/>
          <w:lang w:val="en-US" w:eastAsia="zh-CN" w:bidi="ar"/>
        </w:rPr>
        <w:t>三是多渠道监督。</w:t>
      </w:r>
      <w:r>
        <w:rPr>
          <w:rFonts w:hint="eastAsia" w:ascii="仿宋" w:hAnsi="仿宋" w:eastAsia="仿宋" w:cs="仿宋"/>
          <w:i w:val="0"/>
          <w:iCs w:val="0"/>
          <w:caps w:val="0"/>
          <w:color w:val="333333"/>
          <w:spacing w:val="0"/>
          <w:kern w:val="0"/>
          <w:sz w:val="32"/>
          <w:szCs w:val="32"/>
          <w:shd w:val="clear" w:fill="FFFFFF"/>
          <w:lang w:val="en-US" w:eastAsia="zh-CN" w:bidi="ar"/>
        </w:rPr>
        <w:t>坚持内部监督和社会监督相结合体系，对外公布投诉举报电话，推进人民群众监督和舆论监督，及时反馈群众呼声。</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仿宋" w:hAnsi="仿宋" w:eastAsia="仿宋" w:cs="仿宋"/>
          <w:i w:val="0"/>
          <w:iCs w:val="0"/>
          <w:caps w:val="0"/>
          <w:color w:val="333333"/>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二、主动公开政府信息情况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仿宋" w:hAnsi="仿宋" w:eastAsia="仿宋" w:cs="仿宋"/>
          <w:caps w:val="0"/>
          <w:color w:val="333333"/>
          <w:spacing w:val="0"/>
          <w:sz w:val="32"/>
          <w:szCs w:val="32"/>
        </w:rPr>
      </w:pPr>
    </w:p>
    <w:tbl>
      <w:tblPr>
        <w:tblStyle w:val="4"/>
        <w:tblW w:w="93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62"/>
        <w:gridCol w:w="2455"/>
        <w:gridCol w:w="2455"/>
        <w:gridCol w:w="2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4" w:hRule="atLeast"/>
          <w:jc w:val="center"/>
        </w:trPr>
        <w:tc>
          <w:tcPr>
            <w:tcW w:w="9364" w:type="dxa"/>
            <w:gridSpan w:val="4"/>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信息内容</w:t>
            </w:r>
          </w:p>
        </w:tc>
        <w:tc>
          <w:tcPr>
            <w:tcW w:w="2455" w:type="dxa"/>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本年制发件数</w:t>
            </w:r>
          </w:p>
        </w:tc>
        <w:tc>
          <w:tcPr>
            <w:tcW w:w="2455" w:type="dxa"/>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本年废止件数</w:t>
            </w:r>
          </w:p>
        </w:tc>
        <w:tc>
          <w:tcPr>
            <w:tcW w:w="2192" w:type="dxa"/>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规章</w:t>
            </w:r>
          </w:p>
        </w:tc>
        <w:tc>
          <w:tcPr>
            <w:tcW w:w="245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w:t>
            </w:r>
          </w:p>
        </w:tc>
        <w:tc>
          <w:tcPr>
            <w:tcW w:w="245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w:t>
            </w:r>
          </w:p>
        </w:tc>
        <w:tc>
          <w:tcPr>
            <w:tcW w:w="2192"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3" w:hRule="atLeast"/>
          <w:jc w:val="center"/>
        </w:trPr>
        <w:tc>
          <w:tcPr>
            <w:tcW w:w="2262"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行政规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范性文件</w:t>
            </w:r>
          </w:p>
        </w:tc>
        <w:tc>
          <w:tcPr>
            <w:tcW w:w="245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b w:val="0"/>
                <w:bCs w:val="0"/>
                <w:color w:val="333333"/>
                <w:kern w:val="0"/>
                <w:sz w:val="72"/>
                <w:szCs w:val="72"/>
                <w:vertAlign w:val="subscript"/>
                <w:lang w:val="en-US" w:eastAsia="zh-CN" w:bidi="ar"/>
              </w:rPr>
              <w:t>7</w:t>
            </w:r>
          </w:p>
        </w:tc>
        <w:tc>
          <w:tcPr>
            <w:tcW w:w="245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b w:val="0"/>
                <w:bCs w:val="0"/>
                <w:color w:val="333333"/>
                <w:kern w:val="0"/>
                <w:sz w:val="72"/>
                <w:szCs w:val="72"/>
                <w:vertAlign w:val="subscript"/>
                <w:lang w:val="en-US" w:eastAsia="zh-CN" w:bidi="ar"/>
              </w:rPr>
              <w:t>0</w:t>
            </w:r>
          </w:p>
        </w:tc>
        <w:tc>
          <w:tcPr>
            <w:tcW w:w="2192"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b w:val="0"/>
                <w:bCs w:val="0"/>
                <w:color w:val="333333"/>
                <w:kern w:val="0"/>
                <w:sz w:val="72"/>
                <w:szCs w:val="72"/>
                <w:vertAlign w:val="subscript"/>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9364" w:type="dxa"/>
            <w:gridSpan w:val="4"/>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信息内容</w:t>
            </w:r>
          </w:p>
        </w:tc>
        <w:tc>
          <w:tcPr>
            <w:tcW w:w="7102" w:type="dxa"/>
            <w:gridSpan w:val="3"/>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行政许可</w:t>
            </w:r>
          </w:p>
        </w:tc>
        <w:tc>
          <w:tcPr>
            <w:tcW w:w="7102" w:type="dxa"/>
            <w:gridSpan w:val="3"/>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9364" w:type="dxa"/>
            <w:gridSpan w:val="4"/>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信息内容</w:t>
            </w:r>
          </w:p>
        </w:tc>
        <w:tc>
          <w:tcPr>
            <w:tcW w:w="7102" w:type="dxa"/>
            <w:gridSpan w:val="3"/>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行政处罚</w:t>
            </w:r>
          </w:p>
        </w:tc>
        <w:tc>
          <w:tcPr>
            <w:tcW w:w="7102" w:type="dxa"/>
            <w:gridSpan w:val="3"/>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行政强制</w:t>
            </w:r>
          </w:p>
        </w:tc>
        <w:tc>
          <w:tcPr>
            <w:tcW w:w="7102" w:type="dxa"/>
            <w:gridSpan w:val="3"/>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4" w:hRule="atLeast"/>
          <w:jc w:val="center"/>
        </w:trPr>
        <w:tc>
          <w:tcPr>
            <w:tcW w:w="9364" w:type="dxa"/>
            <w:gridSpan w:val="4"/>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信息内容</w:t>
            </w:r>
          </w:p>
        </w:tc>
        <w:tc>
          <w:tcPr>
            <w:tcW w:w="7102" w:type="dxa"/>
            <w:gridSpan w:val="3"/>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9" w:hRule="atLeast"/>
          <w:jc w:val="center"/>
        </w:trPr>
        <w:tc>
          <w:tcPr>
            <w:tcW w:w="2262"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行政事业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性收费</w:t>
            </w:r>
          </w:p>
        </w:tc>
        <w:tc>
          <w:tcPr>
            <w:tcW w:w="7102" w:type="dxa"/>
            <w:gridSpan w:val="3"/>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 w:hAnsi="仿宋" w:eastAsia="仿宋" w:cs="仿宋"/>
          <w:b/>
          <w:bCs/>
          <w:i w:val="0"/>
          <w:iCs w:val="0"/>
          <w:caps w:val="0"/>
          <w:color w:val="333333"/>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 w:hAnsi="仿宋" w:eastAsia="仿宋" w:cs="仿宋"/>
          <w:b/>
          <w:bCs/>
          <w:i w:val="0"/>
          <w:iCs w:val="0"/>
          <w:caps w:val="0"/>
          <w:color w:val="333333"/>
          <w:spacing w:val="0"/>
          <w:sz w:val="32"/>
          <w:szCs w:val="32"/>
          <w:shd w:val="clear" w:fill="FFFFFF"/>
        </w:rPr>
      </w:pPr>
      <w:r>
        <w:rPr>
          <w:rFonts w:hint="eastAsia" w:ascii="仿宋" w:hAnsi="仿宋" w:eastAsia="仿宋" w:cs="仿宋"/>
          <w:b/>
          <w:bCs/>
          <w:i w:val="0"/>
          <w:iCs w:val="0"/>
          <w:caps w:val="0"/>
          <w:color w:val="333333"/>
          <w:spacing w:val="0"/>
          <w:sz w:val="32"/>
          <w:szCs w:val="32"/>
          <w:shd w:val="clear" w:fill="FFFFFF"/>
        </w:rPr>
        <w:t>   </w:t>
      </w:r>
      <w:r>
        <w:rPr>
          <w:rFonts w:hint="eastAsia" w:ascii="仿宋" w:hAnsi="仿宋" w:eastAsia="仿宋" w:cs="仿宋"/>
          <w:b/>
          <w:bCs/>
          <w:i w:val="0"/>
          <w:iCs w:val="0"/>
          <w:caps w:val="0"/>
          <w:color w:val="333333"/>
          <w:spacing w:val="0"/>
          <w:sz w:val="32"/>
          <w:szCs w:val="32"/>
          <w:shd w:val="clear" w:fill="FFFFFF"/>
        </w:rPr>
        <w:t> 三、收到和处理政府信息公开申请情况</w:t>
      </w:r>
    </w:p>
    <w:tbl>
      <w:tblPr>
        <w:tblStyle w:val="4"/>
        <w:tblW w:w="974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7"/>
        <w:gridCol w:w="1074"/>
        <w:gridCol w:w="3142"/>
        <w:gridCol w:w="680"/>
        <w:gridCol w:w="680"/>
        <w:gridCol w:w="680"/>
        <w:gridCol w:w="680"/>
        <w:gridCol w:w="680"/>
        <w:gridCol w:w="680"/>
        <w:gridCol w:w="6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28" w:type="dxa"/>
            <w:gridSpan w:val="3"/>
            <w:vMerge w:val="restart"/>
            <w:tcBorders>
              <w:top w:val="single" w:color="auto" w:sz="8" w:space="0"/>
              <w:left w:val="single" w:color="auto" w:sz="8" w:space="0"/>
              <w:bottom w:val="outset"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（本列数据的勾稽关系为：第一项加第二项之和，等于第三项加第四项之和）</w:t>
            </w:r>
          </w:p>
        </w:tc>
        <w:tc>
          <w:tcPr>
            <w:tcW w:w="4820" w:type="dxa"/>
            <w:gridSpan w:val="7"/>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28" w:type="dxa"/>
            <w:gridSpan w:val="3"/>
            <w:vMerge w:val="continue"/>
            <w:tcBorders>
              <w:top w:val="single" w:color="auto" w:sz="8" w:space="0"/>
              <w:left w:val="single" w:color="auto" w:sz="8" w:space="0"/>
              <w:bottom w:val="outset"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32"/>
                <w:szCs w:val="32"/>
              </w:rPr>
            </w:pPr>
          </w:p>
        </w:tc>
        <w:tc>
          <w:tcPr>
            <w:tcW w:w="688" w:type="dxa"/>
            <w:vMerge w:val="restart"/>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法人或其他组织</w:t>
            </w:r>
          </w:p>
        </w:tc>
        <w:tc>
          <w:tcPr>
            <w:tcW w:w="692" w:type="dxa"/>
            <w:vMerge w:val="restart"/>
            <w:tcBorders>
              <w:top w:val="single" w:color="auto" w:sz="8" w:space="0"/>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18" w:hRule="atLeast"/>
          <w:jc w:val="center"/>
        </w:trPr>
        <w:tc>
          <w:tcPr>
            <w:tcW w:w="4928" w:type="dxa"/>
            <w:gridSpan w:val="3"/>
            <w:vMerge w:val="continue"/>
            <w:tcBorders>
              <w:top w:val="single" w:color="auto" w:sz="8" w:space="0"/>
              <w:left w:val="single" w:color="auto" w:sz="8" w:space="0"/>
              <w:bottom w:val="outset"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32"/>
                <w:szCs w:val="32"/>
              </w:rPr>
            </w:pPr>
          </w:p>
        </w:tc>
        <w:tc>
          <w:tcPr>
            <w:tcW w:w="688" w:type="dxa"/>
            <w:vMerge w:val="continue"/>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32"/>
                <w:szCs w:val="32"/>
              </w:rPr>
            </w:pP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企业</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其他</w:t>
            </w:r>
          </w:p>
        </w:tc>
        <w:tc>
          <w:tcPr>
            <w:tcW w:w="692" w:type="dxa"/>
            <w:vMerge w:val="continue"/>
            <w:tcBorders>
              <w:top w:val="single" w:color="auto" w:sz="8" w:space="0"/>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28"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8"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三、本年度办理结果</w:t>
            </w:r>
          </w:p>
        </w:tc>
        <w:tc>
          <w:tcPr>
            <w:tcW w:w="4161"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（一）予以公开</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92"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32"/>
                <w:szCs w:val="32"/>
              </w:rPr>
            </w:pPr>
          </w:p>
        </w:tc>
        <w:tc>
          <w:tcPr>
            <w:tcW w:w="4161"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（二）部分公开（区分处理的，只计这一情形，不计其他情形）</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32"/>
                <w:szCs w:val="32"/>
              </w:rPr>
            </w:pPr>
          </w:p>
        </w:tc>
        <w:tc>
          <w:tcPr>
            <w:tcW w:w="94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（三）不予公开</w:t>
            </w: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1.属于国家秘密</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92"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32"/>
                <w:szCs w:val="32"/>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32"/>
                <w:szCs w:val="32"/>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2.其他法律行政法规禁止公开</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32"/>
                <w:szCs w:val="32"/>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32"/>
                <w:szCs w:val="32"/>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3.危及“三安全一稳定”</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32"/>
                <w:szCs w:val="32"/>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32"/>
                <w:szCs w:val="32"/>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4.保护第三方合法权益</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32"/>
                <w:szCs w:val="32"/>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32"/>
                <w:szCs w:val="32"/>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5.属于三类内部事务信息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32"/>
                <w:szCs w:val="32"/>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32"/>
                <w:szCs w:val="32"/>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6.属于四类过程性信息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32"/>
                <w:szCs w:val="32"/>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32"/>
                <w:szCs w:val="32"/>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7.属于行政执法案卷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32"/>
                <w:szCs w:val="32"/>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32"/>
                <w:szCs w:val="32"/>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8.属于行政查询事项</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32"/>
                <w:szCs w:val="32"/>
              </w:rPr>
            </w:pPr>
          </w:p>
        </w:tc>
        <w:tc>
          <w:tcPr>
            <w:tcW w:w="94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（四）无法提供</w:t>
            </w: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1.本机关不掌握相关政府信息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32"/>
                <w:szCs w:val="32"/>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32"/>
                <w:szCs w:val="32"/>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2.没有现成信息需要另行制作</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32"/>
                <w:szCs w:val="32"/>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32"/>
                <w:szCs w:val="32"/>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3.补正后申请内容仍不明确</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33"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32"/>
                <w:szCs w:val="32"/>
              </w:rPr>
            </w:pPr>
          </w:p>
        </w:tc>
        <w:tc>
          <w:tcPr>
            <w:tcW w:w="94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（五）不予处理</w:t>
            </w: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1.信访举报投诉类申请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32"/>
                <w:szCs w:val="32"/>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32"/>
                <w:szCs w:val="32"/>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2.重复申请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38"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32"/>
                <w:szCs w:val="32"/>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32"/>
                <w:szCs w:val="32"/>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3.要求提供公开出版物</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32"/>
                <w:szCs w:val="32"/>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32"/>
                <w:szCs w:val="32"/>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4.无正当理由大量反复申请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32"/>
                <w:szCs w:val="32"/>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32"/>
                <w:szCs w:val="32"/>
              </w:rPr>
            </w:pPr>
          </w:p>
        </w:tc>
        <w:tc>
          <w:tcPr>
            <w:tcW w:w="321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kern w:val="0"/>
                <w:sz w:val="32"/>
                <w:szCs w:val="32"/>
                <w:lang w:val="en-US" w:eastAsia="zh-CN" w:bidi="ar"/>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92"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32"/>
                <w:szCs w:val="32"/>
              </w:rPr>
            </w:pPr>
          </w:p>
        </w:tc>
        <w:tc>
          <w:tcPr>
            <w:tcW w:w="94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（六）其他处理</w:t>
            </w: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kern w:val="0"/>
                <w:sz w:val="32"/>
                <w:szCs w:val="32"/>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32"/>
                <w:szCs w:val="32"/>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32"/>
                <w:szCs w:val="32"/>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kern w:val="0"/>
                <w:sz w:val="32"/>
                <w:szCs w:val="32"/>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32"/>
                <w:szCs w:val="32"/>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32"/>
                <w:szCs w:val="32"/>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3.其他</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32"/>
                <w:szCs w:val="32"/>
              </w:rPr>
            </w:pPr>
          </w:p>
        </w:tc>
        <w:tc>
          <w:tcPr>
            <w:tcW w:w="4161"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（七）总计</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28"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四、结转下年度继续办理</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 w:hAnsi="仿宋" w:eastAsia="仿宋" w:cs="仿宋"/>
          <w:b/>
          <w:bCs/>
          <w:i w:val="0"/>
          <w:iCs w:val="0"/>
          <w:caps w:val="0"/>
          <w:color w:val="333333"/>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仿宋" w:hAnsi="仿宋" w:eastAsia="仿宋" w:cs="仿宋"/>
          <w:b/>
          <w:bCs/>
          <w:i w:val="0"/>
          <w:iCs w:val="0"/>
          <w:caps w:val="0"/>
          <w:color w:val="333333"/>
          <w:spacing w:val="0"/>
          <w:sz w:val="32"/>
          <w:szCs w:val="32"/>
          <w:shd w:val="clear" w:fill="FFFFFF"/>
        </w:rPr>
      </w:pPr>
      <w:r>
        <w:rPr>
          <w:rFonts w:hint="eastAsia" w:ascii="仿宋" w:hAnsi="仿宋" w:eastAsia="仿宋" w:cs="仿宋"/>
          <w:b/>
          <w:bCs/>
          <w:i w:val="0"/>
          <w:iCs w:val="0"/>
          <w:caps w:val="0"/>
          <w:color w:val="333333"/>
          <w:spacing w:val="0"/>
          <w:sz w:val="32"/>
          <w:szCs w:val="32"/>
          <w:shd w:val="clear" w:fill="FFFFFF"/>
        </w:rPr>
        <w:t>四、政府信息公开行政复议、行政诉讼情况</w:t>
      </w:r>
    </w:p>
    <w:tbl>
      <w:tblPr>
        <w:tblStyle w:val="4"/>
        <w:tblW w:w="974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行政复议</w:t>
            </w:r>
          </w:p>
        </w:tc>
        <w:tc>
          <w:tcPr>
            <w:tcW w:w="6503"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结果维持</w:t>
            </w:r>
          </w:p>
        </w:tc>
        <w:tc>
          <w:tcPr>
            <w:tcW w:w="64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纠正</w:t>
            </w:r>
          </w:p>
        </w:tc>
        <w:tc>
          <w:tcPr>
            <w:tcW w:w="64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结果</w:t>
            </w:r>
          </w:p>
        </w:tc>
        <w:tc>
          <w:tcPr>
            <w:tcW w:w="64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审结</w:t>
            </w:r>
          </w:p>
        </w:tc>
        <w:tc>
          <w:tcPr>
            <w:tcW w:w="64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总计</w:t>
            </w:r>
          </w:p>
        </w:tc>
        <w:tc>
          <w:tcPr>
            <w:tcW w:w="3248"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未经复议直接起诉</w:t>
            </w:r>
          </w:p>
        </w:tc>
        <w:tc>
          <w:tcPr>
            <w:tcW w:w="3255"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32"/>
                <w:szCs w:val="32"/>
              </w:rPr>
            </w:pPr>
          </w:p>
        </w:tc>
        <w:tc>
          <w:tcPr>
            <w:tcW w:w="64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32"/>
                <w:szCs w:val="32"/>
              </w:rPr>
            </w:pPr>
          </w:p>
        </w:tc>
        <w:tc>
          <w:tcPr>
            <w:tcW w:w="64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32"/>
                <w:szCs w:val="32"/>
              </w:rPr>
            </w:pPr>
          </w:p>
        </w:tc>
        <w:tc>
          <w:tcPr>
            <w:tcW w:w="64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32"/>
                <w:szCs w:val="32"/>
              </w:rPr>
            </w:pPr>
          </w:p>
        </w:tc>
        <w:tc>
          <w:tcPr>
            <w:tcW w:w="64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32"/>
                <w:szCs w:val="32"/>
              </w:rPr>
            </w:pP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维持</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纠正</w:t>
            </w:r>
          </w:p>
        </w:tc>
        <w:tc>
          <w:tcPr>
            <w:tcW w:w="6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结果</w:t>
            </w:r>
          </w:p>
        </w:tc>
        <w:tc>
          <w:tcPr>
            <w:tcW w:w="6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审结</w:t>
            </w:r>
          </w:p>
        </w:tc>
        <w:tc>
          <w:tcPr>
            <w:tcW w:w="6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总计</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维持</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纠正</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结果</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审结</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仿宋" w:hAnsi="仿宋" w:eastAsia="仿宋" w:cs="仿宋"/>
          <w:i w:val="0"/>
          <w:iCs w:val="0"/>
          <w:caps w:val="0"/>
          <w:color w:val="333333"/>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五、政府信息公开工作存在的主要问题及改进情况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8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（一）存在的问题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8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2021年我镇政务信息公开工作取得了一些成绩，但与此同时还存在一些问题，一是信息公开机制仍需完善，政务公开队伍建设、政民互动等机制还需进一步完善；二是有关决策、规定、计划、方案的草案公开，在听取公众意见方面还需要进一步强化；三是部分信息公开尚不够及时，信息公开的形式还不够丰富，有待于进一步拓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8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（二）改进情况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83"/>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一是提升公开质量，深化提升政务公开标准化。严格落实信息公开宣传学习、发布审核、保密审查、监督检查等工作要求，坚持“上网信息不涉密，涉密信息不上网”的原则，凡信息发布必做到“先审查、后公开”，确保各类信息公开分类清晰、发布及时、内容准确。二是全面落实“五公开”要求。要严格落实决策、执行、管理、服务、结果“五公开”要求，全面提高政府信息公开质量。三是加强重点领域信息公开。按照“应公开尽公开、谁制作谁公开”原则，重点公开财政预决算、重大建设项目批准和实施、公共资源配置、社会公益事业建设等领域信息公开。四是开展“互联网+政务公开”宣传。广泛宣传修订后的《中华人民共和国政府信息公开条例》，开展“互联网+政务公开”进村入户宣传工作，确保群众广泛知晓。在人民群众中，丰富宣传途径扩大群众知晓面，通过在公示栏上公示、发放宣传单、利用网上新媒体传播等方式宣传政务信息公开工作，营造广大群众主动参与并积极关注政务信息公开的良好氛围。五是完善政府信息公开各项制度，增加组织召开信息公开专题会议的次数，通过对开展培训班，强化各村政务公开人员业务培训，着力提升经办人员的业务能力水平，切实抓好政务公开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仿宋" w:hAnsi="仿宋" w:eastAsia="仿宋" w:cs="仿宋"/>
          <w:b/>
          <w:bCs/>
          <w:i w:val="0"/>
          <w:iCs w:val="0"/>
          <w:caps w:val="0"/>
          <w:color w:val="333333"/>
          <w:spacing w:val="0"/>
          <w:kern w:val="0"/>
          <w:sz w:val="32"/>
          <w:szCs w:val="32"/>
          <w:shd w:val="clear" w:fill="FFFFFF"/>
          <w:lang w:val="en-US" w:eastAsia="zh-CN" w:bidi="ar"/>
        </w:rPr>
      </w:pPr>
      <w:r>
        <w:rPr>
          <w:rFonts w:hint="eastAsia" w:ascii="仿宋" w:hAnsi="仿宋" w:eastAsia="仿宋" w:cs="仿宋"/>
          <w:b/>
          <w:bCs/>
          <w:i w:val="0"/>
          <w:iCs w:val="0"/>
          <w:caps w:val="0"/>
          <w:color w:val="333333"/>
          <w:spacing w:val="0"/>
          <w:kern w:val="0"/>
          <w:sz w:val="32"/>
          <w:szCs w:val="32"/>
          <w:shd w:val="clear" w:fill="FFFFFF"/>
          <w:lang w:val="en-US" w:eastAsia="zh-CN" w:bidi="ar"/>
        </w:rPr>
        <w:t>六、其他需要报告的事项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8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按照《国务院办公厅关于印发（政府信息公开信息处理费管理办法〉的通知》（国办函 （2020）109号）规定的按件、按量收费标准，本年度没有产生信息公开处理费”。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简体">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9E9747"/>
    <w:multiLevelType w:val="singleLevel"/>
    <w:tmpl w:val="D79E974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D23F13"/>
    <w:rsid w:val="504D13ED"/>
    <w:rsid w:val="54D23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bCs/>
      <w:bdr w:val="none" w:color="auto" w:sz="0" w:space="0"/>
    </w:rPr>
  </w:style>
  <w:style w:type="character" w:styleId="7">
    <w:name w:val="FollowedHyperlink"/>
    <w:basedOn w:val="5"/>
    <w:uiPriority w:val="0"/>
    <w:rPr>
      <w:color w:val="282828"/>
      <w:u w:val="none"/>
      <w:bdr w:val="none" w:color="auto" w:sz="0" w:space="0"/>
    </w:rPr>
  </w:style>
  <w:style w:type="character" w:styleId="8">
    <w:name w:val="Emphasis"/>
    <w:basedOn w:val="5"/>
    <w:qFormat/>
    <w:uiPriority w:val="0"/>
    <w:rPr>
      <w:i/>
      <w:bdr w:val="none" w:color="auto" w:sz="0" w:space="0"/>
    </w:rPr>
  </w:style>
  <w:style w:type="character" w:styleId="9">
    <w:name w:val="HTML Definition"/>
    <w:basedOn w:val="5"/>
    <w:uiPriority w:val="0"/>
    <w:rPr>
      <w:i/>
      <w:iCs/>
    </w:rPr>
  </w:style>
  <w:style w:type="character" w:styleId="10">
    <w:name w:val="HTML Acronym"/>
    <w:basedOn w:val="5"/>
    <w:uiPriority w:val="0"/>
    <w:rPr>
      <w:bdr w:val="none" w:color="auto" w:sz="0" w:space="0"/>
    </w:rPr>
  </w:style>
  <w:style w:type="character" w:styleId="11">
    <w:name w:val="Hyperlink"/>
    <w:basedOn w:val="5"/>
    <w:uiPriority w:val="0"/>
    <w:rPr>
      <w:color w:val="0000FF"/>
      <w:u w:val="single"/>
    </w:rPr>
  </w:style>
  <w:style w:type="character" w:styleId="12">
    <w:name w:val="HTML Code"/>
    <w:basedOn w:val="5"/>
    <w:uiPriority w:val="0"/>
    <w:rPr>
      <w:rFonts w:ascii="monospace" w:hAnsi="monospace" w:eastAsia="monospace" w:cs="monospace"/>
      <w:sz w:val="21"/>
      <w:szCs w:val="21"/>
    </w:rPr>
  </w:style>
  <w:style w:type="character" w:styleId="13">
    <w:name w:val="HTML Keyboard"/>
    <w:basedOn w:val="5"/>
    <w:uiPriority w:val="0"/>
    <w:rPr>
      <w:rFonts w:hint="default" w:ascii="monospace" w:hAnsi="monospace" w:eastAsia="monospace" w:cs="monospace"/>
      <w:sz w:val="21"/>
      <w:szCs w:val="21"/>
    </w:rPr>
  </w:style>
  <w:style w:type="character" w:styleId="14">
    <w:name w:val="HTML Sample"/>
    <w:basedOn w:val="5"/>
    <w:uiPriority w:val="0"/>
    <w:rPr>
      <w:rFonts w:hint="default" w:ascii="monospace" w:hAnsi="monospace" w:eastAsia="monospace" w:cs="monospace"/>
      <w:sz w:val="21"/>
      <w:szCs w:val="21"/>
    </w:rPr>
  </w:style>
  <w:style w:type="character" w:customStyle="1" w:styleId="15">
    <w:name w:val="button"/>
    <w:basedOn w:val="5"/>
    <w:uiPriority w:val="0"/>
    <w:rPr>
      <w:bdr w:val="none" w:color="auto" w:sz="0" w:space="0"/>
    </w:rPr>
  </w:style>
  <w:style w:type="character" w:customStyle="1" w:styleId="16">
    <w:name w:val="tmpztreemove_arrow"/>
    <w:basedOn w:val="5"/>
    <w:uiPriority w:val="0"/>
    <w:rPr>
      <w:bdr w:val="none" w:color="auto" w:sz="0"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2022-01-26T02:41:00Z</dcterms:created>
  <dc:creator>秦硬皱</dc:creator>
  <cp:lastModifiedBy>秦硬皱</cp:lastModifiedBy>
  <dcterms:modified xsi:type="dcterms:W3CDTF">2022-01-27T01:38:43Z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17495CED9AC24165BFB90DF59D59C21A</vt:lpwstr>
  </property>
</Properties>
</file>