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pStyle w:val="5"/>
        <w:spacing w:line="600" w:lineRule="exact"/>
        <w:jc w:val="center"/>
        <w:rPr>
          <w:rFonts w:ascii="仿宋_GB2312" w:hAnsi="方正楷体简体" w:eastAsia="仿宋_GB2312" w:cs="方正楷体简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渡政字〔202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               </w:t>
      </w:r>
    </w:p>
    <w:p>
      <w:pPr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关于印发《黑石渡镇冬春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火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灾防控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各村（社区）、镇直各单位：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为深入贯彻落实党的十九届六中全会精神，深入推进消防安全专项整治三年行动和安全隐患大排查大整治行动，预防和减少火灾事故，坚决遏制重特大火灾事故，按照《霍山县消防安全委员会关于切实做好全县冬春火灾防控工作的通知》（霍防〔2021〕4号）文件精神，结合我镇实际，特制定《黑石渡镇冬春火灾防控工作方案》，本方案从即日起至 2022年3月在全镇集中开展冬春火灾防控工作。现将方案印发给你们，请认真对照执行。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霍山县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黑石渡镇人民政府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6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2022年1月5日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黑石渡镇冬春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灾防控工作方案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4"/>
          <w:szCs w:val="34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简体" w:cs="Times New Roman"/>
          <w:b w:val="0"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4"/>
          <w:szCs w:val="34"/>
          <w:lang w:val="en-US" w:eastAsia="zh-CN"/>
        </w:rPr>
        <w:t>认真贯彻落实习近平总书记关于安全生产重要论述，坚持人民至上、生命至上，统筹发展和安全，围绕2022年北京冬奥会、冬残奥会和全国、省、市、县“两会”等重大活动以及元旦、春节、元宵等重要节点，聚焦重点领域、重要区域、重要场所和重大活动，按照“政府主导、部门协同、单位负责、社会参与”的原则，分类施策、精准防范、综合治理，进一步深入推进消防安全专项整治三年行动集中攻坚，有效防范化解重大安全风险，坚决遏制较大及以上火灾，切实把确保人民生命安全放在第一位落到实处，确保全镇消防安全形势持续平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4"/>
          <w:szCs w:val="34"/>
          <w:lang w:val="en-US" w:eastAsia="zh-CN"/>
        </w:rPr>
        <w:t>二、组织构建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成立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冬春火灾防控工作领导小组，由镇长担任组长，分管领导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任副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组长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安监所、派出所、市监所、民政办、执法队、城建办、文明办、中心校、卫生院、供电所、林业站等主要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负责人为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成员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镇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长为</w:t>
      </w:r>
      <w:r>
        <w:rPr>
          <w:rFonts w:hint="default" w:ascii="Times New Roman" w:hAnsi="Times New Roman" w:eastAsia="方正仿宋简体" w:cs="Times New Roman"/>
          <w:b w:val="0"/>
          <w:bCs/>
          <w:sz w:val="34"/>
          <w:szCs w:val="34"/>
          <w:lang w:val="en-US" w:eastAsia="zh-CN"/>
        </w:rPr>
        <w:t>冬春火灾防控工作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第一责任人，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分管领导为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具体负责人。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同时，明确各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村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社区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负责人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为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该村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的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冬春火灾防控工作直接责任人。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4"/>
          <w:szCs w:val="34"/>
          <w:lang w:val="en-US" w:eastAsia="zh-CN"/>
        </w:rPr>
        <w:t>三、重点任务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（一）深入</w:t>
      </w: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</w:rPr>
        <w:t>推进</w:t>
      </w: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镇内小区</w:t>
      </w: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</w:rPr>
        <w:t>消防安全综合治理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督促香山花园、财富中心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物业服务企业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和业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主委员会加强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住宅小区日常监管，结合网格化监管工作，进一步明确网格员日常巡查检查，隐患处理职责。定期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组织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物业服务企业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和业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主委员会学习消防法律法规、宣传消防知识、消除火灾隐患等内容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常态化开展公众聚集场所日常监督检查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派出所、安监所等相关单位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要紧盯宾馆饭店、农家乐、餐饮店铺、商场市场等公众聚集场所，以提升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“本质安全”为目标，把检查重点聚焦到致灾的火源、电源、可燃物，以及影响蔓延扩大和人员伤亡的防火分隔、安全疏散、消防设施等重点部位和关键环节，重点整治违规用火用电用气、使用易燃可燃材料装修装饰、不安装燃气泄漏报警装置、防火分隔不到位、疏散通道不畅通、违规存放易燃易爆危险品、消防设施损坏停用、电动自行车违规停放充电、重点岗位人员责任不落实、消防安全管理不规范、宣传教育培训不深入等十一类突出风险，督促单位严格落实主体责任。对工业用房、自建房改作经营性场所的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镇直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相关职能部门要切实摸清底数，找准薄弱环节，厘清监管责任，制定整改方案，严格准入门槛，建立长效机制。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全面提升易燃易爆企业消防安全能力建设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派出所、安监所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要持续督促易燃易爆企业完善消防安全风险评估机制，推动相关企业依据规范和行业标准组织更新改造老旧消防设施器材，确保完好有效。2022年1月20日前，督促霍山宝来气体有限公司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和黑石渡加油站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开展一次消防安全风险自查评估和消防安全演练，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zh-CN"/>
        </w:rPr>
        <w:t>切实提升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企业自身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zh-CN"/>
        </w:rPr>
        <w:t>应急处置能力。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（四）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全面</w:t>
      </w: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强化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易地扶贫搬迁安置点消防安全治理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结合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我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镇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易地扶贫搬迁安置点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实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情况，组织开展易地扶贫搬迁安置点火灾隐患整改“回头看”检查，重点整治消防车通道、消防设施、消防水源、安全疏散、用火用电、日常管理等方面突出问题。2022年1月底前，结合前期排查的隐患整改情况，建立易地扶贫搬迁集中安置点的问题隐患和整改责任“两个清单”，确保 2022年3月底前按要求全部整改完毕。按照属地安置点火灾风险和建设规模，依托政府专职消防队、志愿消防队、村（社区）微型消防站等多形式消防救援队伍，进一步加强安置点消防救援力量建设和救援装备配备，严格落实消防安全管理，加强值守巡查，常态化组织开展消防安全宣传教育，切实提升安置点自防自救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（五）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全面提升医疗、养老机构消防管理水平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58" w:firstLineChars="223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卫计办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、民政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办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配合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安监所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重点整治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检查黑石渡卫生院和养老院内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电器使用、安全疏散等方面风险隐患，严格电源火源管理和安全出口管控，对因疫情防控需临时关闭的安全出口，要督促单位落实专人值守，确保紧急情况下能够迅速有序组织人员疏散。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（六）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全面加强对中小学、幼儿园风险管控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28" w:leftChars="-95" w:firstLine="68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深刻汲取河南省柘城县“6·25”重大火灾事故教训，进一步加大对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镇内中小学、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幼儿园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检查力度，重点整治安全疏散不畅、违规用火用电用气、建筑外窗违规设置影响逃生和灭火救援障碍物等突出风险，坚决预防群死群伤等恶性火灾事故发生。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（七）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持续预防和减少小单位小场所亡人火灾事故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继续重点整治农村地区自建房和沿街门店“三合一”场所安全出口不畅通、防火分隔不到位、违规留宿住人、违规用火用电、违规使用易燃可燃彩钢板、违规存放易燃易爆物品、电动自行车违规停放充电、消防设施器材配备不到位等突出隐患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加大对小单位、小场所的检查力度。结合乡村振兴战略，将乡村消防基础设施建设统筹纳入本地区经济社会发展规划，依托民生工程建设，在对乡村房改、水改、电改、灶改、路改过程中，同步推进消防基础设施建设和维护管理工作，切实提升乡村抗御火灾水平，巩固拓展脱贫攻坚成果。依托“百万警进千万家”活动，充分发挥公安派出所点多面广的优势，强化基层末端管理，有效降低火灾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（八）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继续推进老旧场所消防安全风险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安监所、派出所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要持续紧盯老旧工业厂房、标准化厂房、农村扶贫车间、工业园区等，重点纠治随意改变使用性质、违规分隔租赁、违规存放易燃易爆物品、私拉乱接电气线路、违规使用大功率电器、违规装卸操作、占用疏散通道、损坏消防设施器材、违规留宿人员等突出问题，严格落实防火分区设置，强化消防用水保障措施，督促指导企业严格履行主体责任，加强重点部位值班值守，严密各项防范措施，坚决防止“带险运营”。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各村（社区）、派出所、安监所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要宣传电动自行车违规改装、停放、充电的危险性，督促物业服务企业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和各企业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履行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zh-CN"/>
        </w:rPr>
        <w:t>电动自行车日常消防安全管理责任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，及时劝阻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zh-CN"/>
        </w:rPr>
        <w:t>电动自动车及电池违规入户、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入车间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zh-CN"/>
        </w:rPr>
        <w:t>充电行为。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（九）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做好重要节点消防安全防范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市、县重大活动举办期间，要对重点部位明确专人严看死守，对易燃易爆企业逐一开展排查，加大辖区内防火巡查检查频次。元旦、春节、元宵节等重要节日期间，安监所、派出所要组织对节庆活动场所、民宿客栈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等人流物流集中场所开展检查，紧盯用火用电等关键环节，规范活动现场临时布展、设施搭建，督促承办单位落实现场看护等措施，确保现场安全。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spacing w:val="-6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（十）</w:t>
      </w:r>
      <w:r>
        <w:rPr>
          <w:rFonts w:hint="default" w:ascii="方正楷体简体" w:hAnsi="方正楷体简体" w:eastAsia="方正楷体简体" w:cs="方正楷体简体"/>
          <w:b/>
          <w:color w:val="000000"/>
          <w:sz w:val="34"/>
          <w:szCs w:val="34"/>
          <w:lang w:val="en-US" w:eastAsia="zh-CN"/>
        </w:rPr>
        <w:t>做好宣传发动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12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安监所、派出所、文明办要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围绕今年“119”消防宣传月“落实消防责任，防范安全风险”主题，深入开展消防宣传活动，提升公众消防安全素质。要组织基层网格力量、物业服务企业、志愿者队伍开展“敲门行动”，上门入户宣传消防安全常识。及时发布火灾风险提示，教育引导群众自觉开展“三清三关”（清理楼道、阳台、厨房可燃杂物，离家关闭电源、火源、气源）工作。面向重点场所和重点人员，广泛推广使用全民消防安全学习平台小程序，开展线上消防教育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4"/>
          <w:szCs w:val="34"/>
          <w:lang w:val="en-US" w:eastAsia="zh-CN"/>
        </w:rPr>
        <w:t>四、时间步骤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  <w:t>（一）部署发动（2021年1月5日前）。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各村（社区）、各有关部门和单位结合实际，根据黑石渡镇冬春火灾防控实施方案，广泛动员宣传，明确职责任务、细化工作措施。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  <w:t>（二）组织实施（2022年1月6日至2022年3月25 日）。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各村（社区）、各有关部门和单位对照工作方案和目标任务，强化部门协作，精心组织实施，定期研判风险，分析通报问题，研究推进举措，集中开展火灾隐患排查整治，从严从细从实抓好工作落实。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  <w:t>（三）总结验收（2022年3月26日至3月31日）。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认真总结工作成效，分析存在的问题，提出改进工作措施，固化经验做法，进一步健全完善火灾防控机制。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  <w:t>（一）加强组织领导。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各村（社区）、各部门、各单位要进一步树牢安全发展理念，强化风险意识，坚持底线思维，以消防安全专项整治三年行动集中攻坚任务为抓手，按照“管行业必须管安全、管业务必须管安全、管生产经营必须管安全”的要求，切实担负起防范化解重大安全风险的责任，层层抓好冬春火灾防控工作组织实施。各村（社区）、各有关部门和单位要严格落实国务院《消防安全责任制实施办法》，落实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  <w:t>（二）严格监管执法。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安监所、派出所、市监所等要加强日常联合执法检查，发动群众开展自查。加强对小制衣企业、小包装厂、竹制品厂、学校及校园周边生产经营场所、敬老院、卫生院、百货商店、宾馆饭店、加油站、烟花爆竹经营点等场所的消防安全检查，重点整治违规搭建、违章操作、危化品使用不规范、电气线路老化、疏散通道不畅通、消防设施损坏、安全演练不到位等问题，建立隐患整改台账，限期整改，消除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  <w:t>（三）严格值班值守工作。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严格落实领导带班值班制度、24小时</w:t>
      </w:r>
      <w:r>
        <w:rPr>
          <w:rFonts w:hint="eastAsia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住镇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值班</w:t>
      </w:r>
      <w:r>
        <w:rPr>
          <w:rFonts w:hint="eastAsia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值守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制度和事故信息报告制度，确保信息畅通。做好节假日期间应急值守工作，做好应急准备，对重要场所、重点地段进行应急防范。</w:t>
      </w:r>
      <w:r>
        <w:rPr>
          <w:rFonts w:hint="eastAsia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强化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恶劣、灾害性天气的信息共享，及时</w:t>
      </w:r>
      <w:r>
        <w:rPr>
          <w:rFonts w:hint="eastAsia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转发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预报预警，一旦发生事故险情，及时上传下达，督促指导</w:t>
      </w:r>
      <w:r>
        <w:rPr>
          <w:rFonts w:hint="eastAsia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辖区内企业和群众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有效防范，科学应对和处置，全力维护人民群众生命财产安全。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3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4"/>
          <w:szCs w:val="34"/>
          <w:lang w:val="en-US" w:eastAsia="zh-CN"/>
        </w:rPr>
        <w:t>（四）严肃督导问责。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镇消防安全委员会将组织对冬春火灾防控工作情况开展明察暗访，并纳入安全生产和消防工作考核内容。对工作不落实、成效不明显的单位，将进行通报，督促落实整治措施，对发生亡人或有较大影响火灾事故的，将上报上级部门依法组织开展火灾事故延伸调查，从严追究有关单位和人员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/>
          <w:spacing w:val="-6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</w:rPr>
        <w:t>附件：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lang w:val="en-US" w:eastAsia="zh-CN"/>
        </w:rPr>
        <w:t>黑石渡镇</w:t>
      </w:r>
      <w:r>
        <w:rPr>
          <w:rFonts w:hint="default" w:ascii="Times New Roman" w:hAnsi="Times New Roman" w:eastAsia="方正仿宋简体" w:cs="Times New Roman"/>
          <w:color w:val="000000"/>
          <w:spacing w:val="-6"/>
          <w:sz w:val="34"/>
          <w:szCs w:val="34"/>
        </w:rPr>
        <w:t>冬春火灾防控工作领导小组成员单位</w:t>
      </w:r>
      <w:r>
        <w:rPr>
          <w:rFonts w:hint="default" w:ascii="Times New Roman" w:hAnsi="Times New Roman" w:eastAsia="方正仿宋简体" w:cs="Times New Roman"/>
          <w:color w:val="000000"/>
          <w:spacing w:val="-6"/>
          <w:sz w:val="34"/>
          <w:szCs w:val="3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64" w:leftChars="200" w:hanging="984" w:hangingChars="3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64" w:leftChars="200" w:hanging="984" w:hangingChars="3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34"/>
          <w:szCs w:val="3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-6"/>
          <w:sz w:val="34"/>
          <w:szCs w:val="3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64" w:leftChars="200" w:hanging="984" w:hangingChars="3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黑石渡镇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冬春火灾防控工作领导小组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成员单位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安监所、派出所、市监所、民政办、执法队、文明办、中心校、卫生院、供电所、林业站、黑石渡社区、朱家畈村、黄家畈村、清潭沟村、戴家河村、新店河村、印墩冲村、杜家冲村、柳树店村。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领导小组下设专项办公室，办公室设在镇安监所，承担日常工作。</w:t>
      </w:r>
    </w:p>
    <w:p>
      <w:pPr>
        <w:spacing w:line="600" w:lineRule="exact"/>
        <w:jc w:val="both"/>
        <w:rPr>
          <w:rFonts w:ascii="Times New Roman" w:hAnsi="Times New Roman" w:eastAsia="仿宋_GB2312" w:cs="Times New Roman"/>
          <w:sz w:val="34"/>
          <w:szCs w:val="34"/>
        </w:rPr>
      </w:pPr>
    </w:p>
    <w:sectPr>
      <w:footerReference r:id="rId3" w:type="default"/>
      <w:footerReference r:id="rId4" w:type="even"/>
      <w:pgSz w:w="11906" w:h="16838"/>
      <w:pgMar w:top="1461" w:right="1418" w:bottom="1217" w:left="1588" w:header="851" w:footer="737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4B5"/>
    <w:rsid w:val="00005F67"/>
    <w:rsid w:val="000073BD"/>
    <w:rsid w:val="0001051A"/>
    <w:rsid w:val="000107D0"/>
    <w:rsid w:val="00014C61"/>
    <w:rsid w:val="00016835"/>
    <w:rsid w:val="00025B36"/>
    <w:rsid w:val="00043F55"/>
    <w:rsid w:val="00045DB6"/>
    <w:rsid w:val="00046583"/>
    <w:rsid w:val="00053B16"/>
    <w:rsid w:val="00056FB6"/>
    <w:rsid w:val="00063BE6"/>
    <w:rsid w:val="00065041"/>
    <w:rsid w:val="00073A46"/>
    <w:rsid w:val="00077A58"/>
    <w:rsid w:val="00081747"/>
    <w:rsid w:val="00087264"/>
    <w:rsid w:val="00092B3B"/>
    <w:rsid w:val="00096904"/>
    <w:rsid w:val="00097D34"/>
    <w:rsid w:val="000B1819"/>
    <w:rsid w:val="000B5761"/>
    <w:rsid w:val="000B7B2A"/>
    <w:rsid w:val="000C0351"/>
    <w:rsid w:val="000C48AF"/>
    <w:rsid w:val="000D2122"/>
    <w:rsid w:val="000D2C00"/>
    <w:rsid w:val="000D36D1"/>
    <w:rsid w:val="000D6C4F"/>
    <w:rsid w:val="000E25B8"/>
    <w:rsid w:val="000E43F5"/>
    <w:rsid w:val="000E743A"/>
    <w:rsid w:val="000F0FEF"/>
    <w:rsid w:val="00103AD5"/>
    <w:rsid w:val="0010571C"/>
    <w:rsid w:val="00110205"/>
    <w:rsid w:val="0013152E"/>
    <w:rsid w:val="00172A27"/>
    <w:rsid w:val="00173EE2"/>
    <w:rsid w:val="00173FEE"/>
    <w:rsid w:val="00177E55"/>
    <w:rsid w:val="00195076"/>
    <w:rsid w:val="00196DD3"/>
    <w:rsid w:val="001A111E"/>
    <w:rsid w:val="001A45ED"/>
    <w:rsid w:val="001A6EF0"/>
    <w:rsid w:val="001B1FEA"/>
    <w:rsid w:val="001C0031"/>
    <w:rsid w:val="001C1F36"/>
    <w:rsid w:val="001D63ED"/>
    <w:rsid w:val="001E04B6"/>
    <w:rsid w:val="001E16A4"/>
    <w:rsid w:val="002116A1"/>
    <w:rsid w:val="002328F4"/>
    <w:rsid w:val="00247339"/>
    <w:rsid w:val="00250BD4"/>
    <w:rsid w:val="00252286"/>
    <w:rsid w:val="00261A57"/>
    <w:rsid w:val="00284A39"/>
    <w:rsid w:val="002865DE"/>
    <w:rsid w:val="00287E12"/>
    <w:rsid w:val="00290475"/>
    <w:rsid w:val="002A7E17"/>
    <w:rsid w:val="002E4F29"/>
    <w:rsid w:val="002F7A14"/>
    <w:rsid w:val="00301277"/>
    <w:rsid w:val="0030326C"/>
    <w:rsid w:val="0031143F"/>
    <w:rsid w:val="0031230C"/>
    <w:rsid w:val="00313842"/>
    <w:rsid w:val="00317355"/>
    <w:rsid w:val="00320F80"/>
    <w:rsid w:val="00327752"/>
    <w:rsid w:val="00327D45"/>
    <w:rsid w:val="00330688"/>
    <w:rsid w:val="003336AE"/>
    <w:rsid w:val="003337D8"/>
    <w:rsid w:val="0033638D"/>
    <w:rsid w:val="00342C98"/>
    <w:rsid w:val="00352061"/>
    <w:rsid w:val="003749C1"/>
    <w:rsid w:val="00387BFA"/>
    <w:rsid w:val="003926E1"/>
    <w:rsid w:val="003A393E"/>
    <w:rsid w:val="003B7133"/>
    <w:rsid w:val="003C52BB"/>
    <w:rsid w:val="003F1582"/>
    <w:rsid w:val="003F3E93"/>
    <w:rsid w:val="003F54CC"/>
    <w:rsid w:val="003F7B79"/>
    <w:rsid w:val="00410AED"/>
    <w:rsid w:val="00412142"/>
    <w:rsid w:val="00416E53"/>
    <w:rsid w:val="00427ECD"/>
    <w:rsid w:val="00443AA4"/>
    <w:rsid w:val="00444258"/>
    <w:rsid w:val="0045548A"/>
    <w:rsid w:val="0045642F"/>
    <w:rsid w:val="00461749"/>
    <w:rsid w:val="00462B3F"/>
    <w:rsid w:val="00463BB0"/>
    <w:rsid w:val="00470BCC"/>
    <w:rsid w:val="0047179F"/>
    <w:rsid w:val="00483942"/>
    <w:rsid w:val="00483FCB"/>
    <w:rsid w:val="00484A5D"/>
    <w:rsid w:val="00484FBC"/>
    <w:rsid w:val="00486917"/>
    <w:rsid w:val="00495E16"/>
    <w:rsid w:val="0049613A"/>
    <w:rsid w:val="004A333D"/>
    <w:rsid w:val="004A6FDB"/>
    <w:rsid w:val="004A73F9"/>
    <w:rsid w:val="004B10C1"/>
    <w:rsid w:val="004C1D8E"/>
    <w:rsid w:val="004D1E14"/>
    <w:rsid w:val="004D5DC8"/>
    <w:rsid w:val="004F3654"/>
    <w:rsid w:val="004F4250"/>
    <w:rsid w:val="0050395D"/>
    <w:rsid w:val="005048C2"/>
    <w:rsid w:val="00504A4C"/>
    <w:rsid w:val="005053D1"/>
    <w:rsid w:val="00511676"/>
    <w:rsid w:val="00513EA9"/>
    <w:rsid w:val="0052025B"/>
    <w:rsid w:val="00520B62"/>
    <w:rsid w:val="00521073"/>
    <w:rsid w:val="00526BB3"/>
    <w:rsid w:val="00543BA0"/>
    <w:rsid w:val="00545A89"/>
    <w:rsid w:val="005604B8"/>
    <w:rsid w:val="00567554"/>
    <w:rsid w:val="00573BD2"/>
    <w:rsid w:val="00582965"/>
    <w:rsid w:val="00591F9E"/>
    <w:rsid w:val="005937BF"/>
    <w:rsid w:val="005A7697"/>
    <w:rsid w:val="005B6D10"/>
    <w:rsid w:val="005C1C9C"/>
    <w:rsid w:val="005C472B"/>
    <w:rsid w:val="005C5A2A"/>
    <w:rsid w:val="005D3732"/>
    <w:rsid w:val="005D55DC"/>
    <w:rsid w:val="005D79C5"/>
    <w:rsid w:val="005E095C"/>
    <w:rsid w:val="005E3CD7"/>
    <w:rsid w:val="005E4AA6"/>
    <w:rsid w:val="005E52F4"/>
    <w:rsid w:val="005E68DE"/>
    <w:rsid w:val="005F058B"/>
    <w:rsid w:val="005F1D63"/>
    <w:rsid w:val="006053FD"/>
    <w:rsid w:val="00606CF3"/>
    <w:rsid w:val="006151AE"/>
    <w:rsid w:val="0061776B"/>
    <w:rsid w:val="00622090"/>
    <w:rsid w:val="006304A5"/>
    <w:rsid w:val="00634B2B"/>
    <w:rsid w:val="0064164B"/>
    <w:rsid w:val="00645CDC"/>
    <w:rsid w:val="00651906"/>
    <w:rsid w:val="00652EAF"/>
    <w:rsid w:val="00653A0B"/>
    <w:rsid w:val="00656E6C"/>
    <w:rsid w:val="00660FA5"/>
    <w:rsid w:val="006656F9"/>
    <w:rsid w:val="006665CC"/>
    <w:rsid w:val="00674E31"/>
    <w:rsid w:val="00686A73"/>
    <w:rsid w:val="006902F5"/>
    <w:rsid w:val="006A414A"/>
    <w:rsid w:val="006A550F"/>
    <w:rsid w:val="006B7E56"/>
    <w:rsid w:val="006C6E58"/>
    <w:rsid w:val="006D277A"/>
    <w:rsid w:val="006D3F45"/>
    <w:rsid w:val="006D5377"/>
    <w:rsid w:val="006E30BF"/>
    <w:rsid w:val="006F42BC"/>
    <w:rsid w:val="006F55FE"/>
    <w:rsid w:val="007158AF"/>
    <w:rsid w:val="00720B4C"/>
    <w:rsid w:val="0072391F"/>
    <w:rsid w:val="00724C39"/>
    <w:rsid w:val="00730091"/>
    <w:rsid w:val="00730250"/>
    <w:rsid w:val="00734483"/>
    <w:rsid w:val="007350A6"/>
    <w:rsid w:val="00742E51"/>
    <w:rsid w:val="007466D7"/>
    <w:rsid w:val="007478B0"/>
    <w:rsid w:val="007512AB"/>
    <w:rsid w:val="00760716"/>
    <w:rsid w:val="00763F51"/>
    <w:rsid w:val="00783E27"/>
    <w:rsid w:val="007845A7"/>
    <w:rsid w:val="00790F3B"/>
    <w:rsid w:val="007A1FD4"/>
    <w:rsid w:val="007A43AD"/>
    <w:rsid w:val="007A68A4"/>
    <w:rsid w:val="007A7EC7"/>
    <w:rsid w:val="007C673E"/>
    <w:rsid w:val="007D132F"/>
    <w:rsid w:val="007E6BDA"/>
    <w:rsid w:val="007F0190"/>
    <w:rsid w:val="007F0401"/>
    <w:rsid w:val="008063CE"/>
    <w:rsid w:val="00811D4A"/>
    <w:rsid w:val="0081241A"/>
    <w:rsid w:val="00831CD3"/>
    <w:rsid w:val="0085235B"/>
    <w:rsid w:val="008524D1"/>
    <w:rsid w:val="00855021"/>
    <w:rsid w:val="00867451"/>
    <w:rsid w:val="00872BB6"/>
    <w:rsid w:val="008861F3"/>
    <w:rsid w:val="00890156"/>
    <w:rsid w:val="008B4542"/>
    <w:rsid w:val="008B4EBE"/>
    <w:rsid w:val="008C4CF8"/>
    <w:rsid w:val="008C4D35"/>
    <w:rsid w:val="008C5325"/>
    <w:rsid w:val="008D0AA9"/>
    <w:rsid w:val="008D1F15"/>
    <w:rsid w:val="008E593D"/>
    <w:rsid w:val="009068BC"/>
    <w:rsid w:val="00917DCF"/>
    <w:rsid w:val="00922ADB"/>
    <w:rsid w:val="0093143F"/>
    <w:rsid w:val="009418D0"/>
    <w:rsid w:val="00952858"/>
    <w:rsid w:val="009600AC"/>
    <w:rsid w:val="00971454"/>
    <w:rsid w:val="00977A25"/>
    <w:rsid w:val="00977FE5"/>
    <w:rsid w:val="009858E9"/>
    <w:rsid w:val="0098769B"/>
    <w:rsid w:val="009A6A32"/>
    <w:rsid w:val="009B1EAB"/>
    <w:rsid w:val="009B6116"/>
    <w:rsid w:val="009C5468"/>
    <w:rsid w:val="009C7728"/>
    <w:rsid w:val="009D40B7"/>
    <w:rsid w:val="009D58EA"/>
    <w:rsid w:val="009E5742"/>
    <w:rsid w:val="009E6CD8"/>
    <w:rsid w:val="009F668C"/>
    <w:rsid w:val="00A0055F"/>
    <w:rsid w:val="00A00C4E"/>
    <w:rsid w:val="00A00F53"/>
    <w:rsid w:val="00A2570C"/>
    <w:rsid w:val="00A452EE"/>
    <w:rsid w:val="00A51BCB"/>
    <w:rsid w:val="00A56A60"/>
    <w:rsid w:val="00A579B3"/>
    <w:rsid w:val="00A7214A"/>
    <w:rsid w:val="00A73DB3"/>
    <w:rsid w:val="00A842AC"/>
    <w:rsid w:val="00A845C0"/>
    <w:rsid w:val="00A86754"/>
    <w:rsid w:val="00A872A6"/>
    <w:rsid w:val="00A901D0"/>
    <w:rsid w:val="00A94227"/>
    <w:rsid w:val="00A977E9"/>
    <w:rsid w:val="00AA56BE"/>
    <w:rsid w:val="00AC38DB"/>
    <w:rsid w:val="00AC3AA7"/>
    <w:rsid w:val="00AC7B65"/>
    <w:rsid w:val="00AD293D"/>
    <w:rsid w:val="00AE6FB5"/>
    <w:rsid w:val="00AF2113"/>
    <w:rsid w:val="00AF4937"/>
    <w:rsid w:val="00B00258"/>
    <w:rsid w:val="00B02E9C"/>
    <w:rsid w:val="00B110F0"/>
    <w:rsid w:val="00B115D3"/>
    <w:rsid w:val="00B1250F"/>
    <w:rsid w:val="00B1339F"/>
    <w:rsid w:val="00B248E9"/>
    <w:rsid w:val="00B32D74"/>
    <w:rsid w:val="00B50584"/>
    <w:rsid w:val="00B6793A"/>
    <w:rsid w:val="00B77813"/>
    <w:rsid w:val="00B86060"/>
    <w:rsid w:val="00B86BC2"/>
    <w:rsid w:val="00B86FA5"/>
    <w:rsid w:val="00B91785"/>
    <w:rsid w:val="00B95A6A"/>
    <w:rsid w:val="00BB1790"/>
    <w:rsid w:val="00BE3177"/>
    <w:rsid w:val="00BE4ADD"/>
    <w:rsid w:val="00BF5E52"/>
    <w:rsid w:val="00C00C08"/>
    <w:rsid w:val="00C05872"/>
    <w:rsid w:val="00C05D2E"/>
    <w:rsid w:val="00C125DC"/>
    <w:rsid w:val="00C16766"/>
    <w:rsid w:val="00C16CE0"/>
    <w:rsid w:val="00C21E40"/>
    <w:rsid w:val="00C2560D"/>
    <w:rsid w:val="00C316AD"/>
    <w:rsid w:val="00C32885"/>
    <w:rsid w:val="00C335EE"/>
    <w:rsid w:val="00C40433"/>
    <w:rsid w:val="00C427D1"/>
    <w:rsid w:val="00C45121"/>
    <w:rsid w:val="00C4662C"/>
    <w:rsid w:val="00C46C44"/>
    <w:rsid w:val="00C546F3"/>
    <w:rsid w:val="00C54F85"/>
    <w:rsid w:val="00C559D8"/>
    <w:rsid w:val="00C67A7D"/>
    <w:rsid w:val="00C70127"/>
    <w:rsid w:val="00C71327"/>
    <w:rsid w:val="00C74E6F"/>
    <w:rsid w:val="00C94FF9"/>
    <w:rsid w:val="00CA6D91"/>
    <w:rsid w:val="00CB5049"/>
    <w:rsid w:val="00CF1573"/>
    <w:rsid w:val="00CF3BAB"/>
    <w:rsid w:val="00D0037A"/>
    <w:rsid w:val="00D03D79"/>
    <w:rsid w:val="00D16AED"/>
    <w:rsid w:val="00D21F3A"/>
    <w:rsid w:val="00D24427"/>
    <w:rsid w:val="00D33C22"/>
    <w:rsid w:val="00D42474"/>
    <w:rsid w:val="00D44810"/>
    <w:rsid w:val="00D455BC"/>
    <w:rsid w:val="00D47AA5"/>
    <w:rsid w:val="00D5615F"/>
    <w:rsid w:val="00D57F6C"/>
    <w:rsid w:val="00D670AF"/>
    <w:rsid w:val="00D72B14"/>
    <w:rsid w:val="00D736AE"/>
    <w:rsid w:val="00D751C9"/>
    <w:rsid w:val="00D76423"/>
    <w:rsid w:val="00D765D9"/>
    <w:rsid w:val="00D90E24"/>
    <w:rsid w:val="00DA4D15"/>
    <w:rsid w:val="00DB13B1"/>
    <w:rsid w:val="00DB7C08"/>
    <w:rsid w:val="00DC16C5"/>
    <w:rsid w:val="00DC4EF5"/>
    <w:rsid w:val="00DC5BCA"/>
    <w:rsid w:val="00DD075B"/>
    <w:rsid w:val="00DD6D18"/>
    <w:rsid w:val="00DE008B"/>
    <w:rsid w:val="00DE2789"/>
    <w:rsid w:val="00DE7C61"/>
    <w:rsid w:val="00DF6235"/>
    <w:rsid w:val="00E0584D"/>
    <w:rsid w:val="00E10C2E"/>
    <w:rsid w:val="00E33EAA"/>
    <w:rsid w:val="00E34926"/>
    <w:rsid w:val="00E5036B"/>
    <w:rsid w:val="00E549F1"/>
    <w:rsid w:val="00E602A6"/>
    <w:rsid w:val="00E611D5"/>
    <w:rsid w:val="00E65E13"/>
    <w:rsid w:val="00E7349F"/>
    <w:rsid w:val="00E74749"/>
    <w:rsid w:val="00E7538C"/>
    <w:rsid w:val="00E7652F"/>
    <w:rsid w:val="00E77FD1"/>
    <w:rsid w:val="00E8088D"/>
    <w:rsid w:val="00E9790A"/>
    <w:rsid w:val="00EA44F2"/>
    <w:rsid w:val="00EB49B1"/>
    <w:rsid w:val="00EC4B90"/>
    <w:rsid w:val="00EC68AE"/>
    <w:rsid w:val="00ED49D6"/>
    <w:rsid w:val="00ED515F"/>
    <w:rsid w:val="00ED5A94"/>
    <w:rsid w:val="00ED71F9"/>
    <w:rsid w:val="00EF07FF"/>
    <w:rsid w:val="00EF1541"/>
    <w:rsid w:val="00F056CA"/>
    <w:rsid w:val="00F1327C"/>
    <w:rsid w:val="00F1426B"/>
    <w:rsid w:val="00F21750"/>
    <w:rsid w:val="00F23BBB"/>
    <w:rsid w:val="00F26AC5"/>
    <w:rsid w:val="00F32007"/>
    <w:rsid w:val="00F35732"/>
    <w:rsid w:val="00F45298"/>
    <w:rsid w:val="00F528ED"/>
    <w:rsid w:val="00F56794"/>
    <w:rsid w:val="00F62482"/>
    <w:rsid w:val="00F67384"/>
    <w:rsid w:val="00F707D3"/>
    <w:rsid w:val="00F94C91"/>
    <w:rsid w:val="00F95300"/>
    <w:rsid w:val="00F97D86"/>
    <w:rsid w:val="00FA1866"/>
    <w:rsid w:val="00FA2CB7"/>
    <w:rsid w:val="00FA590C"/>
    <w:rsid w:val="00FB1E8D"/>
    <w:rsid w:val="00FB4ECE"/>
    <w:rsid w:val="00FC019F"/>
    <w:rsid w:val="00FC5693"/>
    <w:rsid w:val="00FD2769"/>
    <w:rsid w:val="00FE6346"/>
    <w:rsid w:val="00FF037A"/>
    <w:rsid w:val="00FF39BF"/>
    <w:rsid w:val="00FF5AC2"/>
    <w:rsid w:val="013E7B59"/>
    <w:rsid w:val="051D6904"/>
    <w:rsid w:val="05A85F00"/>
    <w:rsid w:val="1DD8600A"/>
    <w:rsid w:val="29E851E1"/>
    <w:rsid w:val="3B840C1F"/>
    <w:rsid w:val="3DCA69E9"/>
    <w:rsid w:val="40A80666"/>
    <w:rsid w:val="509E5F43"/>
    <w:rsid w:val="646065DA"/>
    <w:rsid w:val="67516D34"/>
    <w:rsid w:val="679D05A0"/>
    <w:rsid w:val="747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eastAsia="仿宋_GB2312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/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0"/>
    <w:pPr>
      <w:spacing w:after="120"/>
    </w:pPr>
    <w:rPr>
      <w:rFonts w:ascii="Calibri" w:hAnsi="Calibri" w:cs="Times New Roman"/>
      <w:sz w:val="21"/>
    </w:rPr>
  </w:style>
  <w:style w:type="paragraph" w:styleId="6">
    <w:name w:val="Body Text Indent"/>
    <w:basedOn w:val="1"/>
    <w:link w:val="23"/>
    <w:uiPriority w:val="0"/>
    <w:pPr>
      <w:spacing w:after="120"/>
      <w:ind w:left="420" w:leftChars="200"/>
    </w:pPr>
  </w:style>
  <w:style w:type="paragraph" w:styleId="7">
    <w:name w:val="Plain Text"/>
    <w:basedOn w:val="1"/>
    <w:link w:val="31"/>
    <w:qFormat/>
    <w:uiPriority w:val="0"/>
    <w:rPr>
      <w:rFonts w:ascii="宋体" w:hAnsi="Courier New" w:cs="Courier New"/>
      <w:sz w:val="21"/>
      <w:szCs w:val="21"/>
    </w:r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  <w:rPr>
      <w:rFonts w:eastAsiaTheme="minorEastAsia"/>
      <w:sz w:val="21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3">
    <w:name w:val="Body Text First Indent"/>
    <w:basedOn w:val="5"/>
    <w:link w:val="32"/>
    <w:unhideWhenUsed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paragraph" w:styleId="14">
    <w:name w:val="Body Text First Indent 2"/>
    <w:basedOn w:val="6"/>
    <w:link w:val="24"/>
    <w:unhideWhenUsed/>
    <w:qFormat/>
    <w:uiPriority w:val="0"/>
    <w:pPr>
      <w:ind w:firstLine="420" w:firstLineChars="200"/>
    </w:pPr>
    <w:rPr>
      <w:rFonts w:ascii="仿宋_GB2312" w:hAnsi="Times New Roman" w:eastAsia="仿宋_GB2312" w:cs="Times New Roman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character" w:customStyle="1" w:styleId="20">
    <w:name w:val="页眉 Char"/>
    <w:basedOn w:val="17"/>
    <w:link w:val="11"/>
    <w:uiPriority w:val="0"/>
    <w:rPr>
      <w:rFonts w:eastAsia="宋体"/>
      <w:kern w:val="2"/>
      <w:sz w:val="18"/>
      <w:szCs w:val="18"/>
    </w:rPr>
  </w:style>
  <w:style w:type="character" w:customStyle="1" w:styleId="21">
    <w:name w:val="页脚 Char"/>
    <w:basedOn w:val="17"/>
    <w:link w:val="10"/>
    <w:uiPriority w:val="0"/>
    <w:rPr>
      <w:rFonts w:eastAsia="宋体"/>
      <w:kern w:val="2"/>
      <w:sz w:val="18"/>
      <w:szCs w:val="18"/>
    </w:rPr>
  </w:style>
  <w:style w:type="character" w:customStyle="1" w:styleId="22">
    <w:name w:val="日期 Char"/>
    <w:basedOn w:val="17"/>
    <w:link w:val="8"/>
    <w:qFormat/>
    <w:uiPriority w:val="0"/>
    <w:rPr>
      <w:rFonts w:eastAsia="宋体"/>
      <w:kern w:val="2"/>
      <w:sz w:val="24"/>
      <w:szCs w:val="24"/>
    </w:rPr>
  </w:style>
  <w:style w:type="character" w:customStyle="1" w:styleId="23">
    <w:name w:val="正文文本缩进 Char"/>
    <w:basedOn w:val="17"/>
    <w:link w:val="6"/>
    <w:qFormat/>
    <w:uiPriority w:val="0"/>
    <w:rPr>
      <w:rFonts w:eastAsia="宋体"/>
      <w:kern w:val="2"/>
      <w:sz w:val="24"/>
      <w:szCs w:val="24"/>
    </w:rPr>
  </w:style>
  <w:style w:type="character" w:customStyle="1" w:styleId="24">
    <w:name w:val="正文首行缩进 2 Char"/>
    <w:basedOn w:val="23"/>
    <w:link w:val="14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/>
      <w:kern w:val="0"/>
    </w:rPr>
  </w:style>
  <w:style w:type="character" w:customStyle="1" w:styleId="27">
    <w:name w:val="正文文本 Char"/>
    <w:basedOn w:val="17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8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 w:cs="Times New Roman"/>
      <w:sz w:val="21"/>
      <w:szCs w:val="32"/>
    </w:rPr>
  </w:style>
  <w:style w:type="character" w:customStyle="1" w:styleId="29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31">
    <w:name w:val="纯文本 Char"/>
    <w:basedOn w:val="17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2">
    <w:name w:val="正文首行缩进 Char"/>
    <w:basedOn w:val="27"/>
    <w:link w:val="13"/>
    <w:qFormat/>
    <w:uiPriority w:val="0"/>
  </w:style>
  <w:style w:type="character" w:customStyle="1" w:styleId="33">
    <w:name w:val="正文文本缩进 2 Char"/>
    <w:basedOn w:val="17"/>
    <w:link w:val="9"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159</Words>
  <Characters>911</Characters>
  <Lines>7</Lines>
  <Paragraphs>2</Paragraphs>
  <TotalTime>8</TotalTime>
  <ScaleCrop>false</ScaleCrop>
  <LinksUpToDate>false</LinksUpToDate>
  <CharactersWithSpaces>1068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2021-12-16T07:50:00Z</dcterms:created>
  <dc:creator>星语心尘</dc:creator>
  <cp:lastModifiedBy>Administrator</cp:lastModifiedBy>
  <cp:lastPrinted>2022-01-07T08:39:15Z</cp:lastPrinted>
  <dcterms:modified xsi:type="dcterms:W3CDTF">2022-01-07T08:43:38Z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26717546_btnclosed</vt:lpwstr>
  </property>
  <property fmtid="{D5CDD505-2E9C-101B-9397-08002B2CF9AE}" pid="4" name="ICV">
    <vt:lpwstr>639786F75DBA458C8CE7942FEB8D40A6</vt:lpwstr>
  </property>
</Properties>
</file>