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Cs w:val="32"/>
          <w:lang w:val="en-US" w:eastAsia="zh-CN"/>
        </w:rPr>
        <w:t>2021年度农村特困人员救助供养支出项目绩效评价报告</w:t>
      </w:r>
    </w:p>
    <w:p>
      <w:pPr>
        <w:numPr>
          <w:ilvl w:val="0"/>
          <w:numId w:val="1"/>
        </w:numPr>
        <w:rPr>
          <w:rFonts w:hint="eastAsia" w:ascii="??_GB2312" w:hAnsi="??_GB2312"/>
          <w:kern w:val="0"/>
          <w:sz w:val="32"/>
          <w:szCs w:val="32"/>
        </w:rPr>
      </w:pPr>
      <w:r>
        <w:rPr>
          <w:rFonts w:hint="eastAsia" w:ascii="??_GB2312" w:hAnsi="??_GB2312"/>
          <w:b/>
          <w:bCs/>
          <w:kern w:val="0"/>
          <w:sz w:val="32"/>
          <w:szCs w:val="32"/>
        </w:rPr>
        <w:t>项目概况</w:t>
      </w:r>
    </w:p>
    <w:p>
      <w:pPr>
        <w:numPr>
          <w:ilvl w:val="0"/>
          <w:numId w:val="0"/>
        </w:numPr>
        <w:rPr>
          <w:rFonts w:hint="default" w:ascii="??_GB2312" w:hAnsi="??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??_GB2312" w:hAnsi="??_GB2312"/>
          <w:kern w:val="0"/>
          <w:sz w:val="32"/>
          <w:szCs w:val="32"/>
        </w:rPr>
        <w:t>为建立乡镇区域性养老服务中心，推进农村养老服务体系“211”工程，满足特困供养、低收入人群入住需求</w:t>
      </w:r>
      <w:r>
        <w:rPr>
          <w:rFonts w:hint="eastAsia" w:ascii="??_GB2312" w:hAnsi="??_GB2312"/>
          <w:kern w:val="0"/>
          <w:sz w:val="32"/>
          <w:szCs w:val="32"/>
          <w:lang w:eastAsia="zh-CN"/>
        </w:rPr>
        <w:t>，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2021年共下达县级农村特困人员救助供养支出650万元，</w:t>
      </w:r>
      <w:r>
        <w:rPr>
          <w:rFonts w:hint="eastAsia" w:ascii="??_GB2312" w:hAnsi="??_GB2312"/>
          <w:kern w:val="0"/>
          <w:sz w:val="32"/>
          <w:szCs w:val="32"/>
        </w:rPr>
        <w:t>对乡镇养老服务中心升级改造，提高特困、贫困失能人员生活质量，充分提升这些人群的幸福指数，应养尽养，织密兜底保障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。</w:t>
      </w:r>
    </w:p>
    <w:p>
      <w:pPr>
        <w:spacing w:line="660" w:lineRule="exact"/>
        <w:jc w:val="left"/>
        <w:rPr>
          <w:rFonts w:ascii="??_GB2312" w:hAnsi="华文仿宋"/>
          <w:b/>
          <w:bCs/>
          <w:kern w:val="0"/>
          <w:sz w:val="32"/>
          <w:szCs w:val="32"/>
        </w:rPr>
      </w:pPr>
      <w:r>
        <w:rPr>
          <w:rFonts w:hint="eastAsia" w:ascii="??_GB2312" w:hAnsi="??_GB2312"/>
          <w:b/>
          <w:bCs/>
          <w:kern w:val="0"/>
          <w:sz w:val="32"/>
          <w:szCs w:val="32"/>
        </w:rPr>
        <w:t>二、绩效评价工作开展情况</w:t>
      </w:r>
    </w:p>
    <w:p>
      <w:pPr>
        <w:spacing w:line="660" w:lineRule="exact"/>
        <w:ind w:firstLine="643" w:firstLineChars="200"/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>绩效评价目的、对象和范围</w:t>
      </w:r>
    </w:p>
    <w:p>
      <w:pPr>
        <w:spacing w:line="660" w:lineRule="exact"/>
        <w:ind w:firstLine="640" w:firstLineChars="200"/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本次绩效评价对象为农村特困人员救助供养支出资金，通过实施绩效评价，增强单位的绩效意识、促进单位改进预算管理，优化资源配置，提高预算资金使用效益。</w:t>
      </w:r>
    </w:p>
    <w:p>
      <w:pPr>
        <w:numPr>
          <w:ilvl w:val="0"/>
          <w:numId w:val="2"/>
        </w:numPr>
        <w:spacing w:line="660" w:lineRule="exact"/>
        <w:ind w:firstLine="643" w:firstLineChars="200"/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>绩效评价原则、评价指标体系、评价方法、评价标准等</w:t>
      </w:r>
    </w:p>
    <w:p>
      <w:pPr>
        <w:numPr>
          <w:ilvl w:val="0"/>
          <w:numId w:val="0"/>
        </w:numPr>
        <w:spacing w:line="660" w:lineRule="exact"/>
        <w:ind w:firstLine="630"/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本次绩效评价是以计划标准作为绩效标准，计划标准是指以预先制定的目标、计划、预算、定额等作为评价标准。</w:t>
      </w:r>
    </w:p>
    <w:p>
      <w:pPr>
        <w:numPr>
          <w:ilvl w:val="0"/>
          <w:numId w:val="0"/>
        </w:numPr>
        <w:spacing w:line="660" w:lineRule="exact"/>
        <w:ind w:firstLine="643" w:firstLineChars="200"/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>（三）绩效评价工作过程</w:t>
      </w:r>
    </w:p>
    <w:p>
      <w:pPr>
        <w:numPr>
          <w:ilvl w:val="0"/>
          <w:numId w:val="0"/>
        </w:numPr>
        <w:spacing w:line="660" w:lineRule="exact"/>
        <w:rPr>
          <w:rFonts w:hint="default" w:ascii="仿宋_GB2312" w:hAnsi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霍山县民政局高度重视项目评价结果，安排专人负责绩效评价工作，根据设定的绩效目标，依据规范程序，对资金支出的经济性、效益性、效率和公平性进行客观、公正的测量、分析和评判，切实加强评价结果的整理、分析</w:t>
      </w: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660" w:lineRule="exact"/>
        <w:ind w:firstLine="630"/>
        <w:rPr>
          <w:rFonts w:hint="default" w:ascii="??_GB2312" w:hAnsi="??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>三、综合评价情况和评价结论</w:t>
      </w:r>
    </w:p>
    <w:p>
      <w:pPr>
        <w:numPr>
          <w:ilvl w:val="0"/>
          <w:numId w:val="0"/>
        </w:numPr>
        <w:spacing w:line="660" w:lineRule="exact"/>
        <w:ind w:firstLine="630"/>
        <w:rPr>
          <w:rFonts w:hint="default" w:ascii="仿宋_GB2312" w:hAnsi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??_GB2312" w:hAnsi="??_GB2312"/>
          <w:kern w:val="0"/>
          <w:sz w:val="32"/>
          <w:szCs w:val="32"/>
        </w:rPr>
        <w:t>霍山县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民政局</w:t>
      </w:r>
      <w:r>
        <w:rPr>
          <w:rFonts w:ascii="??_GB2312" w:hAnsi="??_GB2312"/>
          <w:kern w:val="0"/>
          <w:sz w:val="32"/>
          <w:szCs w:val="32"/>
        </w:rPr>
        <w:t>2</w:t>
      </w:r>
      <w:r>
        <w:rPr>
          <w:rFonts w:hint="eastAsia" w:ascii="??_GB2312" w:hAnsi="??_GB2312"/>
          <w:kern w:val="0"/>
          <w:sz w:val="32"/>
          <w:szCs w:val="32"/>
        </w:rPr>
        <w:t>02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??_GB2312" w:hAnsi="??_GB2312"/>
          <w:kern w:val="0"/>
          <w:sz w:val="32"/>
          <w:szCs w:val="32"/>
        </w:rPr>
        <w:t>年度特困人员供养服务机构运行维护预算资金利用率高，项目产出效果显著，特困供养群体获得感、幸福感得到较大提升，社会效益明显，绩效评价自评得分为</w:t>
      </w:r>
      <w:r>
        <w:rPr>
          <w:rFonts w:ascii="??_GB2312" w:hAnsi="??_GB2312"/>
          <w:kern w:val="0"/>
          <w:sz w:val="32"/>
          <w:szCs w:val="32"/>
        </w:rPr>
        <w:t>100</w:t>
      </w:r>
      <w:r>
        <w:rPr>
          <w:rFonts w:hint="eastAsia" w:ascii="??_GB2312" w:hAnsi="??_GB2312"/>
          <w:kern w:val="0"/>
          <w:sz w:val="32"/>
          <w:szCs w:val="32"/>
        </w:rPr>
        <w:t>分。</w:t>
      </w:r>
    </w:p>
    <w:p>
      <w:pPr>
        <w:numPr>
          <w:ilvl w:val="0"/>
          <w:numId w:val="0"/>
        </w:numPr>
        <w:spacing w:line="660" w:lineRule="exact"/>
        <w:rPr>
          <w:rFonts w:hint="default" w:ascii="仿宋_GB2312" w:hAnsi="黑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cs="宋体"/>
          <w:b/>
          <w:bCs/>
          <w:kern w:val="0"/>
          <w:sz w:val="32"/>
          <w:szCs w:val="32"/>
          <w:lang w:val="en-US" w:eastAsia="zh-CN" w:bidi="ar-SA"/>
        </w:rPr>
        <w:t xml:space="preserve">   四、绩效评价指标分析</w:t>
      </w:r>
      <w:r>
        <w:rPr>
          <w:rFonts w:hint="eastAsia" w:ascii="仿宋_GB2312" w:hAnsi="黑体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spacing w:line="66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  <w:t>（一）项目决策</w:t>
      </w: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情况</w:t>
      </w:r>
    </w:p>
    <w:p>
      <w:pPr>
        <w:spacing w:line="66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  <w:t>霍山县委、县政府一直心系特困群体生活质量改善和服务质量提升，重视农村特困供养服务机构建设发展，着力完善特困供养机构服务功能建设，大力提升失能、半失能特困群体多样化、多层次服务能力，扎实做好社会兜底保障，坚决打赢脱贫攻坚战。以习近平新时代中国特色社会主义思想为指引，深入贯彻落实党的十九大报告提出的“兜底线、织密网、建机制”总要求，落实习近平总书记对民政工作作出的“聚焦脱贫攻坚，聚焦特殊群体，聚焦群众关切”的重要批示，全面落实省委省政府、市委市政府关于重视关爱特殊困难群体有关要求，按照民政部、省民政厅关于开展养老机构服务质量建设专项行动工作统一部署，以农村敬老院基本建设和提高供养水平为重点，促进全县敬老院高档次配套、高标准服务，形成布局合理、设施齐全、功能完善、管理规范的养老服务机构，确保供养对象有一个温暖舒适的环境，基本满足我县农村养老服务需求。</w:t>
      </w:r>
    </w:p>
    <w:p>
      <w:pPr>
        <w:spacing w:line="660" w:lineRule="exact"/>
        <w:ind w:firstLine="320" w:firstLineChars="100"/>
        <w:rPr>
          <w:rFonts w:hint="default" w:ascii="仿宋_GB2312" w:hAnsi="黑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  <w:t>）项目过程</w:t>
      </w:r>
      <w:r>
        <w:rPr>
          <w:rFonts w:hint="eastAsia" w:ascii="仿宋_GB2312" w:hAnsi="黑体" w:cs="宋体"/>
          <w:kern w:val="0"/>
          <w:sz w:val="32"/>
          <w:szCs w:val="32"/>
          <w:lang w:val="en-US" w:eastAsia="zh-CN" w:bidi="ar-SA"/>
        </w:rPr>
        <w:t>情况</w:t>
      </w:r>
    </w:p>
    <w:p>
      <w:pPr>
        <w:spacing w:line="66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 w:bidi="ar-SA"/>
        </w:rPr>
        <w:t>1、加大投入，完善硬件设施。先后投入资金1亿多元，新建了诸佛庵、单龙寺、太平畈、漫水河4乡镇养老服务中心和衡山老年公寓，改扩建了与儿街、大化坪等15所乡镇养老服务中心。全县16个乡镇19所乡镇养老服务中心升级改造全面完成，养老机构消防、食堂、卫生等安全达标，护理型床位达1260张，占比42%，全面完成消防验收或备案，食品经营许可证全覆盖，法人登记全面完成。</w:t>
      </w:r>
    </w:p>
    <w:p>
      <w:pPr>
        <w:spacing w:line="660" w:lineRule="exact"/>
        <w:ind w:firstLine="640" w:firstLineChars="200"/>
        <w:rPr>
          <w:rFonts w:ascii="??_GB2312" w:hAnsi="??_GB2312"/>
          <w:kern w:val="0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2</w:t>
      </w:r>
      <w:r>
        <w:rPr>
          <w:rFonts w:hint="eastAsia" w:ascii="??_GB2312" w:hAnsi="??_GB2312"/>
          <w:kern w:val="0"/>
          <w:sz w:val="32"/>
          <w:szCs w:val="32"/>
        </w:rPr>
        <w:t>、应养尽养，织密兜底保障。积极开展失能失智特困、贫困人员集中养护，选定出徽衡、安信</w:t>
      </w:r>
      <w:r>
        <w:rPr>
          <w:rFonts w:ascii="??_GB2312" w:hAnsi="??_GB2312"/>
          <w:kern w:val="0"/>
          <w:sz w:val="32"/>
          <w:szCs w:val="32"/>
        </w:rPr>
        <w:t>2</w:t>
      </w:r>
      <w:r>
        <w:rPr>
          <w:rFonts w:hint="eastAsia" w:ascii="??_GB2312" w:hAnsi="??_GB2312"/>
          <w:kern w:val="0"/>
          <w:sz w:val="32"/>
          <w:szCs w:val="32"/>
        </w:rPr>
        <w:t>家护理条件好、服务水平优的养老机构，作为全县集中养护点，通过政府购买服务及整合低保、残补等资金。全失能特困人员根据自愿原则，经综合评估，做到应养尽养。目前，已集中供养失能半失能特困人员</w:t>
      </w:r>
      <w:r>
        <w:rPr>
          <w:rFonts w:ascii="??_GB2312" w:hAnsi="??_GB2312"/>
          <w:kern w:val="0"/>
          <w:sz w:val="32"/>
          <w:szCs w:val="32"/>
        </w:rPr>
        <w:t>382</w:t>
      </w:r>
      <w:r>
        <w:rPr>
          <w:rFonts w:hint="eastAsia" w:ascii="??_GB2312" w:hAnsi="??_GB2312"/>
          <w:kern w:val="0"/>
          <w:sz w:val="32"/>
          <w:szCs w:val="32"/>
        </w:rPr>
        <w:t>人，占比</w:t>
      </w:r>
      <w:r>
        <w:rPr>
          <w:rFonts w:ascii="??_GB2312" w:hAnsi="??_GB2312"/>
          <w:kern w:val="0"/>
          <w:sz w:val="32"/>
          <w:szCs w:val="32"/>
        </w:rPr>
        <w:t>79%</w:t>
      </w:r>
      <w:r>
        <w:rPr>
          <w:rFonts w:hint="eastAsia" w:ascii="??_GB2312" w:hAnsi="??_GB2312"/>
          <w:kern w:val="0"/>
          <w:sz w:val="32"/>
          <w:szCs w:val="32"/>
        </w:rPr>
        <w:t>，其中徽衡、安信入住</w:t>
      </w:r>
      <w:r>
        <w:rPr>
          <w:rFonts w:ascii="??_GB2312" w:hAnsi="??_GB2312"/>
          <w:kern w:val="0"/>
          <w:sz w:val="32"/>
          <w:szCs w:val="32"/>
        </w:rPr>
        <w:t>140</w:t>
      </w:r>
      <w:r>
        <w:rPr>
          <w:rFonts w:hint="eastAsia" w:ascii="??_GB2312" w:hAnsi="??_GB2312"/>
          <w:kern w:val="0"/>
          <w:sz w:val="32"/>
          <w:szCs w:val="32"/>
        </w:rPr>
        <w:t>人，乡镇养老服务中心入住</w:t>
      </w:r>
      <w:r>
        <w:rPr>
          <w:rFonts w:ascii="??_GB2312" w:hAnsi="??_GB2312"/>
          <w:kern w:val="0"/>
          <w:sz w:val="32"/>
          <w:szCs w:val="32"/>
        </w:rPr>
        <w:t>242</w:t>
      </w:r>
      <w:r>
        <w:rPr>
          <w:rFonts w:hint="eastAsia" w:ascii="??_GB2312" w:hAnsi="??_GB2312"/>
          <w:kern w:val="0"/>
          <w:sz w:val="32"/>
          <w:szCs w:val="32"/>
        </w:rPr>
        <w:t>人。全县共有失能半失能贫困人员</w:t>
      </w:r>
      <w:r>
        <w:rPr>
          <w:rFonts w:ascii="??_GB2312" w:hAnsi="??_GB2312"/>
          <w:kern w:val="0"/>
          <w:sz w:val="32"/>
          <w:szCs w:val="32"/>
        </w:rPr>
        <w:t>320</w:t>
      </w:r>
      <w:r>
        <w:rPr>
          <w:rFonts w:hint="eastAsia" w:ascii="??_GB2312" w:hAnsi="??_GB2312"/>
          <w:kern w:val="0"/>
          <w:sz w:val="32"/>
          <w:szCs w:val="32"/>
        </w:rPr>
        <w:t>人，集中入住</w:t>
      </w:r>
      <w:r>
        <w:rPr>
          <w:rFonts w:ascii="??_GB2312" w:hAnsi="??_GB2312"/>
          <w:kern w:val="0"/>
          <w:sz w:val="32"/>
          <w:szCs w:val="32"/>
        </w:rPr>
        <w:t>52</w:t>
      </w:r>
      <w:r>
        <w:rPr>
          <w:rFonts w:hint="eastAsia" w:ascii="??_GB2312" w:hAnsi="??_GB2312"/>
          <w:kern w:val="0"/>
          <w:sz w:val="32"/>
          <w:szCs w:val="32"/>
        </w:rPr>
        <w:t>人，占比</w:t>
      </w:r>
      <w:r>
        <w:rPr>
          <w:rFonts w:ascii="??_GB2312" w:hAnsi="??_GB2312"/>
          <w:kern w:val="0"/>
          <w:sz w:val="32"/>
          <w:szCs w:val="32"/>
        </w:rPr>
        <w:t>16.3 %</w:t>
      </w:r>
      <w:r>
        <w:rPr>
          <w:rFonts w:hint="eastAsia" w:ascii="??_GB2312" w:hAnsi="??_GB2312"/>
          <w:kern w:val="0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ascii="??_GB2312" w:hAnsi="??_GB2312"/>
          <w:kern w:val="0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3</w:t>
      </w:r>
      <w:r>
        <w:rPr>
          <w:rFonts w:hint="eastAsia" w:ascii="??_GB2312" w:hAnsi="??_GB2312"/>
          <w:kern w:val="0"/>
          <w:sz w:val="32"/>
          <w:szCs w:val="32"/>
        </w:rPr>
        <w:t>、统筹资源，提升服务水平。稳步推进县乡村三级养老服务体系建设，乡镇养老服务中心建设完成</w:t>
      </w:r>
      <w:r>
        <w:rPr>
          <w:rFonts w:ascii="??_GB2312" w:hAnsi="??_GB2312"/>
          <w:kern w:val="0"/>
          <w:sz w:val="32"/>
          <w:szCs w:val="32"/>
        </w:rPr>
        <w:t>100%</w:t>
      </w:r>
      <w:r>
        <w:rPr>
          <w:rFonts w:hint="eastAsia" w:ascii="??_GB2312" w:hAnsi="??_GB2312"/>
          <w:kern w:val="0"/>
          <w:sz w:val="32"/>
          <w:szCs w:val="32"/>
        </w:rPr>
        <w:t>。加强养老服务事业指导，努力满足差异化养老服务需求，提供便捷化养老服务，不断探索养老服务高端连锁化管理新模式，保障老人</w:t>
      </w:r>
      <w:bookmarkStart w:id="0" w:name="_GoBack"/>
      <w:bookmarkEnd w:id="0"/>
      <w:r>
        <w:rPr>
          <w:rFonts w:hint="eastAsia" w:ascii="??_GB2312" w:hAnsi="??_GB2312"/>
          <w:kern w:val="0"/>
          <w:sz w:val="32"/>
          <w:szCs w:val="32"/>
        </w:rPr>
        <w:t>基本权益。</w:t>
      </w:r>
    </w:p>
    <w:p>
      <w:pPr>
        <w:spacing w:line="6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4</w:t>
      </w:r>
      <w:r>
        <w:rPr>
          <w:rFonts w:hint="eastAsia" w:ascii="??_GB2312" w:hAnsi="??_GB2312"/>
          <w:kern w:val="0"/>
          <w:sz w:val="32"/>
          <w:szCs w:val="32"/>
        </w:rPr>
        <w:t>、加强监管，压紧压实责任。积极推进养老服务“放管服”改革，引入社会机构托管运营养老院，建立健全服务质量综合绩效评估和奖优罚劣淘汰机制，切实履行好监管责任，县民政局建立养老服务微信群，对养老机构一日三餐、安全巡查和组织活动照片等实时上传，主动接受政府、社会和老人家属全方位监督。</w:t>
      </w:r>
    </w:p>
    <w:p>
      <w:pPr>
        <w:spacing w:line="580" w:lineRule="exact"/>
        <w:ind w:firstLine="480" w:firstLineChars="150"/>
        <w:rPr>
          <w:rFonts w:hint="eastAsia" w:ascii="??_GB2312" w:hAnsi="??_GB2312" w:eastAsia="仿宋_GB2312"/>
          <w:kern w:val="0"/>
          <w:sz w:val="32"/>
          <w:szCs w:val="32"/>
          <w:lang w:eastAsia="zh-CN"/>
        </w:rPr>
      </w:pPr>
      <w:r>
        <w:rPr>
          <w:rFonts w:hint="eastAsia" w:ascii="??_GB2312" w:hAnsi="??_GB2312"/>
          <w:kern w:val="0"/>
          <w:sz w:val="32"/>
          <w:szCs w:val="32"/>
        </w:rPr>
        <w:t>（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??_GB2312" w:hAnsi="??_GB2312"/>
          <w:kern w:val="0"/>
          <w:sz w:val="32"/>
          <w:szCs w:val="32"/>
        </w:rPr>
        <w:t>）项目产出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情况</w:t>
      </w:r>
    </w:p>
    <w:p>
      <w:pPr>
        <w:spacing w:line="660" w:lineRule="exact"/>
        <w:ind w:firstLine="640" w:firstLineChars="200"/>
        <w:rPr>
          <w:rFonts w:hint="eastAsia" w:ascii="??_GB2312" w:hAnsi="??_GB2312"/>
          <w:kern w:val="0"/>
          <w:sz w:val="32"/>
          <w:szCs w:val="32"/>
          <w:lang w:val="en-US" w:eastAsia="zh-CN"/>
        </w:rPr>
      </w:pPr>
      <w:r>
        <w:rPr>
          <w:rFonts w:ascii="??_GB2312" w:hAnsi="??_GB2312"/>
          <w:kern w:val="0"/>
          <w:sz w:val="32"/>
          <w:szCs w:val="32"/>
        </w:rPr>
        <w:t>2</w:t>
      </w:r>
      <w:r>
        <w:rPr>
          <w:rFonts w:hint="eastAsia" w:ascii="??_GB2312" w:hAnsi="??_GB2312"/>
          <w:kern w:val="0"/>
          <w:sz w:val="32"/>
          <w:szCs w:val="32"/>
        </w:rPr>
        <w:t>02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??_GB2312" w:hAnsi="??_GB2312"/>
          <w:kern w:val="0"/>
          <w:sz w:val="32"/>
          <w:szCs w:val="32"/>
        </w:rPr>
        <w:t>年度，特困供养机构升级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??_GB2312" w:hAnsi="??_GB2312"/>
          <w:kern w:val="0"/>
          <w:sz w:val="32"/>
          <w:szCs w:val="32"/>
        </w:rPr>
        <w:t>特困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失能人员</w:t>
      </w:r>
      <w:r>
        <w:rPr>
          <w:rFonts w:hint="eastAsia" w:ascii="??_GB2312" w:hAnsi="??_GB2312"/>
          <w:kern w:val="0"/>
          <w:sz w:val="32"/>
          <w:szCs w:val="32"/>
          <w:lang w:eastAsia="zh-CN"/>
        </w:rPr>
        <w:t>、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贫困失能</w:t>
      </w:r>
      <w:r>
        <w:rPr>
          <w:rFonts w:hint="eastAsia" w:ascii="??_GB2312" w:hAnsi="??_GB2312"/>
          <w:kern w:val="0"/>
          <w:sz w:val="32"/>
          <w:szCs w:val="32"/>
        </w:rPr>
        <w:t>人员救助供养支出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县级财政</w:t>
      </w:r>
      <w:r>
        <w:rPr>
          <w:rFonts w:hint="eastAsia" w:ascii="??_GB2312" w:hAnsi="??_GB2312"/>
          <w:kern w:val="0"/>
          <w:sz w:val="32"/>
          <w:szCs w:val="32"/>
        </w:rPr>
        <w:t>投入资金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650</w:t>
      </w:r>
      <w:r>
        <w:rPr>
          <w:rFonts w:hint="eastAsia" w:ascii="??_GB2312" w:hAnsi="??_GB2312"/>
          <w:kern w:val="0"/>
          <w:sz w:val="32"/>
          <w:szCs w:val="32"/>
        </w:rPr>
        <w:t>万元</w:t>
      </w:r>
      <w:r>
        <w:rPr>
          <w:rFonts w:hint="eastAsia" w:ascii="??_GB2312" w:hAnsi="??_GB2312"/>
          <w:kern w:val="0"/>
          <w:sz w:val="32"/>
          <w:szCs w:val="32"/>
          <w:lang w:eastAsia="zh-CN"/>
        </w:rPr>
        <w:t>，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项目实际完成时间与计划完成时间一致，项目支出在2021年度完成。</w:t>
      </w:r>
    </w:p>
    <w:p>
      <w:pPr>
        <w:numPr>
          <w:ilvl w:val="0"/>
          <w:numId w:val="0"/>
        </w:numPr>
        <w:spacing w:line="660" w:lineRule="exact"/>
        <w:ind w:firstLine="640" w:firstLineChars="200"/>
        <w:rPr>
          <w:rFonts w:hint="eastAsia" w:ascii="??_GB2312" w:hAnsi="??_GB2312"/>
          <w:kern w:val="0"/>
          <w:sz w:val="32"/>
          <w:szCs w:val="32"/>
          <w:lang w:val="en-US" w:eastAsia="zh-CN"/>
        </w:rPr>
      </w:pPr>
      <w:r>
        <w:rPr>
          <w:rFonts w:hint="eastAsia" w:ascii="??_GB2312" w:hAnsi="??_GB2312"/>
          <w:kern w:val="0"/>
          <w:sz w:val="32"/>
          <w:szCs w:val="32"/>
          <w:lang w:eastAsia="zh-CN"/>
        </w:rPr>
        <w:t>（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??_GB2312" w:hAnsi="??_GB2312"/>
          <w:kern w:val="0"/>
          <w:sz w:val="32"/>
          <w:szCs w:val="32"/>
          <w:lang w:eastAsia="zh-CN"/>
        </w:rPr>
        <w:t>）</w:t>
      </w:r>
      <w:r>
        <w:rPr>
          <w:rFonts w:hint="eastAsia" w:ascii="??_GB2312" w:hAnsi="??_GB2312"/>
          <w:kern w:val="0"/>
          <w:sz w:val="32"/>
          <w:szCs w:val="32"/>
        </w:rPr>
        <w:t>项目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效益情况</w:t>
      </w:r>
    </w:p>
    <w:p>
      <w:pPr>
        <w:numPr>
          <w:ilvl w:val="0"/>
          <w:numId w:val="0"/>
        </w:numPr>
        <w:spacing w:line="660" w:lineRule="exact"/>
        <w:ind w:firstLine="640" w:firstLineChars="200"/>
        <w:rPr>
          <w:rFonts w:ascii="??_GB2312" w:hAnsi="??_GB2312"/>
          <w:kern w:val="0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1</w:t>
      </w:r>
      <w:r>
        <w:rPr>
          <w:rFonts w:hint="eastAsia" w:ascii="??_GB2312" w:hAnsi="??_GB2312"/>
          <w:kern w:val="0"/>
          <w:sz w:val="32"/>
          <w:szCs w:val="32"/>
        </w:rPr>
        <w:t>、加强领导，认真搞好规划。养老服务工作扎实有序推进，按时完成任务。</w:t>
      </w:r>
    </w:p>
    <w:p>
      <w:pPr>
        <w:spacing w:line="660" w:lineRule="exact"/>
        <w:ind w:firstLine="640" w:firstLineChars="200"/>
        <w:rPr>
          <w:rFonts w:hint="eastAsia" w:ascii="??_GB2312" w:hAnsi="??_GB2312"/>
          <w:kern w:val="0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2</w:t>
      </w:r>
      <w:r>
        <w:rPr>
          <w:rFonts w:hint="eastAsia" w:ascii="??_GB2312" w:hAnsi="??_GB2312"/>
          <w:kern w:val="0"/>
          <w:sz w:val="32"/>
          <w:szCs w:val="32"/>
        </w:rPr>
        <w:t>、精心安排，保证养老工作质量。</w:t>
      </w:r>
    </w:p>
    <w:p>
      <w:pPr>
        <w:spacing w:line="660" w:lineRule="exact"/>
        <w:ind w:firstLine="640" w:firstLineChars="200"/>
        <w:rPr>
          <w:rFonts w:ascii="??_GB2312" w:hAnsi="??_GB2312"/>
          <w:kern w:val="0"/>
          <w:sz w:val="32"/>
          <w:szCs w:val="32"/>
        </w:rPr>
      </w:pPr>
      <w:r>
        <w:rPr>
          <w:rFonts w:ascii="??_GB2312" w:hAnsi="??_GB2312"/>
          <w:kern w:val="0"/>
          <w:sz w:val="32"/>
          <w:szCs w:val="32"/>
        </w:rPr>
        <w:t>3</w:t>
      </w:r>
      <w:r>
        <w:rPr>
          <w:rFonts w:hint="eastAsia" w:ascii="??_GB2312" w:hAnsi="??_GB2312"/>
          <w:kern w:val="0"/>
          <w:sz w:val="32"/>
          <w:szCs w:val="32"/>
        </w:rPr>
        <w:t>、强化监管，确保服务的社会效益</w:t>
      </w:r>
      <w:r>
        <w:rPr>
          <w:rFonts w:hint="eastAsia" w:ascii="??_GB2312" w:hAnsi="??_GB2312"/>
          <w:kern w:val="0"/>
          <w:sz w:val="32"/>
          <w:szCs w:val="32"/>
          <w:lang w:eastAsia="zh-CN"/>
        </w:rPr>
        <w:t>，</w:t>
      </w:r>
      <w:r>
        <w:rPr>
          <w:rFonts w:hint="eastAsia" w:ascii="??_GB2312" w:hAnsi="??_GB2312"/>
          <w:kern w:val="0"/>
          <w:sz w:val="32"/>
          <w:szCs w:val="32"/>
          <w:lang w:val="en-US" w:eastAsia="zh-CN"/>
        </w:rPr>
        <w:t>服务对象满意度达95%以上</w:t>
      </w:r>
      <w:r>
        <w:rPr>
          <w:rFonts w:hint="eastAsia" w:ascii="??_GB2312" w:hAnsi="??_GB2312"/>
          <w:kern w:val="0"/>
          <w:sz w:val="32"/>
          <w:szCs w:val="32"/>
        </w:rPr>
        <w:t>。</w:t>
      </w:r>
    </w:p>
    <w:p>
      <w:pPr>
        <w:spacing w:line="660" w:lineRule="exact"/>
        <w:ind w:firstLine="643" w:firstLineChars="200"/>
        <w:rPr>
          <w:rFonts w:hint="eastAsia" w:ascii="??_GB2312" w:hAnsi="??_GB2312"/>
          <w:b/>
          <w:bCs/>
          <w:kern w:val="0"/>
          <w:sz w:val="32"/>
          <w:szCs w:val="32"/>
        </w:rPr>
      </w:pPr>
      <w:r>
        <w:rPr>
          <w:rFonts w:hint="eastAsia" w:ascii="??_GB2312" w:hAnsi="??_GB2312"/>
          <w:b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??_GB2312" w:hAnsi="??_GB2312"/>
          <w:b/>
          <w:bCs/>
          <w:kern w:val="0"/>
          <w:sz w:val="32"/>
          <w:szCs w:val="32"/>
        </w:rPr>
        <w:t>、存在问题及改进方案</w:t>
      </w:r>
    </w:p>
    <w:p>
      <w:pPr>
        <w:spacing w:line="660" w:lineRule="exact"/>
        <w:ind w:firstLine="640" w:firstLineChars="200"/>
        <w:rPr>
          <w:rFonts w:hint="eastAsia" w:ascii="??_GB2312" w:hAnsi="??_GB2312"/>
          <w:kern w:val="0"/>
          <w:sz w:val="32"/>
          <w:szCs w:val="32"/>
        </w:rPr>
      </w:pPr>
      <w:r>
        <w:rPr>
          <w:rFonts w:hint="eastAsia" w:ascii="??_GB2312" w:hAnsi="??_GB2312"/>
          <w:kern w:val="0"/>
          <w:sz w:val="32"/>
          <w:szCs w:val="32"/>
        </w:rPr>
        <w:t>1、问题：</w:t>
      </w:r>
      <w:r>
        <w:rPr>
          <w:rFonts w:ascii="??_GB2312" w:hAnsi="??_GB2312"/>
          <w:kern w:val="0"/>
          <w:sz w:val="32"/>
          <w:szCs w:val="32"/>
        </w:rPr>
        <w:t>评价指标体系不够完善</w:t>
      </w:r>
      <w:r>
        <w:rPr>
          <w:rFonts w:hint="eastAsia" w:ascii="??_GB2312" w:hAnsi="??_GB2312"/>
          <w:kern w:val="0"/>
          <w:sz w:val="32"/>
          <w:szCs w:val="32"/>
        </w:rPr>
        <w:t>，</w:t>
      </w:r>
      <w:r>
        <w:rPr>
          <w:rFonts w:ascii="??_GB2312" w:hAnsi="??_GB2312"/>
          <w:kern w:val="0"/>
          <w:sz w:val="32"/>
          <w:szCs w:val="32"/>
        </w:rPr>
        <w:t>评价内容不够全面</w:t>
      </w:r>
      <w:r>
        <w:rPr>
          <w:rFonts w:hint="eastAsia" w:ascii="??_GB2312" w:hAnsi="??_GB2312"/>
          <w:kern w:val="0"/>
          <w:sz w:val="32"/>
          <w:szCs w:val="32"/>
        </w:rPr>
        <w:t>，</w:t>
      </w:r>
      <w:r>
        <w:rPr>
          <w:rFonts w:ascii="??_GB2312" w:hAnsi="??_GB2312"/>
          <w:kern w:val="0"/>
          <w:sz w:val="32"/>
          <w:szCs w:val="32"/>
        </w:rPr>
        <w:t>难以满足不同层面</w:t>
      </w:r>
      <w:r>
        <w:rPr>
          <w:rFonts w:hint="eastAsia" w:ascii="??_GB2312" w:hAnsi="??_GB2312"/>
          <w:kern w:val="0"/>
          <w:sz w:val="32"/>
          <w:szCs w:val="32"/>
        </w:rPr>
        <w:t>、</w:t>
      </w:r>
      <w:r>
        <w:rPr>
          <w:rFonts w:ascii="??_GB2312" w:hAnsi="??_GB2312"/>
          <w:kern w:val="0"/>
          <w:sz w:val="32"/>
          <w:szCs w:val="32"/>
        </w:rPr>
        <w:t>不同性质的绩效评价要求</w:t>
      </w:r>
      <w:r>
        <w:rPr>
          <w:rFonts w:hint="eastAsia" w:ascii="??_GB2312" w:hAnsi="??_GB2312"/>
          <w:kern w:val="0"/>
          <w:sz w:val="32"/>
          <w:szCs w:val="32"/>
        </w:rPr>
        <w:t>，</w:t>
      </w:r>
      <w:r>
        <w:rPr>
          <w:rFonts w:ascii="??_GB2312" w:hAnsi="??_GB2312"/>
          <w:kern w:val="0"/>
          <w:sz w:val="32"/>
          <w:szCs w:val="32"/>
        </w:rPr>
        <w:t>主要原因是部分绩效目标设立不够精细准确</w:t>
      </w:r>
      <w:r>
        <w:rPr>
          <w:rFonts w:hint="eastAsia" w:ascii="??_GB2312" w:hAnsi="??_GB2312"/>
          <w:kern w:val="0"/>
          <w:sz w:val="32"/>
          <w:szCs w:val="32"/>
        </w:rPr>
        <w:t>，</w:t>
      </w:r>
      <w:r>
        <w:rPr>
          <w:rFonts w:ascii="??_GB2312" w:hAnsi="??_GB2312"/>
          <w:kern w:val="0"/>
          <w:sz w:val="32"/>
          <w:szCs w:val="32"/>
        </w:rPr>
        <w:t>项目效果的个性指标和标准针对性不强</w:t>
      </w:r>
      <w:r>
        <w:rPr>
          <w:rFonts w:hint="eastAsia" w:ascii="??_GB2312" w:hAnsi="??_GB2312"/>
          <w:kern w:val="0"/>
          <w:sz w:val="32"/>
          <w:szCs w:val="32"/>
        </w:rPr>
        <w:t>。</w:t>
      </w:r>
    </w:p>
    <w:p>
      <w:pPr>
        <w:spacing w:line="660" w:lineRule="exact"/>
        <w:ind w:firstLine="640" w:firstLineChars="200"/>
        <w:rPr>
          <w:rFonts w:hint="eastAsia" w:ascii="??_GB2312" w:hAnsi="??_GB2312" w:eastAsia="仿宋_GB2312"/>
          <w:kern w:val="0"/>
          <w:sz w:val="32"/>
          <w:szCs w:val="32"/>
          <w:lang w:eastAsia="zh-CN"/>
        </w:rPr>
      </w:pPr>
      <w:r>
        <w:rPr>
          <w:rFonts w:hint="eastAsia" w:ascii="??_GB2312" w:hAnsi="??_GB2312"/>
          <w:kern w:val="0"/>
          <w:sz w:val="32"/>
          <w:szCs w:val="32"/>
        </w:rPr>
        <w:t>2、方案：提高预算编制的准确性，强化绩效目标管理根据项目年度工作内容和总体目标，科学合理设置绩效目标和绩效指标，确保指标设置充分体现工作任务的产出和效益。规范资金使用，加强预算执行监管和执行情况分析。完善项目管理机制有效发挥项目效益。对照项目绩效评价办法，对标对表，补缺补差，进一步努力完善、提高项目资金最大作用。</w:t>
      </w:r>
    </w:p>
    <w:p>
      <w:pPr>
        <w:pStyle w:val="2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BDE230"/>
    <w:multiLevelType w:val="singleLevel"/>
    <w:tmpl w:val="24BDE23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4FCDBF"/>
    <w:multiLevelType w:val="singleLevel"/>
    <w:tmpl w:val="614FCDB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DIzNzI3ODI2NWFhMmYzNTA5MTZjNjhiZWZhZTkifQ=="/>
  </w:docVars>
  <w:rsids>
    <w:rsidRoot w:val="583738CA"/>
    <w:rsid w:val="0440243C"/>
    <w:rsid w:val="583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1971</Words>
  <Characters>2021</Characters>
  <Lines>0</Lines>
  <Paragraphs>0</Paragraphs>
  <TotalTime>0</TotalTime>
  <ScaleCrop>false</ScaleCrop>
  <LinksUpToDate>false</LinksUpToDate>
  <CharactersWithSpaces>2035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2022-11-18T01:25:00Z</dcterms:created>
  <dc:creator>Lenovo</dc:creator>
  <cp:lastModifiedBy>薄荷棉花糖</cp:lastModifiedBy>
  <dcterms:modified xsi:type="dcterms:W3CDTF">2022-11-18T03:43:02Z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F2B23F68EF8940A9B2AF0D77EC53B7EA</vt:lpwstr>
  </property>
</Properties>
</file>