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21" w:line="218" w:lineRule="auto"/>
        <w:ind w:firstLine="422" w:firstLineChars="100"/>
        <w:jc w:val="both"/>
        <w:rPr>
          <w:rFonts w:hint="eastAsia" w:ascii="微软雅黑" w:hAnsi="微软雅黑" w:eastAsia="微软雅黑" w:cs="微软雅黑"/>
          <w:sz w:val="44"/>
          <w:szCs w:val="44"/>
        </w:rPr>
      </w:pPr>
      <w:bookmarkStart w:id="0" w:name="_GoBack"/>
      <w:r>
        <w:rPr>
          <w:rFonts w:hint="eastAsia" w:ascii="微软雅黑" w:hAnsi="微软雅黑" w:eastAsia="微软雅黑" w:cs="微软雅黑"/>
          <w:b/>
          <w:bCs/>
          <w:spacing w:val="-9"/>
          <w:sz w:val="44"/>
          <w:szCs w:val="44"/>
          <w:lang w:eastAsia="zh-CN"/>
        </w:rPr>
        <w:t>霍山县统计局</w:t>
      </w:r>
      <w:r>
        <w:rPr>
          <w:rFonts w:hint="eastAsia" w:ascii="微软雅黑" w:hAnsi="微软雅黑" w:eastAsia="微软雅黑" w:cs="微软雅黑"/>
          <w:b/>
          <w:bCs/>
          <w:spacing w:val="-9"/>
          <w:sz w:val="44"/>
          <w:szCs w:val="44"/>
          <w:lang w:val="en-US" w:eastAsia="zh-CN"/>
        </w:rPr>
        <w:t>2022年</w:t>
      </w:r>
      <w:r>
        <w:rPr>
          <w:rFonts w:hint="eastAsia" w:ascii="微软雅黑" w:hAnsi="微软雅黑" w:eastAsia="微软雅黑" w:cs="微软雅黑"/>
          <w:b/>
          <w:bCs/>
          <w:spacing w:val="-9"/>
          <w:sz w:val="44"/>
          <w:szCs w:val="44"/>
        </w:rPr>
        <w:t>政府信息公开工作年度报告</w:t>
      </w:r>
    </w:p>
    <w:bookmarkEnd w:id="0"/>
    <w:p>
      <w:pPr>
        <w:spacing w:before="87" w:line="223" w:lineRule="auto"/>
        <w:jc w:val="center"/>
        <w:outlineLvl w:val="0"/>
        <w:rPr>
          <w:rFonts w:hint="eastAsia" w:ascii="微软雅黑" w:hAnsi="微软雅黑" w:eastAsia="微软雅黑" w:cs="微软雅黑"/>
          <w:sz w:val="32"/>
          <w:szCs w:val="32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right="0" w:firstLine="640" w:firstLineChars="200"/>
        <w:rPr>
          <w:rFonts w:hint="eastAsia" w:ascii="方正仿宋_GB18030" w:hAnsi="方正仿宋_GB18030" w:eastAsia="方正仿宋_GB18030" w:cs="方正仿宋_GB18030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方正仿宋_GB18030" w:hAnsi="方正仿宋_GB18030" w:eastAsia="方正仿宋_GB18030" w:cs="方正仿宋_GB18030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根据新修订《中华人民共和国政府信息公开条例》（以下简称《条例》），结合上级有关文件精神等要求，编制202</w:t>
      </w:r>
      <w:r>
        <w:rPr>
          <w:rFonts w:hint="eastAsia" w:ascii="方正仿宋_GB18030" w:hAnsi="方正仿宋_GB18030" w:eastAsia="方正仿宋_GB18030" w:cs="方正仿宋_GB1803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</w:t>
      </w:r>
      <w:r>
        <w:rPr>
          <w:rFonts w:hint="eastAsia" w:ascii="方正仿宋_GB18030" w:hAnsi="方正仿宋_GB18030" w:eastAsia="方正仿宋_GB18030" w:cs="方正仿宋_GB18030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年度霍山县统计局信息公开年度报告。全文包括总体情况、主动公开政府信息情况、收到和处理政府信息公开申请情况、</w:t>
      </w:r>
      <w:r>
        <w:rPr>
          <w:rFonts w:hint="eastAsia" w:ascii="方正仿宋_GB18030" w:hAnsi="方正仿宋_GB18030" w:eastAsia="方正仿宋_GB18030" w:cs="方正仿宋_GB18030"/>
          <w:spacing w:val="1"/>
          <w:sz w:val="32"/>
          <w:szCs w:val="32"/>
        </w:rPr>
        <w:t>政府信息公开行政复议</w:t>
      </w:r>
      <w:r>
        <w:rPr>
          <w:rFonts w:hint="eastAsia" w:ascii="方正仿宋_GB18030" w:hAnsi="方正仿宋_GB18030" w:eastAsia="方正仿宋_GB18030" w:cs="方正仿宋_GB18030"/>
          <w:spacing w:val="1"/>
          <w:sz w:val="32"/>
          <w:szCs w:val="32"/>
          <w:lang w:eastAsia="zh-CN"/>
        </w:rPr>
        <w:t>及</w:t>
      </w:r>
      <w:r>
        <w:rPr>
          <w:rFonts w:hint="eastAsia" w:ascii="方正仿宋_GB18030" w:hAnsi="方正仿宋_GB18030" w:eastAsia="方正仿宋_GB18030" w:cs="方正仿宋_GB18030"/>
          <w:spacing w:val="1"/>
          <w:sz w:val="32"/>
          <w:szCs w:val="32"/>
        </w:rPr>
        <w:t>行政诉讼情况</w:t>
      </w:r>
      <w:r>
        <w:rPr>
          <w:rFonts w:hint="eastAsia" w:ascii="方正仿宋_GB18030" w:hAnsi="方正仿宋_GB18030" w:eastAsia="方正仿宋_GB18030" w:cs="方正仿宋_GB18030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、存在的主要问题和改进情况和其他需要报告的事项。本年度报告中使用数据统计期限为202</w:t>
      </w:r>
      <w:r>
        <w:rPr>
          <w:rFonts w:hint="eastAsia" w:ascii="方正仿宋_GB18030" w:hAnsi="方正仿宋_GB18030" w:eastAsia="方正仿宋_GB18030" w:cs="方正仿宋_GB1803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</w:t>
      </w:r>
      <w:r>
        <w:rPr>
          <w:rFonts w:hint="eastAsia" w:ascii="方正仿宋_GB18030" w:hAnsi="方正仿宋_GB18030" w:eastAsia="方正仿宋_GB18030" w:cs="方正仿宋_GB18030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年1月1日至202</w:t>
      </w:r>
      <w:r>
        <w:rPr>
          <w:rFonts w:hint="eastAsia" w:ascii="方正仿宋_GB18030" w:hAnsi="方正仿宋_GB18030" w:eastAsia="方正仿宋_GB18030" w:cs="方正仿宋_GB1803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</w:t>
      </w:r>
      <w:r>
        <w:rPr>
          <w:rFonts w:hint="eastAsia" w:ascii="方正仿宋_GB18030" w:hAnsi="方正仿宋_GB18030" w:eastAsia="方正仿宋_GB18030" w:cs="方正仿宋_GB18030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年12月31日。如对本报告有任何疑问，请与霍山县统计局联系（地址：霍山县县政府西副楼3楼；邮编：237200；联系电话：0564-5022556）。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right="0" w:firstLine="880" w:firstLineChars="200"/>
        <w:jc w:val="both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/>
          <w:spacing w:val="0"/>
          <w:sz w:val="44"/>
          <w:szCs w:val="44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/>
          <w:spacing w:val="0"/>
          <w:sz w:val="44"/>
          <w:szCs w:val="44"/>
          <w:shd w:val="clear" w:fill="FFFFFF"/>
        </w:rPr>
        <w:t>一、总体情况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right="0" w:firstLine="640" w:firstLineChars="200"/>
        <w:rPr>
          <w:rFonts w:hint="eastAsia" w:ascii="方正仿宋_GB18030" w:hAnsi="方正仿宋_GB18030" w:eastAsia="方正仿宋_GB18030" w:cs="方正仿宋_GB18030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方正仿宋_GB18030" w:hAnsi="方正仿宋_GB18030" w:eastAsia="方正仿宋_GB18030" w:cs="方正仿宋_GB18030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202</w:t>
      </w:r>
      <w:r>
        <w:rPr>
          <w:rFonts w:hint="eastAsia" w:ascii="方正仿宋_GB18030" w:hAnsi="方正仿宋_GB18030" w:eastAsia="方正仿宋_GB18030" w:cs="方正仿宋_GB1803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</w:t>
      </w:r>
      <w:r>
        <w:rPr>
          <w:rFonts w:hint="eastAsia" w:ascii="方正仿宋_GB18030" w:hAnsi="方正仿宋_GB18030" w:eastAsia="方正仿宋_GB18030" w:cs="方正仿宋_GB18030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年，我局认真贯彻落实新《中华人民共和国政府信息公开条例》等文件要求，紧紧围绕发展大局，结合统计工作，有力推动我局信息公开纵深开展，切实保障人民群众对全县统计数据的知情权、参与权、表达权和监督权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textAlignment w:val="auto"/>
        <w:rPr>
          <w:rFonts w:hint="eastAsia" w:ascii="方正仿宋_GB18030" w:hAnsi="方正仿宋_GB18030" w:eastAsia="方正仿宋_GB18030" w:cs="方正仿宋_GB18030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（一）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主动公开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情况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。</w:t>
      </w:r>
      <w:r>
        <w:rPr>
          <w:rFonts w:hint="eastAsia" w:ascii="方正仿宋_GB18030" w:hAnsi="方正仿宋_GB18030" w:eastAsia="方正仿宋_GB18030" w:cs="方正仿宋_GB18030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我局按要求严格落实行政规范性文件格式统一规范工作。并</w:t>
      </w:r>
      <w:r>
        <w:rPr>
          <w:rFonts w:hint="eastAsia" w:ascii="方正仿宋_GB18030" w:hAnsi="方正仿宋_GB18030" w:eastAsia="方正仿宋_GB18030" w:cs="方正仿宋_GB1803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及时</w:t>
      </w:r>
      <w:r>
        <w:rPr>
          <w:rFonts w:hint="eastAsia" w:ascii="方正仿宋_GB18030" w:hAnsi="方正仿宋_GB18030" w:eastAsia="方正仿宋_GB18030" w:cs="方正仿宋_GB18030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将局重点信息公开在对应栏目</w:t>
      </w:r>
      <w:r>
        <w:rPr>
          <w:rFonts w:hint="eastAsia" w:ascii="方正仿宋_GB18030" w:hAnsi="方正仿宋_GB18030" w:eastAsia="方正仿宋_GB18030" w:cs="方正仿宋_GB18030"/>
          <w:i w:val="0"/>
          <w:iCs w:val="0"/>
          <w:caps w:val="0"/>
          <w:color w:val="000000"/>
          <w:spacing w:val="0"/>
          <w:sz w:val="32"/>
          <w:szCs w:val="32"/>
          <w:highlight w:val="none"/>
          <w:shd w:val="clear" w:fill="FFFFFF"/>
          <w:lang w:eastAsia="zh-CN"/>
        </w:rPr>
        <w:t>，</w:t>
      </w:r>
      <w:r>
        <w:rPr>
          <w:rFonts w:hint="eastAsia" w:ascii="方正仿宋_GB18030" w:hAnsi="方正仿宋_GB18030" w:eastAsia="方正仿宋_GB18030" w:cs="方正仿宋_GB18030"/>
          <w:i w:val="0"/>
          <w:iCs w:val="0"/>
          <w:caps w:val="0"/>
          <w:color w:val="000000"/>
          <w:spacing w:val="0"/>
          <w:sz w:val="32"/>
          <w:szCs w:val="32"/>
          <w:highlight w:val="none"/>
          <w:shd w:val="clear" w:fill="FFFFFF"/>
          <w:lang w:val="en-US" w:eastAsia="zh-CN"/>
        </w:rPr>
        <w:t>2022年我局</w:t>
      </w:r>
      <w:r>
        <w:rPr>
          <w:rFonts w:hint="eastAsia" w:ascii="方正仿宋_GB18030" w:hAnsi="方正仿宋_GB18030" w:eastAsia="方正仿宋_GB18030" w:cs="方正仿宋_GB18030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信息公开目录信息更新</w:t>
      </w:r>
      <w:r>
        <w:rPr>
          <w:rFonts w:hint="eastAsia" w:ascii="方正仿宋_GB18030" w:hAnsi="方正仿宋_GB18030" w:eastAsia="方正仿宋_GB18030" w:cs="方正仿宋_GB1803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312</w:t>
      </w:r>
      <w:r>
        <w:rPr>
          <w:rFonts w:hint="eastAsia" w:ascii="方正仿宋_GB18030" w:hAnsi="方正仿宋_GB18030" w:eastAsia="方正仿宋_GB18030" w:cs="方正仿宋_GB18030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条，</w:t>
      </w:r>
      <w:r>
        <w:rPr>
          <w:rFonts w:hint="eastAsia" w:ascii="方正仿宋_GB18030" w:hAnsi="方正仿宋_GB18030" w:eastAsia="方正仿宋_GB18030" w:cs="方正仿宋_GB1803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其中</w:t>
      </w:r>
      <w:r>
        <w:rPr>
          <w:rFonts w:hint="eastAsia" w:ascii="方正仿宋_GB18030" w:hAnsi="方正仿宋_GB18030" w:eastAsia="方正仿宋_GB18030" w:cs="方正仿宋_GB18030"/>
          <w:i w:val="0"/>
          <w:iCs w:val="0"/>
          <w:caps w:val="0"/>
          <w:color w:val="000000"/>
          <w:spacing w:val="0"/>
          <w:sz w:val="32"/>
          <w:szCs w:val="32"/>
          <w:highlight w:val="none"/>
          <w:shd w:val="clear" w:fill="FFFFFF"/>
          <w:lang w:eastAsia="zh-CN"/>
        </w:rPr>
        <w:t>公开</w:t>
      </w:r>
      <w:r>
        <w:rPr>
          <w:rFonts w:hint="eastAsia" w:ascii="方正仿宋_GB18030" w:hAnsi="方正仿宋_GB18030" w:eastAsia="方正仿宋_GB18030" w:cs="方正仿宋_GB18030"/>
          <w:i w:val="0"/>
          <w:iCs w:val="0"/>
          <w:caps w:val="0"/>
          <w:color w:val="000000"/>
          <w:spacing w:val="0"/>
          <w:sz w:val="32"/>
          <w:szCs w:val="32"/>
          <w:highlight w:val="none"/>
          <w:shd w:val="clear" w:fill="FFFFFF"/>
        </w:rPr>
        <w:t>统计分析和月报共</w:t>
      </w:r>
      <w:r>
        <w:rPr>
          <w:rFonts w:hint="eastAsia" w:ascii="方正仿宋_GB18030" w:hAnsi="方正仿宋_GB18030" w:eastAsia="方正仿宋_GB18030" w:cs="方正仿宋_GB18030"/>
          <w:i w:val="0"/>
          <w:iCs w:val="0"/>
          <w:caps w:val="0"/>
          <w:color w:val="000000"/>
          <w:spacing w:val="0"/>
          <w:sz w:val="32"/>
          <w:szCs w:val="32"/>
          <w:highlight w:val="none"/>
          <w:shd w:val="clear" w:fill="FFFFFF"/>
          <w:lang w:val="en-US" w:eastAsia="zh-CN"/>
        </w:rPr>
        <w:t>112</w:t>
      </w:r>
      <w:r>
        <w:rPr>
          <w:rFonts w:hint="eastAsia" w:ascii="方正仿宋_GB18030" w:hAnsi="方正仿宋_GB18030" w:eastAsia="方正仿宋_GB18030" w:cs="方正仿宋_GB18030"/>
          <w:i w:val="0"/>
          <w:iCs w:val="0"/>
          <w:caps w:val="0"/>
          <w:color w:val="000000"/>
          <w:spacing w:val="0"/>
          <w:sz w:val="32"/>
          <w:szCs w:val="32"/>
          <w:highlight w:val="none"/>
          <w:shd w:val="clear" w:fill="FFFFFF"/>
        </w:rPr>
        <w:t>篇</w:t>
      </w:r>
      <w:r>
        <w:rPr>
          <w:rFonts w:hint="eastAsia" w:ascii="方正仿宋_GB18030" w:hAnsi="方正仿宋_GB18030" w:eastAsia="方正仿宋_GB18030" w:cs="方正仿宋_GB18030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，</w:t>
      </w:r>
      <w:r>
        <w:rPr>
          <w:rFonts w:hint="eastAsia" w:ascii="方正仿宋_GB18030" w:hAnsi="方正仿宋_GB18030" w:eastAsia="方正仿宋_GB18030" w:cs="方正仿宋_GB1803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开展新闻公布会</w:t>
      </w:r>
      <w:r>
        <w:rPr>
          <w:rFonts w:hint="eastAsia" w:ascii="方正仿宋_GB18030" w:hAnsi="方正仿宋_GB18030" w:eastAsia="方正仿宋_GB18030" w:cs="方正仿宋_GB1803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4次，</w:t>
      </w:r>
      <w:r>
        <w:rPr>
          <w:rFonts w:hint="eastAsia" w:ascii="方正仿宋_GB18030" w:hAnsi="方正仿宋_GB18030" w:eastAsia="方正仿宋_GB18030" w:cs="方正仿宋_GB1803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为社会各界提供了优质统计服务，有效的保障了公民对统计数据、国民经济发展情况信息的需求。为</w:t>
      </w:r>
      <w:r>
        <w:rPr>
          <w:rFonts w:hint="eastAsia" w:ascii="方正仿宋_GB18030" w:hAnsi="方正仿宋_GB18030" w:eastAsia="方正仿宋_GB18030" w:cs="方正仿宋_GB18030"/>
          <w:i w:val="0"/>
          <w:iCs w:val="0"/>
          <w:caps w:val="0"/>
          <w:color w:val="000000"/>
          <w:spacing w:val="0"/>
          <w:sz w:val="32"/>
          <w:szCs w:val="32"/>
        </w:rPr>
        <w:t>落实</w:t>
      </w:r>
      <w:r>
        <w:rPr>
          <w:rFonts w:hint="eastAsia" w:ascii="方正仿宋_GB18030" w:hAnsi="方正仿宋_GB18030" w:eastAsia="方正仿宋_GB18030" w:cs="方正仿宋_GB18030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基层领域公开标准指引及</w:t>
      </w:r>
      <w:r>
        <w:rPr>
          <w:rFonts w:hint="eastAsia" w:ascii="方正仿宋_GB18030" w:hAnsi="方正仿宋_GB18030" w:eastAsia="方正仿宋_GB18030" w:cs="方正仿宋_GB18030"/>
          <w:i w:val="0"/>
          <w:iCs w:val="0"/>
          <w:caps w:val="0"/>
          <w:color w:val="000000"/>
          <w:spacing w:val="0"/>
          <w:sz w:val="32"/>
          <w:szCs w:val="32"/>
        </w:rPr>
        <w:t>市、县目录指引，新增“统计”领域，完善栏目设置，转发国家、省市统计部门制定的各类统计制度共</w:t>
      </w:r>
      <w:r>
        <w:rPr>
          <w:rFonts w:hint="eastAsia" w:ascii="方正仿宋_GB18030" w:hAnsi="方正仿宋_GB18030" w:eastAsia="方正仿宋_GB18030" w:cs="方正仿宋_GB18030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11</w:t>
      </w:r>
      <w:r>
        <w:rPr>
          <w:rFonts w:hint="eastAsia" w:ascii="方正仿宋_GB18030" w:hAnsi="方正仿宋_GB18030" w:eastAsia="方正仿宋_GB18030" w:cs="方正仿宋_GB18030"/>
          <w:i w:val="0"/>
          <w:iCs w:val="0"/>
          <w:caps w:val="0"/>
          <w:color w:val="000000"/>
          <w:spacing w:val="0"/>
          <w:sz w:val="32"/>
          <w:szCs w:val="32"/>
        </w:rPr>
        <w:t>条，发布统计法律法规</w:t>
      </w:r>
      <w:r>
        <w:rPr>
          <w:rFonts w:hint="eastAsia" w:ascii="方正仿宋_GB18030" w:hAnsi="方正仿宋_GB18030" w:eastAsia="方正仿宋_GB18030" w:cs="方正仿宋_GB18030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13</w:t>
      </w:r>
      <w:r>
        <w:rPr>
          <w:rFonts w:hint="eastAsia" w:ascii="方正仿宋_GB18030" w:hAnsi="方正仿宋_GB18030" w:eastAsia="方正仿宋_GB18030" w:cs="方正仿宋_GB18030"/>
          <w:i w:val="0"/>
          <w:iCs w:val="0"/>
          <w:caps w:val="0"/>
          <w:color w:val="000000"/>
          <w:spacing w:val="0"/>
          <w:sz w:val="32"/>
          <w:szCs w:val="32"/>
        </w:rPr>
        <w:t>条，我县各类统计数据</w:t>
      </w:r>
      <w:r>
        <w:rPr>
          <w:rFonts w:hint="eastAsia" w:ascii="方正仿宋_GB18030" w:hAnsi="方正仿宋_GB18030" w:eastAsia="方正仿宋_GB18030" w:cs="方正仿宋_GB18030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共</w:t>
      </w:r>
      <w:r>
        <w:rPr>
          <w:rFonts w:hint="eastAsia" w:ascii="方正仿宋_GB18030" w:hAnsi="方正仿宋_GB18030" w:eastAsia="方正仿宋_GB18030" w:cs="方正仿宋_GB18030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28</w:t>
      </w:r>
      <w:r>
        <w:rPr>
          <w:rFonts w:hint="eastAsia" w:ascii="方正仿宋_GB18030" w:hAnsi="方正仿宋_GB18030" w:eastAsia="方正仿宋_GB18030" w:cs="方正仿宋_GB18030"/>
          <w:i w:val="0"/>
          <w:iCs w:val="0"/>
          <w:caps w:val="0"/>
          <w:color w:val="000000"/>
          <w:spacing w:val="6"/>
          <w:sz w:val="32"/>
          <w:szCs w:val="32"/>
        </w:rPr>
        <w:t>条，确保统计工作、数据信息及重大普查成果能更好地服务社</w:t>
      </w:r>
      <w:r>
        <w:rPr>
          <w:rFonts w:hint="eastAsia" w:ascii="方正仿宋_GB18030" w:hAnsi="方正仿宋_GB18030" w:eastAsia="方正仿宋_GB18030" w:cs="方正仿宋_GB18030"/>
          <w:i w:val="0"/>
          <w:iCs w:val="0"/>
          <w:caps w:val="0"/>
          <w:color w:val="000000"/>
          <w:spacing w:val="0"/>
          <w:sz w:val="32"/>
          <w:szCs w:val="32"/>
        </w:rPr>
        <w:t>会</w:t>
      </w:r>
      <w:r>
        <w:rPr>
          <w:rFonts w:hint="eastAsia" w:ascii="方正仿宋_GB18030" w:hAnsi="方正仿宋_GB18030" w:eastAsia="方正仿宋_GB18030" w:cs="方正仿宋_GB18030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left"/>
        <w:textAlignment w:val="auto"/>
        <w:rPr>
          <w:rFonts w:hint="eastAsia" w:ascii="方正仿宋_GB18030" w:hAnsi="方正仿宋_GB18030" w:eastAsia="方正仿宋_GB18030" w:cs="方正仿宋_GB1803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（二）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依申请公开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情况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。</w:t>
      </w:r>
      <w:r>
        <w:rPr>
          <w:rFonts w:hint="eastAsia" w:ascii="方正仿宋_GB18030" w:hAnsi="方正仿宋_GB18030" w:eastAsia="方正仿宋_GB18030" w:cs="方正仿宋_GB18030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我局认真贯彻落实《国务院办公厅关于做好政府信息依申请公开工作的意见》，深入研究并妥善处理新情况、新问题，注意加强与申请人的主动沟通</w:t>
      </w:r>
      <w:r>
        <w:rPr>
          <w:rFonts w:hint="eastAsia" w:ascii="方正仿宋_GB18030" w:hAnsi="方正仿宋_GB18030" w:eastAsia="方正仿宋_GB18030" w:cs="方正仿宋_GB1803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。</w:t>
      </w:r>
      <w:r>
        <w:rPr>
          <w:rFonts w:hint="eastAsia" w:ascii="方正仿宋_GB18030" w:hAnsi="方正仿宋_GB18030" w:eastAsia="方正仿宋_GB18030" w:cs="方正仿宋_GB1803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2022年，本单位收到依申请公开信息2条，均已圆满解决。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textAlignment w:val="auto"/>
        <w:rPr>
          <w:rFonts w:hint="eastAsia" w:ascii="方正仿宋_GB18030" w:hAnsi="方正仿宋_GB18030" w:eastAsia="方正仿宋_GB18030" w:cs="方正仿宋_GB18030"/>
          <w:spacing w:val="-4"/>
          <w:sz w:val="32"/>
          <w:szCs w:val="32"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（三）</w:t>
      </w:r>
      <w:r>
        <w:rPr>
          <w:rFonts w:hint="eastAsia" w:ascii="微软雅黑" w:hAnsi="微软雅黑" w:eastAsia="微软雅黑" w:cs="微软雅黑"/>
          <w:b/>
          <w:bCs/>
          <w:spacing w:val="-4"/>
          <w:sz w:val="32"/>
          <w:szCs w:val="32"/>
        </w:rPr>
        <w:t>政府信息</w:t>
      </w:r>
      <w:r>
        <w:rPr>
          <w:rFonts w:hint="eastAsia" w:ascii="微软雅黑" w:hAnsi="微软雅黑" w:eastAsia="微软雅黑" w:cs="微软雅黑"/>
          <w:b/>
          <w:bCs/>
          <w:spacing w:val="-4"/>
          <w:sz w:val="32"/>
          <w:szCs w:val="32"/>
          <w:lang w:eastAsia="zh-CN"/>
        </w:rPr>
        <w:t>管理情况</w:t>
      </w:r>
      <w:r>
        <w:rPr>
          <w:rFonts w:hint="eastAsia" w:ascii="方正仿宋_GB18030" w:hAnsi="方正仿宋_GB18030" w:eastAsia="方正仿宋_GB18030" w:cs="方正仿宋_GB18030"/>
          <w:b/>
          <w:bCs/>
          <w:spacing w:val="-4"/>
          <w:sz w:val="32"/>
          <w:szCs w:val="32"/>
          <w:lang w:eastAsia="zh-CN"/>
        </w:rPr>
        <w:t>。</w:t>
      </w:r>
      <w:r>
        <w:rPr>
          <w:rFonts w:hint="eastAsia" w:ascii="方正仿宋_GB18030" w:hAnsi="方正仿宋_GB18030" w:eastAsia="方正仿宋_GB18030" w:cs="方正仿宋_GB18030"/>
          <w:spacing w:val="-4"/>
          <w:sz w:val="32"/>
          <w:szCs w:val="32"/>
          <w:lang w:eastAsia="zh-CN"/>
        </w:rPr>
        <w:t>一是加强组织领导，建立了局主要领导亲自抓、分管领导具体抓、具体工作专人干的工作机制，安排专人负责全局信息公开维护和更新，并认真做好年度报告编制、年度信息公开统计报表和政府网站年度报表等数据统计和报送工作。二是完善工作机制，围绕政府信息公开的范围、内容、形式等，建立健全信息公开审核、保密安全制度，要求遵循“谁公开、谁负责”和“先审查、后公开”的原则，对拟公开的信息均应进行逐级审核，确保内容准确、表述规范，可公开，做到全程留痕、有据可查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24" w:firstLineChars="200"/>
        <w:jc w:val="left"/>
        <w:textAlignment w:val="auto"/>
        <w:rPr>
          <w:rFonts w:hint="eastAsia" w:ascii="方正仿宋_GB18030" w:hAnsi="方正仿宋_GB18030" w:eastAsia="方正仿宋_GB18030" w:cs="方正仿宋_GB18030"/>
          <w:spacing w:val="-4"/>
          <w:sz w:val="32"/>
          <w:szCs w:val="32"/>
          <w:lang w:val="en-US" w:eastAsia="zh-CN"/>
        </w:rPr>
      </w:pPr>
      <w:r>
        <w:rPr>
          <w:rFonts w:hint="eastAsia" w:ascii="方正仿宋_GB18030" w:hAnsi="方正仿宋_GB18030" w:eastAsia="方正仿宋_GB18030" w:cs="方正仿宋_GB18030"/>
          <w:spacing w:val="-4"/>
          <w:sz w:val="32"/>
          <w:szCs w:val="32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b/>
          <w:bCs/>
          <w:spacing w:val="-4"/>
          <w:sz w:val="32"/>
          <w:szCs w:val="32"/>
          <w:lang w:val="en-US" w:eastAsia="zh-CN"/>
        </w:rPr>
        <w:t>（四）政府信息公开平台建设情况</w:t>
      </w:r>
      <w:r>
        <w:rPr>
          <w:rFonts w:hint="eastAsia" w:ascii="方正仿宋_GB18030" w:hAnsi="方正仿宋_GB18030" w:eastAsia="方正仿宋_GB18030" w:cs="方正仿宋_GB18030"/>
          <w:spacing w:val="-4"/>
          <w:sz w:val="32"/>
          <w:szCs w:val="32"/>
          <w:lang w:val="en-US" w:eastAsia="zh-CN"/>
        </w:rPr>
        <w:t>。一是及时更新网站平台的维护、更新，配合做好上级评估和审查。2021年上级检测评估，未发现重大问题。二是及时调整政务公开目录。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24" w:firstLineChars="200"/>
        <w:jc w:val="left"/>
        <w:textAlignment w:val="auto"/>
        <w:rPr>
          <w:rFonts w:hint="eastAsia" w:ascii="方正仿宋_GB18030" w:hAnsi="方正仿宋_GB18030" w:eastAsia="方正仿宋_GB18030" w:cs="方正仿宋_GB18030"/>
          <w:spacing w:val="-4"/>
          <w:sz w:val="32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pacing w:val="-4"/>
          <w:sz w:val="32"/>
          <w:szCs w:val="32"/>
          <w:lang w:val="en-US" w:eastAsia="zh-CN"/>
        </w:rPr>
        <w:t>（五）监督保障情况</w:t>
      </w:r>
      <w:r>
        <w:rPr>
          <w:rFonts w:hint="eastAsia" w:ascii="方正仿宋_GB18030" w:hAnsi="方正仿宋_GB18030" w:eastAsia="方正仿宋_GB18030" w:cs="方正仿宋_GB18030"/>
          <w:spacing w:val="-4"/>
          <w:sz w:val="32"/>
          <w:szCs w:val="32"/>
          <w:lang w:val="en-US" w:eastAsia="zh-CN"/>
        </w:rPr>
        <w:t>。多渠道监督。坚持内部监督和社会监督相结合体系，对外公布投诉举报电话，推进人民群众监督和舆论监督，及时反馈群众呼声。</w:t>
      </w:r>
    </w:p>
    <w:p>
      <w:pPr>
        <w:ind w:firstLine="680" w:firstLineChars="200"/>
        <w:jc w:val="both"/>
        <w:rPr>
          <w:rFonts w:hint="default" w:ascii="方正黑体简体" w:hAnsi="方正黑体简体" w:eastAsia="方正黑体简体" w:cs="方正黑体简体"/>
          <w:b w:val="0"/>
          <w:bCs w:val="0"/>
          <w:color w:val="000000"/>
          <w:kern w:val="0"/>
          <w:sz w:val="34"/>
          <w:szCs w:val="34"/>
        </w:rPr>
      </w:pPr>
      <w:r>
        <w:rPr>
          <w:rFonts w:hint="default" w:ascii="方正黑体简体" w:hAnsi="方正黑体简体" w:eastAsia="方正黑体简体" w:cs="方正黑体简体"/>
          <w:b w:val="0"/>
          <w:bCs w:val="0"/>
          <w:color w:val="000000"/>
          <w:kern w:val="0"/>
          <w:sz w:val="34"/>
          <w:szCs w:val="34"/>
        </w:rPr>
        <w:t>二、主动公开政府信息情况</w:t>
      </w:r>
    </w:p>
    <w:tbl>
      <w:tblPr>
        <w:tblStyle w:val="4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/>
                <w:kern w:val="0"/>
                <w:sz w:val="28"/>
                <w:szCs w:val="28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  <w:t>本年制发件数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  <w:t>现行有效件数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书宋简体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书宋简体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书宋简体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kern w:val="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书宋简体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书宋简体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书宋简体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kern w:val="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方正黑体简体" w:hAnsi="方正黑体简体" w:eastAsia="方正黑体简体" w:cs="方正黑体简体"/>
                <w:color w:val="000000"/>
                <w:kern w:val="0"/>
                <w:sz w:val="28"/>
                <w:szCs w:val="28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方正黑体简体" w:hAnsi="方正黑体简体" w:eastAsia="方正黑体简体" w:cs="方正黑体简体"/>
                <w:color w:val="000000"/>
                <w:kern w:val="0"/>
                <w:sz w:val="28"/>
                <w:szCs w:val="28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书宋简体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kern w:val="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书宋简体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kern w:val="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方正黑体简体" w:hAnsi="方正黑体简体" w:eastAsia="方正黑体简体" w:cs="方正黑体简体"/>
                <w:color w:val="000000"/>
                <w:kern w:val="0"/>
                <w:sz w:val="28"/>
                <w:szCs w:val="28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</w:tr>
    </w:tbl>
    <w:p>
      <w:pPr>
        <w:ind w:firstLine="680" w:firstLineChars="200"/>
        <w:jc w:val="both"/>
        <w:rPr>
          <w:rFonts w:ascii="Times New Roman"/>
          <w:b/>
          <w:bCs/>
          <w:color w:val="000000"/>
          <w:kern w:val="0"/>
          <w:sz w:val="34"/>
          <w:szCs w:val="34"/>
        </w:rPr>
      </w:pPr>
    </w:p>
    <w:p>
      <w:pPr>
        <w:ind w:firstLine="680" w:firstLineChars="200"/>
        <w:jc w:val="both"/>
        <w:rPr>
          <w:rFonts w:hint="eastAsia" w:ascii="方正黑体简体" w:hAnsi="方正黑体简体" w:eastAsia="方正黑体简体" w:cs="方正黑体简体"/>
          <w:b w:val="0"/>
          <w:bCs w:val="0"/>
          <w:color w:val="000000"/>
          <w:kern w:val="0"/>
          <w:sz w:val="34"/>
          <w:szCs w:val="34"/>
        </w:rPr>
      </w:pPr>
      <w:r>
        <w:rPr>
          <w:rFonts w:hint="eastAsia" w:ascii="方正黑体简体" w:hAnsi="方正黑体简体" w:eastAsia="方正黑体简体" w:cs="方正黑体简体"/>
          <w:b w:val="0"/>
          <w:bCs w:val="0"/>
          <w:color w:val="000000"/>
          <w:kern w:val="0"/>
          <w:sz w:val="34"/>
          <w:szCs w:val="34"/>
        </w:rPr>
        <w:t>三、收到和处理政府信息公开申请情况</w:t>
      </w:r>
    </w:p>
    <w:p>
      <w:pPr>
        <w:pStyle w:val="3"/>
        <w:widowControl/>
        <w:shd w:val="clear" w:color="auto" w:fill="FFFFFF"/>
        <w:spacing w:before="0" w:beforeAutospacing="0" w:after="0" w:afterAutospacing="0"/>
        <w:ind w:firstLine="420"/>
        <w:jc w:val="both"/>
        <w:rPr>
          <w:rFonts w:ascii="宋体" w:hAnsi="宋体" w:eastAsia="宋体" w:cs="宋体"/>
          <w:color w:val="000000"/>
          <w:szCs w:val="24"/>
        </w:rPr>
      </w:pPr>
    </w:p>
    <w:tbl>
      <w:tblPr>
        <w:tblStyle w:val="4"/>
        <w:tblW w:w="97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5"/>
        <w:gridCol w:w="941"/>
        <w:gridCol w:w="3358"/>
        <w:gridCol w:w="539"/>
        <w:gridCol w:w="686"/>
        <w:gridCol w:w="686"/>
        <w:gridCol w:w="687"/>
        <w:gridCol w:w="686"/>
        <w:gridCol w:w="686"/>
        <w:gridCol w:w="6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  <w:tblHeader/>
          <w:jc w:val="center"/>
        </w:trPr>
        <w:tc>
          <w:tcPr>
            <w:tcW w:w="5064" w:type="dxa"/>
            <w:gridSpan w:val="3"/>
            <w:vMerge w:val="restar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color w:val="000000"/>
                <w:sz w:val="28"/>
                <w:szCs w:val="28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/>
                <w:kern w:val="0"/>
                <w:sz w:val="28"/>
                <w:szCs w:val="28"/>
              </w:rPr>
              <w:t>（本列数据的勾稽关系为：第一项加第二项之和，等于第三项加第四项之和）</w:t>
            </w:r>
          </w:p>
        </w:tc>
        <w:tc>
          <w:tcPr>
            <w:tcW w:w="4656" w:type="dxa"/>
            <w:gridSpan w:val="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color w:val="000000"/>
                <w:sz w:val="28"/>
                <w:szCs w:val="28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/>
                <w:kern w:val="0"/>
                <w:sz w:val="28"/>
                <w:szCs w:val="28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  <w:tblHeader/>
          <w:jc w:val="center"/>
        </w:trPr>
        <w:tc>
          <w:tcPr>
            <w:tcW w:w="5064" w:type="dxa"/>
            <w:gridSpan w:val="3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color w:val="000000"/>
                <w:sz w:val="28"/>
                <w:szCs w:val="28"/>
              </w:rPr>
            </w:pPr>
          </w:p>
        </w:tc>
        <w:tc>
          <w:tcPr>
            <w:tcW w:w="539" w:type="dxa"/>
            <w:vMerge w:val="restar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color w:val="000000"/>
                <w:sz w:val="28"/>
                <w:szCs w:val="28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/>
                <w:kern w:val="0"/>
                <w:sz w:val="28"/>
                <w:szCs w:val="28"/>
              </w:rPr>
              <w:t>自然人</w:t>
            </w:r>
          </w:p>
        </w:tc>
        <w:tc>
          <w:tcPr>
            <w:tcW w:w="3431" w:type="dxa"/>
            <w:gridSpan w:val="5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color w:val="000000"/>
                <w:sz w:val="28"/>
                <w:szCs w:val="28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/>
                <w:kern w:val="0"/>
                <w:sz w:val="28"/>
                <w:szCs w:val="28"/>
              </w:rPr>
              <w:t>法人或其他组织</w:t>
            </w:r>
          </w:p>
        </w:tc>
        <w:tc>
          <w:tcPr>
            <w:tcW w:w="686" w:type="dxa"/>
            <w:vMerge w:val="restar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color w:val="000000"/>
                <w:sz w:val="28"/>
                <w:szCs w:val="28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/>
                <w:kern w:val="0"/>
                <w:sz w:val="28"/>
                <w:szCs w:val="28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8" w:hRule="atLeast"/>
          <w:tblHeader/>
          <w:jc w:val="center"/>
        </w:trPr>
        <w:tc>
          <w:tcPr>
            <w:tcW w:w="5064" w:type="dxa"/>
            <w:gridSpan w:val="3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</w:p>
        </w:tc>
        <w:tc>
          <w:tcPr>
            <w:tcW w:w="539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</w:p>
        </w:tc>
        <w:tc>
          <w:tcPr>
            <w:tcW w:w="68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color w:val="000000"/>
                <w:sz w:val="28"/>
                <w:szCs w:val="28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/>
                <w:kern w:val="0"/>
                <w:sz w:val="28"/>
                <w:szCs w:val="28"/>
              </w:rPr>
              <w:t>商业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color w:val="000000"/>
                <w:sz w:val="28"/>
                <w:szCs w:val="28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/>
                <w:kern w:val="0"/>
                <w:sz w:val="28"/>
                <w:szCs w:val="28"/>
              </w:rPr>
              <w:t>企业</w:t>
            </w:r>
          </w:p>
        </w:tc>
        <w:tc>
          <w:tcPr>
            <w:tcW w:w="68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color w:val="000000"/>
                <w:sz w:val="28"/>
                <w:szCs w:val="28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/>
                <w:kern w:val="0"/>
                <w:sz w:val="28"/>
                <w:szCs w:val="28"/>
              </w:rPr>
              <w:t>科研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color w:val="000000"/>
                <w:sz w:val="28"/>
                <w:szCs w:val="28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/>
                <w:kern w:val="0"/>
                <w:sz w:val="28"/>
                <w:szCs w:val="28"/>
              </w:rPr>
              <w:t>机构</w:t>
            </w:r>
          </w:p>
        </w:tc>
        <w:tc>
          <w:tcPr>
            <w:tcW w:w="687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color w:val="000000"/>
                <w:sz w:val="28"/>
                <w:szCs w:val="28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/>
                <w:kern w:val="0"/>
                <w:sz w:val="28"/>
                <w:szCs w:val="28"/>
              </w:rPr>
              <w:t>社会公益组织</w:t>
            </w:r>
          </w:p>
        </w:tc>
        <w:tc>
          <w:tcPr>
            <w:tcW w:w="68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color w:val="000000"/>
                <w:sz w:val="28"/>
                <w:szCs w:val="28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/>
                <w:kern w:val="0"/>
                <w:sz w:val="28"/>
                <w:szCs w:val="28"/>
              </w:rPr>
              <w:t>法律服务机构</w:t>
            </w:r>
          </w:p>
        </w:tc>
        <w:tc>
          <w:tcPr>
            <w:tcW w:w="68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color w:val="000000"/>
                <w:sz w:val="28"/>
                <w:szCs w:val="28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/>
                <w:kern w:val="0"/>
                <w:sz w:val="28"/>
                <w:szCs w:val="28"/>
              </w:rPr>
              <w:t>其他</w:t>
            </w:r>
          </w:p>
        </w:tc>
        <w:tc>
          <w:tcPr>
            <w:tcW w:w="686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  <w:jc w:val="center"/>
        </w:trPr>
        <w:tc>
          <w:tcPr>
            <w:tcW w:w="5064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  <w:t>一、本年新收政府信息公开申请数量</w:t>
            </w:r>
          </w:p>
        </w:tc>
        <w:tc>
          <w:tcPr>
            <w:tcW w:w="53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7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  <w:jc w:val="center"/>
        </w:trPr>
        <w:tc>
          <w:tcPr>
            <w:tcW w:w="5064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  <w:t>二、上年结转政府信息公开申请数量</w:t>
            </w:r>
          </w:p>
        </w:tc>
        <w:tc>
          <w:tcPr>
            <w:tcW w:w="53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7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  <w:jc w:val="center"/>
        </w:trPr>
        <w:tc>
          <w:tcPr>
            <w:tcW w:w="765" w:type="dxa"/>
            <w:vMerge w:val="restar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  <w:t>三、本年度办理结果</w:t>
            </w:r>
          </w:p>
        </w:tc>
        <w:tc>
          <w:tcPr>
            <w:tcW w:w="4299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  <w:t>（一）予以公开</w:t>
            </w:r>
          </w:p>
        </w:tc>
        <w:tc>
          <w:tcPr>
            <w:tcW w:w="53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7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0" w:hRule="atLeast"/>
          <w:jc w:val="center"/>
        </w:trPr>
        <w:tc>
          <w:tcPr>
            <w:tcW w:w="765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</w:p>
        </w:tc>
        <w:tc>
          <w:tcPr>
            <w:tcW w:w="4299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  <w:t>（二）部分公开（区分处理的，只计这一情形，不计其他情形）</w:t>
            </w:r>
          </w:p>
        </w:tc>
        <w:tc>
          <w:tcPr>
            <w:tcW w:w="53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7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  <w:jc w:val="center"/>
        </w:trPr>
        <w:tc>
          <w:tcPr>
            <w:tcW w:w="765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</w:p>
        </w:tc>
        <w:tc>
          <w:tcPr>
            <w:tcW w:w="941" w:type="dxa"/>
            <w:vMerge w:val="restar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  <w:t>（三）不予公开</w:t>
            </w:r>
          </w:p>
        </w:tc>
        <w:tc>
          <w:tcPr>
            <w:tcW w:w="335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  <w:t>1.属于国家秘密</w:t>
            </w:r>
          </w:p>
        </w:tc>
        <w:tc>
          <w:tcPr>
            <w:tcW w:w="53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7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0" w:hRule="atLeast"/>
          <w:jc w:val="center"/>
        </w:trPr>
        <w:tc>
          <w:tcPr>
            <w:tcW w:w="765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</w:p>
        </w:tc>
        <w:tc>
          <w:tcPr>
            <w:tcW w:w="941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</w:p>
        </w:tc>
        <w:tc>
          <w:tcPr>
            <w:tcW w:w="335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  <w:t>2.其他法律行政法规禁止公开</w:t>
            </w:r>
          </w:p>
        </w:tc>
        <w:tc>
          <w:tcPr>
            <w:tcW w:w="53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7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  <w:jc w:val="center"/>
        </w:trPr>
        <w:tc>
          <w:tcPr>
            <w:tcW w:w="765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</w:p>
        </w:tc>
        <w:tc>
          <w:tcPr>
            <w:tcW w:w="941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</w:p>
        </w:tc>
        <w:tc>
          <w:tcPr>
            <w:tcW w:w="335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  <w:t>3.危及“三安全一稳定”</w:t>
            </w:r>
          </w:p>
        </w:tc>
        <w:tc>
          <w:tcPr>
            <w:tcW w:w="53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7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  <w:jc w:val="center"/>
        </w:trPr>
        <w:tc>
          <w:tcPr>
            <w:tcW w:w="765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</w:p>
        </w:tc>
        <w:tc>
          <w:tcPr>
            <w:tcW w:w="941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</w:p>
        </w:tc>
        <w:tc>
          <w:tcPr>
            <w:tcW w:w="335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  <w:t>4.保护第三方合法权益</w:t>
            </w:r>
          </w:p>
        </w:tc>
        <w:tc>
          <w:tcPr>
            <w:tcW w:w="53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7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  <w:jc w:val="center"/>
        </w:trPr>
        <w:tc>
          <w:tcPr>
            <w:tcW w:w="765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</w:p>
        </w:tc>
        <w:tc>
          <w:tcPr>
            <w:tcW w:w="941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</w:p>
        </w:tc>
        <w:tc>
          <w:tcPr>
            <w:tcW w:w="335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  <w:t>5.属于三类内部事务信息</w:t>
            </w:r>
          </w:p>
        </w:tc>
        <w:tc>
          <w:tcPr>
            <w:tcW w:w="53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7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  <w:jc w:val="center"/>
        </w:trPr>
        <w:tc>
          <w:tcPr>
            <w:tcW w:w="765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</w:p>
        </w:tc>
        <w:tc>
          <w:tcPr>
            <w:tcW w:w="941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</w:p>
        </w:tc>
        <w:tc>
          <w:tcPr>
            <w:tcW w:w="335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  <w:t>6.属于四类过程性信息</w:t>
            </w:r>
          </w:p>
        </w:tc>
        <w:tc>
          <w:tcPr>
            <w:tcW w:w="53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7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  <w:jc w:val="center"/>
        </w:trPr>
        <w:tc>
          <w:tcPr>
            <w:tcW w:w="765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</w:p>
        </w:tc>
        <w:tc>
          <w:tcPr>
            <w:tcW w:w="941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</w:p>
        </w:tc>
        <w:tc>
          <w:tcPr>
            <w:tcW w:w="335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  <w:t>7.属于行政执法案卷</w:t>
            </w:r>
          </w:p>
        </w:tc>
        <w:tc>
          <w:tcPr>
            <w:tcW w:w="53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7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  <w:jc w:val="center"/>
        </w:trPr>
        <w:tc>
          <w:tcPr>
            <w:tcW w:w="765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</w:p>
        </w:tc>
        <w:tc>
          <w:tcPr>
            <w:tcW w:w="941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</w:p>
        </w:tc>
        <w:tc>
          <w:tcPr>
            <w:tcW w:w="335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  <w:t>8.属于行政查询事项</w:t>
            </w:r>
          </w:p>
        </w:tc>
        <w:tc>
          <w:tcPr>
            <w:tcW w:w="53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7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0" w:hRule="atLeast"/>
          <w:jc w:val="center"/>
        </w:trPr>
        <w:tc>
          <w:tcPr>
            <w:tcW w:w="765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</w:p>
        </w:tc>
        <w:tc>
          <w:tcPr>
            <w:tcW w:w="941" w:type="dxa"/>
            <w:vMerge w:val="restar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  <w:t>（四）无法提供</w:t>
            </w:r>
          </w:p>
        </w:tc>
        <w:tc>
          <w:tcPr>
            <w:tcW w:w="335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  <w:t>1.本机关不掌握相关政府信息</w:t>
            </w:r>
          </w:p>
        </w:tc>
        <w:tc>
          <w:tcPr>
            <w:tcW w:w="53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7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0" w:hRule="atLeast"/>
          <w:jc w:val="center"/>
        </w:trPr>
        <w:tc>
          <w:tcPr>
            <w:tcW w:w="765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</w:p>
        </w:tc>
        <w:tc>
          <w:tcPr>
            <w:tcW w:w="941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</w:p>
        </w:tc>
        <w:tc>
          <w:tcPr>
            <w:tcW w:w="335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  <w:t>2.没有现成信息需要另行制作</w:t>
            </w:r>
          </w:p>
        </w:tc>
        <w:tc>
          <w:tcPr>
            <w:tcW w:w="53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7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0" w:hRule="atLeast"/>
          <w:jc w:val="center"/>
        </w:trPr>
        <w:tc>
          <w:tcPr>
            <w:tcW w:w="765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</w:p>
        </w:tc>
        <w:tc>
          <w:tcPr>
            <w:tcW w:w="941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</w:p>
        </w:tc>
        <w:tc>
          <w:tcPr>
            <w:tcW w:w="335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  <w:t>3.补正后申请内容仍不明确</w:t>
            </w:r>
          </w:p>
        </w:tc>
        <w:tc>
          <w:tcPr>
            <w:tcW w:w="53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7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  <w:jc w:val="center"/>
        </w:trPr>
        <w:tc>
          <w:tcPr>
            <w:tcW w:w="765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</w:p>
        </w:tc>
        <w:tc>
          <w:tcPr>
            <w:tcW w:w="941" w:type="dxa"/>
            <w:vMerge w:val="restar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  <w:t>（五）不予处理</w:t>
            </w:r>
          </w:p>
        </w:tc>
        <w:tc>
          <w:tcPr>
            <w:tcW w:w="335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  <w:t>1.信访举报投诉类申请</w:t>
            </w:r>
          </w:p>
        </w:tc>
        <w:tc>
          <w:tcPr>
            <w:tcW w:w="53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7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  <w:jc w:val="center"/>
        </w:trPr>
        <w:tc>
          <w:tcPr>
            <w:tcW w:w="765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</w:p>
        </w:tc>
        <w:tc>
          <w:tcPr>
            <w:tcW w:w="941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</w:p>
        </w:tc>
        <w:tc>
          <w:tcPr>
            <w:tcW w:w="335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  <w:t>2.重复申请</w:t>
            </w:r>
          </w:p>
        </w:tc>
        <w:tc>
          <w:tcPr>
            <w:tcW w:w="53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7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  <w:jc w:val="center"/>
        </w:trPr>
        <w:tc>
          <w:tcPr>
            <w:tcW w:w="765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</w:p>
        </w:tc>
        <w:tc>
          <w:tcPr>
            <w:tcW w:w="941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</w:p>
        </w:tc>
        <w:tc>
          <w:tcPr>
            <w:tcW w:w="335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  <w:t>3.要求提供公开出版物</w:t>
            </w:r>
          </w:p>
        </w:tc>
        <w:tc>
          <w:tcPr>
            <w:tcW w:w="53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7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0" w:hRule="atLeast"/>
          <w:jc w:val="center"/>
        </w:trPr>
        <w:tc>
          <w:tcPr>
            <w:tcW w:w="765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</w:p>
        </w:tc>
        <w:tc>
          <w:tcPr>
            <w:tcW w:w="941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</w:p>
        </w:tc>
        <w:tc>
          <w:tcPr>
            <w:tcW w:w="335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  <w:t>4.无正当理由大量反复申请</w:t>
            </w:r>
          </w:p>
        </w:tc>
        <w:tc>
          <w:tcPr>
            <w:tcW w:w="53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7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0" w:hRule="atLeast"/>
          <w:jc w:val="center"/>
        </w:trPr>
        <w:tc>
          <w:tcPr>
            <w:tcW w:w="765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</w:p>
        </w:tc>
        <w:tc>
          <w:tcPr>
            <w:tcW w:w="941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</w:p>
        </w:tc>
        <w:tc>
          <w:tcPr>
            <w:tcW w:w="335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  <w:t>5.要求行政机关确认或重新出具已获取信息</w:t>
            </w:r>
          </w:p>
        </w:tc>
        <w:tc>
          <w:tcPr>
            <w:tcW w:w="53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7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4" w:hRule="atLeast"/>
          <w:jc w:val="center"/>
        </w:trPr>
        <w:tc>
          <w:tcPr>
            <w:tcW w:w="765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</w:p>
        </w:tc>
        <w:tc>
          <w:tcPr>
            <w:tcW w:w="941" w:type="dxa"/>
            <w:vMerge w:val="restar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  <w:t>（六）其他处理</w:t>
            </w:r>
          </w:p>
        </w:tc>
        <w:tc>
          <w:tcPr>
            <w:tcW w:w="335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  <w:t>1.申请人无正当理由逾期不补正、行政机关不再处理其政府信息公开申请</w:t>
            </w:r>
          </w:p>
        </w:tc>
        <w:tc>
          <w:tcPr>
            <w:tcW w:w="53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7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9" w:hRule="atLeast"/>
          <w:jc w:val="center"/>
        </w:trPr>
        <w:tc>
          <w:tcPr>
            <w:tcW w:w="765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</w:p>
        </w:tc>
        <w:tc>
          <w:tcPr>
            <w:tcW w:w="941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</w:p>
        </w:tc>
        <w:tc>
          <w:tcPr>
            <w:tcW w:w="335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  <w:t>2.申请人逾期未按收费通知要求缴纳费用、行政机关不再处理其政府信息公开申请</w:t>
            </w:r>
          </w:p>
        </w:tc>
        <w:tc>
          <w:tcPr>
            <w:tcW w:w="53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7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  <w:jc w:val="center"/>
        </w:trPr>
        <w:tc>
          <w:tcPr>
            <w:tcW w:w="765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</w:p>
        </w:tc>
        <w:tc>
          <w:tcPr>
            <w:tcW w:w="941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</w:p>
        </w:tc>
        <w:tc>
          <w:tcPr>
            <w:tcW w:w="335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  <w:t>3.其他</w:t>
            </w:r>
          </w:p>
        </w:tc>
        <w:tc>
          <w:tcPr>
            <w:tcW w:w="53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7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  <w:jc w:val="center"/>
        </w:trPr>
        <w:tc>
          <w:tcPr>
            <w:tcW w:w="765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</w:p>
        </w:tc>
        <w:tc>
          <w:tcPr>
            <w:tcW w:w="4299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  <w:t>（七）总计</w:t>
            </w:r>
          </w:p>
        </w:tc>
        <w:tc>
          <w:tcPr>
            <w:tcW w:w="53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7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  <w:jc w:val="center"/>
        </w:trPr>
        <w:tc>
          <w:tcPr>
            <w:tcW w:w="5064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  <w:t>四、结转下年度继续办理</w:t>
            </w:r>
          </w:p>
        </w:tc>
        <w:tc>
          <w:tcPr>
            <w:tcW w:w="53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7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</w:tr>
    </w:tbl>
    <w:p>
      <w:pPr>
        <w:widowControl/>
        <w:shd w:val="clear" w:color="auto" w:fill="FFFFFF"/>
        <w:jc w:val="center"/>
        <w:rPr>
          <w:rFonts w:ascii="宋体" w:hAnsi="宋体" w:eastAsia="宋体" w:cs="宋体"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80" w:firstLineChars="200"/>
        <w:jc w:val="both"/>
        <w:textAlignment w:val="auto"/>
        <w:rPr>
          <w:rFonts w:hint="eastAsia" w:ascii="方正黑体简体" w:hAnsi="方正黑体简体" w:eastAsia="方正黑体简体" w:cs="方正黑体简体"/>
          <w:b w:val="0"/>
          <w:bCs w:val="0"/>
          <w:color w:val="000000"/>
          <w:kern w:val="0"/>
          <w:sz w:val="34"/>
          <w:szCs w:val="34"/>
        </w:rPr>
      </w:pPr>
      <w:r>
        <w:rPr>
          <w:rFonts w:hint="eastAsia" w:ascii="方正黑体简体" w:hAnsi="方正黑体简体" w:eastAsia="方正黑体简体" w:cs="方正黑体简体"/>
          <w:b w:val="0"/>
          <w:bCs w:val="0"/>
          <w:color w:val="000000"/>
          <w:kern w:val="0"/>
          <w:sz w:val="34"/>
          <w:szCs w:val="34"/>
        </w:rPr>
        <w:br w:type="page"/>
      </w:r>
      <w:r>
        <w:rPr>
          <w:rFonts w:hint="eastAsia" w:ascii="方正黑体简体" w:hAnsi="方正黑体简体" w:eastAsia="方正黑体简体" w:cs="方正黑体简体"/>
          <w:b w:val="0"/>
          <w:bCs w:val="0"/>
          <w:color w:val="000000"/>
          <w:kern w:val="0"/>
          <w:sz w:val="34"/>
          <w:szCs w:val="34"/>
        </w:rPr>
        <w:t>四、政府信息公开行政复议、行政诉讼情况</w:t>
      </w:r>
    </w:p>
    <w:p>
      <w:pPr>
        <w:widowControl/>
        <w:shd w:val="clear" w:color="auto" w:fill="FFFFFF"/>
        <w:jc w:val="center"/>
        <w:rPr>
          <w:rFonts w:ascii="宋体" w:hAnsi="宋体" w:eastAsia="宋体" w:cs="宋体"/>
          <w:color w:val="000000"/>
          <w:sz w:val="24"/>
          <w:szCs w:val="24"/>
        </w:rPr>
      </w:pPr>
    </w:p>
    <w:tbl>
      <w:tblPr>
        <w:tblStyle w:val="4"/>
        <w:tblW w:w="9519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3"/>
        <w:gridCol w:w="635"/>
        <w:gridCol w:w="632"/>
        <w:gridCol w:w="633"/>
        <w:gridCol w:w="637"/>
        <w:gridCol w:w="633"/>
        <w:gridCol w:w="635"/>
        <w:gridCol w:w="633"/>
        <w:gridCol w:w="635"/>
        <w:gridCol w:w="638"/>
        <w:gridCol w:w="636"/>
        <w:gridCol w:w="635"/>
        <w:gridCol w:w="635"/>
        <w:gridCol w:w="635"/>
        <w:gridCol w:w="634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1" w:hRule="atLeast"/>
          <w:jc w:val="center"/>
        </w:trPr>
        <w:tc>
          <w:tcPr>
            <w:tcW w:w="317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/>
                <w:kern w:val="0"/>
                <w:sz w:val="28"/>
                <w:szCs w:val="28"/>
              </w:rPr>
              <w:t>行政复议</w:t>
            </w:r>
          </w:p>
        </w:tc>
        <w:tc>
          <w:tcPr>
            <w:tcW w:w="6349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/>
                <w:kern w:val="0"/>
                <w:sz w:val="28"/>
                <w:szCs w:val="28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1" w:hRule="atLeast"/>
          <w:jc w:val="center"/>
        </w:trPr>
        <w:tc>
          <w:tcPr>
            <w:tcW w:w="63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  <w:t>结果维持</w:t>
            </w:r>
          </w:p>
        </w:tc>
        <w:tc>
          <w:tcPr>
            <w:tcW w:w="63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方正书宋简体" w:cs="Times New Roman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  <w:t>结果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  <w:t>纠正</w:t>
            </w:r>
          </w:p>
        </w:tc>
        <w:tc>
          <w:tcPr>
            <w:tcW w:w="63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方正书宋简体" w:cs="Times New Roman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  <w:t>其他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  <w:t>结果</w:t>
            </w:r>
          </w:p>
        </w:tc>
        <w:tc>
          <w:tcPr>
            <w:tcW w:w="63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方正书宋简体" w:cs="Times New Roman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  <w:t>尚未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  <w:t>审结</w:t>
            </w:r>
          </w:p>
        </w:tc>
        <w:tc>
          <w:tcPr>
            <w:tcW w:w="63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  <w:t>总计</w:t>
            </w:r>
          </w:p>
        </w:tc>
        <w:tc>
          <w:tcPr>
            <w:tcW w:w="31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  <w:t>未经复议直接起诉</w:t>
            </w:r>
          </w:p>
        </w:tc>
        <w:tc>
          <w:tcPr>
            <w:tcW w:w="317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0" w:hRule="atLeast"/>
          <w:jc w:val="center"/>
        </w:trPr>
        <w:tc>
          <w:tcPr>
            <w:tcW w:w="63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3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3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3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方正书宋简体" w:cs="Times New Roman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  <w:t>结果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  <w:t>维持</w:t>
            </w:r>
          </w:p>
        </w:tc>
        <w:tc>
          <w:tcPr>
            <w:tcW w:w="6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方正书宋简体" w:cs="Times New Roman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  <w:t>结果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  <w:t>纠正</w:t>
            </w:r>
          </w:p>
        </w:tc>
        <w:tc>
          <w:tcPr>
            <w:tcW w:w="6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方正书宋简体" w:cs="Times New Roman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  <w:t>其他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  <w:t>结果</w:t>
            </w:r>
          </w:p>
        </w:tc>
        <w:tc>
          <w:tcPr>
            <w:tcW w:w="6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方正书宋简体" w:cs="Times New Roman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  <w:t>尚未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  <w:t>审结</w:t>
            </w:r>
          </w:p>
        </w:tc>
        <w:tc>
          <w:tcPr>
            <w:tcW w:w="6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  <w:t>总计</w:t>
            </w:r>
          </w:p>
        </w:tc>
        <w:tc>
          <w:tcPr>
            <w:tcW w:w="6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方正书宋简体" w:cs="Times New Roman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  <w:t>结果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  <w:t>维持</w:t>
            </w:r>
          </w:p>
        </w:tc>
        <w:tc>
          <w:tcPr>
            <w:tcW w:w="6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方正书宋简体" w:cs="Times New Roman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  <w:t>结果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  <w:t>纠正</w:t>
            </w:r>
          </w:p>
        </w:tc>
        <w:tc>
          <w:tcPr>
            <w:tcW w:w="6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方正书宋简体" w:cs="Times New Roman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  <w:t>其他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  <w:t>结果</w:t>
            </w:r>
          </w:p>
        </w:tc>
        <w:tc>
          <w:tcPr>
            <w:tcW w:w="6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方正书宋简体" w:cs="Times New Roman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  <w:t>尚未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  <w:t>审结</w:t>
            </w:r>
          </w:p>
        </w:tc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0" w:hRule="atLeast"/>
          <w:jc w:val="center"/>
        </w:trPr>
        <w:tc>
          <w:tcPr>
            <w:tcW w:w="6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方正书宋简体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  <w:t> </w:t>
            </w:r>
            <w:r>
              <w:rPr>
                <w:rFonts w:hint="eastAsia" w:ascii="Times New Roman" w:hAnsi="Times New Roman" w:eastAsia="方正书宋简体" w:cs="Times New Roman"/>
                <w:color w:val="000000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kern w:val="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6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kern w:val="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6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方正书宋简体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  <w:t> </w:t>
            </w:r>
            <w:r>
              <w:rPr>
                <w:rFonts w:hint="eastAsia" w:ascii="Times New Roman" w:hAnsi="Times New Roman" w:eastAsia="方正书宋简体" w:cs="Times New Roman"/>
                <w:color w:val="000000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方正书宋简体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  <w:t> </w:t>
            </w:r>
            <w:r>
              <w:rPr>
                <w:rFonts w:hint="eastAsia" w:ascii="Times New Roman" w:hAnsi="Times New Roman" w:eastAsia="方正书宋简体" w:cs="Times New Roman"/>
                <w:color w:val="000000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方正书宋简体" w:cs="Times New Roman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kern w:val="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6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kern w:val="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6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kern w:val="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6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kern w:val="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方正书宋简体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  <w:t> </w:t>
            </w:r>
            <w:r>
              <w:rPr>
                <w:rFonts w:hint="eastAsia" w:ascii="Times New Roman" w:hAnsi="Times New Roman" w:eastAsia="方正书宋简体" w:cs="Times New Roman"/>
                <w:color w:val="000000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方正书宋简体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  <w:t> </w:t>
            </w:r>
            <w:r>
              <w:rPr>
                <w:rFonts w:hint="eastAsia" w:ascii="Times New Roman" w:hAnsi="Times New Roman" w:eastAsia="方正书宋简体" w:cs="Times New Roman"/>
                <w:color w:val="000000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kern w:val="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6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方正书宋简体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  <w:t> </w:t>
            </w:r>
            <w:r>
              <w:rPr>
                <w:rFonts w:hint="eastAsia" w:ascii="Times New Roman" w:hAnsi="Times New Roman" w:eastAsia="方正书宋简体" w:cs="Times New Roman"/>
                <w:color w:val="000000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方正书宋简体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kern w:val="0"/>
                <w:sz w:val="28"/>
                <w:szCs w:val="28"/>
                <w:lang w:val="en-US" w:eastAsia="zh-CN"/>
              </w:rPr>
              <w:t>0</w:t>
            </w:r>
          </w:p>
        </w:tc>
      </w:tr>
    </w:tbl>
    <w:p>
      <w:pPr>
        <w:spacing w:before="91" w:line="219" w:lineRule="auto"/>
        <w:rPr>
          <w:rFonts w:hint="eastAsia" w:ascii="黑体" w:hAnsi="黑体" w:eastAsia="黑体" w:cs="黑体"/>
          <w:spacing w:val="1"/>
          <w:sz w:val="44"/>
          <w:szCs w:val="44"/>
          <w:lang w:val="en-US" w:eastAsia="zh-CN"/>
        </w:rPr>
      </w:pPr>
    </w:p>
    <w:p>
      <w:pPr>
        <w:spacing w:before="91" w:line="219" w:lineRule="auto"/>
        <w:rPr>
          <w:rFonts w:hint="eastAsia" w:ascii="黑体" w:hAnsi="黑体" w:eastAsia="黑体" w:cs="黑体"/>
          <w:spacing w:val="1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pacing w:val="1"/>
          <w:sz w:val="44"/>
          <w:szCs w:val="44"/>
          <w:lang w:val="en-US" w:eastAsia="zh-CN"/>
        </w:rPr>
        <w:t>五、存在的主要问题及改进情况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right="0" w:firstLine="640" w:firstLineChars="200"/>
        <w:rPr>
          <w:rFonts w:hint="eastAsia" w:ascii="方正仿宋_GB18030" w:hAnsi="方正仿宋_GB18030" w:eastAsia="方正仿宋_GB18030" w:cs="方正仿宋_GB18030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方正仿宋_GB18030" w:hAnsi="方正仿宋_GB18030" w:eastAsia="方正仿宋_GB18030" w:cs="方正仿宋_GB18030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202</w:t>
      </w:r>
      <w:r>
        <w:rPr>
          <w:rFonts w:hint="eastAsia" w:ascii="方正仿宋_GB18030" w:hAnsi="方正仿宋_GB18030" w:eastAsia="方正仿宋_GB18030" w:cs="方正仿宋_GB1803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</w:t>
      </w:r>
      <w:r>
        <w:rPr>
          <w:rFonts w:hint="eastAsia" w:ascii="方正仿宋_GB18030" w:hAnsi="方正仿宋_GB18030" w:eastAsia="方正仿宋_GB18030" w:cs="方正仿宋_GB18030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年，我局政府信息公开工作取得了新的进展，但与公众需求还存在一些差距，</w:t>
      </w:r>
      <w:r>
        <w:rPr>
          <w:rFonts w:hint="eastAsia" w:ascii="方正仿宋_GB18030" w:hAnsi="方正仿宋_GB18030" w:eastAsia="方正仿宋_GB18030" w:cs="方正仿宋_GB1803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一方面</w:t>
      </w:r>
      <w:r>
        <w:rPr>
          <w:rFonts w:hint="eastAsia" w:ascii="方正仿宋_GB18030" w:hAnsi="方正仿宋_GB18030" w:eastAsia="方正仿宋_GB18030" w:cs="方正仿宋_GB18030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是各股室出台的政策性文件报送不及时，沟通配合不够紧密；</w:t>
      </w:r>
      <w:r>
        <w:rPr>
          <w:rFonts w:hint="eastAsia" w:ascii="方正仿宋_GB18030" w:hAnsi="方正仿宋_GB18030" w:eastAsia="方正仿宋_GB18030" w:cs="方正仿宋_GB1803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另一方面是</w:t>
      </w:r>
      <w:r>
        <w:rPr>
          <w:rFonts w:hint="eastAsia" w:ascii="方正仿宋_GB18030" w:hAnsi="方正仿宋_GB18030" w:eastAsia="方正仿宋_GB18030" w:cs="方正仿宋_GB18030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政府信息的解读形式比较单一，主要还是以文字分析、列数据为主，创新性、宣传性不强。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left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4"/>
          <w:szCs w:val="34"/>
        </w:rPr>
      </w:pPr>
      <w:r>
        <w:rPr>
          <w:rFonts w:hint="eastAsia" w:ascii="方正仿宋_GB18030" w:hAnsi="方正仿宋_GB18030" w:eastAsia="方正仿宋_GB18030" w:cs="方正仿宋_GB18030"/>
          <w:i w:val="0"/>
          <w:iCs w:val="0"/>
          <w:caps w:val="0"/>
          <w:color w:val="000000"/>
          <w:spacing w:val="0"/>
          <w:sz w:val="32"/>
          <w:szCs w:val="32"/>
          <w:highlight w:val="none"/>
          <w:shd w:val="clear" w:fill="FFFFFF"/>
        </w:rPr>
        <w:t>下一步，我单位将进一步完善政府信息公开管理制度，压实信息公开工作职责，强化</w:t>
      </w:r>
      <w:r>
        <w:rPr>
          <w:rFonts w:hint="eastAsia" w:ascii="方正仿宋_GB18030" w:hAnsi="方正仿宋_GB18030" w:eastAsia="方正仿宋_GB18030" w:cs="方正仿宋_GB18030"/>
          <w:i w:val="0"/>
          <w:iCs w:val="0"/>
          <w:caps w:val="0"/>
          <w:color w:val="000000"/>
          <w:spacing w:val="0"/>
          <w:sz w:val="32"/>
          <w:szCs w:val="32"/>
          <w:highlight w:val="none"/>
          <w:shd w:val="clear" w:fill="FFFFFF"/>
          <w:lang w:eastAsia="zh-CN"/>
        </w:rPr>
        <w:t>信息公开</w:t>
      </w:r>
      <w:r>
        <w:rPr>
          <w:rFonts w:hint="eastAsia" w:ascii="方正仿宋_GB18030" w:hAnsi="方正仿宋_GB18030" w:eastAsia="方正仿宋_GB18030" w:cs="方正仿宋_GB18030"/>
          <w:i w:val="0"/>
          <w:iCs w:val="0"/>
          <w:caps w:val="0"/>
          <w:color w:val="000000"/>
          <w:spacing w:val="0"/>
          <w:sz w:val="32"/>
          <w:szCs w:val="32"/>
          <w:highlight w:val="none"/>
          <w:shd w:val="clear" w:fill="FFFFFF"/>
        </w:rPr>
        <w:t>服务理念，努力提升</w:t>
      </w:r>
      <w:r>
        <w:rPr>
          <w:rFonts w:hint="eastAsia" w:ascii="方正仿宋_GB18030" w:hAnsi="方正仿宋_GB18030" w:eastAsia="方正仿宋_GB18030" w:cs="方正仿宋_GB18030"/>
          <w:i w:val="0"/>
          <w:iCs w:val="0"/>
          <w:caps w:val="0"/>
          <w:color w:val="000000"/>
          <w:spacing w:val="0"/>
          <w:sz w:val="32"/>
          <w:szCs w:val="32"/>
          <w:highlight w:val="none"/>
          <w:shd w:val="clear" w:fill="FFFFFF"/>
          <w:lang w:eastAsia="zh-CN"/>
        </w:rPr>
        <w:t>信息</w:t>
      </w:r>
      <w:r>
        <w:rPr>
          <w:rFonts w:hint="eastAsia" w:ascii="方正仿宋_GB18030" w:hAnsi="方正仿宋_GB18030" w:eastAsia="方正仿宋_GB18030" w:cs="方正仿宋_GB18030"/>
          <w:i w:val="0"/>
          <w:iCs w:val="0"/>
          <w:caps w:val="0"/>
          <w:color w:val="000000"/>
          <w:spacing w:val="0"/>
          <w:sz w:val="32"/>
          <w:szCs w:val="32"/>
          <w:highlight w:val="none"/>
          <w:shd w:val="clear" w:fill="FFFFFF"/>
        </w:rPr>
        <w:t>公开</w:t>
      </w:r>
      <w:r>
        <w:rPr>
          <w:rFonts w:hint="eastAsia" w:ascii="方正仿宋_GB18030" w:hAnsi="方正仿宋_GB18030" w:eastAsia="方正仿宋_GB18030" w:cs="方正仿宋_GB18030"/>
          <w:i w:val="0"/>
          <w:iCs w:val="0"/>
          <w:caps w:val="0"/>
          <w:color w:val="000000"/>
          <w:spacing w:val="0"/>
          <w:sz w:val="32"/>
          <w:szCs w:val="32"/>
          <w:highlight w:val="none"/>
          <w:shd w:val="clear" w:fill="FFFFFF"/>
          <w:lang w:eastAsia="zh-CN"/>
        </w:rPr>
        <w:t>能力</w:t>
      </w:r>
      <w:r>
        <w:rPr>
          <w:rFonts w:hint="eastAsia" w:ascii="方正仿宋_GB18030" w:hAnsi="方正仿宋_GB18030" w:eastAsia="方正仿宋_GB18030" w:cs="方正仿宋_GB18030"/>
          <w:i w:val="0"/>
          <w:iCs w:val="0"/>
          <w:caps w:val="0"/>
          <w:color w:val="000000"/>
          <w:spacing w:val="0"/>
          <w:sz w:val="32"/>
          <w:szCs w:val="32"/>
          <w:highlight w:val="none"/>
          <w:shd w:val="clear" w:fill="FFFFFF"/>
        </w:rPr>
        <w:t>水平。全面加强统计数据发布和解读</w:t>
      </w:r>
      <w:r>
        <w:rPr>
          <w:rFonts w:hint="eastAsia" w:ascii="方正仿宋_GB18030" w:hAnsi="方正仿宋_GB18030" w:eastAsia="方正仿宋_GB18030" w:cs="方正仿宋_GB18030"/>
          <w:i w:val="0"/>
          <w:iCs w:val="0"/>
          <w:caps w:val="0"/>
          <w:color w:val="000000"/>
          <w:spacing w:val="0"/>
          <w:sz w:val="32"/>
          <w:szCs w:val="32"/>
          <w:highlight w:val="none"/>
          <w:shd w:val="clear" w:fill="FFFFFF"/>
          <w:lang w:eastAsia="zh-CN"/>
        </w:rPr>
        <w:t>增加和优化信息发布方式，提高文件</w:t>
      </w:r>
      <w:r>
        <w:rPr>
          <w:rFonts w:hint="eastAsia" w:ascii="方正仿宋_GB18030" w:hAnsi="方正仿宋_GB18030" w:eastAsia="方正仿宋_GB18030" w:cs="方正仿宋_GB18030"/>
          <w:i w:val="0"/>
          <w:iCs w:val="0"/>
          <w:caps w:val="0"/>
          <w:color w:val="000000"/>
          <w:spacing w:val="0"/>
          <w:sz w:val="32"/>
          <w:szCs w:val="32"/>
          <w:highlight w:val="none"/>
          <w:shd w:val="clear" w:fill="FFFFFF"/>
        </w:rPr>
        <w:t>解读质量，</w:t>
      </w:r>
      <w:r>
        <w:rPr>
          <w:rFonts w:hint="eastAsia" w:ascii="方正仿宋_GB18030" w:hAnsi="方正仿宋_GB18030" w:eastAsia="方正仿宋_GB18030" w:cs="方正仿宋_GB18030"/>
          <w:i w:val="0"/>
          <w:iCs w:val="0"/>
          <w:caps w:val="0"/>
          <w:color w:val="000000"/>
          <w:spacing w:val="0"/>
          <w:sz w:val="32"/>
          <w:szCs w:val="32"/>
          <w:highlight w:val="none"/>
          <w:shd w:val="clear" w:fill="FFFFFF"/>
          <w:lang w:eastAsia="zh-CN"/>
        </w:rPr>
        <w:t>大力满足公民需求。</w:t>
      </w:r>
      <w:r>
        <w:rPr>
          <w:rFonts w:hint="eastAsia" w:ascii="方正仿宋_GB18030" w:hAnsi="方正仿宋_GB18030" w:eastAsia="方正仿宋_GB18030" w:cs="方正仿宋_GB18030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同时向先进单位学习经验，总结不足，拓展新思路，积极推进政务公开标准化、规范化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4"/>
          <w:szCs w:val="34"/>
          <w:shd w:val="clear" w:fill="FFFFFF"/>
        </w:rPr>
        <w:t>。</w:t>
      </w:r>
    </w:p>
    <w:p>
      <w:pPr>
        <w:spacing w:before="91" w:line="219" w:lineRule="auto"/>
        <w:rPr>
          <w:rFonts w:hint="eastAsia" w:ascii="黑体" w:hAnsi="黑体" w:eastAsia="黑体" w:cs="黑体"/>
          <w:spacing w:val="1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pacing w:val="1"/>
          <w:sz w:val="44"/>
          <w:szCs w:val="44"/>
          <w:lang w:val="en-US" w:eastAsia="zh-CN"/>
        </w:rPr>
        <w:t>六、</w:t>
      </w:r>
      <w:r>
        <w:rPr>
          <w:rFonts w:hint="eastAsia" w:ascii="黑体" w:hAnsi="黑体" w:eastAsia="黑体" w:cs="黑体"/>
          <w:spacing w:val="1"/>
          <w:sz w:val="44"/>
          <w:szCs w:val="44"/>
        </w:rPr>
        <w:t>其他需要报告的事项</w:t>
      </w:r>
      <w:r>
        <w:rPr>
          <w:rFonts w:hint="eastAsia" w:ascii="黑体" w:hAnsi="黑体" w:eastAsia="黑体" w:cs="黑体"/>
          <w:spacing w:val="1"/>
          <w:sz w:val="44"/>
          <w:szCs w:val="44"/>
          <w:lang w:val="en-US" w:eastAsia="zh-CN"/>
        </w:rPr>
        <w:t xml:space="preserve"> </w:t>
      </w:r>
    </w:p>
    <w:p>
      <w:pPr>
        <w:numPr>
          <w:ilvl w:val="0"/>
          <w:numId w:val="0"/>
        </w:numPr>
        <w:spacing w:before="243" w:line="222" w:lineRule="auto"/>
        <w:ind w:firstLine="640" w:firstLineChars="200"/>
        <w:outlineLvl w:val="0"/>
        <w:rPr>
          <w:rFonts w:hint="eastAsia" w:ascii="方正仿宋_GB18030" w:hAnsi="方正仿宋_GB18030" w:eastAsia="方正仿宋_GB18030" w:cs="方正仿宋_GB18030"/>
          <w:i w:val="0"/>
          <w:iCs w:val="0"/>
          <w:caps w:val="0"/>
          <w:snapToGrid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方正仿宋_GB18030" w:hAnsi="方正仿宋_GB18030" w:eastAsia="方正仿宋_GB18030" w:cs="方正仿宋_GB18030"/>
          <w:i w:val="0"/>
          <w:iCs w:val="0"/>
          <w:caps w:val="0"/>
          <w:snapToGrid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按照《国务院办公厅关于印发（政府信息公开信息处理费管理办法〉的通知》（国办函 （2020）109号）规定的按件、按量收费标准，本年度没有产生信息公开处理费。</w:t>
      </w:r>
    </w:p>
    <w:p>
      <w:pPr>
        <w:rPr>
          <w:rFonts w:hint="eastAsia" w:ascii="微软雅黑" w:hAnsi="微软雅黑" w:eastAsia="微软雅黑" w:cs="微软雅黑"/>
          <w:sz w:val="30"/>
          <w:szCs w:val="30"/>
        </w:rPr>
      </w:pPr>
    </w:p>
    <w:sectPr>
      <w:footerReference r:id="rId5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1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  <w:embedRegular r:id="rId1" w:fontKey="{80BA065B-D0EC-4101-87B4-C615166D4A3F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8321EBCC-538C-4C64-B995-9BDDCD7CF48A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  <w:embedRegular r:id="rId3" w:fontKey="{0BF270D6-DFD1-4A85-A942-6E323433FE17}"/>
  </w:font>
  <w:font w:name="方正仿宋_GB18030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4" w:fontKey="{FA6F42B9-BC90-4C57-9FC1-0CCBFAA9FBC9}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  <w:embedRegular r:id="rId5" w:fontKey="{EEC61360-189D-4BE1-A132-54C47F1F5186}"/>
  </w:font>
  <w:font w:name="方正书宋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  <w:embedRegular r:id="rId6" w:fontKey="{D7480C00-2EB8-4F1C-825D-E7B4E0907B95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dmNzM3YmY2YzIzZDViZTI4NzZlMGI5M2I4ZmU3YWQifQ=="/>
  </w:docVars>
  <w:rsids>
    <w:rsidRoot w:val="51D03C49"/>
    <w:rsid w:val="28793E20"/>
    <w:rsid w:val="2C1F4CDE"/>
    <w:rsid w:val="2E467A9E"/>
    <w:rsid w:val="321C2DD6"/>
    <w:rsid w:val="41055947"/>
    <w:rsid w:val="44BB27AC"/>
    <w:rsid w:val="4D5874F0"/>
    <w:rsid w:val="51D03C49"/>
    <w:rsid w:val="586006C9"/>
    <w:rsid w:val="64A45990"/>
    <w:rsid w:val="67A54D1E"/>
    <w:rsid w:val="6B2A6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customStyle="1" w:styleId="6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2307</Words>
  <Characters>2383</Characters>
  <Lines>0</Lines>
  <Paragraphs>0</Paragraphs>
  <TotalTime>29</TotalTime>
  <ScaleCrop>false</ScaleCrop>
  <LinksUpToDate>false</LinksUpToDate>
  <CharactersWithSpaces>2399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2023-01-28T00:12:00Z</dcterms:created>
  <dc:creator>WPS_1643167233</dc:creator>
  <cp:lastModifiedBy>Administrator</cp:lastModifiedBy>
  <dcterms:modified xsi:type="dcterms:W3CDTF">2023-01-31T08:40:18Z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C23A0540C34B47F1AB0709E926F13008</vt:lpwstr>
  </property>
</Properties>
</file>