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黑体简体" w:hAnsi="方正黑体简体" w:eastAsia="方正黑体简体" w:cs="方正黑体简体"/>
          <w:b w:val="0"/>
          <w:bCs w:val="0"/>
          <w:i w:val="0"/>
          <w:iCs w:val="0"/>
          <w:caps w:val="0"/>
          <w:color w:val="auto"/>
          <w:spacing w:val="0"/>
          <w:sz w:val="44"/>
          <w:szCs w:val="44"/>
          <w:bdr w:val="none" w:color="auto" w:sz="0" w:space="0"/>
          <w:shd w:val="clear" w:fill="FFFFFF"/>
        </w:rPr>
      </w:pPr>
      <w:r>
        <w:rPr>
          <w:rFonts w:hint="eastAsia" w:ascii="方正黑体简体" w:hAnsi="方正黑体简体" w:eastAsia="方正黑体简体" w:cs="方正黑体简体"/>
          <w:i w:val="0"/>
          <w:iCs w:val="0"/>
          <w:caps w:val="0"/>
          <w:color w:val="000000"/>
          <w:spacing w:val="0"/>
          <w:sz w:val="44"/>
          <w:szCs w:val="44"/>
          <w:bdr w:val="none" w:color="auto" w:sz="0" w:space="0"/>
          <w:shd w:val="clear" w:fill="FFFFFF"/>
        </w:rPr>
        <w:t> </w:t>
      </w:r>
      <w:r>
        <w:rPr>
          <w:rFonts w:hint="eastAsia" w:ascii="方正黑体简体" w:hAnsi="方正黑体简体" w:eastAsia="方正黑体简体" w:cs="方正黑体简体"/>
          <w:b w:val="0"/>
          <w:bCs w:val="0"/>
          <w:i w:val="0"/>
          <w:iCs w:val="0"/>
          <w:caps w:val="0"/>
          <w:color w:val="auto"/>
          <w:spacing w:val="0"/>
          <w:sz w:val="44"/>
          <w:szCs w:val="44"/>
          <w:bdr w:val="none" w:color="auto" w:sz="0" w:space="0"/>
          <w:shd w:val="clear" w:fill="FFFFFF"/>
        </w:rPr>
        <w:t>霍山县城市管理行政执法局2021年政府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黑体简体" w:hAnsi="方正黑体简体" w:eastAsia="方正黑体简体" w:cs="方正黑体简体"/>
          <w:b w:val="0"/>
          <w:bCs w:val="0"/>
          <w:i w:val="0"/>
          <w:iCs w:val="0"/>
          <w:caps w:val="0"/>
          <w:color w:val="auto"/>
          <w:spacing w:val="0"/>
          <w:sz w:val="44"/>
          <w:szCs w:val="44"/>
        </w:rPr>
      </w:pPr>
      <w:r>
        <w:rPr>
          <w:rFonts w:hint="eastAsia" w:ascii="方正黑体简体" w:hAnsi="方正黑体简体" w:eastAsia="方正黑体简体" w:cs="方正黑体简体"/>
          <w:b w:val="0"/>
          <w:bCs w:val="0"/>
          <w:i w:val="0"/>
          <w:iCs w:val="0"/>
          <w:caps w:val="0"/>
          <w:color w:val="auto"/>
          <w:spacing w:val="0"/>
          <w:sz w:val="44"/>
          <w:szCs w:val="44"/>
          <w:bdr w:val="none" w:color="auto" w:sz="0" w:space="0"/>
          <w:shd w:val="clear" w:fill="FFFFFF"/>
        </w:rPr>
        <w:t>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both"/>
        <w:rPr>
          <w:rFonts w:hint="eastAsia" w:ascii="宋体" w:hAnsi="宋体" w:eastAsia="宋体" w:cs="宋体"/>
          <w:i w:val="0"/>
          <w:iCs w:val="0"/>
          <w:caps w:val="0"/>
          <w:color w:val="auto"/>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firstLineChars="200"/>
        <w:jc w:val="both"/>
        <w:rPr>
          <w:rFonts w:ascii="Calibri" w:hAnsi="Calibri" w:cs="Calibri"/>
          <w:sz w:val="24"/>
          <w:szCs w:val="24"/>
        </w:rPr>
      </w:pPr>
      <w:r>
        <w:rPr>
          <w:rFonts w:ascii="方正仿宋简体" w:hAnsi="方正仿宋简体" w:eastAsia="方正仿宋简体" w:cs="方正仿宋简体"/>
          <w:i w:val="0"/>
          <w:iCs w:val="0"/>
          <w:caps w:val="0"/>
          <w:color w:val="000000"/>
          <w:spacing w:val="0"/>
          <w:sz w:val="34"/>
          <w:szCs w:val="34"/>
          <w:bdr w:val="none" w:color="auto" w:sz="0" w:space="0"/>
          <w:shd w:val="clear" w:fill="FFFFFF"/>
        </w:rPr>
        <w:t>本报告依据《中华人民共和国政府信息公开条例》（国务院令第</w:t>
      </w:r>
      <w:r>
        <w:rPr>
          <w:rFonts w:hint="default" w:ascii="Times New Roman" w:hAnsi="Times New Roman" w:eastAsia="宋体" w:cs="Times New Roman"/>
          <w:i w:val="0"/>
          <w:iCs w:val="0"/>
          <w:caps w:val="0"/>
          <w:color w:val="000000"/>
          <w:spacing w:val="0"/>
          <w:sz w:val="34"/>
          <w:szCs w:val="34"/>
          <w:bdr w:val="none" w:color="auto" w:sz="0" w:space="0"/>
          <w:shd w:val="clear" w:fill="FFFFFF"/>
        </w:rPr>
        <w:t>711</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号）、《国务院办公厅政府信息与政务公开办公室关于印发</w:t>
      </w:r>
      <w:r>
        <w:rPr>
          <w:rFonts w:hint="default" w:ascii="Times New Roman" w:hAnsi="Times New Roman" w:eastAsia="宋体" w:cs="Times New Roman"/>
          <w:i w:val="0"/>
          <w:iCs w:val="0"/>
          <w:caps w:val="0"/>
          <w:color w:val="000000"/>
          <w:spacing w:val="0"/>
          <w:sz w:val="34"/>
          <w:szCs w:val="34"/>
          <w:bdr w:val="none" w:color="auto" w:sz="0" w:space="0"/>
          <w:shd w:val="clear" w:fill="FFFFFF"/>
        </w:rPr>
        <w:t>&lt;</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中华人民共和国政府信息公开工作年度报告格式</w:t>
      </w:r>
      <w:r>
        <w:rPr>
          <w:rFonts w:hint="default" w:ascii="Times New Roman" w:hAnsi="Times New Roman" w:eastAsia="宋体" w:cs="Times New Roman"/>
          <w:i w:val="0"/>
          <w:iCs w:val="0"/>
          <w:caps w:val="0"/>
          <w:color w:val="000000"/>
          <w:spacing w:val="0"/>
          <w:sz w:val="34"/>
          <w:szCs w:val="34"/>
          <w:bdr w:val="none" w:color="auto" w:sz="0" w:space="0"/>
          <w:shd w:val="clear" w:fill="FFFFFF"/>
        </w:rPr>
        <w:t>&gt;</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的通知》（国办公开办函</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w:t>
      </w:r>
      <w:r>
        <w:rPr>
          <w:rFonts w:hint="default" w:ascii="Times New Roman" w:hAnsi="Times New Roman" w:eastAsia="宋体" w:cs="Times New Roman"/>
          <w:i w:val="0"/>
          <w:iCs w:val="0"/>
          <w:caps w:val="0"/>
          <w:color w:val="000000"/>
          <w:spacing w:val="-11"/>
          <w:sz w:val="34"/>
          <w:szCs w:val="34"/>
          <w:bdr w:val="none" w:color="auto" w:sz="0" w:space="0"/>
          <w:shd w:val="clear" w:fill="FFFFFF"/>
        </w:rPr>
        <w:t>2021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w:t>
      </w:r>
      <w:r>
        <w:rPr>
          <w:rFonts w:hint="default" w:ascii="Times New Roman" w:hAnsi="Times New Roman" w:eastAsia="宋体" w:cs="Times New Roman"/>
          <w:i w:val="0"/>
          <w:iCs w:val="0"/>
          <w:caps w:val="0"/>
          <w:color w:val="000000"/>
          <w:spacing w:val="-11"/>
          <w:sz w:val="34"/>
          <w:szCs w:val="34"/>
          <w:bdr w:val="none" w:color="auto" w:sz="0" w:space="0"/>
          <w:shd w:val="clear" w:fill="FFFFFF"/>
        </w:rPr>
        <w:t>30</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号</w:t>
      </w: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和《安徽省政务公开办公室关于做好</w:t>
      </w:r>
      <w:r>
        <w:rPr>
          <w:rFonts w:hint="default" w:ascii="Times New Roman" w:hAnsi="Times New Roman" w:eastAsia="宋体" w:cs="Times New Roman"/>
          <w:i w:val="0"/>
          <w:iCs w:val="0"/>
          <w:caps w:val="0"/>
          <w:color w:val="000000"/>
          <w:spacing w:val="-11"/>
          <w:sz w:val="34"/>
          <w:szCs w:val="34"/>
          <w:bdr w:val="none" w:color="auto" w:sz="0" w:space="0"/>
          <w:shd w:val="clear" w:fill="FFFFFF"/>
        </w:rPr>
        <w:t>202</w:t>
      </w:r>
      <w:r>
        <w:rPr>
          <w:rFonts w:hint="eastAsia" w:ascii="Times New Roman" w:hAnsi="Times New Roman" w:eastAsia="宋体" w:cs="Times New Roman"/>
          <w:i w:val="0"/>
          <w:iCs w:val="0"/>
          <w:caps w:val="0"/>
          <w:color w:val="000000"/>
          <w:spacing w:val="-11"/>
          <w:sz w:val="34"/>
          <w:szCs w:val="34"/>
          <w:bdr w:val="none" w:color="auto" w:sz="0" w:space="0"/>
          <w:shd w:val="clear" w:fill="FFFFFF"/>
          <w:lang w:val="en-US" w:eastAsia="zh-CN"/>
        </w:rPr>
        <w:t>1</w:t>
      </w:r>
      <w:bookmarkStart w:id="0" w:name="_GoBack"/>
      <w:bookmarkEnd w:id="0"/>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年度政府信息公开工作年度报告编制和数据报送工作的通知》要求，</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由霍山县城市管理行政执法局结合统计数据编制而成。报告主要包括：总体情况，主动公开政府信息情况，收到和处理政府信息公开申请情况，政府信息公开行政复议、行政诉讼情况，存在的主要问题及改进情况，其他需要报告的事项。本报告中使用数据统计期限为</w:t>
      </w:r>
      <w:r>
        <w:rPr>
          <w:rFonts w:hint="default" w:ascii="Times New Roman" w:hAnsi="Times New Roman" w:eastAsia="宋体" w:cs="Times New Roman"/>
          <w:i w:val="0"/>
          <w:iCs w:val="0"/>
          <w:caps w:val="0"/>
          <w:color w:val="000000"/>
          <w:spacing w:val="-11"/>
          <w:sz w:val="34"/>
          <w:szCs w:val="34"/>
          <w:bdr w:val="none" w:color="auto" w:sz="0" w:space="0"/>
          <w:shd w:val="clear" w:fill="FFFFFF"/>
        </w:rPr>
        <w:t>2022</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年</w:t>
      </w:r>
      <w:r>
        <w:rPr>
          <w:rFonts w:hint="default" w:ascii="Times New Roman" w:hAnsi="Times New Roman" w:eastAsia="宋体" w:cs="Times New Roman"/>
          <w:i w:val="0"/>
          <w:iCs w:val="0"/>
          <w:caps w:val="0"/>
          <w:color w:val="000000"/>
          <w:spacing w:val="-11"/>
          <w:sz w:val="34"/>
          <w:szCs w:val="34"/>
          <w:bdr w:val="none" w:color="auto" w:sz="0" w:space="0"/>
          <w:shd w:val="clear" w:fill="FFFFFF"/>
        </w:rPr>
        <w:t>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月</w:t>
      </w:r>
      <w:r>
        <w:rPr>
          <w:rFonts w:hint="default" w:ascii="Times New Roman" w:hAnsi="Times New Roman" w:eastAsia="宋体" w:cs="Times New Roman"/>
          <w:i w:val="0"/>
          <w:iCs w:val="0"/>
          <w:caps w:val="0"/>
          <w:color w:val="000000"/>
          <w:spacing w:val="-11"/>
          <w:sz w:val="34"/>
          <w:szCs w:val="34"/>
          <w:bdr w:val="none" w:color="auto" w:sz="0" w:space="0"/>
          <w:shd w:val="clear" w:fill="FFFFFF"/>
        </w:rPr>
        <w:t>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日至</w:t>
      </w:r>
      <w:r>
        <w:rPr>
          <w:rFonts w:hint="default" w:ascii="Times New Roman" w:hAnsi="Times New Roman" w:eastAsia="宋体" w:cs="Times New Roman"/>
          <w:i w:val="0"/>
          <w:iCs w:val="0"/>
          <w:caps w:val="0"/>
          <w:color w:val="000000"/>
          <w:spacing w:val="-11"/>
          <w:sz w:val="34"/>
          <w:szCs w:val="34"/>
          <w:bdr w:val="none" w:color="auto" w:sz="0" w:space="0"/>
          <w:shd w:val="clear" w:fill="FFFFFF"/>
        </w:rPr>
        <w:t>12</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月</w:t>
      </w:r>
      <w:r>
        <w:rPr>
          <w:rFonts w:hint="default" w:ascii="Times New Roman" w:hAnsi="Times New Roman" w:eastAsia="宋体" w:cs="Times New Roman"/>
          <w:i w:val="0"/>
          <w:iCs w:val="0"/>
          <w:caps w:val="0"/>
          <w:color w:val="000000"/>
          <w:spacing w:val="-11"/>
          <w:sz w:val="34"/>
          <w:szCs w:val="34"/>
          <w:bdr w:val="none" w:color="auto" w:sz="0" w:space="0"/>
          <w:shd w:val="clear" w:fill="FFFFFF"/>
        </w:rPr>
        <w:t>31</w:t>
      </w:r>
      <w:r>
        <w:rPr>
          <w:rFonts w:hint="eastAsia" w:ascii="方正仿宋简体" w:hAnsi="方正仿宋简体" w:eastAsia="方正仿宋简体" w:cs="方正仿宋简体"/>
          <w:i w:val="0"/>
          <w:iCs w:val="0"/>
          <w:caps w:val="0"/>
          <w:color w:val="000000"/>
          <w:spacing w:val="-11"/>
          <w:sz w:val="34"/>
          <w:szCs w:val="34"/>
          <w:bdr w:val="none" w:color="auto" w:sz="0" w:space="0"/>
          <w:shd w:val="clear" w:fill="FFFFFF"/>
        </w:rPr>
        <w:t>日。报告的电子版可在霍山县人民政府网站下载。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both"/>
        <w:rPr>
          <w:rFonts w:hint="default" w:ascii="Calibri" w:hAnsi="Calibri" w:cs="Calibri"/>
          <w:sz w:val="24"/>
          <w:szCs w:val="24"/>
        </w:rPr>
      </w:pPr>
      <w:r>
        <w:rPr>
          <w:rFonts w:ascii="方正黑体简体" w:hAnsi="方正黑体简体" w:eastAsia="方正黑体简体" w:cs="方正黑体简体"/>
          <w:b w:val="0"/>
          <w:bCs w:val="0"/>
          <w:i w:val="0"/>
          <w:iCs w:val="0"/>
          <w:caps w:val="0"/>
          <w:color w:val="000000"/>
          <w:spacing w:val="0"/>
          <w:sz w:val="34"/>
          <w:szCs w:val="34"/>
          <w:bdr w:val="none" w:color="auto" w:sz="0" w:space="0"/>
          <w:shd w:val="clear" w:fill="FFFFFF"/>
        </w:rPr>
        <w:t>    一、</w:t>
      </w:r>
      <w:r>
        <w:rPr>
          <w:rFonts w:hint="eastAsia" w:ascii="方正黑体简体" w:hAnsi="方正黑体简体" w:eastAsia="方正黑体简体" w:cs="方正黑体简体"/>
          <w:b w:val="0"/>
          <w:bCs w:val="0"/>
          <w:i w:val="0"/>
          <w:iCs w:val="0"/>
          <w:caps w:val="0"/>
          <w:color w:val="000000"/>
          <w:spacing w:val="0"/>
          <w:sz w:val="34"/>
          <w:szCs w:val="34"/>
          <w:bdr w:val="none" w:color="auto" w:sz="0" w:space="0"/>
          <w:shd w:val="clear" w:fill="FFFFFF"/>
        </w:rPr>
        <w:t>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sz w:val="24"/>
          <w:szCs w:val="24"/>
        </w:rPr>
      </w:pP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（一）主动公开情况。霍山县城管局2021年度公开发布五类政府公开信息共计455条。主要包括行政处罚、行政许可、其他行政权力的结果信息等。</w:t>
      </w:r>
      <w:r>
        <w:rPr>
          <w:rFonts w:ascii="仿宋" w:hAnsi="仿宋" w:eastAsia="仿宋" w:cs="仿宋"/>
          <w:i w:val="0"/>
          <w:iCs w:val="0"/>
          <w:caps w:val="0"/>
          <w:color w:val="000000"/>
          <w:spacing w:val="0"/>
          <w:sz w:val="34"/>
          <w:szCs w:val="34"/>
          <w:bdr w:val="none" w:color="auto" w:sz="0" w:space="0"/>
          <w:shd w:val="clear" w:fill="FFFFFF"/>
        </w:rPr>
        <w:t>认真对照</w:t>
      </w:r>
      <w:r>
        <w:rPr>
          <w:rFonts w:hint="eastAsia" w:ascii="仿宋" w:hAnsi="仿宋" w:eastAsia="仿宋" w:cs="仿宋"/>
          <w:i w:val="0"/>
          <w:iCs w:val="0"/>
          <w:caps w:val="0"/>
          <w:color w:val="000000"/>
          <w:spacing w:val="0"/>
          <w:sz w:val="34"/>
          <w:szCs w:val="34"/>
          <w:bdr w:val="none" w:color="auto" w:sz="0" w:space="0"/>
          <w:shd w:val="clear" w:fill="FFFFFF"/>
        </w:rPr>
        <w:t>法律法规和权责清单，全面梳理城管局依法行使的行政权力和依法承担的公共服务职责，更新并公开发布2021年权责清单及监管细则。根据机构设置实际情况，依法及时调整公开局机关、下属职能部门工作职能、机构设置、办公地址、办公时间、联系方式、负责人姓名等信息。及时更新各项行政权力目录及流程，确保栏目中行政许可、处罚、强制、征收、奖励等行政行为操作流程与政务服务网涉及的办理事项保持一致，并及时公布2021年霍山县权责清单事单动态调整情况，按季度公开行政许可、行政处罚、行政征收、行政奖励、行政强制、其他权利事项结果。同时强化重点领域公开，公开生活垃圾分类处置工作总结及成效，发布垃圾分类知识、宣传、通报方案等信息82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sz w:val="24"/>
          <w:szCs w:val="24"/>
        </w:rPr>
      </w:pP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二）依申请公开情况。2021年我局为确保政务公开网上申请平台畅通，健全完善依申请公开答复机制，进一步规范政务公开答复格式规范，完善政府信息公开指南，做好依申请公开平台迁移补录工作，严格按照《安徽省政府信息公开申请办理答复规范》，办理依申请公开。全年未受理依申请公开件，无行政复议和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sz w:val="24"/>
          <w:szCs w:val="24"/>
        </w:rPr>
      </w:pP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三）政府信息管理情况。一是加强领导。我局成立了政务公开工作领导小组，主要领导任组长，分管领导为副组长，各股室负责人为成员，负责对政务公开工作的组织领导，工作协调，确保政务公开工作持续良好开展同时，制定了政务公开年度计划、目标和措施，认真组织实施。二是落实责任。定期召开会议专题研究部署政务公开工作，明确各股室信息公开工作职责，加强考核，严格监督，确保信息公开工作取得实效。三是突出重点。对城市生活垃圾分类、物业管理、违法建设、依法行政等重点内容进行公开公示，细化公开内容，圆满完成了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sz w:val="24"/>
          <w:szCs w:val="24"/>
        </w:rPr>
      </w:pP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四）平台建设情况。根据国办及省市关于建设政府信息公开平台要求，规范设置公开指南、公开年报、主动公开、依申请公开等栏目，确定专职人员，全面完善政务公开工作，提升政务公开工作质量。主动对接县政务公开办进一步学习了解政务公开平台信息发布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default" w:ascii="Calibri" w:hAnsi="Calibri" w:cs="Calibri"/>
          <w:sz w:val="24"/>
          <w:szCs w:val="24"/>
        </w:rPr>
      </w:pP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（五）监督保障。</w:t>
      </w:r>
      <w:r>
        <w:rPr>
          <w:rFonts w:hint="eastAsia" w:ascii="仿宋" w:hAnsi="仿宋" w:eastAsia="仿宋" w:cs="仿宋"/>
          <w:i w:val="0"/>
          <w:iCs w:val="0"/>
          <w:caps w:val="0"/>
          <w:color w:val="000000"/>
          <w:spacing w:val="0"/>
          <w:sz w:val="34"/>
          <w:szCs w:val="34"/>
          <w:bdr w:val="none" w:color="auto" w:sz="0" w:space="0"/>
          <w:shd w:val="clear" w:fill="FFFFFF"/>
        </w:rPr>
        <w:t>狠抓内部制约机制，重点以《中华人民共和国政府信息公开条例》实施为突破口，抓好外部监督制约机制的完善，建立健全长效管理机制，形成用制度规范行为、按制度办事、靠制度管人的机制。将政务公开工作与党风廉政建设、行风建设综合进行检查、考评，考评结果纳入岗位目标责任制。使政务公开工作更加扎实、有序开展。</w:t>
      </w:r>
    </w:p>
    <w:p>
      <w:pPr>
        <w:ind w:firstLine="680" w:firstLineChars="200"/>
        <w:jc w:val="both"/>
        <w:rPr>
          <w:rFonts w:hint="default" w:ascii="方正黑体简体" w:hAnsi="方正黑体简体" w:eastAsia="方正黑体简体" w:cs="方正黑体简体"/>
          <w:b w:val="0"/>
          <w:bCs w:val="0"/>
          <w:color w:val="000000"/>
          <w:kern w:val="0"/>
          <w:sz w:val="34"/>
          <w:szCs w:val="34"/>
        </w:rPr>
      </w:pPr>
      <w:r>
        <w:rPr>
          <w:rFonts w:hint="eastAsia" w:ascii="方正黑体简体" w:hAnsi="方正黑体简体" w:eastAsia="方正黑体简体" w:cs="方正黑体简体"/>
          <w:b w:val="0"/>
          <w:bCs w:val="0"/>
          <w:i w:val="0"/>
          <w:iCs w:val="0"/>
          <w:caps w:val="0"/>
          <w:color w:val="000000"/>
          <w:spacing w:val="0"/>
          <w:sz w:val="34"/>
          <w:szCs w:val="34"/>
          <w:bdr w:val="none" w:color="auto" w:sz="0" w:space="0"/>
          <w:shd w:val="clear" w:fill="FFFFFF"/>
        </w:rPr>
        <w:t>  </w:t>
      </w:r>
      <w:r>
        <w:rPr>
          <w:rFonts w:hint="default" w:ascii="方正黑体简体" w:hAnsi="方正黑体简体" w:eastAsia="方正黑体简体" w:cs="方正黑体简体"/>
          <w:b w:val="0"/>
          <w:bCs w:val="0"/>
          <w:color w:val="000000"/>
          <w:kern w:val="0"/>
          <w:sz w:val="34"/>
          <w:szCs w:val="34"/>
        </w:rPr>
        <w:t>二、主动公开政府信息情况</w:t>
      </w:r>
    </w:p>
    <w:tbl>
      <w:tblPr>
        <w:tblStyle w:val="5"/>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eastAsia" w:ascii="方正黑体简体" w:hAnsi="方正黑体简体" w:eastAsia="方正黑体简体" w:cs="方正黑体简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640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73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r>
              <w:rPr>
                <w:rFonts w:hint="default" w:ascii="Times New Roman" w:hAnsi="Times New Roman" w:eastAsia="方正书宋简体" w:cs="Times New Roman"/>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kern w:val="0"/>
                <w:sz w:val="28"/>
                <w:szCs w:val="28"/>
              </w:rPr>
            </w:pP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方正黑体简体" w:hAnsi="方正黑体简体" w:eastAsia="方正黑体简体" w:cs="方正黑体简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1211.35</w:t>
            </w:r>
          </w:p>
        </w:tc>
      </w:tr>
    </w:tbl>
    <w:p>
      <w:pPr>
        <w:ind w:firstLine="340" w:firstLineChars="100"/>
        <w:jc w:val="both"/>
        <w:rPr>
          <w:rFonts w:hint="eastAsia" w:ascii="方正黑体简体" w:hAnsi="方正黑体简体" w:eastAsia="方正黑体简体" w:cs="方正黑体简体"/>
          <w:b w:val="0"/>
          <w:bCs w:val="0"/>
          <w:color w:val="000000"/>
          <w:kern w:val="0"/>
          <w:sz w:val="34"/>
          <w:szCs w:val="34"/>
        </w:rPr>
      </w:pPr>
    </w:p>
    <w:p>
      <w:pPr>
        <w:ind w:firstLine="340" w:firstLineChars="100"/>
        <w:jc w:val="both"/>
        <w:rPr>
          <w:rFonts w:hint="eastAsia" w:ascii="方正黑体简体" w:hAnsi="方正黑体简体" w:eastAsia="方正黑体简体" w:cs="方正黑体简体"/>
          <w:b w:val="0"/>
          <w:bCs w:val="0"/>
          <w:color w:val="000000"/>
          <w:kern w:val="0"/>
          <w:sz w:val="34"/>
          <w:szCs w:val="34"/>
        </w:rPr>
      </w:pPr>
      <w:r>
        <w:rPr>
          <w:rFonts w:hint="eastAsia" w:ascii="方正黑体简体" w:hAnsi="方正黑体简体" w:eastAsia="方正黑体简体" w:cs="方正黑体简体"/>
          <w:b w:val="0"/>
          <w:bCs w:val="0"/>
          <w:color w:val="000000"/>
          <w:kern w:val="0"/>
          <w:sz w:val="34"/>
          <w:szCs w:val="34"/>
        </w:rPr>
        <w:t>三、收到和处理政府信息公开申请情况</w:t>
      </w:r>
    </w:p>
    <w:p>
      <w:pPr>
        <w:pStyle w:val="4"/>
        <w:widowControl/>
        <w:shd w:val="clear" w:color="auto" w:fill="FFFFFF"/>
        <w:spacing w:before="0" w:beforeAutospacing="0" w:after="0" w:afterAutospacing="0"/>
        <w:ind w:firstLine="420"/>
        <w:jc w:val="both"/>
        <w:rPr>
          <w:rFonts w:ascii="宋体" w:hAnsi="宋体" w:eastAsia="宋体" w:cs="宋体"/>
          <w:color w:val="000000"/>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941"/>
        <w:gridCol w:w="3358"/>
        <w:gridCol w:w="539"/>
        <w:gridCol w:w="686"/>
        <w:gridCol w:w="686"/>
        <w:gridCol w:w="687"/>
        <w:gridCol w:w="686"/>
        <w:gridCol w:w="68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blHeader/>
          <w:jc w:val="center"/>
        </w:trPr>
        <w:tc>
          <w:tcPr>
            <w:tcW w:w="5064" w:type="dxa"/>
            <w:gridSpan w:val="3"/>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（本列数据的勾稽关系为：第一项加第二项之和，等于第三项加第四项之和）</w:t>
            </w:r>
          </w:p>
        </w:tc>
        <w:tc>
          <w:tcPr>
            <w:tcW w:w="4656" w:type="dxa"/>
            <w:gridSpan w:val="7"/>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Header/>
          <w:jc w:val="center"/>
        </w:trPr>
        <w:tc>
          <w:tcPr>
            <w:tcW w:w="5064"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p>
        </w:tc>
        <w:tc>
          <w:tcPr>
            <w:tcW w:w="53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自然人</w:t>
            </w:r>
          </w:p>
        </w:tc>
        <w:tc>
          <w:tcPr>
            <w:tcW w:w="3431"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法人或其他组织</w:t>
            </w:r>
          </w:p>
        </w:tc>
        <w:tc>
          <w:tcPr>
            <w:tcW w:w="68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tblHeader/>
          <w:jc w:val="center"/>
        </w:trPr>
        <w:tc>
          <w:tcPr>
            <w:tcW w:w="5064"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53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书宋简体" w:cs="Times New Roman"/>
                <w:color w:val="000000"/>
                <w:sz w:val="28"/>
                <w:szCs w:val="28"/>
              </w:rPr>
            </w:pP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商业</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企业</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科研</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机构</w:t>
            </w:r>
          </w:p>
        </w:tc>
        <w:tc>
          <w:tcPr>
            <w:tcW w:w="68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社会公益组织</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法律服务机构</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方正黑体简体" w:hAnsi="方正黑体简体" w:eastAsia="方正黑体简体" w:cs="方正黑体简体"/>
                <w:color w:val="000000"/>
                <w:sz w:val="28"/>
                <w:szCs w:val="28"/>
              </w:rPr>
            </w:pPr>
            <w:r>
              <w:rPr>
                <w:rFonts w:hint="eastAsia" w:ascii="方正黑体简体" w:hAnsi="方正黑体简体" w:eastAsia="方正黑体简体" w:cs="方正黑体简体"/>
                <w:color w:val="000000"/>
                <w:kern w:val="0"/>
                <w:sz w:val="28"/>
                <w:szCs w:val="28"/>
              </w:rPr>
              <w:t>其他</w:t>
            </w:r>
          </w:p>
        </w:tc>
        <w:tc>
          <w:tcPr>
            <w:tcW w:w="68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一、本年新收政府信息公开申请数量</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二、上年结转政府信息公开申请数量</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三、本年度办理结果</w:t>
            </w: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（一）予以公开</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（二）部分公开（区分处理的，只计这一情形，不计其他情形）</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（三）不予公开</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1.属于国家秘密</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2.其他法律行政法规禁止公开</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3.危及“三安全一稳定”</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4.保护第三方合法权益</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5.属于三类内部事务信息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6.属于四类过程性信息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7.属于行政执法案卷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8.属于行政查询事项</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（四）无法提供</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1.本机关不掌握相关政府信息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2.没有现成信息需要另行制作</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3.补正后申请内容仍不明确</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（五）不予处理</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1.信访举报投诉类申请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2.重复申请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3.要求提供公开出版物</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4.无正当理由大量反复申请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5.要求行政机关确认或重新出具已获取信息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（六）其他处理</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1.申请人无正当理由逾期不补正、行政机关不再处理其政府信息公开申请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2.申请人逾期未按收费通知要求缴纳费用、行政机关不再处理其政府信息公开申请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3.其他</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（七）总计</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sz w:val="28"/>
                <w:szCs w:val="28"/>
              </w:rPr>
            </w:pPr>
            <w:r>
              <w:rPr>
                <w:rFonts w:hint="default" w:ascii="Times New Roman" w:hAnsi="Times New Roman" w:eastAsia="方正书宋简体" w:cs="Times New Roman"/>
                <w:color w:val="000000"/>
                <w:kern w:val="0"/>
                <w:sz w:val="28"/>
                <w:szCs w:val="28"/>
              </w:rPr>
              <w:t>四、结转下年度继续办理</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sz w:val="28"/>
                <w:szCs w:val="28"/>
                <w:lang w:val="en-US" w:eastAsia="zh-CN"/>
              </w:rPr>
            </w:pPr>
            <w:r>
              <w:rPr>
                <w:rFonts w:hint="eastAsia" w:ascii="Times New Roman" w:hAnsi="Times New Roman" w:eastAsia="方正书宋简体" w:cs="Times New Roman"/>
                <w:color w:val="000000"/>
                <w:sz w:val="28"/>
                <w:szCs w:val="28"/>
                <w:lang w:val="en-US" w:eastAsia="zh-CN"/>
              </w:rPr>
              <w:t>0</w:t>
            </w:r>
          </w:p>
        </w:tc>
      </w:tr>
    </w:tbl>
    <w:p>
      <w:pPr>
        <w:widowControl/>
        <w:shd w:val="clear" w:color="auto" w:fill="FFFFFF"/>
        <w:jc w:val="center"/>
        <w:rPr>
          <w:rFonts w:ascii="宋体" w:hAnsi="宋体" w:eastAsia="宋体" w:cs="宋体"/>
          <w:color w:val="000000"/>
          <w:sz w:val="24"/>
          <w:szCs w:val="24"/>
        </w:rPr>
      </w:pPr>
    </w:p>
    <w:p>
      <w:pPr>
        <w:ind w:firstLine="680" w:firstLineChars="200"/>
        <w:jc w:val="both"/>
        <w:rPr>
          <w:rFonts w:hint="eastAsia" w:ascii="方正黑体简体" w:hAnsi="方正黑体简体" w:eastAsia="方正黑体简体" w:cs="方正黑体简体"/>
          <w:b w:val="0"/>
          <w:bCs w:val="0"/>
          <w:color w:val="000000"/>
          <w:kern w:val="0"/>
          <w:sz w:val="34"/>
          <w:szCs w:val="34"/>
        </w:rPr>
      </w:pPr>
      <w:r>
        <w:rPr>
          <w:rFonts w:hint="eastAsia" w:ascii="方正黑体简体" w:hAnsi="方正黑体简体" w:eastAsia="方正黑体简体" w:cs="方正黑体简体"/>
          <w:b w:val="0"/>
          <w:bCs w:val="0"/>
          <w:color w:val="000000"/>
          <w:kern w:val="0"/>
          <w:sz w:val="34"/>
          <w:szCs w:val="34"/>
        </w:rPr>
        <w:br w:type="page"/>
      </w:r>
      <w:r>
        <w:rPr>
          <w:rFonts w:hint="eastAsia" w:ascii="方正黑体简体" w:hAnsi="方正黑体简体" w:eastAsia="方正黑体简体" w:cs="方正黑体简体"/>
          <w:b w:val="0"/>
          <w:bCs w:val="0"/>
          <w:color w:val="000000"/>
          <w:kern w:val="0"/>
          <w:sz w:val="34"/>
          <w:szCs w:val="34"/>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5"/>
        <w:tblW w:w="94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0"/>
        <w:gridCol w:w="631"/>
        <w:gridCol w:w="629"/>
        <w:gridCol w:w="630"/>
        <w:gridCol w:w="631"/>
        <w:gridCol w:w="630"/>
        <w:gridCol w:w="631"/>
        <w:gridCol w:w="630"/>
        <w:gridCol w:w="631"/>
        <w:gridCol w:w="632"/>
        <w:gridCol w:w="632"/>
        <w:gridCol w:w="631"/>
        <w:gridCol w:w="631"/>
        <w:gridCol w:w="631"/>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kern w:val="0"/>
                <w:sz w:val="28"/>
                <w:szCs w:val="28"/>
              </w:rPr>
            </w:pPr>
            <w:r>
              <w:rPr>
                <w:rFonts w:hint="eastAsia" w:ascii="方正黑体简体" w:hAnsi="方正黑体简体" w:eastAsia="方正黑体简体" w:cs="方正黑体简体"/>
                <w:color w:val="000000"/>
                <w:kern w:val="0"/>
                <w:sz w:val="28"/>
                <w:szCs w:val="28"/>
              </w:rPr>
              <w:t>行政复议</w:t>
            </w:r>
          </w:p>
        </w:tc>
        <w:tc>
          <w:tcPr>
            <w:tcW w:w="6309"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黑体简体" w:hAnsi="方正黑体简体" w:eastAsia="方正黑体简体" w:cs="方正黑体简体"/>
                <w:color w:val="000000"/>
                <w:kern w:val="0"/>
                <w:sz w:val="28"/>
                <w:szCs w:val="28"/>
              </w:rPr>
            </w:pPr>
            <w:r>
              <w:rPr>
                <w:rFonts w:hint="eastAsia" w:ascii="方正黑体简体" w:hAnsi="方正黑体简体" w:eastAsia="方正黑体简体" w:cs="方正黑体简体"/>
                <w:color w:val="000000"/>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63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结果维持</w:t>
            </w:r>
          </w:p>
        </w:tc>
        <w:tc>
          <w:tcPr>
            <w:tcW w:w="63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2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c>
          <w:tcPr>
            <w:tcW w:w="315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未经复议直接起诉</w:t>
            </w:r>
          </w:p>
        </w:tc>
        <w:tc>
          <w:tcPr>
            <w:tcW w:w="31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36" w:hRule="atLeast"/>
          <w:jc w:val="center"/>
        </w:trPr>
        <w:tc>
          <w:tcPr>
            <w:tcW w:w="63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2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维持</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维持</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结果</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纠正</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其他</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尚未</w:t>
            </w:r>
            <w:r>
              <w:rPr>
                <w:rFonts w:hint="eastAsia" w:ascii="Times New Roman" w:hAnsi="Times New Roman" w:eastAsia="方正书宋简体" w:cs="Times New Roman"/>
                <w:color w:val="000000"/>
                <w:kern w:val="0"/>
                <w:sz w:val="28"/>
                <w:szCs w:val="28"/>
              </w:rPr>
              <w:br w:type="textWrapping"/>
            </w:r>
            <w:r>
              <w:rPr>
                <w:rFonts w:hint="eastAsia" w:ascii="Times New Roman" w:hAnsi="Times New Roman" w:eastAsia="方正书宋简体" w:cs="Times New Roman"/>
                <w:color w:val="000000"/>
                <w:kern w:val="0"/>
                <w:sz w:val="28"/>
                <w:szCs w:val="28"/>
              </w:rPr>
              <w:t>审结</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0" w:hRule="atLeast"/>
          <w:jc w:val="center"/>
        </w:trPr>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default"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62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rPr>
              <w:t> </w:t>
            </w:r>
            <w:r>
              <w:rPr>
                <w:rFonts w:hint="eastAsia" w:ascii="Times New Roman" w:hAnsi="Times New Roman" w:eastAsia="方正书宋简体" w:cs="Times New Roman"/>
                <w:color w:val="000000"/>
                <w:kern w:val="0"/>
                <w:sz w:val="28"/>
                <w:szCs w:val="28"/>
                <w:lang w:val="en-US" w:eastAsia="zh-CN"/>
              </w:rPr>
              <w:t>0</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000000"/>
                <w:kern w:val="0"/>
                <w:sz w:val="28"/>
                <w:szCs w:val="28"/>
              </w:rPr>
            </w:pPr>
            <w:r>
              <w:rPr>
                <w:rFonts w:hint="eastAsia" w:ascii="Times New Roman" w:hAnsi="Times New Roman" w:eastAsia="方正书宋简体" w:cs="Times New Roman"/>
                <w:color w:val="000000"/>
                <w:kern w:val="0"/>
                <w:sz w:val="28"/>
                <w:szCs w:val="28"/>
                <w:lang w:val="en-US" w:eastAsia="zh-CN"/>
              </w:rPr>
              <w:t>0</w:t>
            </w:r>
            <w:r>
              <w:rPr>
                <w:rFonts w:hint="eastAsia" w:ascii="Times New Roman" w:hAnsi="Times New Roman" w:eastAsia="方正书宋简体" w:cs="Times New Roman"/>
                <w:color w:val="000000"/>
                <w:kern w:val="0"/>
                <w:sz w:val="28"/>
                <w:szCs w:val="28"/>
              </w:rPr>
              <w:t> </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方正书宋简体" w:cs="Times New Roman"/>
                <w:color w:val="000000"/>
                <w:kern w:val="0"/>
                <w:sz w:val="28"/>
                <w:szCs w:val="28"/>
                <w:lang w:val="en-US" w:eastAsia="zh-CN"/>
              </w:rPr>
            </w:pPr>
            <w:r>
              <w:rPr>
                <w:rFonts w:hint="eastAsia" w:ascii="Times New Roman" w:hAnsi="Times New Roman" w:eastAsia="方正书宋简体" w:cs="Times New Roman"/>
                <w:color w:val="000000"/>
                <w:kern w:val="0"/>
                <w:sz w:val="28"/>
                <w:szCs w:val="28"/>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sz w:val="24"/>
          <w:szCs w:val="24"/>
        </w:rPr>
      </w:pPr>
      <w:r>
        <w:rPr>
          <w:rFonts w:hint="eastAsia" w:ascii="方正黑体简体" w:hAnsi="方正黑体简体" w:eastAsia="方正黑体简体" w:cs="方正黑体简体"/>
          <w:b w:val="0"/>
          <w:bCs w:val="0"/>
          <w:i w:val="0"/>
          <w:iCs w:val="0"/>
          <w:caps w:val="0"/>
          <w:color w:val="000000"/>
          <w:spacing w:val="0"/>
          <w:sz w:val="34"/>
          <w:szCs w:val="34"/>
          <w:bdr w:val="none" w:color="auto" w:sz="0" w:space="0"/>
          <w:shd w:val="clear" w:fill="FFFFFF"/>
        </w:rPr>
        <w:t>  五、存在的主要问题及改进情况</w:t>
      </w:r>
    </w:p>
    <w:p>
      <w:pPr>
        <w:pStyle w:val="4"/>
        <w:keepNext w:val="0"/>
        <w:keepLines w:val="0"/>
        <w:widowControl/>
        <w:suppressLineNumbers w:val="0"/>
        <w:spacing w:before="0" w:beforeAutospacing="0" w:after="0" w:afterAutospacing="0" w:line="16" w:lineRule="atLeast"/>
        <w:ind w:left="0" w:right="0" w:firstLine="680"/>
        <w:jc w:val="both"/>
        <w:rPr>
          <w:rFonts w:hint="default" w:ascii="Calibri" w:hAnsi="Calibri" w:cs="Calibri"/>
          <w:sz w:val="21"/>
          <w:szCs w:val="21"/>
        </w:rPr>
      </w:pPr>
      <w:r>
        <w:rPr>
          <w:rFonts w:hint="eastAsia" w:ascii="仿宋" w:hAnsi="仿宋" w:eastAsia="仿宋" w:cs="仿宋"/>
          <w:b w:val="0"/>
          <w:bCs w:val="0"/>
          <w:color w:val="000000"/>
          <w:sz w:val="34"/>
          <w:szCs w:val="34"/>
        </w:rPr>
        <w:t>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pPr>
      <w:r>
        <w:rPr>
          <w:rFonts w:hint="eastAsia" w:ascii="仿宋" w:hAnsi="仿宋" w:eastAsia="仿宋" w:cs="仿宋"/>
          <w:i w:val="0"/>
          <w:iCs w:val="0"/>
          <w:caps w:val="0"/>
          <w:color w:val="333333"/>
          <w:spacing w:val="0"/>
          <w:kern w:val="0"/>
          <w:sz w:val="34"/>
          <w:szCs w:val="34"/>
          <w:bdr w:val="none" w:color="auto" w:sz="0" w:space="0"/>
          <w:shd w:val="clear" w:fill="FFFFFF"/>
          <w:lang w:val="en-US" w:eastAsia="zh-CN" w:bidi="ar"/>
        </w:rPr>
        <w:t>一是重点领域公开信息把握不够全面、问题整改不够彻底；二是政务公开专职岗位人员配备相对不足；三是政策解读形式相对单一，多为文字、图片解读，缺乏创新形式，政策解读深度广度不足、解读形式单一。</w:t>
      </w:r>
    </w:p>
    <w:p>
      <w:pPr>
        <w:pStyle w:val="4"/>
        <w:keepNext w:val="0"/>
        <w:keepLines w:val="0"/>
        <w:widowControl/>
        <w:suppressLineNumbers w:val="0"/>
        <w:spacing w:before="0" w:beforeAutospacing="0" w:after="0" w:afterAutospacing="0" w:line="16" w:lineRule="atLeast"/>
        <w:ind w:left="0" w:right="0" w:firstLine="680"/>
        <w:jc w:val="both"/>
        <w:rPr>
          <w:rFonts w:hint="default" w:ascii="Calibri" w:hAnsi="Calibri" w:cs="Calibri"/>
          <w:sz w:val="21"/>
          <w:szCs w:val="21"/>
        </w:rPr>
      </w:pPr>
      <w:r>
        <w:rPr>
          <w:rFonts w:hint="eastAsia" w:ascii="仿宋" w:hAnsi="仿宋" w:eastAsia="仿宋" w:cs="仿宋"/>
          <w:b w:val="0"/>
          <w:bCs w:val="0"/>
          <w:color w:val="000000"/>
          <w:sz w:val="34"/>
          <w:szCs w:val="34"/>
        </w:rPr>
        <w:t>改进措施：</w:t>
      </w:r>
    </w:p>
    <w:p>
      <w:pPr>
        <w:pStyle w:val="4"/>
        <w:keepNext w:val="0"/>
        <w:keepLines w:val="0"/>
        <w:widowControl/>
        <w:suppressLineNumbers w:val="0"/>
        <w:spacing w:before="0" w:beforeAutospacing="0" w:after="0" w:afterAutospacing="0" w:line="16" w:lineRule="atLeast"/>
        <w:ind w:left="0" w:right="0" w:firstLine="680"/>
        <w:jc w:val="both"/>
        <w:rPr>
          <w:rFonts w:hint="default" w:ascii="Calibri" w:hAnsi="Calibri" w:cs="Calibri"/>
          <w:sz w:val="21"/>
          <w:szCs w:val="21"/>
        </w:rPr>
      </w:pPr>
      <w:r>
        <w:rPr>
          <w:rFonts w:hint="eastAsia" w:ascii="仿宋" w:hAnsi="仿宋" w:eastAsia="仿宋" w:cs="仿宋"/>
          <w:b w:val="0"/>
          <w:bCs w:val="0"/>
          <w:color w:val="000000"/>
          <w:sz w:val="34"/>
          <w:szCs w:val="34"/>
        </w:rPr>
        <w:t>一是加大保障监督力度，</w:t>
      </w:r>
      <w:r>
        <w:rPr>
          <w:rFonts w:hint="eastAsia" w:ascii="仿宋" w:hAnsi="仿宋" w:eastAsia="仿宋" w:cs="仿宋"/>
          <w:b w:val="0"/>
          <w:bCs w:val="0"/>
          <w:i w:val="0"/>
          <w:iCs w:val="0"/>
          <w:caps w:val="0"/>
          <w:color w:val="333333"/>
          <w:spacing w:val="0"/>
          <w:kern w:val="0"/>
          <w:sz w:val="34"/>
          <w:szCs w:val="34"/>
          <w:shd w:val="clear" w:fill="FFFFFF"/>
        </w:rPr>
        <w:t>以基层两化目录标准和内容规范为抓手，加强学习培训和工作交流。</w:t>
      </w:r>
      <w:r>
        <w:rPr>
          <w:rFonts w:hint="eastAsia" w:ascii="仿宋" w:hAnsi="仿宋" w:eastAsia="仿宋" w:cs="仿宋"/>
          <w:b w:val="0"/>
          <w:bCs w:val="0"/>
          <w:i w:val="0"/>
          <w:iCs w:val="0"/>
          <w:caps w:val="0"/>
          <w:color w:val="000000"/>
          <w:spacing w:val="0"/>
          <w:kern w:val="0"/>
          <w:sz w:val="34"/>
          <w:szCs w:val="34"/>
          <w:shd w:val="clear" w:fill="FFFFFF"/>
        </w:rPr>
        <w:t>二是加大政务公开工作的培训，按照《中华人民共和国政府信息公开条例》的规定，需要及时、全面的公开，保障公民的知情权和监督权，进一步加强政务公开人员队伍建设。三是</w:t>
      </w:r>
      <w:r>
        <w:rPr>
          <w:rFonts w:hint="eastAsia" w:ascii="仿宋" w:hAnsi="仿宋" w:eastAsia="仿宋" w:cs="仿宋"/>
          <w:b w:val="0"/>
          <w:bCs w:val="0"/>
          <w:i w:val="0"/>
          <w:iCs w:val="0"/>
          <w:caps w:val="0"/>
          <w:color w:val="333333"/>
          <w:spacing w:val="0"/>
          <w:kern w:val="0"/>
          <w:sz w:val="34"/>
          <w:szCs w:val="34"/>
          <w:shd w:val="clear" w:fill="FFFFFF"/>
        </w:rPr>
        <w:t>做好重大政策解读工作，坚持政策性文件与解读方案、解读材料同步组织、同步部署、同步关联。紧扣城市管理重点热点，采用专题新闻发布会、视频、动漫等创新公开形式，争取多采取数字化、图表图解、音频视频等形式，切实提高政策解读内容质量，确保解读通俗易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sz w:val="24"/>
          <w:szCs w:val="24"/>
        </w:rPr>
      </w:pPr>
      <w:r>
        <w:rPr>
          <w:rFonts w:hint="eastAsia" w:ascii="方正黑体简体" w:hAnsi="方正黑体简体" w:eastAsia="方正黑体简体" w:cs="方正黑体简体"/>
          <w:b w:val="0"/>
          <w:bCs w:val="0"/>
          <w:i w:val="0"/>
          <w:iCs w:val="0"/>
          <w:caps w:val="0"/>
          <w:color w:val="000000"/>
          <w:spacing w:val="0"/>
          <w:sz w:val="34"/>
          <w:szCs w:val="34"/>
          <w:bdr w:val="none" w:color="auto" w:sz="0" w:space="0"/>
          <w:shd w:val="clear" w:fill="FFFFFF"/>
        </w:rPr>
        <w:t>  六、其他需要报告的事项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Calibri" w:hAnsi="Calibri" w:cs="Calibri"/>
          <w:sz w:val="24"/>
          <w:szCs w:val="24"/>
        </w:rPr>
      </w:pPr>
      <w:r>
        <w:rPr>
          <w:rFonts w:hint="eastAsia" w:ascii="方正仿宋简体" w:hAnsi="方正仿宋简体" w:eastAsia="方正仿宋简体" w:cs="方正仿宋简体"/>
          <w:i w:val="0"/>
          <w:iCs w:val="0"/>
          <w:caps w:val="0"/>
          <w:color w:val="000000"/>
          <w:spacing w:val="0"/>
          <w:sz w:val="34"/>
          <w:szCs w:val="34"/>
          <w:bdr w:val="none" w:color="auto" w:sz="0" w:space="0"/>
          <w:shd w:val="clear" w:fill="FFFFFF"/>
        </w:rPr>
        <w:t>  按照《国务院办公厅关于印发（政府信息公开信息处理费管理办法）的通知》（国办函（2020年）109号）规定的按件、按量收费标准，本年度没有产生信息公开处理费。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jJmOTMyOGFhMzc1NGQxY2Q0MjA5NzcxYTRkNmQifQ=="/>
  </w:docVars>
  <w:rsids>
    <w:rsidRoot w:val="2A4107A4"/>
    <w:rsid w:val="2A4107A4"/>
    <w:rsid w:val="5A6C3146"/>
    <w:rsid w:val="6AB8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2681</Words>
  <Characters>2753</Characters>
  <Lines>0</Lines>
  <Paragraphs>0</Paragraphs>
  <TotalTime>5</TotalTime>
  <ScaleCrop>false</ScaleCrop>
  <LinksUpToDate>false</LinksUpToDate>
  <CharactersWithSpaces>2765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2023-01-31T09:00:00Z</dcterms:created>
  <dc:creator>admin</dc:creator>
  <cp:lastModifiedBy>admin</cp:lastModifiedBy>
  <dcterms:modified xsi:type="dcterms:W3CDTF">2023-01-31T09:15:08Z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EE7A03C10B354C8496E0110FDCEB2723</vt:lpwstr>
  </property>
</Properties>
</file>