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480"/>
        <w:jc w:val="center"/>
        <w:rPr>
          <w:rFonts w:hint="eastAsia" w:ascii="Times New Roman" w:eastAsia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Times New Roman" w:eastAsia="方正小标宋简体"/>
          <w:color w:val="000000"/>
          <w:kern w:val="0"/>
          <w:sz w:val="44"/>
          <w:szCs w:val="44"/>
          <w:lang w:val="en-US" w:eastAsia="zh-CN"/>
        </w:rPr>
        <w:t>霍山县太阳乡人民政府2022年政府</w:t>
      </w:r>
    </w:p>
    <w:p>
      <w:pPr>
        <w:widowControl/>
        <w:shd w:val="clear" w:color="auto" w:fill="FFFFFF"/>
        <w:ind w:firstLine="480"/>
        <w:jc w:val="center"/>
        <w:rPr>
          <w:rFonts w:hint="default" w:ascii="Times New Roman" w:eastAsia="宋体"/>
          <w:color w:val="000000"/>
          <w:kern w:val="0"/>
          <w:sz w:val="24"/>
          <w:lang w:val="en-US" w:eastAsia="zh-CN"/>
        </w:rPr>
      </w:pPr>
      <w:r>
        <w:rPr>
          <w:rFonts w:hint="eastAsia" w:ascii="Times New Roman" w:eastAsia="方正小标宋简体"/>
          <w:color w:val="000000"/>
          <w:kern w:val="0"/>
          <w:sz w:val="44"/>
          <w:szCs w:val="44"/>
          <w:lang w:val="en-US" w:eastAsia="zh-CN"/>
        </w:rPr>
        <w:t>信息公开工作年度报告</w:t>
      </w:r>
    </w:p>
    <w:p>
      <w:pPr>
        <w:ind w:firstLine="680" w:firstLineChars="200"/>
        <w:jc w:val="both"/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根据《中华人民共和国政府信息公开条例》和上级部门关于</w:t>
      </w: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>政府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信息公开工作的各项部署和要求，特向社会公众公布</w:t>
      </w: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>霍山县太阳乡人民政府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2022年政府信息公开工作年度报告。报告由总体情况、主动公开政府信息情况、收到和处理政府信息公开申请情况、政府信息公开行政复议、行政诉讼情况、存在的主要问题及改进情况和其他需要报告的事项共计六部分构成。报告中所列数据统计期限从2022年1月1日起至2022年12月31日止。</w:t>
      </w:r>
    </w:p>
    <w:p>
      <w:pPr>
        <w:ind w:firstLine="680" w:firstLineChars="200"/>
        <w:jc w:val="both"/>
        <w:rPr>
          <w:rFonts w:hint="eastAsia" w:ascii="方正黑体简体" w:hAnsi="方正黑体简体" w:eastAsia="方正黑体简体" w:cs="方正黑体简体"/>
          <w:b w:val="0"/>
          <w:bCs w:val="0"/>
          <w:sz w:val="34"/>
          <w:szCs w:val="34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</w:rPr>
        <w:t>一、总体情况</w:t>
      </w:r>
    </w:p>
    <w:p>
      <w:pPr>
        <w:ind w:firstLine="680" w:firstLineChars="200"/>
        <w:jc w:val="both"/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</w:pPr>
      <w:r>
        <w:rPr>
          <w:rFonts w:hint="default" w:ascii="方正楷体简体" w:hAnsi="方正楷体简体" w:eastAsia="方正楷体简体" w:cs="方正楷体简体"/>
          <w:sz w:val="34"/>
          <w:szCs w:val="34"/>
          <w:lang w:val="en-US" w:eastAsia="zh-CN"/>
        </w:rPr>
        <w:t>（一）主动公开情况：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202</w:t>
      </w: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年我乡</w:t>
      </w: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>通过政府公开信息网站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主动公开信息共</w:t>
      </w: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>计890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条。其中主动公开的政府信息包括政策文件、政府领导、人事信息、财政专项资金管理和使用情况、</w:t>
      </w: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>社会救助、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教育、医疗和文化等公共事业信息。公开方式为：通过政务信息公开网进行公开；通过乡和村的政务公开栏进行公开。</w:t>
      </w:r>
    </w:p>
    <w:p>
      <w:pPr>
        <w:ind w:firstLine="680" w:firstLineChars="200"/>
        <w:jc w:val="both"/>
        <w:rPr>
          <w:rFonts w:hint="default" w:ascii="方正楷体简体" w:hAnsi="方正楷体简体" w:eastAsia="方正楷体简体" w:cs="方正楷体简体"/>
          <w:sz w:val="34"/>
          <w:szCs w:val="34"/>
          <w:lang w:val="en-US" w:eastAsia="zh-CN"/>
        </w:rPr>
      </w:pPr>
      <w:r>
        <w:rPr>
          <w:rFonts w:hint="default" w:ascii="方正楷体简体" w:hAnsi="方正楷体简体" w:eastAsia="方正楷体简体" w:cs="方正楷体简体"/>
          <w:sz w:val="34"/>
          <w:szCs w:val="34"/>
          <w:lang w:val="en-US" w:eastAsia="zh-CN"/>
        </w:rPr>
        <w:t>（二）依申请公开情况：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截止202</w:t>
      </w: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年12月31日，我乡收到来自社会的信息公开申请</w:t>
      </w: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>共计1条，已按期回复办理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。</w:t>
      </w:r>
    </w:p>
    <w:p>
      <w:pPr>
        <w:ind w:firstLine="680" w:firstLineChars="200"/>
        <w:jc w:val="both"/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</w:pPr>
      <w:r>
        <w:rPr>
          <w:rFonts w:hint="default" w:ascii="方正楷体简体" w:hAnsi="方正楷体简体" w:eastAsia="方正楷体简体" w:cs="方正楷体简体"/>
          <w:sz w:val="34"/>
          <w:szCs w:val="34"/>
          <w:lang w:val="en-US" w:eastAsia="zh-CN"/>
        </w:rPr>
        <w:t>（三）政府信息管理情况：</w:t>
      </w: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>根据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《中华人民共和国政府信息公开条例》的相关规定，</w:t>
      </w: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>我乡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坚持以公开为常态、不公开为例外，遵循公正、公平、合法、便民的原则，常态化做好政府信息的管理工作。根据工作实际，及时发布和审核公开信息，做到信息发布全面、准确、有效，符合实际工作。按照县政府办要求，及时进行整改，注重隐私保护，不断深化政务公开内容</w:t>
      </w: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 xml:space="preserve">进一步优化了公开流程，充分保障公开的知情权。    </w:t>
      </w:r>
    </w:p>
    <w:p>
      <w:pPr>
        <w:ind w:firstLine="680" w:firstLineChars="200"/>
        <w:jc w:val="both"/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</w:pPr>
      <w:r>
        <w:rPr>
          <w:rFonts w:hint="default" w:ascii="方正楷体简体" w:hAnsi="方正楷体简体" w:eastAsia="方正楷体简体" w:cs="方正楷体简体"/>
          <w:sz w:val="34"/>
          <w:szCs w:val="34"/>
          <w:lang w:val="en-US" w:eastAsia="zh-CN"/>
        </w:rPr>
        <w:t>（四）</w:t>
      </w:r>
      <w:r>
        <w:rPr>
          <w:rFonts w:hint="eastAsia" w:ascii="方正楷体简体" w:hAnsi="方正楷体简体" w:eastAsia="方正楷体简体" w:cs="方正楷体简体"/>
          <w:sz w:val="34"/>
          <w:szCs w:val="34"/>
          <w:lang w:val="en-US" w:eastAsia="zh-CN"/>
        </w:rPr>
        <w:t>政府信息公开</w:t>
      </w:r>
      <w:r>
        <w:rPr>
          <w:rFonts w:hint="default" w:ascii="方正楷体简体" w:hAnsi="方正楷体简体" w:eastAsia="方正楷体简体" w:cs="方正楷体简体"/>
          <w:sz w:val="34"/>
          <w:szCs w:val="34"/>
          <w:lang w:val="en-US" w:eastAsia="zh-CN"/>
        </w:rPr>
        <w:t>平台建设情况：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2022年我</w:t>
      </w: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>乡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不断完善政府信息公开平台建设，对已实施的标准化规范化目录做到及时、规范、全面公布，进一步完善目录，不断提升政务公开标准化规范化水平。积极拓宽基层政务公开渠道，推动政务公开向村（居）延伸，切实提升全乡</w:t>
      </w: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>政务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公开工作实效。及时调整信息公开目录，深化政务公开工作，规范政务公开内容，重点公开与公众切身利益相关的信息，如村级公益事业、义务教育、医疗卫生、社会保障及社会救助等民生领域信息。方式是：可从太阳乡政府和各村的公告栏上获取信息；到太阳乡</w:t>
      </w: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>便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民服务</w:t>
      </w: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>中心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大厅进行信息获取。通过多种方式确保广大人民群众能及时获取信息。          </w:t>
      </w:r>
    </w:p>
    <w:p>
      <w:pPr>
        <w:ind w:firstLine="680" w:firstLineChars="200"/>
        <w:jc w:val="both"/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</w:pPr>
      <w:r>
        <w:rPr>
          <w:rFonts w:hint="default" w:ascii="方正楷体简体" w:hAnsi="方正楷体简体" w:eastAsia="方正楷体简体" w:cs="方正楷体简体"/>
          <w:sz w:val="34"/>
          <w:szCs w:val="34"/>
          <w:lang w:val="en-US" w:eastAsia="zh-CN"/>
        </w:rPr>
        <w:t>（五）监督保障</w:t>
      </w:r>
      <w:r>
        <w:rPr>
          <w:rFonts w:hint="eastAsia" w:ascii="方正楷体简体" w:hAnsi="方正楷体简体" w:eastAsia="方正楷体简体" w:cs="方正楷体简体"/>
          <w:sz w:val="34"/>
          <w:szCs w:val="34"/>
          <w:lang w:val="en-US" w:eastAsia="zh-CN"/>
        </w:rPr>
        <w:t>情况</w:t>
      </w:r>
      <w:r>
        <w:rPr>
          <w:rFonts w:hint="default" w:ascii="方正楷体简体" w:hAnsi="方正楷体简体" w:eastAsia="方正楷体简体" w:cs="方正楷体简体"/>
          <w:sz w:val="34"/>
          <w:szCs w:val="34"/>
          <w:lang w:val="en-US" w:eastAsia="zh-CN"/>
        </w:rPr>
        <w:t>：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一是加强组织领导，健全工作机制。主要领导负总责、分管领导主抓、各有关部门配合的工作机制；二是加强日常巡查。</w:t>
      </w: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>定期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对</w:t>
      </w: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>政务公开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网站进行全面自查，</w:t>
      </w: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>对错敏字词、错误链接等信息进行整改，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确保网站平稳运行；</w:t>
      </w: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>三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是加强信息审核。落实信息发布的</w:t>
      </w: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>“三审”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制度，确保信息发布的准确性；四是建立会商机制。在信息公开过程中，适时组织相关单位召开疑难问题研讨会，提高服务质量。2022年我</w:t>
      </w: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>乡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未有因信息公开不到位需要进行责任追究的情况。</w:t>
      </w:r>
    </w:p>
    <w:p>
      <w:pPr>
        <w:ind w:firstLine="680" w:firstLineChars="200"/>
        <w:jc w:val="both"/>
        <w:rPr>
          <w:rFonts w:hint="default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</w:rPr>
      </w:pPr>
      <w:r>
        <w:rPr>
          <w:rFonts w:hint="default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</w:rPr>
        <w:t>二、主动公开政府信息情况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ind w:firstLine="683" w:firstLineChars="200"/>
        <w:jc w:val="both"/>
        <w:rPr>
          <w:rFonts w:ascii="Times New Roman"/>
          <w:b/>
          <w:bCs/>
          <w:color w:val="000000"/>
          <w:kern w:val="0"/>
          <w:sz w:val="34"/>
          <w:szCs w:val="34"/>
        </w:rPr>
      </w:pPr>
    </w:p>
    <w:p>
      <w:pPr>
        <w:ind w:firstLine="680" w:firstLineChars="200"/>
        <w:jc w:val="both"/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</w:rPr>
        <w:t>三、收到和处理政府信息公开申请情况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eastAsia="宋体" w:cs="宋体"/>
          <w:color w:val="000000"/>
          <w:szCs w:val="24"/>
        </w:rPr>
      </w:pPr>
    </w:p>
    <w:tbl>
      <w:tblPr>
        <w:tblStyle w:val="5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358"/>
        <w:gridCol w:w="539"/>
        <w:gridCol w:w="686"/>
        <w:gridCol w:w="686"/>
        <w:gridCol w:w="687"/>
        <w:gridCol w:w="686"/>
        <w:gridCol w:w="686"/>
        <w:gridCol w:w="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tblHeader/>
          <w:jc w:val="center"/>
        </w:trPr>
        <w:tc>
          <w:tcPr>
            <w:tcW w:w="5064" w:type="dxa"/>
            <w:gridSpan w:val="3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（本列数据的勾稽关系为：第一项加第二项之和，等于第三项加第四项之和）</w:t>
            </w:r>
          </w:p>
        </w:tc>
        <w:tc>
          <w:tcPr>
            <w:tcW w:w="4656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tblHeader/>
          <w:jc w:val="center"/>
        </w:trPr>
        <w:tc>
          <w:tcPr>
            <w:tcW w:w="5064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自然人</w:t>
            </w:r>
          </w:p>
        </w:tc>
        <w:tc>
          <w:tcPr>
            <w:tcW w:w="3431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法人或其他组织</w:t>
            </w:r>
          </w:p>
        </w:tc>
        <w:tc>
          <w:tcPr>
            <w:tcW w:w="68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8" w:hRule="atLeast"/>
          <w:tblHeader/>
          <w:jc w:val="center"/>
        </w:trPr>
        <w:tc>
          <w:tcPr>
            <w:tcW w:w="5064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68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企业</w:t>
            </w:r>
          </w:p>
        </w:tc>
        <w:tc>
          <w:tcPr>
            <w:tcW w:w="68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机构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社会公益组织</w:t>
            </w:r>
          </w:p>
        </w:tc>
        <w:tc>
          <w:tcPr>
            <w:tcW w:w="68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法律服务机构</w:t>
            </w:r>
          </w:p>
        </w:tc>
        <w:tc>
          <w:tcPr>
            <w:tcW w:w="68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其他</w:t>
            </w:r>
          </w:p>
        </w:tc>
        <w:tc>
          <w:tcPr>
            <w:tcW w:w="68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506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一、本年新收政府信息公开申请数量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506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二、上年结转政府信息公开申请数量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三、本年度办理结果</w:t>
            </w:r>
          </w:p>
        </w:tc>
        <w:tc>
          <w:tcPr>
            <w:tcW w:w="42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（一）予以公开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（二）部分公开（区分处理的，只计这一情形，不计其他情形）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（三）不予公开</w:t>
            </w: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1.属于国家秘密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2.其他法律行政法规禁止公开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3.危及“三安全一稳定”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4.保护第三方合法权益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5.属于三类内部事务信息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6.属于四类过程性信息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7.属于行政执法案卷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8.属于行政查询事项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（四）无法提供</w:t>
            </w: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1.本机关不掌握相关政府信息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2.没有现成信息需要另行制作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3.补正后申请内容仍不明确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（五）不予处理</w:t>
            </w: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1.信访举报投诉类申请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2.重复申请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3.要求提供公开出版物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4.无正当理由大量反复申请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5.要求行政机关确认或重新出具已获取信息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（六）其他处理</w:t>
            </w: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1.申请人无正当理由逾期不补正、行政机关不再处理其政府信息公开申请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2.申请人逾期未按收费通知要求缴纳费用、行政机关不再处理其政府信息公开申请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3.其他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（七）总计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506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四、结转下年度继续办理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ind w:firstLine="680" w:firstLineChars="200"/>
        <w:jc w:val="both"/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</w:rPr>
        <w:br w:type="page"/>
      </w:r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000000"/>
          <w:sz w:val="24"/>
          <w:szCs w:val="24"/>
        </w:rPr>
      </w:pPr>
    </w:p>
    <w:tbl>
      <w:tblPr>
        <w:tblStyle w:val="5"/>
        <w:tblW w:w="946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631"/>
        <w:gridCol w:w="629"/>
        <w:gridCol w:w="630"/>
        <w:gridCol w:w="631"/>
        <w:gridCol w:w="630"/>
        <w:gridCol w:w="631"/>
        <w:gridCol w:w="630"/>
        <w:gridCol w:w="631"/>
        <w:gridCol w:w="632"/>
        <w:gridCol w:w="632"/>
        <w:gridCol w:w="631"/>
        <w:gridCol w:w="631"/>
        <w:gridCol w:w="631"/>
        <w:gridCol w:w="63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315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行政复议</w:t>
            </w:r>
          </w:p>
        </w:tc>
        <w:tc>
          <w:tcPr>
            <w:tcW w:w="630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6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结果维持</w:t>
            </w:r>
          </w:p>
        </w:tc>
        <w:tc>
          <w:tcPr>
            <w:tcW w:w="63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纠正</w:t>
            </w:r>
          </w:p>
        </w:tc>
        <w:tc>
          <w:tcPr>
            <w:tcW w:w="62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6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尚未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审结</w:t>
            </w:r>
          </w:p>
        </w:tc>
        <w:tc>
          <w:tcPr>
            <w:tcW w:w="63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315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未经复议直接起诉</w:t>
            </w:r>
          </w:p>
        </w:tc>
        <w:tc>
          <w:tcPr>
            <w:tcW w:w="31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6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维持</w:t>
            </w:r>
          </w:p>
        </w:tc>
        <w:tc>
          <w:tcPr>
            <w:tcW w:w="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纠正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尚未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审结</w:t>
            </w:r>
          </w:p>
        </w:tc>
        <w:tc>
          <w:tcPr>
            <w:tcW w:w="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维持</w:t>
            </w:r>
          </w:p>
        </w:tc>
        <w:tc>
          <w:tcPr>
            <w:tcW w:w="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纠正</w:t>
            </w:r>
          </w:p>
        </w:tc>
        <w:tc>
          <w:tcPr>
            <w:tcW w:w="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尚未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审结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color w:val="000000"/>
        </w:rPr>
      </w:pPr>
    </w:p>
    <w:p>
      <w:pPr>
        <w:ind w:firstLine="680" w:firstLineChars="200"/>
        <w:jc w:val="both"/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</w:rPr>
        <w:t>五、存在的主要问题及改进情况</w:t>
      </w:r>
    </w:p>
    <w:p>
      <w:pPr>
        <w:ind w:firstLine="680" w:firstLineChars="200"/>
        <w:jc w:val="both"/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>（一）存在的主要问题：一是平台的功能和内容不够丰富，公开的深度和广度还有不足，在促进政府信息共享等方面有待提升；二是主动公开的形式还有欠缺，主动公开力度不够，公开效果略有不足。</w:t>
      </w:r>
    </w:p>
    <w:p>
      <w:pPr>
        <w:ind w:firstLine="680" w:firstLineChars="200"/>
        <w:jc w:val="both"/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>（二）改进情况：一是提升网站建设水平。聚焦法定主动公开内容，分类有序发布信息，充分运用信息化手段，及时主动公开政府信息，提高公开时效；二是拓展发布渠道。创新部分专题专栏，发布重要政策文件、民生实事、重大建设项目等信息，提升传播力和影响力。三是按照《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中华人民共和国政府信息公开条例</w:t>
      </w:r>
      <w:bookmarkStart w:id="0" w:name="_GoBack"/>
      <w:bookmarkEnd w:id="0"/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>》规定，通过主动和群众沟通，了解群众有效需求，加强对公众关注度高的政府信息的梳理，拓展公开形式，进一步充实公开内容，方便公众获取政府信息，使及时解决群众需求。</w:t>
      </w:r>
    </w:p>
    <w:p>
      <w:pPr>
        <w:ind w:firstLine="680" w:firstLineChars="200"/>
        <w:jc w:val="both"/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</w:rPr>
        <w:t>六、其他需要报告的事项</w:t>
      </w:r>
    </w:p>
    <w:p>
      <w:pPr>
        <w:ind w:firstLine="680" w:firstLineChars="200"/>
      </w:pP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C2AB7969-737E-492C-B4BD-75FF5EFF4649}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3A04D812-A7A3-47FB-8E3D-0A0D4AF43FAF}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B7C94ED3-6CB2-429C-B4C3-BE6B5DE8A478}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4" w:fontKey="{061CD47C-A71D-416C-869D-F97A6D45C4A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D990E0E4-5A5A-47B8-AB96-D9BF68B7E01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yMjExOWZkNTA4NDUzMjZmZmVjNWZhOTNlMDQ3ZWIifQ=="/>
  </w:docVars>
  <w:rsids>
    <w:rsidRoot w:val="27835378"/>
    <w:rsid w:val="27835378"/>
    <w:rsid w:val="4A94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widowControl w:val="0"/>
      <w:spacing w:after="120"/>
      <w:ind w:left="42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Normal (Web)"/>
    <w:unhideWhenUsed/>
    <w:qFormat/>
    <w:uiPriority w:val="99"/>
    <w:pPr>
      <w:widowControl w:val="0"/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-SA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2333</Words>
  <Characters>2388</Characters>
  <Lines>0</Lines>
  <Paragraphs>0</Paragraphs>
  <TotalTime>0</TotalTime>
  <ScaleCrop>false</ScaleCrop>
  <LinksUpToDate>false</LinksUpToDate>
  <CharactersWithSpaces>2414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2023-01-19T01:48:00Z</dcterms:created>
  <dc:creator>历历万乡。</dc:creator>
  <cp:lastModifiedBy>历历万乡。</cp:lastModifiedBy>
  <dcterms:modified xsi:type="dcterms:W3CDTF">2023-01-19T04:32:09Z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B1A8ADE67B274049A9A5B1A69EEFC87F</vt:lpwstr>
  </property>
</Properties>
</file>