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="189" w:line="212" w:lineRule="auto"/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2023年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霍山县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快乐健身行动实施方案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一、年度目标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202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"/>
        </w:rPr>
        <w:t>3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年，完成全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县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居住小区、行政村健身设施维修、改造、升级、补建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42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个；新建体育公园和口袋体育公园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个；新建全民健身步道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6.5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公里；实施学校体育设施安全隔离改造项目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 xml:space="preserve">个；基本实现城乡居民身边健身设施全覆盖。开展群众体育培训不少于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0.5万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次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，参加赛事活动人数不少于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4.5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二、推进举措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（一）完善群众身边的健身设施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1.围绕目标任务，科学配置“菜单”。根据安徽省居民住宅区健身设施建设与管理指导意见，结合常住人口总量、结构、流动趋势，制定健身设施配建“菜单”，配置全民健身公共服务资源。2023年，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居住小区健身设施维修、改造、升级、补建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20个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、行政村健身设施维修、改造、升级、补建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个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新建体育公园和口袋体育公园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个；新建全民健身步道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6.5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公里；实施学校体育设施安全隔离改造项目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个；基本实现城乡居民身边健身设施全覆盖。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2.严格配建标准，加快改造提升。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对已建小区坚持“应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修尽修、应改尽改、应建尽建”，全面维修、改造、升级、 补建，因地制宜、见缝插针、科学布点。对新建小区严格按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室内人均建筑面积不低于0.1平方米或室外人均用地不低于 0.3平方米标准配建，并纳入施工图纸审查，验收未达标准 的不得交付使用。根据居民需求，结合实际情况，进一步优 化公共体育场地设施布局，全面改造升级小区和行政村健身设施，提升公共体育服务水平与服务能力。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3.落实属地责任，强化维保管理。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把全民健身公共服务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纳入乡镇、村（社区）服务体系、纳入考核，实行属地负责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制，由乡镇或设施所属单位提供必要的人员和经费保障，负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责日常维护、保养和管理，确保健身设施安全使用。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楷体" w:hAnsi="楷体" w:eastAsia="楷体" w:cs="楷体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（二）加快城市健身步道建设。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4.实行规划引领。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依据《安徽省健身步道建设内容和标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准》，将城市健身步道建设内容纳入国土空间规划，结合“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体育强县”创建、乡村振兴，高标准做好线路策划，因地制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宜、开拓创新、展现特色，推动健身步道与旅游、文化、休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闲等产业的互动融合。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5.畅通步道网络。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根据道路交通规划，分步实施城市健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身步道“断头路”畅通工程，着力打通红绿灯阻隔，确保步道 规划建设的有机串联和衔接，以步道为纽带，推动城市公园步道系统互联互通，逐步串通城市公共空间、历史文化节点、主要公共服务设施、重要居民片区、重要交通接驳点，连点成线，形成立体化步道网络，打造集交通、文化、旅游等功能为一体的综合健身空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楷体" w:hAnsi="楷体" w:eastAsia="楷体" w:cs="楷体"/>
          <w:sz w:val="34"/>
          <w:szCs w:val="34"/>
          <w:lang w:val="en-US" w:eastAsia="zh-CN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 xml:space="preserve">（三）加快城市空间资源整合利用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6.盘活各类资源。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充分利用城区空间空闲地、边角地、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公园绿地、广场、老旧厂房等空间资源，复合利用人防、文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化、娱乐、养老、教育、商业、社区用房等设施资源，与城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市园林绿化有机衔接、嵌入配套，因地制宜、一处一策，建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设口袋体育公园1个。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7.开放学校体育场地。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2023年，选择1所场馆设施较好的学校，开展安全隔离改造，纳入体育设施对外开放试点学校，推行“一场两门、早晚两开”。新建学校的体育场地设施，严格按开放条件设计、建设。在确保安全的前提下，鼓励以购买服务的方式，吸引社会力量运营管理学校体育场地设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（四）提升群众健身普及水平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8.加强健身培训。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将运动项目的推广普及作为主要评价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指标，加强对各类体育社会组织的引导和管理。推动体育协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会通过线上线下相结合方式，常态化组织开展乒乓球、羽毛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球、足球、篮球、游泳、八段锦、太极拳、广场舞等群众喜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爱的体育项目培训，让群众学会1—2项运动技能，全县每年培训不少于5000人次。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9.丰富赛事活动。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扩大经常参加体育锻炼人数比例，鼓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励自我健身。坚持以人民健康为中心，持续办好县全民健身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运动会，举办县级各类联赛，不断丰富活动内容，进一步提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升群众获得感、幸福感。积极组队参加省、市联赛。继续打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造大别山茶马古道徒步挑战赛、千人登山活动等全民健身特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色品牌赛事。鼓励各类各级单项体育协会举办联赛；鼓励各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单位举办职工运动会、老年人运动会、社区运动会等赛事活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动。每年参加各类全民健身活动人数不少于4.5万人次。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(五) 加强宣传推广营造健身氛围。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充分利用安徽综艺体 育频道等融媒体平台，采用图文、动漫、短视频等多种形式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开设全民健身节目、栏目，全方位展示群众健身风采，讲好群众健身故事，增强群众健身意识，营造群众健身氛围。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三、支持政策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(一)加大投入力度。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积极争取中央和省级预算内投资，综合运用中央对地方转移支付资金和自身财力，完善财政支持政策。将有关资金需求纳入年度财政预算。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(二)加强场地供给。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各地将全民健身设施建设用地纳入年度供地计划，制定可用于建设健身设施的非体育用地、非体育建筑目录或指引并向社会公布。鼓励以租赁方式向社会力量 提供用于健身设施建设的土地，租期不超过 20 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(三)落实优惠政策。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落实政府购买全民健身公共服务办 法及其实施细则、《关于鼓励和吸引社会力量投资建设与运营体育设施的意见》等文件要求，在房租、水电气等方面给予减免或补贴，落实税收优惠政策。制定公益性社会体育指导员补助政策。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附件：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快乐健身行动工作重点任务分工</w:t>
      </w:r>
    </w:p>
    <w:p>
      <w:pPr>
        <w:pStyle w:val="2"/>
        <w:rPr>
          <w:rFonts w:hint="eastAsia"/>
        </w:rPr>
        <w:sectPr>
          <w:footerReference r:id="rId3" w:type="default"/>
          <w:pgSz w:w="11905" w:h="16840"/>
          <w:pgMar w:top="1431" w:right="1585" w:bottom="1831" w:left="1592" w:header="0" w:footer="1563" w:gutter="0"/>
          <w:pgNumType w:fmt="numberInDash"/>
          <w:cols w:space="720" w:num="1"/>
        </w:sectPr>
      </w:pPr>
    </w:p>
    <w:p>
      <w:pPr>
        <w:keepNext w:val="0"/>
        <w:keepLines w:val="0"/>
        <w:widowControl/>
        <w:suppressLineNumbers w:val="0"/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4"/>
          <w:szCs w:val="34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快乐健身行动工作重点任务分工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705"/>
        <w:gridCol w:w="3075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3"/>
              <w:spacing w:line="240" w:lineRule="auto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4"/>
                <w:szCs w:val="34"/>
                <w:vertAlign w:val="baseline"/>
                <w:lang w:eastAsia="zh-CN"/>
              </w:rPr>
              <w:t>序号</w:t>
            </w:r>
          </w:p>
        </w:tc>
        <w:tc>
          <w:tcPr>
            <w:tcW w:w="6705" w:type="dxa"/>
          </w:tcPr>
          <w:p>
            <w:pPr>
              <w:pStyle w:val="3"/>
              <w:spacing w:line="240" w:lineRule="auto"/>
              <w:ind w:firstLine="2530" w:firstLineChars="7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重点任务</w:t>
            </w:r>
          </w:p>
        </w:tc>
        <w:tc>
          <w:tcPr>
            <w:tcW w:w="3075" w:type="dxa"/>
          </w:tcPr>
          <w:p>
            <w:pPr>
              <w:pStyle w:val="3"/>
              <w:spacing w:line="240" w:lineRule="auto"/>
              <w:ind w:firstLine="723" w:firstLineChars="2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时限要求</w:t>
            </w:r>
          </w:p>
        </w:tc>
        <w:tc>
          <w:tcPr>
            <w:tcW w:w="3434" w:type="dxa"/>
          </w:tcPr>
          <w:p>
            <w:pPr>
              <w:pStyle w:val="3"/>
              <w:spacing w:line="240" w:lineRule="auto"/>
              <w:ind w:firstLine="723" w:firstLineChars="2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住小区健身设施维修、改造、升级、补建20个。（衡山花园、和顺花园D区、水务局家属区、淠河新区、碧桂园小区、五谷香小区、教苑小区、文峰苑小区、翰林苑小区、源牌1988、凤凰城、锦绣世家、天池瑞景、金园华都、东湖南庭、山水学府、大地花园C区、警苑小区、金色衡山、壹号公馆）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2023年底</w:t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县文旅局牵头，县住建局、县城管</w:t>
            </w:r>
            <w:r>
              <w:rPr>
                <w:rFonts w:hint="default"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局、县经济开发区管委按职责分工负责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村健身设施维修、改造、升级、补建22个。（磨子潭镇白水畈村、磨子潭镇东流河村、上土市镇龙金村、上土市镇陡沙河村、上土市镇上土市村、上土市镇禅堂村、太平畈乡洪峰村、与儿街镇大沙埂村、诸佛庵镇仙人冲村、诸佛庵镇上谷村、太阳乡太阳村、太阳乡金竹坪村、诸佛庵镇西石门、诸佛庵镇狮山村、太平畈乡蔡家河村、太平畈乡太平畈村、太平畈乡高山铺村、太平畈乡蔡家畈村、太平畈乡何家坊村、与儿街镇与儿街村、诸佛庵镇俊卿社区、下符桥镇下符桥村）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2023年底</w:t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县文旅局牵头，县住建局、县城管</w:t>
            </w:r>
            <w:r>
              <w:rPr>
                <w:rFonts w:hint="default"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局、各乡镇人民政府、县经济开发区管委按职责分工负责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充分利用城区空间空闲地、边角地、 公园绿地、广场、老旧厂房等空间资源，复合利用人防、文化、娱乐、养老、教育、商业、社区用房等设施资源，与城市园林绿化有机衔接、嵌入配套，因地制宜、一处一策，建设口袋体育公园1个（潜台路和迎驾大道交叉口西南角）。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2023年底</w:t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县住建局牵头，县自然资源局、县</w:t>
            </w:r>
            <w:r>
              <w:rPr>
                <w:rFonts w:hint="default"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文旅局、各乡镇人民政府、县经济开发区管委按职责分工负责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3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依据《安徽省健身步道建设内容和标准》，将城市健身步道建设内容纳入国土空间规划，结合“ 体育强县”创建、乡村振兴，高标准做好线路策划，因地制宜、开拓创新、展现特色，推动健身步道与旅游、文化、休闲等产业的互动融合。新建健身步道6.5公里（漫水河镇茶马古道）。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2023年底</w:t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县住建局牵头，县自然资源局、县</w:t>
            </w:r>
            <w:r>
              <w:rPr>
                <w:rFonts w:hint="default"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文旅局、县林业局按职责分工负责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3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，选择1所场馆设施较好的学校，开展安全隔离改造，纳入体育设施对外开放试点学校，推行“一场两门、早晚两开”。新建学校的体育场地设施，严格按开放条件设计、建设。在确保安全的前提下，鼓励以购买服务的方式，吸引社会力量运营管理学校体育场地设施（西城中心校）。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2023年底</w:t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</w:pPr>
            <w:r>
              <w:rPr>
                <w:rFonts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县教育局牵头，县文旅局、各乡镇</w:t>
            </w:r>
            <w:r>
              <w:rPr>
                <w:rFonts w:hint="default"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人民政府按职责分工负责</w:t>
            </w:r>
          </w:p>
          <w:p>
            <w:pPr>
              <w:pStyle w:val="3"/>
              <w:spacing w:line="24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3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常态化组织开展乒乓球、羽毛球、足球、篮球、游泳、八段锦、太极拳、广场舞等群众喜爱的体育项目培训，让群众学会1—2项运动技能，全县每年培训不少于5000人次。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2023年底</w:t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县文旅局牵头，县民政局按职责分</w:t>
            </w:r>
            <w:r>
              <w:rPr>
                <w:rFonts w:hint="default"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3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打造大别山茶马古道徒步挑战赛、千人登山活动等全民健身特色品牌赛事。鼓励各类各级单项体育协会举办联赛；鼓励各单位举办职工运动会、老年人运动会、社区运动会等赛事活动。每年参加各类全民健身活动人数不少于4.5万人次。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2023年底</w:t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县文旅局牵头，全民健身委员会成</w:t>
            </w:r>
            <w:r>
              <w:rPr>
                <w:rFonts w:hint="default" w:ascii="FZShuSong-Z01S" w:hAnsi="FZShuSong-Z01S" w:eastAsia="FZShuSong-Z01S" w:cs="FZShuSong-Z01S"/>
                <w:color w:val="000000"/>
                <w:kern w:val="0"/>
                <w:sz w:val="24"/>
                <w:szCs w:val="24"/>
                <w:lang w:val="en-US" w:eastAsia="zh-CN" w:bidi="ar"/>
              </w:rPr>
              <w:t>员单位按职责分工负责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3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参加六安市龙舟赛、六安市篮球联赛等省、市各级各类培训比赛。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2023年底</w:t>
            </w:r>
          </w:p>
        </w:tc>
        <w:tc>
          <w:tcPr>
            <w:tcW w:w="3434" w:type="dxa"/>
          </w:tcPr>
          <w:p>
            <w:pPr>
              <w:pStyle w:val="3"/>
              <w:spacing w:line="24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FZShuSong-Z01S" w:hAnsi="FZShuSong-Z01S" w:eastAsia="FZShuSong-Z01S" w:cs="FZShuSong-Z01S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县文旅局牵头、县教育局、财政局按职责分工负责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pStyle w:val="3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670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各级各类青少年体育赛事。参加六安市“未来之星”阳光体育大会、市三对三青少年篮球联赛、安徽省县级青少年三人篮球锦标赛等省市青少年体育比赛。开展好县中小学生乒乓球比赛、县中小学生足球比赛、县中小学生田径运动会等比赛活动。</w:t>
            </w:r>
          </w:p>
        </w:tc>
        <w:tc>
          <w:tcPr>
            <w:tcW w:w="3075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2023年底</w:t>
            </w:r>
          </w:p>
        </w:tc>
        <w:tc>
          <w:tcPr>
            <w:tcW w:w="3434" w:type="dxa"/>
          </w:tcPr>
          <w:p>
            <w:pPr>
              <w:pStyle w:val="3"/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 w:ascii="FZShuSong-Z01S" w:hAnsi="FZShuSong-Z01S" w:eastAsia="FZShuSong-Z01S" w:cs="FZShuSong-Z01S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县文旅局牵头、县教育局、财政局按职责分工负责</w:t>
            </w:r>
          </w:p>
        </w:tc>
      </w:tr>
    </w:tbl>
    <w:p>
      <w:pPr>
        <w:pStyle w:val="3"/>
        <w:jc w:val="both"/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华文彩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ShuSong-Z01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11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680"/>
        <w:tab w:val="clear" w:pos="936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OTE1Y2QzNTg2MzE5NGMzMWIyZWY3NTZhYTFjZjAifQ=="/>
  </w:docVars>
  <w:rsids>
    <w:rsidRoot w:val="00000000"/>
    <w:rsid w:val="025C1016"/>
    <w:rsid w:val="082F70D0"/>
    <w:rsid w:val="0CD44E56"/>
    <w:rsid w:val="15192D96"/>
    <w:rsid w:val="19340B62"/>
    <w:rsid w:val="19377C8F"/>
    <w:rsid w:val="1A253F8B"/>
    <w:rsid w:val="1A6B5E42"/>
    <w:rsid w:val="2B9F0861"/>
    <w:rsid w:val="2BAF7B59"/>
    <w:rsid w:val="2C307E3F"/>
    <w:rsid w:val="2D05378C"/>
    <w:rsid w:val="2D575CB7"/>
    <w:rsid w:val="2D8A79CF"/>
    <w:rsid w:val="31542ECC"/>
    <w:rsid w:val="325249D9"/>
    <w:rsid w:val="361557F5"/>
    <w:rsid w:val="382158AA"/>
    <w:rsid w:val="3EAB0813"/>
    <w:rsid w:val="42377A9B"/>
    <w:rsid w:val="456D38A5"/>
    <w:rsid w:val="4F934F18"/>
    <w:rsid w:val="51053BF3"/>
    <w:rsid w:val="52F43F1F"/>
    <w:rsid w:val="5B694FAE"/>
    <w:rsid w:val="5BC70423"/>
    <w:rsid w:val="5F3F5B0E"/>
    <w:rsid w:val="5FF256A6"/>
    <w:rsid w:val="5FFE3FA2"/>
    <w:rsid w:val="637D3ABD"/>
    <w:rsid w:val="63A52FFE"/>
    <w:rsid w:val="645BE37F"/>
    <w:rsid w:val="66EB43E8"/>
    <w:rsid w:val="689C49E5"/>
    <w:rsid w:val="6A0E36C1"/>
    <w:rsid w:val="6F5F7A49"/>
    <w:rsid w:val="70D22A0C"/>
    <w:rsid w:val="72AC5382"/>
    <w:rsid w:val="72E63675"/>
    <w:rsid w:val="75022074"/>
    <w:rsid w:val="76EFF584"/>
    <w:rsid w:val="78A82F32"/>
    <w:rsid w:val="7B3D1782"/>
    <w:rsid w:val="7BAE73EF"/>
    <w:rsid w:val="7BF957B1"/>
    <w:rsid w:val="7D496A1C"/>
    <w:rsid w:val="7E7F9C53"/>
    <w:rsid w:val="7EFB5DA2"/>
    <w:rsid w:val="7F67A325"/>
    <w:rsid w:val="7F6F16DC"/>
    <w:rsid w:val="7F7B62B5"/>
    <w:rsid w:val="7FEFA317"/>
    <w:rsid w:val="7FF84FDB"/>
    <w:rsid w:val="7FFD17B0"/>
    <w:rsid w:val="A4EC0A75"/>
    <w:rsid w:val="BA7BEB4D"/>
    <w:rsid w:val="BEFCB7A8"/>
    <w:rsid w:val="BF39500F"/>
    <w:rsid w:val="BFE30589"/>
    <w:rsid w:val="BFEB844C"/>
    <w:rsid w:val="C5FEAE26"/>
    <w:rsid w:val="CBDFC9D6"/>
    <w:rsid w:val="EB3C4FE9"/>
    <w:rsid w:val="EBC71CBB"/>
    <w:rsid w:val="EDEF3CD5"/>
    <w:rsid w:val="EFCF382F"/>
    <w:rsid w:val="F8DB8331"/>
    <w:rsid w:val="FEDF9740"/>
    <w:rsid w:val="FFF8D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eastAsia="Songti SC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unhideWhenUsed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next w:val="1"/>
    <w:qFormat/>
    <w:uiPriority w:val="0"/>
    <w:pPr>
      <w:adjustRightInd w:val="0"/>
      <w:spacing w:line="360" w:lineRule="atLeast"/>
      <w:ind w:firstLine="420" w:firstLineChars="200"/>
      <w:textAlignment w:val="baseline"/>
    </w:pPr>
    <w:rPr>
      <w:rFonts w:ascii="Times New Roman" w:hAnsi="Times New Roman" w:eastAsia="宋体" w:cs="Times New Roman"/>
      <w:sz w:val="21"/>
      <w:szCs w:val="20"/>
    </w:rPr>
  </w:style>
  <w:style w:type="table" w:styleId="12">
    <w:name w:val="Table Grid"/>
    <w:basedOn w:val="11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2995</Words>
  <Characters>3074</Characters>
  <Lines>0</Lines>
  <Paragraphs>0</Paragraphs>
  <TotalTime>67</TotalTime>
  <ScaleCrop>false</ScaleCrop>
  <LinksUpToDate>false</LinksUpToDate>
  <CharactersWithSpaces>3123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k.maldini</cp:lastModifiedBy>
  <cp:lastPrinted>2023-03-13T08:09:31Z</cp:lastPrinted>
  <dcterms:modified xsi:type="dcterms:W3CDTF">2023-03-13T08:49:21Z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C3337CE283FC4C608315FCBEBFBDE635</vt:lpwstr>
  </property>
</Properties>
</file>