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霍山县人民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办公室2023年政府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 xml:space="preserve">（一）主动公开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一是助力优化营商环境和扩大内需。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扎实做好“落实稳经济一揽子政策”“四最营商环境”等专栏更新，全面及时发布涉企政策举措280余条，确保惠企政策直达市场主体。聚焦“十四五”重大工程，做好重大项目全生命周期展示，本年度已完成10个重大项目全生命周期展示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二是加强民生信息公开。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加大10项暖民心行动、就业、住房、教育、医疗等领域信息公开，累计发布相关信息530余条，让惠民政策直通群众；加强主动回应，做好新冠疫情防控“乙类乙管”信息公开。加强公共企事业单位信息公开，上线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77家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做好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信息常态化发布。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三是加强提升行动。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制定《关于开展政务公开重点工作提升行动的通知》，明确5大项23小项任务，深化重点领域信息公开。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是加强政策解读。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丰富政策解读形式，发布文字、图片解读等14篇，制作高质量视频解读1篇。搭建政策集成式解读专题，全链条、全方位、全景式展示政策信息，专题已上线。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是加强基层政务公开。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及时调整标准目录指引，落实周督查、月通报、季督导机制，组织“两化”专项测评4次，形成通报4期，考评结果纳入对乡镇综合考评。强化村务公开，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开展线下督查2次，确保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涉农补贴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惠民惠农资金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等信息常态化更新，线下同步做好纸质信息留存。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规范公布政府信息公开指南，保障受理渠道畅通；开展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业务培训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1次，督促各单位按统一模板制作答复书，办理完成经单位主要负责人审核后回复，做好资料留存归档。2023年共办理政府信息公开申请18件，含上年结转办件1件。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（三）政府信息管理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8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结合省市季度测评、日常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监测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等反馈问题，常态化开展行政规范性文件问题排查，严格执行省级明确的行政规范性文件网络版格式，确保已发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布的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 w:bidi="ar-SA"/>
        </w:rPr>
        <w:t>行政规范性文件符合要求。加大主动公开保密性审查工作，确保涉密信息不公开，按季度发布个人隐私排查情况。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持续做好政府信息公开专栏建设，实现与政策文件库、“互联网+政务服务”等平台资源共享。务实推进专区建设，实现16个乡镇专区全覆盖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，县本级专区建成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政策咨询综合服务台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持续做好政府公报工作，完善适配功能，优化检索功能，发布政府公报5期</w:t>
      </w:r>
      <w:r>
        <w:rPr>
          <w:rFonts w:hint="eastAsia" w:ascii="Times New Roman" w:hAnsi="Times New Roman" w:eastAsia="方正仿宋简体" w:cs="Times New Roman"/>
          <w:kern w:val="0"/>
          <w:sz w:val="34"/>
          <w:szCs w:val="34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/>
        <w:textAlignment w:val="auto"/>
        <w:rPr>
          <w:rFonts w:hint="eastAsia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加强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督查检查和业务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指导，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开展跟班学习25批次50余人，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召开工作调度会、业务培训会、专项工作推进会等6次，推动政务公开提质增效。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严格落实</w:t>
      </w: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重点工作落实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回头看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制度，全年开展政务公开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季度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测评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并针对反馈问题，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组织各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进行集中办公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整改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次。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三、收到和处理政府信息公开申请情况</w:t>
      </w:r>
    </w:p>
    <w:p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年度存在问题：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部分重点工作推进不够快。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对乡镇基层“两化”常态化信息发布督促指导不够，创优营商环境、民生领域信息公开不够及时，特别是政策文件类信息更新较少，落实举措更新不够及时。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4"/>
          <w:szCs w:val="34"/>
          <w:lang w:val="en-US" w:eastAsia="zh-CN"/>
        </w:rPr>
        <w:t>调度、培训力度还不够大。</w:t>
      </w:r>
      <w:r>
        <w:rPr>
          <w:rFonts w:hint="default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发挥统筹调度、业务培训、工作指导等方面作用还不够，虽然组织了业务培训和工作推进会、开展集中办公和人员跟班学习，但总体来看，频次不够、力度不大，特别是部分单位人员变动较快，对业务不够熟悉、指标不够清楚的情况依然存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8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4"/>
          <w:szCs w:val="34"/>
          <w:lang w:val="en-US" w:eastAsia="zh-CN" w:bidi="ar-SA"/>
        </w:rPr>
        <w:t>2022年度存在问题整改情况：针对解读形式单一问题，全力丰富政策解读形式，发布图片解读2篇，制作高质量的视频动漫解读1篇，并积极参加优秀政策解读评选活动；针对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依申请公开办理能力水平有待于提高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问题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积极开展业务培训，从依申请公开受理、审核、办理等各环节进行指导，要求各单位回复前须经县政府办及司法局审核后方可答复，通过以上措施，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依申请公开答复工作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进一步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下一步改进措施：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4"/>
          <w:szCs w:val="34"/>
          <w:lang w:val="en-US" w:eastAsia="zh-CN"/>
        </w:rPr>
        <w:t>一是持续加大重点工作推进力度。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加大对业务人员特别是乡镇经办人员培训力度，常态化开展“两化”领域专项检查，确保该公开的全部公开到位。加强助力优化营商环境、民生领域信息公开力度，进一步明确各专栏对应责任单位，明确更新内容、时限要求等，并针对政策文件和落实情况信息更新情况开展检查，确保重点领域信息更新及时、到位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4"/>
          <w:szCs w:val="34"/>
          <w:lang w:val="en-US" w:eastAsia="zh-CN" w:bidi="ar-SA"/>
        </w:rPr>
        <w:t>二是持续加大监督指导力度。</w:t>
      </w:r>
      <w:r>
        <w:rPr>
          <w:rFonts w:hint="eastAsia" w:ascii="Times New Roman" w:hAnsi="Times New Roman" w:eastAsia="方正仿宋简体" w:cs="Times New Roman"/>
          <w:color w:val="auto"/>
          <w:sz w:val="34"/>
          <w:szCs w:val="34"/>
          <w:lang w:val="en-US" w:eastAsia="zh-CN"/>
        </w:rPr>
        <w:t>2024年将持续加大工作指导力度，继续落实跟班学习、集中办公等工作制度，及时组织开展业务培训等，确保业务进班人员能力水平加快提升。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color w:val="000000"/>
          <w:kern w:val="0"/>
          <w:sz w:val="34"/>
          <w:szCs w:val="34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WFkYjllMjljYzcwMDE3NTk4ODg4YzE5NTUzMDgifQ=="/>
  </w:docVars>
  <w:rsids>
    <w:rsidRoot w:val="00000000"/>
    <w:rsid w:val="0093008B"/>
    <w:rsid w:val="020F2E1B"/>
    <w:rsid w:val="0261487E"/>
    <w:rsid w:val="03BD3D36"/>
    <w:rsid w:val="03D50116"/>
    <w:rsid w:val="098D7D07"/>
    <w:rsid w:val="0B2621C1"/>
    <w:rsid w:val="0BD51E39"/>
    <w:rsid w:val="0C582030"/>
    <w:rsid w:val="0E256FA8"/>
    <w:rsid w:val="0EC76CE2"/>
    <w:rsid w:val="0FB81855"/>
    <w:rsid w:val="107734BE"/>
    <w:rsid w:val="122D3B19"/>
    <w:rsid w:val="14537D9F"/>
    <w:rsid w:val="16023ADB"/>
    <w:rsid w:val="16E01DBD"/>
    <w:rsid w:val="18475E6C"/>
    <w:rsid w:val="196640D0"/>
    <w:rsid w:val="1C111149"/>
    <w:rsid w:val="1E0345E3"/>
    <w:rsid w:val="1F664E2A"/>
    <w:rsid w:val="1F6E3CDF"/>
    <w:rsid w:val="1FD652F9"/>
    <w:rsid w:val="20766C71"/>
    <w:rsid w:val="22370D00"/>
    <w:rsid w:val="242D4168"/>
    <w:rsid w:val="24843DCC"/>
    <w:rsid w:val="258E0C37"/>
    <w:rsid w:val="25B55CF4"/>
    <w:rsid w:val="2661459D"/>
    <w:rsid w:val="29243BBA"/>
    <w:rsid w:val="29257B04"/>
    <w:rsid w:val="2EA25753"/>
    <w:rsid w:val="32586854"/>
    <w:rsid w:val="33F56325"/>
    <w:rsid w:val="373158C6"/>
    <w:rsid w:val="37B24C58"/>
    <w:rsid w:val="37C624B2"/>
    <w:rsid w:val="38F1355F"/>
    <w:rsid w:val="39BF7500"/>
    <w:rsid w:val="3B715100"/>
    <w:rsid w:val="3D485717"/>
    <w:rsid w:val="462036D5"/>
    <w:rsid w:val="47A04ACD"/>
    <w:rsid w:val="48425B85"/>
    <w:rsid w:val="4A8B2A0A"/>
    <w:rsid w:val="4AFD5D93"/>
    <w:rsid w:val="4B46773A"/>
    <w:rsid w:val="4B4B2FA2"/>
    <w:rsid w:val="4C545E87"/>
    <w:rsid w:val="4CC21042"/>
    <w:rsid w:val="4E6D6961"/>
    <w:rsid w:val="50BD049E"/>
    <w:rsid w:val="50C03EAF"/>
    <w:rsid w:val="51075911"/>
    <w:rsid w:val="52EA3518"/>
    <w:rsid w:val="53DE62D7"/>
    <w:rsid w:val="540B1521"/>
    <w:rsid w:val="57B93DDA"/>
    <w:rsid w:val="5B1F3B03"/>
    <w:rsid w:val="5BE426E9"/>
    <w:rsid w:val="5C28379B"/>
    <w:rsid w:val="5C9517E0"/>
    <w:rsid w:val="61744FEB"/>
    <w:rsid w:val="62C0797A"/>
    <w:rsid w:val="68030A35"/>
    <w:rsid w:val="6908207B"/>
    <w:rsid w:val="6C443BC0"/>
    <w:rsid w:val="737547B1"/>
    <w:rsid w:val="73DC65DE"/>
    <w:rsid w:val="74CE5F27"/>
    <w:rsid w:val="784433D1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无人科比</cp:lastModifiedBy>
  <dcterms:modified xsi:type="dcterms:W3CDTF">2024-01-19T02:05:25Z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311B271B8C39460BA2B7DC984E491FC6_13</vt:lpwstr>
  </property>
</Properties>
</file>