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0" w:lineRule="atLeast"/>
        <w:jc w:val="both"/>
        <w:textAlignment w:val="auto"/>
        <w:rPr>
          <w:rFonts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霍山县市场监督管理局</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年政府信息公开</w:t>
      </w:r>
    </w:p>
    <w:p>
      <w:pPr>
        <w:keepNext w:val="0"/>
        <w:keepLines w:val="0"/>
        <w:pageBreakBefore w:val="0"/>
        <w:kinsoku/>
        <w:wordWrap/>
        <w:overflowPunct/>
        <w:topLinePunct w:val="0"/>
        <w:autoSpaceDE/>
        <w:autoSpaceDN/>
        <w:bidi w:val="0"/>
        <w:adjustRightInd w:val="0"/>
        <w:snapToGrid w:val="0"/>
        <w:spacing w:line="590" w:lineRule="atLeast"/>
        <w:jc w:val="center"/>
        <w:textAlignment w:val="auto"/>
        <w:rPr>
          <w:rFonts w:ascii="微软雅黑" w:hAnsi="微软雅黑" w:eastAsia="微软雅黑" w:cs="微软雅黑"/>
        </w:rPr>
      </w:pPr>
      <w:r>
        <w:rPr>
          <w:rFonts w:hint="eastAsia" w:ascii="方正小标宋简体" w:hAnsi="方正小标宋简体" w:eastAsia="方正小标宋简体" w:cs="方正小标宋简体"/>
          <w:sz w:val="44"/>
          <w:szCs w:val="44"/>
        </w:rPr>
        <w:t>工作年度报告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i w:val="0"/>
          <w:iCs w:val="0"/>
          <w:caps w:val="0"/>
          <w:color w:val="000000"/>
          <w:spacing w:val="0"/>
          <w:sz w:val="32"/>
          <w:szCs w:val="32"/>
          <w:shd w:val="clear" w:fill="FFFFFF"/>
        </w:rPr>
        <w:t>本报告依据《中华人民共和国政府信息公开条例》，结合</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我局政府信息公开工作</w:t>
      </w:r>
      <w:r>
        <w:rPr>
          <w:rFonts w:hint="eastAsia" w:ascii="方正仿宋_GBK" w:hAnsi="方正仿宋_GBK" w:eastAsia="方正仿宋_GBK" w:cs="方正仿宋_GBK"/>
          <w:i w:val="0"/>
          <w:iCs w:val="0"/>
          <w:caps w:val="0"/>
          <w:color w:val="000000"/>
          <w:spacing w:val="0"/>
          <w:sz w:val="32"/>
          <w:szCs w:val="32"/>
          <w:shd w:val="clear" w:fill="FFFFFF"/>
        </w:rPr>
        <w:t>统计数据编制而成。报告主要包括：总体情况，主动公开政府信息情况，收到和处理政府信息公开申请情况，政府信息公开行政复议、行政诉讼情况，存在的主要问题及改进情况，其他需要报告的事项。本报告中使用数据统计期限为2021年1月1日至12月31日</w:t>
      </w:r>
      <w:r>
        <w:rPr>
          <w:rFonts w:hint="eastAsia" w:ascii="方正仿宋_GBK" w:hAnsi="方正仿宋_GBK" w:eastAsia="方正仿宋_GBK" w:cs="方正仿宋_GBK"/>
          <w:i w:val="0"/>
          <w:iCs w:val="0"/>
          <w:caps w:val="0"/>
          <w:color w:val="000000"/>
          <w:spacing w:val="0"/>
          <w:sz w:val="32"/>
          <w:szCs w:val="32"/>
          <w:shd w:val="clear"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80" w:firstLineChars="200"/>
        <w:jc w:val="both"/>
        <w:textAlignment w:val="auto"/>
        <w:rPr>
          <w:rFonts w:hint="eastAsia" w:ascii="方正黑体_GBK" w:hAnsi="方正黑体_GBK" w:eastAsia="方正黑体_GBK" w:cs="方正黑体_GBK"/>
          <w:sz w:val="34"/>
          <w:szCs w:val="34"/>
          <w:shd w:val="clear" w:color="auto" w:fill="FFFFFF"/>
        </w:rPr>
      </w:pPr>
      <w:r>
        <w:rPr>
          <w:rFonts w:hint="eastAsia" w:ascii="方正黑体_GBK" w:hAnsi="方正黑体_GBK" w:eastAsia="方正黑体_GBK" w:cs="方正黑体_GBK"/>
          <w:sz w:val="34"/>
          <w:szCs w:val="34"/>
          <w:shd w:val="clear" w:color="auto" w:fill="FFFFFF"/>
        </w:rPr>
        <w:t>一、总体情况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2021年，霍山县市场监督管理局政府紧紧围绕务实、高效、便民、快捷的服务宗旨，继续稳步推进政府信息公开工作，积极探索信息公开模式，不断改进工作作风，在测评中找差距，在整改中提水平，工作成效相较往年取得明显的进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kern w:val="2"/>
          <w:sz w:val="32"/>
          <w:szCs w:val="32"/>
          <w:lang w:val="en-US" w:eastAsia="zh-CN" w:bidi="ar-SA"/>
        </w:rPr>
        <w:t>（一）主动公开情况：</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一是做好重点领域组配信息的发布和更新，不断提高食品药品监管、价格监管、产品质量监管等重点领域的政策法规和业务开展信息的权威性和实用性，及时发布食品药品安全日常监管、案件查处、抽查抽检信息，不断加大重点领域反垄断反不正当竞争执法公开力度，积极回应、反馈群众关心关切的水、电、燃气等民生领域的监管和指导信息。二是全面公开我局落实深化商事制度改革任务、优化营商环境、加大企业质量品牌建设等激发市场主体活力的各项举措，保障我县市场主体快速高质量发展；三是全面公开我局的权责清单和行政权力运行情况，确保职权按照法定的权限和程序行使，让人民监督权力，让权利在阳光下运行；四是及时发布工作规划、重要决策、财政资金使用、建议议案办理等信息，广泛征集采纳对我局工作的意见和建议，自觉接受社会的监督。</w:t>
      </w:r>
    </w:p>
    <w:p>
      <w:pPr>
        <w:keepNext w:val="0"/>
        <w:keepLines w:val="0"/>
        <w:pageBreakBefore w:val="0"/>
        <w:kinsoku/>
        <w:wordWrap/>
        <w:overflowPunct/>
        <w:topLinePunct w:val="0"/>
        <w:autoSpaceDE/>
        <w:autoSpaceDN/>
        <w:bidi w:val="0"/>
        <w:adjustRightInd/>
        <w:snapToGrid/>
        <w:spacing w:line="590" w:lineRule="atLeast"/>
        <w:ind w:firstLine="640" w:firstLineChars="200"/>
        <w:textAlignment w:val="auto"/>
        <w:rPr>
          <w:rFonts w:hint="eastAsia" w:ascii="方正仿宋简体" w:hAnsi="方正仿宋简体" w:eastAsia="方正仿宋简体" w:cs="方正仿宋简体"/>
          <w:i w:val="0"/>
          <w:iCs w:val="0"/>
          <w:caps w:val="0"/>
          <w:color w:val="000000"/>
          <w:spacing w:val="0"/>
          <w:kern w:val="0"/>
          <w:sz w:val="34"/>
          <w:szCs w:val="34"/>
          <w:shd w:val="clear" w:fill="FFFFFF"/>
          <w:lang w:val="en-US" w:eastAsia="zh-CN" w:bidi="ar-SA"/>
        </w:rPr>
      </w:pPr>
      <w:r>
        <w:rPr>
          <w:rFonts w:hint="eastAsia" w:ascii="方正楷体_GBK" w:hAnsi="方正楷体_GBK" w:eastAsia="方正楷体_GBK" w:cs="方正楷体_GBK"/>
          <w:kern w:val="2"/>
          <w:sz w:val="32"/>
          <w:szCs w:val="32"/>
          <w:lang w:val="en-US" w:eastAsia="zh-CN" w:bidi="ar-SA"/>
        </w:rPr>
        <w:t>（二）依申请公开情况：</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SA"/>
        </w:rPr>
        <w:t>规范办理依申请公开，对收到的公开申请及时办理，规范回复，准确适用《中华人民共和国政府信息公开条例》，最大限度保障公民的知情权和监督权，全年共办理依申请公开2件，公开一件，无法提供一件，对无法提供信息的办件已向申请人进行了反馈并说明原因。</w:t>
      </w:r>
      <w:r>
        <w:rPr>
          <w:rFonts w:hint="eastAsia" w:ascii="方正仿宋简体" w:hAnsi="方正仿宋简体" w:eastAsia="方正仿宋简体" w:cs="方正仿宋简体"/>
          <w:i w:val="0"/>
          <w:iCs w:val="0"/>
          <w:caps w:val="0"/>
          <w:color w:val="000000"/>
          <w:spacing w:val="0"/>
          <w:kern w:val="0"/>
          <w:sz w:val="34"/>
          <w:szCs w:val="34"/>
          <w:shd w:val="clear" w:fill="FFFFFF"/>
          <w:lang w:val="en-US" w:eastAsia="zh-CN" w:bidi="ar-SA"/>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kern w:val="2"/>
          <w:sz w:val="32"/>
          <w:szCs w:val="32"/>
          <w:lang w:val="en-US" w:eastAsia="zh-CN" w:bidi="ar-SA"/>
        </w:rPr>
        <w:t>（三）政府信息管理情况：</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一是建立健全政府信息公开审查机制，明确公开的程序和责任；二是贯彻落实政府信息公开属性源头认定，坚持“公开为常态，不</w:t>
      </w:r>
      <w:bookmarkStart w:id="1" w:name="_GoBack"/>
      <w:bookmarkEnd w:id="1"/>
      <w:r>
        <w:rPr>
          <w:rFonts w:hint="eastAsia" w:ascii="方正仿宋_GBK" w:hAnsi="方正仿宋_GBK" w:eastAsia="方正仿宋_GBK" w:cs="方正仿宋_GBK"/>
          <w:i w:val="0"/>
          <w:iCs w:val="0"/>
          <w:caps w:val="0"/>
          <w:color w:val="000000"/>
          <w:spacing w:val="0"/>
          <w:sz w:val="32"/>
          <w:szCs w:val="32"/>
          <w:shd w:val="clear" w:fill="FFFFFF"/>
          <w:lang w:val="en-US" w:eastAsia="zh-CN"/>
        </w:rPr>
        <w:t>公开为例外”的原则，最大限度保障公民的知情权；三是加强保密制度管理，杜绝泄露国家秘密、商业秘密以及公民隐私信息的现象发生，确保政务公开工作依法、有序开展。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kern w:val="2"/>
          <w:sz w:val="32"/>
          <w:szCs w:val="32"/>
          <w:lang w:val="en-US" w:eastAsia="zh-CN" w:bidi="ar-SA"/>
        </w:rPr>
        <w:t>（四）政府信息公开平台建设情况：</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不断加强政府信息公开标准化规范规范化建设，切实提高标准化规范化水平，做到标题规范了然，信息更新及时，内容准确适用，真正让群众能看到、易获取、用得上。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kern w:val="2"/>
          <w:sz w:val="32"/>
          <w:szCs w:val="32"/>
          <w:lang w:val="en-US" w:eastAsia="zh-CN" w:bidi="ar-SA"/>
        </w:rPr>
        <w:t>(五)监督保障工作情况：</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针对每次测评中发现的问题，认真整改，总结经验，查找政务公开工作中的薄弱环节，学习先进，虚心请教，在整改过程中提升水平，不断寻求进步。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80" w:firstLineChars="200"/>
        <w:jc w:val="both"/>
        <w:textAlignment w:val="auto"/>
        <w:rPr>
          <w:rFonts w:hint="eastAsia" w:ascii="方正黑体_GBK" w:hAnsi="方正黑体_GBK" w:eastAsia="方正黑体_GBK" w:cs="方正黑体_GBK"/>
          <w:sz w:val="34"/>
          <w:szCs w:val="34"/>
          <w:shd w:val="clear" w:color="auto" w:fill="FFFFFF"/>
          <w:lang w:val="en-US" w:eastAsia="zh-CN"/>
        </w:rPr>
      </w:pPr>
      <w:r>
        <w:rPr>
          <w:rFonts w:hint="eastAsia" w:ascii="方正黑体_GBK" w:hAnsi="方正黑体_GBK" w:eastAsia="方正黑体_GBK" w:cs="方正黑体_GBK"/>
          <w:sz w:val="34"/>
          <w:szCs w:val="34"/>
          <w:shd w:val="clear" w:color="auto" w:fill="FFFFFF"/>
        </w:rPr>
        <w:t>二、主动公开政府信息情况</w:t>
      </w:r>
    </w:p>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ascii="Calibri" w:hAnsi="Calibri" w:cs="Calibri"/>
                <w:sz w:val="24"/>
                <w:szCs w:val="24"/>
              </w:rPr>
            </w:pPr>
            <w:r>
              <w:rPr>
                <w:rFonts w:hint="eastAsia" w:ascii="宋体" w:hAnsi="宋体" w:eastAsia="宋体" w:cs="宋体"/>
                <w:color w:val="282828"/>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信息内容</w:t>
            </w:r>
          </w:p>
        </w:tc>
        <w:tc>
          <w:tcPr>
            <w:tcW w:w="245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本年制发件数</w:t>
            </w:r>
          </w:p>
        </w:tc>
        <w:tc>
          <w:tcPr>
            <w:tcW w:w="245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本年废止件数</w:t>
            </w:r>
          </w:p>
        </w:tc>
        <w:tc>
          <w:tcPr>
            <w:tcW w:w="2192"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规章</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2192"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行政规范性文件</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1</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2192"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信息内容</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行政许可</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eastAsia="宋体" w:cs="Calibri"/>
                <w:sz w:val="24"/>
                <w:szCs w:val="24"/>
                <w:lang w:val="en-US" w:eastAsia="zh-CN"/>
              </w:rPr>
            </w:pPr>
            <w:r>
              <w:rPr>
                <w:rFonts w:hint="eastAsia" w:cs="Calibri"/>
                <w:color w:val="282828"/>
                <w:sz w:val="21"/>
                <w:szCs w:val="21"/>
                <w:lang w:val="en-US" w:eastAsia="zh-CN"/>
              </w:rPr>
              <w:t>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行政处罚</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eastAsia="宋体" w:cs="Calibri"/>
                <w:sz w:val="24"/>
                <w:szCs w:val="24"/>
                <w:lang w:val="en-US" w:eastAsia="zh-CN"/>
              </w:rPr>
            </w:pPr>
            <w:r>
              <w:rPr>
                <w:rFonts w:hint="eastAsia" w:ascii="宋体" w:hAnsi="宋体" w:cs="宋体"/>
                <w:color w:val="282828"/>
                <w:sz w:val="20"/>
                <w:szCs w:val="20"/>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行政强制</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eastAsia="宋体" w:cs="Calibri"/>
                <w:sz w:val="24"/>
                <w:szCs w:val="24"/>
                <w:lang w:val="en-US" w:eastAsia="zh-CN"/>
              </w:rPr>
            </w:pPr>
            <w:r>
              <w:rPr>
                <w:rFonts w:hint="eastAsia" w:ascii="宋体" w:hAnsi="宋体" w:cs="宋体"/>
                <w:color w:val="282828"/>
                <w:sz w:val="20"/>
                <w:szCs w:val="20"/>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信息内容</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行政事业性收费</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75" w:beforeAutospacing="0" w:after="75"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4"/>
                <w:szCs w:val="24"/>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atLeast"/>
        <w:ind w:left="0" w:right="0" w:firstLine="0"/>
        <w:jc w:val="both"/>
        <w:textAlignment w:val="auto"/>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80" w:firstLineChars="200"/>
        <w:jc w:val="both"/>
        <w:textAlignment w:val="auto"/>
        <w:rPr>
          <w:rFonts w:hint="default" w:ascii="方正黑体_GBK" w:hAnsi="方正黑体_GBK" w:eastAsia="方正黑体_GBK" w:cs="方正黑体_GBK"/>
          <w:sz w:val="34"/>
          <w:szCs w:val="34"/>
          <w:shd w:val="clear" w:color="auto" w:fill="FFFFFF"/>
        </w:rPr>
      </w:pPr>
      <w:r>
        <w:rPr>
          <w:rFonts w:hint="eastAsia" w:ascii="方正黑体_GBK" w:hAnsi="方正黑体_GBK" w:eastAsia="方正黑体_GBK" w:cs="方正黑体_GBK"/>
          <w:sz w:val="34"/>
          <w:szCs w:val="34"/>
          <w:shd w:val="clear" w:color="auto" w:fill="FFFFFF"/>
        </w:rPr>
        <w:t>三、收到和处理政府信息公开申请情况</w:t>
      </w:r>
    </w:p>
    <w:tbl>
      <w:tblPr>
        <w:tblStyle w:val="6"/>
        <w:tblW w:w="97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ascii="楷体" w:hAnsi="楷体" w:eastAsia="楷体" w:cs="楷体"/>
                <w:color w:val="282828"/>
                <w:sz w:val="20"/>
                <w:szCs w:val="20"/>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法人或其他组织</w:t>
            </w:r>
          </w:p>
        </w:tc>
        <w:tc>
          <w:tcPr>
            <w:tcW w:w="692"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商业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科研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eastAsia" w:ascii="宋体" w:hAnsi="宋体" w:eastAsia="宋体" w:cs="宋体"/>
                <w:color w:val="282828"/>
                <w:sz w:val="20"/>
                <w:szCs w:val="20"/>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eastAsia" w:ascii="Calibri" w:hAnsi="Calibri" w:eastAsia="宋体" w:cs="Calibri"/>
                <w:sz w:val="24"/>
                <w:szCs w:val="24"/>
                <w:lang w:eastAsia="zh-CN"/>
              </w:rPr>
            </w:pPr>
            <w:r>
              <w:rPr>
                <w:rFonts w:hint="eastAsia" w:cs="Calibri"/>
                <w:color w:val="282828"/>
                <w:sz w:val="20"/>
                <w:szCs w:val="20"/>
                <w:lang w:val="en-US" w:eastAsia="zh-CN"/>
              </w:rPr>
              <w:t>2</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eastAsia" w:ascii="Calibri" w:hAnsi="Calibri" w:eastAsia="宋体" w:cs="Calibri"/>
                <w:sz w:val="24"/>
                <w:szCs w:val="24"/>
                <w:lang w:eastAsia="zh-CN"/>
              </w:rPr>
            </w:pPr>
            <w:r>
              <w:rPr>
                <w:rFonts w:hint="eastAsia" w:cs="Calibri"/>
                <w:color w:val="282828"/>
                <w:sz w:val="20"/>
                <w:szCs w:val="20"/>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eastAsia" w:ascii="Calibri" w:hAnsi="Calibri" w:eastAsia="宋体" w:cs="Calibri"/>
                <w:sz w:val="24"/>
                <w:szCs w:val="24"/>
                <w:lang w:eastAsia="zh-CN"/>
              </w:rPr>
            </w:pPr>
            <w:r>
              <w:rPr>
                <w:rFonts w:hint="eastAsia" w:cs="Calibri"/>
                <w:color w:val="282828"/>
                <w:sz w:val="20"/>
                <w:szCs w:val="20"/>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eastAsia" w:ascii="Calibri" w:hAnsi="Calibri" w:eastAsia="宋体" w:cs="Calibri"/>
                <w:sz w:val="24"/>
                <w:szCs w:val="24"/>
                <w:lang w:eastAsia="zh-CN"/>
              </w:rPr>
            </w:pPr>
            <w:r>
              <w:rPr>
                <w:rFonts w:hint="eastAsia" w:cs="Calibri"/>
                <w:color w:val="282828"/>
                <w:sz w:val="20"/>
                <w:szCs w:val="20"/>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（二）部分公开</w:t>
            </w:r>
            <w:r>
              <w:rPr>
                <w:rFonts w:hint="eastAsia" w:ascii="楷体" w:hAnsi="楷体" w:eastAsia="楷体" w:cs="楷体"/>
                <w:color w:val="282828"/>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eastAsia" w:ascii="Calibri" w:hAnsi="Calibri" w:eastAsia="宋体" w:cs="Calibri"/>
                <w:sz w:val="24"/>
                <w:szCs w:val="24"/>
                <w:lang w:eastAsia="zh-CN"/>
              </w:rPr>
            </w:pPr>
            <w:r>
              <w:rPr>
                <w:rFonts w:hint="eastAsia" w:cs="Calibri"/>
                <w:color w:val="282828"/>
                <w:sz w:val="20"/>
                <w:szCs w:val="20"/>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eastAsia" w:ascii="Calibri" w:hAnsi="Calibri" w:eastAsia="宋体" w:cs="Calibri"/>
                <w:sz w:val="24"/>
                <w:szCs w:val="24"/>
                <w:lang w:eastAsia="zh-CN"/>
              </w:rPr>
            </w:pPr>
            <w:r>
              <w:rPr>
                <w:rFonts w:hint="eastAsia" w:cs="Calibri"/>
                <w:color w:val="282828"/>
                <w:sz w:val="20"/>
                <w:szCs w:val="20"/>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both"/>
              <w:textAlignment w:val="auto"/>
              <w:rPr>
                <w:rFonts w:hint="default" w:ascii="Calibri" w:hAnsi="Calibri" w:cs="Calibri"/>
                <w:sz w:val="24"/>
                <w:szCs w:val="24"/>
              </w:rPr>
            </w:pPr>
            <w:r>
              <w:rPr>
                <w:rFonts w:hint="eastAsia" w:ascii="宋体" w:hAnsi="宋体" w:eastAsia="宋体" w:cs="宋体"/>
                <w:color w:val="282828"/>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both"/>
              <w:textAlignment w:val="auto"/>
              <w:rPr>
                <w:rFonts w:hint="default" w:ascii="Calibri" w:hAnsi="Calibri" w:cs="Calibri"/>
                <w:sz w:val="24"/>
                <w:szCs w:val="24"/>
              </w:rPr>
            </w:pPr>
            <w:r>
              <w:rPr>
                <w:rFonts w:hint="eastAsia" w:ascii="宋体" w:hAnsi="宋体" w:eastAsia="宋体" w:cs="宋体"/>
                <w:color w:val="282828"/>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both"/>
              <w:textAlignment w:val="auto"/>
              <w:rPr>
                <w:rFonts w:hint="default" w:ascii="Calibri" w:hAnsi="Calibri" w:cs="Calibri"/>
                <w:sz w:val="24"/>
                <w:szCs w:val="24"/>
              </w:rPr>
            </w:pPr>
            <w:r>
              <w:rPr>
                <w:rFonts w:hint="eastAsia" w:ascii="宋体" w:hAnsi="宋体" w:eastAsia="宋体" w:cs="宋体"/>
                <w:color w:val="282828"/>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eastAsia" w:ascii="Calibri" w:hAnsi="Calibri" w:eastAsia="宋体" w:cs="Calibri"/>
                <w:sz w:val="24"/>
                <w:szCs w:val="24"/>
                <w:lang w:eastAsia="zh-CN"/>
              </w:rPr>
            </w:pPr>
            <w:r>
              <w:rPr>
                <w:rFonts w:hint="eastAsia" w:cs="Calibri"/>
                <w:color w:val="282828"/>
                <w:sz w:val="20"/>
                <w:szCs w:val="20"/>
                <w:lang w:val="en-US" w:eastAsia="zh-CN"/>
              </w:rPr>
              <w:t>2</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eastAsia" w:ascii="Calibri" w:hAnsi="Calibri" w:eastAsia="宋体" w:cs="Calibri"/>
                <w:sz w:val="24"/>
                <w:szCs w:val="24"/>
                <w:lang w:eastAsia="zh-CN"/>
              </w:rPr>
            </w:pPr>
            <w:r>
              <w:rPr>
                <w:rFonts w:hint="eastAsia" w:cs="Calibri"/>
                <w:color w:val="282828"/>
                <w:sz w:val="20"/>
                <w:szCs w:val="20"/>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jc w:val="center"/>
              <w:textAlignment w:val="auto"/>
              <w:rPr>
                <w:rFonts w:hint="default" w:ascii="Calibri" w:hAnsi="Calibri" w:cs="Calibri"/>
                <w:sz w:val="24"/>
                <w:szCs w:val="24"/>
              </w:rPr>
            </w:pPr>
            <w:r>
              <w:rPr>
                <w:rFonts w:hint="default" w:ascii="Calibri" w:hAnsi="Calibri" w:cs="Calibri"/>
                <w:color w:val="282828"/>
                <w:sz w:val="20"/>
                <w:szCs w:val="20"/>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atLeast"/>
        <w:ind w:left="0" w:right="0" w:firstLine="0"/>
        <w:jc w:val="both"/>
        <w:textAlignment w:val="auto"/>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atLeast"/>
        <w:ind w:left="0" w:right="0" w:firstLine="0"/>
        <w:jc w:val="both"/>
        <w:textAlignment w:val="auto"/>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80" w:firstLineChars="200"/>
        <w:jc w:val="both"/>
        <w:textAlignment w:val="auto"/>
        <w:rPr>
          <w:rFonts w:hint="default" w:ascii="方正黑体_GBK" w:hAnsi="方正黑体_GBK" w:eastAsia="方正黑体_GBK" w:cs="方正黑体_GBK"/>
          <w:sz w:val="34"/>
          <w:szCs w:val="34"/>
          <w:shd w:val="clear" w:color="auto" w:fill="FFFFFF"/>
        </w:rPr>
      </w:pPr>
      <w:r>
        <w:rPr>
          <w:rFonts w:hint="eastAsia" w:ascii="方正黑体_GBK" w:hAnsi="方正黑体_GBK" w:eastAsia="方正黑体_GBK" w:cs="方正黑体_GBK"/>
          <w:sz w:val="34"/>
          <w:szCs w:val="34"/>
          <w:shd w:val="clear" w:color="auto" w:fill="FFFFFF"/>
        </w:rPr>
        <w:t>四、政府信息公开行政复议、行政诉讼情况</w:t>
      </w:r>
    </w:p>
    <w:tbl>
      <w:tblPr>
        <w:tblStyle w:val="6"/>
        <w:tblW w:w="97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尚未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cs="Times New Roman"/>
                <w:sz w:val="20"/>
                <w:szCs w:val="20"/>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尚未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eastAsia" w:ascii="宋体" w:hAnsi="宋体" w:eastAsia="宋体" w:cs="宋体"/>
                <w:color w:val="282828"/>
                <w:sz w:val="20"/>
                <w:szCs w:val="20"/>
                <w:lang w:eastAsia="zh-CN"/>
              </w:rPr>
            </w:pPr>
            <w:r>
              <w:rPr>
                <w:rFonts w:hint="eastAsia" w:ascii="宋体" w:hAnsi="宋体" w:eastAsia="宋体" w:cs="宋体"/>
                <w:color w:val="282828"/>
                <w:sz w:val="20"/>
                <w:szCs w:val="20"/>
              </w:rPr>
              <w:t>尚未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 </w:t>
            </w:r>
            <w:r>
              <w:rPr>
                <w:rFonts w:ascii="黑体" w:hAnsi="宋体" w:eastAsia="黑体" w:cs="黑体"/>
                <w:color w:val="282828"/>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0" w:lineRule="atLeast"/>
              <w:ind w:left="0" w:right="0" w:firstLine="0"/>
              <w:jc w:val="center"/>
              <w:textAlignment w:val="auto"/>
              <w:rPr>
                <w:rFonts w:hint="default" w:ascii="Calibri" w:hAnsi="Calibri" w:cs="Calibri"/>
                <w:sz w:val="24"/>
                <w:szCs w:val="24"/>
              </w:rPr>
            </w:pPr>
            <w:r>
              <w:rPr>
                <w:rFonts w:hint="eastAsia" w:ascii="宋体" w:hAnsi="宋体" w:eastAsia="宋体" w:cs="宋体"/>
                <w:color w:val="282828"/>
                <w:sz w:val="20"/>
                <w:szCs w:val="20"/>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75" w:beforeAutospacing="0" w:after="75" w:afterAutospacing="0" w:line="590" w:lineRule="atLeast"/>
              <w:ind w:left="0" w:right="0"/>
              <w:jc w:val="left"/>
              <w:textAlignment w:val="auto"/>
              <w:rPr>
                <w:rFonts w:hint="default" w:ascii="Calibri" w:hAnsi="Calibri" w:cs="Calibri"/>
                <w:sz w:val="24"/>
                <w:szCs w:val="24"/>
              </w:rPr>
            </w:pPr>
            <w:r>
              <w:rPr>
                <w:rFonts w:hint="eastAsia" w:ascii="宋体" w:hAnsi="宋体" w:eastAsia="宋体" w:cs="宋体"/>
                <w:color w:val="282828"/>
                <w:sz w:val="24"/>
                <w:szCs w:val="24"/>
              </w:rPr>
              <w:t>0</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80" w:firstLineChars="200"/>
        <w:jc w:val="both"/>
        <w:textAlignment w:val="auto"/>
        <w:rPr>
          <w:rFonts w:hint="eastAsia" w:ascii="方正黑体_GBK" w:hAnsi="方正黑体_GBK" w:eastAsia="方正黑体_GBK" w:cs="方正黑体_GBK"/>
          <w:sz w:val="34"/>
          <w:szCs w:val="34"/>
          <w:shd w:val="clear" w:color="auto" w:fill="FFFFFF"/>
        </w:rPr>
      </w:pPr>
      <w:r>
        <w:rPr>
          <w:rFonts w:hint="eastAsia" w:ascii="方正黑体_GBK" w:hAnsi="方正黑体_GBK" w:eastAsia="方正黑体_GBK" w:cs="方正黑体_GBK"/>
          <w:sz w:val="34"/>
          <w:szCs w:val="34"/>
          <w:shd w:val="clear" w:color="auto" w:fill="FFFFFF"/>
        </w:rPr>
        <w:t>五、存在的主要问题及改进情况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随着政务公开工作的不断推进，公开标准的不断提高，我局的政务公开工作暴露出很多的问题和不足，主要有以下方面：一是政策解读质量不高，主要表现在解读形式单一、解读内容粗糙、重点把握不准等方面，虽然每年都在努力提升水平，但距离要求仍有很大的差距；二是主动回应缺乏时效性，调查了解不够，不能及时了解人民群众关心的热点问题；三是公开信息时有要素不全，内容常态化更新不及时等现象。下一步，我局将不断加强组织领导、提高思想认识、努力学习先进，对标对表积极整改，争取使我局的政务公开工作迈上新台阶。</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80" w:firstLineChars="200"/>
        <w:jc w:val="both"/>
        <w:textAlignment w:val="auto"/>
        <w:rPr>
          <w:rFonts w:hint="eastAsia" w:ascii="方正黑体_GBK" w:hAnsi="方正黑体_GBK" w:eastAsia="方正黑体_GBK" w:cs="方正黑体_GBK"/>
          <w:sz w:val="34"/>
          <w:szCs w:val="34"/>
          <w:shd w:val="clear" w:color="auto" w:fill="FFFFFF"/>
        </w:rPr>
      </w:pPr>
      <w:r>
        <w:rPr>
          <w:rFonts w:hint="eastAsia" w:ascii="方正黑体_GBK" w:hAnsi="方正黑体_GBK" w:eastAsia="方正黑体_GBK" w:cs="方正黑体_GBK"/>
          <w:sz w:val="34"/>
          <w:szCs w:val="34"/>
          <w:shd w:val="clear" w:color="auto" w:fill="FFFFFF"/>
        </w:rPr>
        <w:t>六、其他需要报告的事项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霍山县市场监督管理局2021年按照《国务院办公厅关于印发（政府信息公开信息处理费管理办法〉的通知》（国办函 （2020）109号）规定的按件、按量收费标准，本年度没有产生信息公开处理费。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atLeast"/>
        <w:ind w:firstLine="680" w:firstLineChars="200"/>
        <w:jc w:val="both"/>
        <w:textAlignment w:val="auto"/>
        <w:rPr>
          <w:rFonts w:hint="eastAsia" w:ascii="方正仿宋简体" w:hAnsi="方正仿宋简体" w:eastAsia="方正仿宋简体" w:cs="方正仿宋简体"/>
          <w:i w:val="0"/>
          <w:iCs w:val="0"/>
          <w:caps w:val="0"/>
          <w:color w:val="000000"/>
          <w:spacing w:val="0"/>
          <w:kern w:val="0"/>
          <w:sz w:val="34"/>
          <w:szCs w:val="34"/>
          <w:shd w:val="clear" w:fill="FFFFFF"/>
          <w:lang w:val="en-US" w:eastAsia="zh-CN" w:bidi="ar-SA"/>
        </w:rPr>
      </w:pPr>
    </w:p>
    <w:bookmarkEnd w:id="0"/>
    <w:p>
      <w:pPr>
        <w:keepNext w:val="0"/>
        <w:keepLines w:val="0"/>
        <w:pageBreakBefore w:val="0"/>
        <w:kinsoku/>
        <w:wordWrap/>
        <w:overflowPunct/>
        <w:topLinePunct w:val="0"/>
        <w:autoSpaceDE/>
        <w:autoSpaceDN/>
        <w:bidi w:val="0"/>
        <w:spacing w:line="590" w:lineRule="atLeast"/>
        <w:textAlignment w:val="auto"/>
      </w:pPr>
    </w:p>
    <w:p>
      <w:pPr>
        <w:keepNext w:val="0"/>
        <w:keepLines w:val="0"/>
        <w:pageBreakBefore w:val="0"/>
        <w:kinsoku/>
        <w:wordWrap/>
        <w:overflowPunct/>
        <w:topLinePunct w:val="0"/>
        <w:autoSpaceDE/>
        <w:autoSpaceDN/>
        <w:bidi w:val="0"/>
        <w:spacing w:line="590" w:lineRule="atLeast"/>
        <w:textAlignment w:val="auto"/>
      </w:pPr>
    </w:p>
    <w:sectPr>
      <w:footerReference r:id="rId3" w:type="default"/>
      <w:pgSz w:w="11906" w:h="16838"/>
      <w:pgMar w:top="1417" w:right="1587" w:bottom="1417" w:left="1587" w:header="1134"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8ABC3D-FEA3-49BB-B8C6-1D1D827981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997E9D-1495-49AE-8003-F44CCC6AF84F}"/>
  </w:font>
  <w:font w:name="方正小标宋简体">
    <w:panose1 w:val="02000000000000000000"/>
    <w:charset w:val="86"/>
    <w:family w:val="auto"/>
    <w:pitch w:val="default"/>
    <w:sig w:usb0="A00002BF" w:usb1="184F6CFA" w:usb2="00000012" w:usb3="00000000" w:csb0="00040001" w:csb1="00000000"/>
    <w:embedRegular r:id="rId3" w:fontKey="{ACC8E27F-5F83-4A0A-9F3B-ED96C6BA1E7A}"/>
  </w:font>
  <w:font w:name="微软雅黑">
    <w:panose1 w:val="020B0503020204020204"/>
    <w:charset w:val="86"/>
    <w:family w:val="auto"/>
    <w:pitch w:val="default"/>
    <w:sig w:usb0="80000287" w:usb1="2ACF3C50" w:usb2="00000016" w:usb3="00000000" w:csb0="0004001F" w:csb1="00000000"/>
    <w:embedRegular r:id="rId4" w:fontKey="{F1755965-AA66-4290-AD27-B2B731A58B4E}"/>
  </w:font>
  <w:font w:name="方正仿宋_GBK">
    <w:panose1 w:val="03000509000000000000"/>
    <w:charset w:val="86"/>
    <w:family w:val="auto"/>
    <w:pitch w:val="default"/>
    <w:sig w:usb0="00000001" w:usb1="080E0000" w:usb2="00000000" w:usb3="00000000" w:csb0="00040000" w:csb1="00000000"/>
    <w:embedRegular r:id="rId5" w:fontKey="{E90DB5B3-0BE8-41B2-BD62-14F221356288}"/>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embedRegular r:id="rId6" w:fontKey="{E768ECFB-19F9-48B2-A0F6-D16C8AA86527}"/>
  </w:font>
  <w:font w:name="楷体">
    <w:panose1 w:val="02010609060101010101"/>
    <w:charset w:val="86"/>
    <w:family w:val="modern"/>
    <w:pitch w:val="default"/>
    <w:sig w:usb0="800002BF" w:usb1="38CF7CFA" w:usb2="00000016" w:usb3="00000000" w:csb0="00040001" w:csb1="00000000"/>
    <w:embedRegular r:id="rId7" w:fontKey="{7C333362-AD48-4D20-9658-A0E42FC08F17}"/>
  </w:font>
  <w:font w:name="方正黑体_GBK">
    <w:panose1 w:val="03000509000000000000"/>
    <w:charset w:val="86"/>
    <w:family w:val="auto"/>
    <w:pitch w:val="default"/>
    <w:sig w:usb0="00000001" w:usb1="080E0000" w:usb2="00000000" w:usb3="00000000" w:csb0="00040000" w:csb1="00000000"/>
    <w:embedRegular r:id="rId8" w:fontKey="{C3BA692A-3A5D-4537-AC11-A8B8E096E488}"/>
  </w:font>
  <w:font w:name="方正楷体_GBK">
    <w:panose1 w:val="03000509000000000000"/>
    <w:charset w:val="86"/>
    <w:family w:val="auto"/>
    <w:pitch w:val="default"/>
    <w:sig w:usb0="00000001" w:usb1="080E0000" w:usb2="00000000" w:usb3="00000000" w:csb0="00040000" w:csb1="00000000"/>
    <w:embedRegular r:id="rId9" w:fontKey="{AA0E6721-1982-4883-B6A9-2DD852982F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5NTI3YjNhMWE5YWIwNWNlYWQyYmRlYzczM2QyODMifQ=="/>
  </w:docVars>
  <w:rsids>
    <w:rsidRoot w:val="00C9300B"/>
    <w:rsid w:val="00081483"/>
    <w:rsid w:val="000A6E0A"/>
    <w:rsid w:val="000B5060"/>
    <w:rsid w:val="000B7ECD"/>
    <w:rsid w:val="000E076E"/>
    <w:rsid w:val="00113170"/>
    <w:rsid w:val="001769D2"/>
    <w:rsid w:val="001957BE"/>
    <w:rsid w:val="00280FFC"/>
    <w:rsid w:val="003C0DD3"/>
    <w:rsid w:val="00437FDB"/>
    <w:rsid w:val="00440EC0"/>
    <w:rsid w:val="004A3A72"/>
    <w:rsid w:val="004E6EB9"/>
    <w:rsid w:val="00551515"/>
    <w:rsid w:val="00591436"/>
    <w:rsid w:val="005B44E2"/>
    <w:rsid w:val="005D308E"/>
    <w:rsid w:val="0060162E"/>
    <w:rsid w:val="00610C11"/>
    <w:rsid w:val="0061457B"/>
    <w:rsid w:val="00680875"/>
    <w:rsid w:val="006E23E0"/>
    <w:rsid w:val="006E61D1"/>
    <w:rsid w:val="00734014"/>
    <w:rsid w:val="007610BC"/>
    <w:rsid w:val="0078089E"/>
    <w:rsid w:val="007B1046"/>
    <w:rsid w:val="007B65C1"/>
    <w:rsid w:val="007C40B2"/>
    <w:rsid w:val="00806E18"/>
    <w:rsid w:val="00824115"/>
    <w:rsid w:val="00830FFB"/>
    <w:rsid w:val="0087299C"/>
    <w:rsid w:val="008B1917"/>
    <w:rsid w:val="008C1A6E"/>
    <w:rsid w:val="00976E1A"/>
    <w:rsid w:val="00980CFA"/>
    <w:rsid w:val="00A42263"/>
    <w:rsid w:val="00AB314D"/>
    <w:rsid w:val="00B70D80"/>
    <w:rsid w:val="00BB0CEA"/>
    <w:rsid w:val="00C7537F"/>
    <w:rsid w:val="00C9300B"/>
    <w:rsid w:val="00CC79F3"/>
    <w:rsid w:val="00CE5B3C"/>
    <w:rsid w:val="00D128E1"/>
    <w:rsid w:val="00D74688"/>
    <w:rsid w:val="00D962EE"/>
    <w:rsid w:val="00DB3C02"/>
    <w:rsid w:val="00DC6D23"/>
    <w:rsid w:val="00EC0738"/>
    <w:rsid w:val="00EF3E2B"/>
    <w:rsid w:val="00F15B7A"/>
    <w:rsid w:val="00F57BB8"/>
    <w:rsid w:val="00FF2307"/>
    <w:rsid w:val="0BAF0F8A"/>
    <w:rsid w:val="0D2E04BE"/>
    <w:rsid w:val="11B320B3"/>
    <w:rsid w:val="147E6F9A"/>
    <w:rsid w:val="1D6542C0"/>
    <w:rsid w:val="1D6576FA"/>
    <w:rsid w:val="29501505"/>
    <w:rsid w:val="2AC2485B"/>
    <w:rsid w:val="35EB5B46"/>
    <w:rsid w:val="409A0980"/>
    <w:rsid w:val="42384163"/>
    <w:rsid w:val="45DF72BB"/>
    <w:rsid w:val="48916AAF"/>
    <w:rsid w:val="53553742"/>
    <w:rsid w:val="5F8D619E"/>
    <w:rsid w:val="630559C8"/>
    <w:rsid w:val="64E17566"/>
    <w:rsid w:val="68F86A3B"/>
    <w:rsid w:val="69C030B0"/>
    <w:rsid w:val="6A232DE8"/>
    <w:rsid w:val="78C369CA"/>
    <w:rsid w:val="7EF60F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locked/>
    <w:uiPriority w:val="99"/>
    <w:pPr>
      <w:spacing w:after="120"/>
      <w:ind w:left="420" w:leftChars="200"/>
    </w:pPr>
  </w:style>
  <w:style w:type="paragraph" w:styleId="3">
    <w:name w:val="footer"/>
    <w:basedOn w:val="1"/>
    <w:link w:val="8"/>
    <w:autoRedefine/>
    <w:qFormat/>
    <w:uiPriority w:val="99"/>
    <w:pPr>
      <w:tabs>
        <w:tab w:val="center" w:pos="4153"/>
        <w:tab w:val="right" w:pos="8306"/>
      </w:tabs>
      <w:snapToGrid w:val="0"/>
      <w:jc w:val="left"/>
    </w:pPr>
    <w:rPr>
      <w:sz w:val="18"/>
    </w:rPr>
  </w:style>
  <w:style w:type="paragraph" w:styleId="4">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99"/>
    <w:pPr>
      <w:spacing w:beforeAutospacing="1" w:afterAutospacing="1"/>
      <w:jc w:val="left"/>
    </w:pPr>
    <w:rPr>
      <w:kern w:val="0"/>
      <w:sz w:val="24"/>
    </w:rPr>
  </w:style>
  <w:style w:type="character" w:customStyle="1" w:styleId="8">
    <w:name w:val="Footer Char"/>
    <w:basedOn w:val="7"/>
    <w:link w:val="3"/>
    <w:autoRedefine/>
    <w:semiHidden/>
    <w:qFormat/>
    <w:locked/>
    <w:uiPriority w:val="99"/>
    <w:rPr>
      <w:rFonts w:ascii="Calibri" w:hAnsi="Calibri" w:cs="Times New Roman"/>
      <w:sz w:val="18"/>
      <w:szCs w:val="18"/>
    </w:rPr>
  </w:style>
  <w:style w:type="character" w:customStyle="1" w:styleId="9">
    <w:name w:val="Header Char"/>
    <w:basedOn w:val="7"/>
    <w:link w:val="4"/>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2312</Words>
  <Characters>2356</Characters>
  <Lines>0</Lines>
  <Paragraphs>0</Paragraphs>
  <TotalTime>2</TotalTime>
  <ScaleCrop>false</ScaleCrop>
  <LinksUpToDate>false</LinksUpToDate>
  <CharactersWithSpaces>2549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2022-01-19T03:11:00Z</dcterms:created>
  <dc:creator>Administrator</dc:creator>
  <cp:lastModifiedBy>小时光～</cp:lastModifiedBy>
  <cp:lastPrinted>2022-01-17T09:38:00Z</cp:lastPrinted>
  <dcterms:modified xsi:type="dcterms:W3CDTF">2024-02-26T08:59:00Z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67F4439C259545AA816432DC433D517C</vt:lpwstr>
  </property>
</Properties>
</file>