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eastAsia" w:ascii="方正小标宋_GBK" w:hAnsi="方正小标宋_GBK" w:eastAsia="方正小标宋_GBK" w:cs="方正小标宋_GBK"/>
          <w:i w:val="0"/>
          <w:iCs w:val="0"/>
          <w:caps w:val="0"/>
          <w:color w:val="000000"/>
          <w:spacing w:val="0"/>
          <w:kern w:val="0"/>
          <w:sz w:val="44"/>
          <w:szCs w:val="44"/>
          <w:shd w:val="clear" w:fill="FFFFFF"/>
          <w:lang w:val="en-US" w:eastAsia="zh-CN" w:bidi="ar"/>
        </w:rPr>
      </w:pPr>
      <w:r>
        <w:rPr>
          <w:rFonts w:hint="eastAsia" w:ascii="方正小标宋_GBK" w:hAnsi="方正小标宋_GBK" w:eastAsia="方正小标宋_GBK" w:cs="方正小标宋_GBK"/>
          <w:i w:val="0"/>
          <w:iCs w:val="0"/>
          <w:caps w:val="0"/>
          <w:color w:val="000000"/>
          <w:spacing w:val="0"/>
          <w:kern w:val="0"/>
          <w:sz w:val="44"/>
          <w:szCs w:val="44"/>
          <w:shd w:val="clear" w:fill="FFFFFF"/>
          <w:lang w:val="en-US" w:eastAsia="zh-CN" w:bidi="ar"/>
        </w:rPr>
        <w:t>霍山县与儿街镇</w:t>
      </w:r>
      <w:r>
        <w:rPr>
          <w:rFonts w:hint="eastAsia" w:ascii="方正小标宋_GBK" w:hAnsi="方正小标宋_GBK" w:eastAsia="方正小标宋_GBK" w:cs="方正小标宋_GBK"/>
          <w:i w:val="0"/>
          <w:iCs w:val="0"/>
          <w:caps w:val="0"/>
          <w:color w:val="000000"/>
          <w:spacing w:val="0"/>
          <w:kern w:val="0"/>
          <w:sz w:val="44"/>
          <w:szCs w:val="44"/>
          <w:shd w:val="clear" w:fill="FFFFFF"/>
          <w:lang w:val="en-US" w:eastAsia="zh-CN" w:bidi="ar"/>
        </w:rPr>
        <w:t>2022年度政府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eastAsia" w:ascii="方正小标宋_GBK" w:hAnsi="方正小标宋_GBK" w:eastAsia="方正小标宋_GBK" w:cs="方正小标宋_GBK"/>
          <w:i w:val="0"/>
          <w:iCs w:val="0"/>
          <w:caps w:val="0"/>
          <w:color w:val="000000"/>
          <w:spacing w:val="0"/>
          <w:kern w:val="0"/>
          <w:sz w:val="44"/>
          <w:szCs w:val="44"/>
          <w:shd w:val="clear" w:fill="FFFFFF"/>
          <w:lang w:val="en-US" w:eastAsia="zh-CN" w:bidi="ar"/>
        </w:rPr>
      </w:pPr>
      <w:r>
        <w:rPr>
          <w:rFonts w:hint="eastAsia" w:ascii="方正小标宋_GBK" w:hAnsi="方正小标宋_GBK" w:eastAsia="方正小标宋_GBK" w:cs="方正小标宋_GBK"/>
          <w:i w:val="0"/>
          <w:iCs w:val="0"/>
          <w:caps w:val="0"/>
          <w:color w:val="000000"/>
          <w:spacing w:val="0"/>
          <w:kern w:val="0"/>
          <w:sz w:val="44"/>
          <w:szCs w:val="44"/>
          <w:shd w:val="clear" w:fill="FFFFFF"/>
          <w:lang w:val="en-US" w:eastAsia="zh-CN" w:bidi="ar"/>
        </w:rPr>
        <w:t>信息公开工作年度报告</w:t>
      </w:r>
    </w:p>
    <w:p>
      <w:pPr>
        <w:pStyle w:val="2"/>
        <w:rPr>
          <w:rFonts w:hint="eastAsia"/>
          <w:lang w:val="en-US" w:eastAsia="zh-CN"/>
        </w:rPr>
      </w:pPr>
      <w:bookmarkStart w:id="0" w:name="_GoBack"/>
      <w:bookmarkEnd w:id="0"/>
    </w:p>
    <w:p>
      <w:pPr>
        <w:keepNext w:val="0"/>
        <w:keepLines w:val="0"/>
        <w:pageBreakBefore w:val="0"/>
        <w:numPr>
          <w:ilvl w:val="0"/>
          <w:numId w:val="1"/>
        </w:numPr>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总体情况</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与儿街镇深入学习党的十九大历次全会和党的二十大精神，全面贯彻落实《中华人民共和国政府信息公开条例》及上级关于政府信息公开工作文件精神，按照省、市、县统一部署，持续推进政务公开工作标准化、规范化，不断加强机关作风建设，不断提高行政水平和工作效率，着力建设服务型政府。</w:t>
      </w:r>
    </w:p>
    <w:p>
      <w:pPr>
        <w:pStyle w:val="2"/>
        <w:keepNext w:val="0"/>
        <w:keepLines w:val="0"/>
        <w:pageBreakBefore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b/>
          <w:bCs/>
          <w:sz w:val="32"/>
          <w:szCs w:val="32"/>
          <w:lang w:val="en-US" w:eastAsia="zh-CN"/>
        </w:rPr>
        <w:t>（一）主动公开政府信息情况</w:t>
      </w:r>
    </w:p>
    <w:p>
      <w:pPr>
        <w:pStyle w:val="2"/>
        <w:keepNext w:val="0"/>
        <w:keepLines w:val="0"/>
        <w:pageBreakBefore w:val="0"/>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与儿街镇严格按照《政务公开考评指标体系（乡镇街道）标准》，紧紧围绕县政务公开办安排部署，督促各镇直单位、各村（社区）及时落实政务公开任务，及时更新本级公开、基层政务公开标准化和规范化专题公开和村务公开三大领域内容发布。2022年全年与儿街镇政务公开网站公开发布政务信息1280条，公开内容涉及政府领导、政策解读、人事信息、应急管理、财政专项资金管理和使用、社会救助等多个方面。强化重点领域信息公开，及时发布乡村振兴项目实施情况，跟进发布疫情防控信息、就业信息、惠农资金、涉农补贴回应群众关切。根据上级统一部署，进行规范性文件整理工作，全年无规范性文件。积极推进基层政务公开标准化、规范化16个领域建设。村务公开做到线上发布，线下公开。</w:t>
      </w:r>
    </w:p>
    <w:p>
      <w:pPr>
        <w:pStyle w:val="2"/>
        <w:keepNext w:val="0"/>
        <w:keepLines w:val="0"/>
        <w:pageBreakBefore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（二）依申请公开情况</w:t>
      </w:r>
    </w:p>
    <w:p>
      <w:pPr>
        <w:pStyle w:val="2"/>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我镇及时更新并发布了依申请公开条件、申请流程、网上申请渠道及结果查询渠道，保证政务公开申请平台畅通。2022年全年，我镇收到一件依申请公开办件，已按时办结。</w:t>
      </w:r>
    </w:p>
    <w:p>
      <w:pPr>
        <w:pStyle w:val="2"/>
        <w:keepNext w:val="0"/>
        <w:keepLines w:val="0"/>
        <w:pageBreakBefore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（三）政府信息管理情况</w:t>
      </w:r>
    </w:p>
    <w:p>
      <w:pPr>
        <w:pStyle w:val="2"/>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与儿街镇严格按照市、县要求，明确专人负责政务公开工作，积极参加县政务公开办组织的培训，严格落实三级审核制度，积极对村级经办人进行定期培训，确保发布内容层层把关，公开内容及时、合法、准确，无错误链接、无错别字。</w:t>
      </w:r>
    </w:p>
    <w:p>
      <w:pPr>
        <w:pStyle w:val="2"/>
        <w:keepNext w:val="0"/>
        <w:keepLines w:val="0"/>
        <w:pageBreakBefore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（四）政府信息公开平台建设情况</w:t>
      </w:r>
    </w:p>
    <w:p>
      <w:pPr>
        <w:pStyle w:val="2"/>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与儿街镇</w:t>
      </w:r>
      <w:r>
        <w:rPr>
          <w:rFonts w:hint="eastAsia" w:ascii="方正仿宋_GBK" w:hAnsi="方正仿宋_GBK" w:eastAsia="方正仿宋_GBK" w:cs="方正仿宋_GBK"/>
          <w:b w:val="0"/>
          <w:bCs w:val="0"/>
          <w:sz w:val="32"/>
          <w:szCs w:val="32"/>
          <w:lang w:val="en-US" w:eastAsia="zh-CN"/>
        </w:rPr>
        <w:t>政务信息公开的载体是</w:t>
      </w:r>
      <w:r>
        <w:rPr>
          <w:rFonts w:hint="eastAsia" w:ascii="方正仿宋_GBK" w:hAnsi="方正仿宋_GBK" w:eastAsia="方正仿宋_GBK" w:cs="方正仿宋_GBK"/>
          <w:b w:val="0"/>
          <w:bCs w:val="0"/>
          <w:sz w:val="32"/>
          <w:szCs w:val="32"/>
          <w:lang w:val="en-US" w:eastAsia="zh-CN"/>
        </w:rPr>
        <w:t>霍山县</w:t>
      </w:r>
      <w:r>
        <w:rPr>
          <w:rFonts w:hint="eastAsia" w:ascii="方正仿宋_GBK" w:hAnsi="方正仿宋_GBK" w:eastAsia="方正仿宋_GBK" w:cs="方正仿宋_GBK"/>
          <w:b w:val="0"/>
          <w:bCs w:val="0"/>
          <w:sz w:val="32"/>
          <w:szCs w:val="32"/>
          <w:lang w:val="en-US" w:eastAsia="zh-CN"/>
        </w:rPr>
        <w:t>人民政府门户网站，我</w:t>
      </w:r>
      <w:r>
        <w:rPr>
          <w:rFonts w:hint="eastAsia" w:ascii="方正仿宋_GBK" w:hAnsi="方正仿宋_GBK" w:eastAsia="方正仿宋_GBK" w:cs="方正仿宋_GBK"/>
          <w:b w:val="0"/>
          <w:bCs w:val="0"/>
          <w:sz w:val="32"/>
          <w:szCs w:val="32"/>
          <w:lang w:val="en-US" w:eastAsia="zh-CN"/>
        </w:rPr>
        <w:t>镇</w:t>
      </w:r>
      <w:r>
        <w:rPr>
          <w:rFonts w:hint="eastAsia" w:ascii="方正仿宋_GBK" w:hAnsi="方正仿宋_GBK" w:eastAsia="方正仿宋_GBK" w:cs="方正仿宋_GBK"/>
          <w:b w:val="0"/>
          <w:bCs w:val="0"/>
          <w:sz w:val="32"/>
          <w:szCs w:val="32"/>
          <w:lang w:val="en-US" w:eastAsia="zh-CN"/>
        </w:rPr>
        <w:t>安排专人对网站进行定期维护，及时更新内容，创新信息公开形式，利用图文结合的方式，加快加深群众对公开内容的理解，同时，在</w:t>
      </w:r>
      <w:r>
        <w:rPr>
          <w:rFonts w:hint="eastAsia" w:ascii="方正仿宋_GBK" w:hAnsi="方正仿宋_GBK" w:eastAsia="方正仿宋_GBK" w:cs="方正仿宋_GBK"/>
          <w:b w:val="0"/>
          <w:bCs w:val="0"/>
          <w:sz w:val="32"/>
          <w:szCs w:val="32"/>
          <w:lang w:val="en-US" w:eastAsia="zh-CN"/>
        </w:rPr>
        <w:t>镇</w:t>
      </w:r>
      <w:r>
        <w:rPr>
          <w:rFonts w:hint="eastAsia" w:ascii="方正仿宋_GBK" w:hAnsi="方正仿宋_GBK" w:eastAsia="方正仿宋_GBK" w:cs="方正仿宋_GBK"/>
          <w:b w:val="0"/>
          <w:bCs w:val="0"/>
          <w:sz w:val="32"/>
          <w:szCs w:val="32"/>
          <w:lang w:val="en-US" w:eastAsia="zh-CN"/>
        </w:rPr>
        <w:t>便民服务中心设置政府信息公开查阅点，推进“政务公开+政务服务”工作模式，使公开渠道更加畅通。</w:t>
      </w:r>
    </w:p>
    <w:p>
      <w:pPr>
        <w:pStyle w:val="2"/>
        <w:keepNext w:val="0"/>
        <w:keepLines w:val="0"/>
        <w:pageBreakBefore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（五）政府信息公开监督保障</w:t>
      </w:r>
    </w:p>
    <w:p>
      <w:pPr>
        <w:pStyle w:val="2"/>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严格落实</w:t>
      </w:r>
      <w:r>
        <w:rPr>
          <w:rFonts w:hint="eastAsia" w:ascii="方正仿宋_GBK" w:hAnsi="方正仿宋_GBK" w:eastAsia="方正仿宋_GBK" w:cs="方正仿宋_GBK"/>
          <w:b w:val="0"/>
          <w:bCs w:val="0"/>
          <w:sz w:val="32"/>
          <w:szCs w:val="32"/>
          <w:lang w:val="en-US" w:eastAsia="zh-CN"/>
        </w:rPr>
        <w:t>县政务公开办</w:t>
      </w:r>
      <w:r>
        <w:rPr>
          <w:rFonts w:hint="eastAsia" w:ascii="方正仿宋_GBK" w:hAnsi="方正仿宋_GBK" w:eastAsia="方正仿宋_GBK" w:cs="方正仿宋_GBK"/>
          <w:b w:val="0"/>
          <w:bCs w:val="0"/>
          <w:sz w:val="32"/>
          <w:szCs w:val="32"/>
          <w:lang w:val="en-US" w:eastAsia="zh-CN"/>
        </w:rPr>
        <w:t>季度检查要求，根据反馈结果及时整改。接受第三方随机检查，根据第三方检查结果进行及时整改。加强对信息公开工作的督查指导，研究解决工作中出现的新情况和新问题。对于出现问题的方面，给予通报和追究责任，促进信息公开工作有序、有效开展。</w:t>
      </w:r>
    </w:p>
    <w:p>
      <w:pPr>
        <w:keepNext w:val="0"/>
        <w:keepLines w:val="0"/>
        <w:pageBreakBefore w:val="0"/>
        <w:numPr>
          <w:numId w:val="0"/>
        </w:numPr>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二、主动公开政府信息情况</w:t>
      </w:r>
    </w:p>
    <w:tbl>
      <w:tblPr>
        <w:tblStyle w:val="4"/>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本年处理决定数量</w:t>
            </w:r>
          </w:p>
        </w:tc>
      </w:tr>
      <w:tr>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r>
    </w:tbl>
    <w:p>
      <w:pPr>
        <w:keepNext w:val="0"/>
        <w:keepLines w:val="0"/>
        <w:pageBreakBefore w:val="0"/>
        <w:numPr>
          <w:numId w:val="0"/>
        </w:numPr>
        <w:kinsoku/>
        <w:wordWrap/>
        <w:overflowPunct/>
        <w:topLinePunct w:val="0"/>
        <w:autoSpaceDE/>
        <w:autoSpaceDN/>
        <w:bidi w:val="0"/>
        <w:spacing w:line="59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b w:val="0"/>
          <w:bCs w:val="0"/>
          <w:color w:val="000000"/>
          <w:kern w:val="0"/>
          <w:sz w:val="32"/>
          <w:szCs w:val="32"/>
          <w:lang w:val="en-US" w:eastAsia="zh-CN"/>
        </w:rPr>
        <w:t>三、</w:t>
      </w:r>
      <w:r>
        <w:rPr>
          <w:rFonts w:hint="eastAsia" w:ascii="方正黑体_GBK" w:hAnsi="方正黑体_GBK" w:eastAsia="方正黑体_GBK" w:cs="方正黑体_GBK"/>
          <w:b w:val="0"/>
          <w:bCs w:val="0"/>
          <w:color w:val="000000"/>
          <w:kern w:val="0"/>
          <w:sz w:val="32"/>
          <w:szCs w:val="32"/>
        </w:rPr>
        <w:t>收到和处理政府信息公开申请情况</w:t>
      </w:r>
    </w:p>
    <w:tbl>
      <w:tblPr>
        <w:tblStyle w:val="4"/>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5"/>
        <w:gridCol w:w="941"/>
        <w:gridCol w:w="3358"/>
        <w:gridCol w:w="539"/>
        <w:gridCol w:w="686"/>
        <w:gridCol w:w="686"/>
        <w:gridCol w:w="687"/>
        <w:gridCol w:w="686"/>
        <w:gridCol w:w="686"/>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blHeader/>
          <w:jc w:val="center"/>
        </w:trPr>
        <w:tc>
          <w:tcPr>
            <w:tcW w:w="5064" w:type="dxa"/>
            <w:gridSpan w:val="3"/>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（本列数据的勾稽关系为：第一项加第二项之和，等于第三项加第四项之和）</w:t>
            </w:r>
          </w:p>
        </w:tc>
        <w:tc>
          <w:tcPr>
            <w:tcW w:w="4656" w:type="dxa"/>
            <w:gridSpan w:val="7"/>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tblHeader/>
          <w:jc w:val="center"/>
        </w:trPr>
        <w:tc>
          <w:tcPr>
            <w:tcW w:w="5064" w:type="dxa"/>
            <w:gridSpan w:val="3"/>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539"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自然人</w:t>
            </w:r>
          </w:p>
        </w:tc>
        <w:tc>
          <w:tcPr>
            <w:tcW w:w="3431" w:type="dxa"/>
            <w:gridSpan w:val="5"/>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法人或其他组织</w:t>
            </w:r>
          </w:p>
        </w:tc>
        <w:tc>
          <w:tcPr>
            <w:tcW w:w="686" w:type="dxa"/>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8" w:hRule="atLeast"/>
          <w:tblHeader/>
          <w:jc w:val="center"/>
        </w:trPr>
        <w:tc>
          <w:tcPr>
            <w:tcW w:w="5064" w:type="dxa"/>
            <w:gridSpan w:val="3"/>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539"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686"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商业</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企业</w:t>
            </w:r>
          </w:p>
        </w:tc>
        <w:tc>
          <w:tcPr>
            <w:tcW w:w="686"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科研</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机构</w:t>
            </w:r>
          </w:p>
        </w:tc>
        <w:tc>
          <w:tcPr>
            <w:tcW w:w="687"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社会公益组织</w:t>
            </w:r>
          </w:p>
        </w:tc>
        <w:tc>
          <w:tcPr>
            <w:tcW w:w="686"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法律服务机构</w:t>
            </w:r>
          </w:p>
        </w:tc>
        <w:tc>
          <w:tcPr>
            <w:tcW w:w="686"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其他</w:t>
            </w:r>
          </w:p>
        </w:tc>
        <w:tc>
          <w:tcPr>
            <w:tcW w:w="68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064"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一、本年新收政府信息公开申请数量</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1</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064"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二、上年结转政府信息公开申请数量</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三、本年度办理结果</w:t>
            </w:r>
          </w:p>
        </w:tc>
        <w:tc>
          <w:tcPr>
            <w:tcW w:w="4299"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（一）予以公开</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1</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4299"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（二）部分公开（区分处理的，只计这一情形，不计其他情形）</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（三）不予公开</w:t>
            </w: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1.属于国家秘密</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2.其他法律行政法规禁止公开</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3.危及“三安全一稳定”</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4.保护第三方合法权益</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5.属于三类内部事务信息</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6.属于四类过程性信息</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7.属于行政执法案卷</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8.属于行政查询事项</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（四）无法提供</w:t>
            </w: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1.本机关不掌握相关政府信息</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2.没有现成信息需要另行制作</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3.补正后申请内容仍不明确</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（五）不予处理</w:t>
            </w: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1.信访举报投诉类申请</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2.重复申请</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3.要求提供公开出版物</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4.无正当理由大量反复申请</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5.要求行政机关确认或重新出具已获取信息</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4"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（六）其他处理</w:t>
            </w: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1.申请人无正当理由逾期不补正、行政机关不再处理其政府信息公开申请</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9"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2.申请人逾期未按收费通知要求缴纳费用、行政机关不再处理其政府信息公开申请</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33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3.其他</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p>
        </w:tc>
        <w:tc>
          <w:tcPr>
            <w:tcW w:w="4299"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（七）总计</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1</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jc w:val="center"/>
        </w:trPr>
        <w:tc>
          <w:tcPr>
            <w:tcW w:w="5064"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四、结转下年度继续办理</w:t>
            </w:r>
          </w:p>
        </w:tc>
        <w:tc>
          <w:tcPr>
            <w:tcW w:w="53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7"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sz w:val="32"/>
                <w:szCs w:val="32"/>
                <w:lang w:val="en-US" w:eastAsia="zh-CN"/>
              </w:rPr>
              <w:t>0</w:t>
            </w:r>
          </w:p>
        </w:tc>
      </w:tr>
    </w:tbl>
    <w:p>
      <w:pPr>
        <w:keepNext w:val="0"/>
        <w:keepLines w:val="0"/>
        <w:pageBreakBefore w:val="0"/>
        <w:kinsoku/>
        <w:wordWrap/>
        <w:overflowPunct/>
        <w:topLinePunct w:val="0"/>
        <w:autoSpaceDE/>
        <w:autoSpaceDN/>
        <w:bidi w:val="0"/>
        <w:spacing w:line="590" w:lineRule="exact"/>
        <w:ind w:firstLine="640" w:firstLineChars="200"/>
        <w:jc w:val="both"/>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b w:val="0"/>
          <w:bCs w:val="0"/>
          <w:color w:val="000000"/>
          <w:kern w:val="0"/>
          <w:sz w:val="32"/>
          <w:szCs w:val="32"/>
        </w:rPr>
        <w:t>四、政府信息公开行政复议、行政诉讼情况</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30"/>
        <w:gridCol w:w="631"/>
        <w:gridCol w:w="629"/>
        <w:gridCol w:w="630"/>
        <w:gridCol w:w="631"/>
        <w:gridCol w:w="630"/>
        <w:gridCol w:w="631"/>
        <w:gridCol w:w="630"/>
        <w:gridCol w:w="631"/>
        <w:gridCol w:w="632"/>
        <w:gridCol w:w="632"/>
        <w:gridCol w:w="631"/>
        <w:gridCol w:w="631"/>
        <w:gridCol w:w="631"/>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45" w:hRule="atLeast"/>
          <w:jc w:val="center"/>
        </w:trPr>
        <w:tc>
          <w:tcPr>
            <w:tcW w:w="3151"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行政复议</w:t>
            </w:r>
          </w:p>
        </w:tc>
        <w:tc>
          <w:tcPr>
            <w:tcW w:w="6309"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45" w:hRule="atLeast"/>
          <w:jc w:val="center"/>
        </w:trPr>
        <w:tc>
          <w:tcPr>
            <w:tcW w:w="630"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结果维持</w:t>
            </w:r>
          </w:p>
        </w:tc>
        <w:tc>
          <w:tcPr>
            <w:tcW w:w="631"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结果</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纠正</w:t>
            </w:r>
          </w:p>
        </w:tc>
        <w:tc>
          <w:tcPr>
            <w:tcW w:w="62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其他</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结果</w:t>
            </w:r>
          </w:p>
        </w:tc>
        <w:tc>
          <w:tcPr>
            <w:tcW w:w="63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尚未</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审结</w:t>
            </w:r>
          </w:p>
        </w:tc>
        <w:tc>
          <w:tcPr>
            <w:tcW w:w="63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总计</w:t>
            </w:r>
          </w:p>
        </w:tc>
        <w:tc>
          <w:tcPr>
            <w:tcW w:w="315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未经复议直接起诉</w:t>
            </w:r>
          </w:p>
        </w:tc>
        <w:tc>
          <w:tcPr>
            <w:tcW w:w="31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36" w:hRule="atLeast"/>
          <w:jc w:val="center"/>
        </w:trPr>
        <w:tc>
          <w:tcPr>
            <w:tcW w:w="63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p>
        </w:tc>
        <w:tc>
          <w:tcPr>
            <w:tcW w:w="631"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p>
        </w:tc>
        <w:tc>
          <w:tcPr>
            <w:tcW w:w="62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p>
        </w:tc>
        <w:tc>
          <w:tcPr>
            <w:tcW w:w="63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p>
        </w:tc>
        <w:tc>
          <w:tcPr>
            <w:tcW w:w="63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p>
        </w:tc>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结果</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维持</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结果</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纠正</w:t>
            </w:r>
          </w:p>
        </w:tc>
        <w:tc>
          <w:tcPr>
            <w:tcW w:w="63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其他</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结果</w:t>
            </w:r>
          </w:p>
        </w:tc>
        <w:tc>
          <w:tcPr>
            <w:tcW w:w="63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尚未</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审结</w:t>
            </w:r>
          </w:p>
        </w:tc>
        <w:tc>
          <w:tcPr>
            <w:tcW w:w="63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总计</w:t>
            </w:r>
          </w:p>
        </w:tc>
        <w:tc>
          <w:tcPr>
            <w:tcW w:w="63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结果</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维持</w:t>
            </w:r>
          </w:p>
        </w:tc>
        <w:tc>
          <w:tcPr>
            <w:tcW w:w="63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结果</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纠正</w:t>
            </w:r>
          </w:p>
        </w:tc>
        <w:tc>
          <w:tcPr>
            <w:tcW w:w="63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其他</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结果</w:t>
            </w:r>
          </w:p>
        </w:tc>
        <w:tc>
          <w:tcPr>
            <w:tcW w:w="63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尚未</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审结</w:t>
            </w:r>
          </w:p>
        </w:tc>
        <w:tc>
          <w:tcPr>
            <w:tcW w:w="63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10" w:hRule="atLeast"/>
          <w:jc w:val="center"/>
        </w:trPr>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0</w:t>
            </w:r>
            <w:r>
              <w:rPr>
                <w:rFonts w:hint="eastAsia" w:ascii="方正仿宋_GBK" w:hAnsi="方正仿宋_GBK" w:eastAsia="方正仿宋_GBK" w:cs="方正仿宋_GBK"/>
                <w:color w:val="000000"/>
                <w:kern w:val="0"/>
                <w:sz w:val="32"/>
                <w:szCs w:val="32"/>
              </w:rPr>
              <w:t> </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val="en-US" w:eastAsia="zh-CN"/>
              </w:rPr>
              <w:t>0</w:t>
            </w:r>
          </w:p>
        </w:tc>
        <w:tc>
          <w:tcPr>
            <w:tcW w:w="62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val="en-US" w:eastAsia="zh-CN"/>
              </w:rPr>
              <w:t>0</w:t>
            </w:r>
          </w:p>
        </w:tc>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val="en-US" w:eastAsia="zh-CN"/>
              </w:rPr>
              <w:t>0</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val="en-US" w:eastAsia="zh-CN"/>
              </w:rPr>
              <w:t>0</w:t>
            </w:r>
          </w:p>
        </w:tc>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val="en-US" w:eastAsia="zh-CN"/>
              </w:rPr>
              <w:t>0</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val="en-US" w:eastAsia="zh-CN"/>
              </w:rPr>
              <w:t>0</w:t>
            </w:r>
          </w:p>
        </w:tc>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val="en-US" w:eastAsia="zh-CN"/>
              </w:rPr>
              <w:t>0</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val="en-US" w:eastAsia="zh-CN"/>
              </w:rPr>
              <w:t>0</w:t>
            </w:r>
          </w:p>
        </w:tc>
        <w:tc>
          <w:tcPr>
            <w:tcW w:w="63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val="en-US" w:eastAsia="zh-CN"/>
              </w:rPr>
              <w:t>0</w:t>
            </w:r>
          </w:p>
        </w:tc>
        <w:tc>
          <w:tcPr>
            <w:tcW w:w="63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val="en-US" w:eastAsia="zh-CN"/>
              </w:rPr>
              <w:t>0</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val="en-US" w:eastAsia="zh-CN"/>
              </w:rPr>
              <w:t>0</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val="en-US" w:eastAsia="zh-CN"/>
              </w:rPr>
              <w:t>0</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val="en-US" w:eastAsia="zh-CN"/>
              </w:rPr>
              <w:t>0</w:t>
            </w:r>
          </w:p>
        </w:tc>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0</w:t>
            </w:r>
          </w:p>
        </w:tc>
      </w:tr>
    </w:tbl>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rPr>
        <w:t>五、存在的主要问题及改进情况</w:t>
      </w:r>
    </w:p>
    <w:p>
      <w:pPr>
        <w:pStyle w:val="2"/>
        <w:keepNext w:val="0"/>
        <w:keepLines w:val="0"/>
        <w:pageBreakBefore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（一）存在的主要问题</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一是</w:t>
      </w:r>
      <w:r>
        <w:rPr>
          <w:rFonts w:hint="eastAsia" w:ascii="方正仿宋_GBK" w:hAnsi="方正仿宋_GBK" w:eastAsia="方正仿宋_GBK" w:cs="方正仿宋_GBK"/>
          <w:kern w:val="2"/>
          <w:sz w:val="32"/>
          <w:szCs w:val="32"/>
          <w:lang w:val="en-US" w:eastAsia="zh-CN" w:bidi="ar-SA"/>
        </w:rPr>
        <w:t>专业技能不熟练。政务公开工作经办人更换频繁，新上任的经办人业务不熟，对工作开展产生一定阻碍。</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二</w:t>
      </w:r>
      <w:r>
        <w:rPr>
          <w:rFonts w:hint="eastAsia" w:ascii="方正仿宋_GBK" w:hAnsi="方正仿宋_GBK" w:eastAsia="方正仿宋_GBK" w:cs="方正仿宋_GBK"/>
          <w:b/>
          <w:bCs/>
          <w:kern w:val="2"/>
          <w:sz w:val="32"/>
          <w:szCs w:val="32"/>
          <w:lang w:val="en-US" w:eastAsia="zh-CN" w:bidi="ar-SA"/>
        </w:rPr>
        <w:t>是</w:t>
      </w:r>
      <w:r>
        <w:rPr>
          <w:rFonts w:hint="eastAsia" w:ascii="方正仿宋_GBK" w:hAnsi="方正仿宋_GBK" w:eastAsia="方正仿宋_GBK" w:cs="方正仿宋_GBK"/>
          <w:kern w:val="2"/>
          <w:sz w:val="32"/>
          <w:szCs w:val="32"/>
          <w:lang w:val="en-US" w:eastAsia="zh-CN" w:bidi="ar-SA"/>
        </w:rPr>
        <w:t>政务公开政策解读的</w:t>
      </w:r>
      <w:r>
        <w:rPr>
          <w:rFonts w:hint="eastAsia" w:ascii="方正仿宋_GBK" w:hAnsi="方正仿宋_GBK" w:eastAsia="方正仿宋_GBK" w:cs="方正仿宋_GBK"/>
          <w:kern w:val="2"/>
          <w:sz w:val="32"/>
          <w:szCs w:val="32"/>
          <w:lang w:val="en-US" w:eastAsia="zh-CN" w:bidi="ar-SA"/>
        </w:rPr>
        <w:t>质量</w:t>
      </w:r>
      <w:r>
        <w:rPr>
          <w:rFonts w:hint="eastAsia" w:ascii="方正仿宋_GBK" w:hAnsi="方正仿宋_GBK" w:eastAsia="方正仿宋_GBK" w:cs="方正仿宋_GBK"/>
          <w:kern w:val="2"/>
          <w:sz w:val="32"/>
          <w:szCs w:val="32"/>
          <w:lang w:val="en-US" w:eastAsia="zh-CN" w:bidi="ar-SA"/>
        </w:rPr>
        <w:t>有待进一步提高。</w:t>
      </w:r>
    </w:p>
    <w:p>
      <w:pPr>
        <w:pStyle w:val="2"/>
        <w:keepNext w:val="0"/>
        <w:keepLines w:val="0"/>
        <w:pageBreakBefore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（二）改进情况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一是</w:t>
      </w:r>
      <w:r>
        <w:rPr>
          <w:rFonts w:hint="eastAsia" w:ascii="方正仿宋_GBK" w:hAnsi="方正仿宋_GBK" w:eastAsia="方正仿宋_GBK" w:cs="方正仿宋_GBK"/>
          <w:kern w:val="2"/>
          <w:sz w:val="32"/>
          <w:szCs w:val="32"/>
          <w:lang w:val="en-US" w:eastAsia="zh-CN" w:bidi="ar-SA"/>
        </w:rPr>
        <w:t>深化政策解读。邀请专家、部门负责人、党政领导对出台的文件通知进行解读，以图文、视频、在线媒体等多种形式进行解读，提高解读质量。</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二是</w:t>
      </w:r>
      <w:r>
        <w:rPr>
          <w:rFonts w:hint="eastAsia" w:ascii="方正仿宋_GBK" w:hAnsi="方正仿宋_GBK" w:eastAsia="方正仿宋_GBK" w:cs="方正仿宋_GBK"/>
          <w:kern w:val="2"/>
          <w:sz w:val="32"/>
          <w:szCs w:val="32"/>
          <w:lang w:val="en-US" w:eastAsia="zh-CN" w:bidi="ar-SA"/>
        </w:rPr>
        <w:t>加强政务公开培训。针对当前及日后应密切关注的重点领域公开、政策解读、回应关切等领域开展业务培训，切实提高经办人员业务能力。</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三是</w:t>
      </w:r>
      <w:r>
        <w:rPr>
          <w:rFonts w:hint="eastAsia" w:ascii="方正仿宋_GBK" w:hAnsi="方正仿宋_GBK" w:eastAsia="方正仿宋_GBK" w:cs="方正仿宋_GBK"/>
          <w:kern w:val="2"/>
          <w:sz w:val="32"/>
          <w:szCs w:val="32"/>
          <w:lang w:val="en-US" w:eastAsia="zh-CN" w:bidi="ar-SA"/>
        </w:rPr>
        <w:t>进一步完善机制。根据上级要求进一步规范信息发布机制，补缺补差，确保做到应公开</w:t>
      </w:r>
      <w:r>
        <w:rPr>
          <w:rFonts w:hint="eastAsia" w:ascii="方正仿宋_GBK" w:hAnsi="方正仿宋_GBK" w:eastAsia="方正仿宋_GBK" w:cs="方正仿宋_GBK"/>
          <w:kern w:val="2"/>
          <w:sz w:val="32"/>
          <w:szCs w:val="32"/>
          <w:lang w:val="en-US" w:eastAsia="zh-CN" w:bidi="ar-SA"/>
        </w:rPr>
        <w:t>尽</w:t>
      </w:r>
      <w:r>
        <w:rPr>
          <w:rFonts w:hint="eastAsia" w:ascii="方正仿宋_GBK" w:hAnsi="方正仿宋_GBK" w:eastAsia="方正仿宋_GBK" w:cs="方正仿宋_GBK"/>
          <w:kern w:val="2"/>
          <w:sz w:val="32"/>
          <w:szCs w:val="32"/>
          <w:lang w:val="en-US" w:eastAsia="zh-CN" w:bidi="ar-SA"/>
        </w:rPr>
        <w:t>公开。</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rPr>
        <w:t>六、其他需要报告的事项</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按照《国务院办公厅关于印发〈政府信息公开信息处理费管理办法〉的通知》（国办函〔2020〕109号）规定的按件、按量收费标准，本年度没有产生信息公开处理费。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E0000" w:usb2="00000000" w:usb3="00000000" w:csb0="00040000" w:csb1="00000000"/>
    <w:embedRegular r:id="rId1" w:fontKey="{D119C3C2-3493-4974-85AD-A597A0DA3D66}"/>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embedRegular r:id="rId2" w:fontKey="{5EF6053A-185E-43CC-A009-6D9A810179BE}"/>
  </w:font>
  <w:font w:name="方正黑体_GBK">
    <w:panose1 w:val="03000509000000000000"/>
    <w:charset w:val="86"/>
    <w:family w:val="auto"/>
    <w:pitch w:val="default"/>
    <w:sig w:usb0="00000001" w:usb1="080E0000" w:usb2="00000000" w:usb3="00000000" w:csb0="00040000" w:csb1="00000000"/>
    <w:embedRegular r:id="rId3" w:fontKey="{B6599A9C-0692-47F1-A54A-FBEE64677062}"/>
  </w:font>
  <w:font w:name="方正小标宋_GBK">
    <w:panose1 w:val="03000509000000000000"/>
    <w:charset w:val="86"/>
    <w:family w:val="auto"/>
    <w:pitch w:val="default"/>
    <w:sig w:usb0="00000001" w:usb1="080E0000" w:usb2="00000000" w:usb3="00000000" w:csb0="00040000" w:csb1="00000000"/>
    <w:embedRegular r:id="rId4" w:fontKey="{0F42C4B8-92F9-4DC9-BEA0-75695F04D5E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A11CC"/>
    <w:multiLevelType w:val="singleLevel"/>
    <w:tmpl w:val="9F9A11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NmFjMmM4ZTljMGJiZDAxN2JmYTc0NGI0NmFiNDgifQ=="/>
  </w:docVars>
  <w:rsids>
    <w:rsidRoot w:val="53031785"/>
    <w:rsid w:val="103F6E3B"/>
    <w:rsid w:val="10DB5A15"/>
    <w:rsid w:val="1DA90A2F"/>
    <w:rsid w:val="230865AC"/>
    <w:rsid w:val="25CB2486"/>
    <w:rsid w:val="32F370B3"/>
    <w:rsid w:val="35004F81"/>
    <w:rsid w:val="46841EB6"/>
    <w:rsid w:val="53031785"/>
    <w:rsid w:val="56310FE7"/>
    <w:rsid w:val="5A070D39"/>
    <w:rsid w:val="661116AB"/>
    <w:rsid w:val="6BFB5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Normal (Web)"/>
    <w:basedOn w:val="1"/>
    <w:unhideWhenUsed/>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2215</Words>
  <Characters>2258</Characters>
  <Lines>0</Lines>
  <Paragraphs>0</Paragraphs>
  <TotalTime>11</TotalTime>
  <ScaleCrop>false</ScaleCrop>
  <LinksUpToDate>false</LinksUpToDate>
  <CharactersWithSpaces>2259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2023-01-25T01:08:00Z</dcterms:created>
  <dc:creator>会思考的芦苇1415541941</dc:creator>
  <cp:lastModifiedBy>会思考的芦苇1415541941</cp:lastModifiedBy>
  <dcterms:modified xsi:type="dcterms:W3CDTF">2024-02-26T09:20:34Z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324F1D4803B94CDFBCD74193FBB06451</vt:lpwstr>
  </property>
</Properties>
</file>