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kern w:val="0"/>
          <w:sz w:val="36"/>
          <w:szCs w:val="36"/>
          <w:shd w:val="clear" w:fill="FFFFFF"/>
          <w:lang w:val="en-US" w:eastAsia="zh-CN" w:bidi="ar"/>
        </w:rPr>
      </w:pPr>
      <w:r>
        <w:rPr>
          <w:rFonts w:hint="eastAsia" w:ascii="方正小标宋_GBK" w:hAnsi="方正小标宋_GBK" w:eastAsia="方正小标宋_GBK" w:cs="方正小标宋_GBK"/>
          <w:i w:val="0"/>
          <w:iCs w:val="0"/>
          <w:caps w:val="0"/>
          <w:color w:val="auto"/>
          <w:spacing w:val="0"/>
          <w:kern w:val="0"/>
          <w:sz w:val="36"/>
          <w:szCs w:val="36"/>
          <w:shd w:val="clear" w:fill="FFFFFF"/>
          <w:lang w:val="en-US" w:eastAsia="zh-CN" w:bidi="ar"/>
        </w:rPr>
        <w:t>太平畈乡人民政府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36"/>
          <w:szCs w:val="36"/>
        </w:rPr>
      </w:pPr>
      <w:r>
        <w:rPr>
          <w:rFonts w:hint="eastAsia" w:ascii="方正小标宋_GBK" w:hAnsi="方正小标宋_GBK" w:eastAsia="方正小标宋_GBK" w:cs="方正小标宋_GBK"/>
          <w:i w:val="0"/>
          <w:iCs w:val="0"/>
          <w:caps w:val="0"/>
          <w:color w:val="auto"/>
          <w:spacing w:val="0"/>
          <w:kern w:val="0"/>
          <w:sz w:val="36"/>
          <w:szCs w:val="36"/>
          <w:shd w:val="clear" w:fill="FFFFFF"/>
          <w:lang w:val="en-US" w:eastAsia="zh-CN" w:bidi="ar"/>
        </w:rPr>
        <w:t>2021年信息公开工作年度报告</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i w:val="0"/>
          <w:iCs w:val="0"/>
          <w:caps w:val="0"/>
          <w:color w:val="000000"/>
          <w:spacing w:val="0"/>
          <w:sz w:val="32"/>
          <w:szCs w:val="32"/>
          <w:shd w:val="clear" w:fill="FFFFFF"/>
        </w:rPr>
      </w:pPr>
      <w:r>
        <w:rPr>
          <w:rFonts w:hint="eastAsia" w:ascii="方正楷体_GBK" w:hAnsi="方正楷体_GBK" w:eastAsia="方正楷体_GBK" w:cs="方正楷体_GBK"/>
          <w:b w:val="0"/>
          <w:bCs w:val="0"/>
          <w:i w:val="0"/>
          <w:iCs w:val="0"/>
          <w:caps w:val="0"/>
          <w:color w:val="000000"/>
          <w:spacing w:val="0"/>
          <w:sz w:val="32"/>
          <w:szCs w:val="32"/>
          <w:shd w:val="clear" w:fill="FFFFFF"/>
        </w:rPr>
        <w:t>（一）概述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000000"/>
          <w:spacing w:val="0"/>
          <w:sz w:val="32"/>
          <w:szCs w:val="32"/>
          <w:shd w:val="clear" w:fill="FFFFFF"/>
        </w:rPr>
      </w:pPr>
      <w:r>
        <w:rPr>
          <w:rFonts w:hint="eastAsia" w:ascii="方正仿宋_GBK" w:hAnsi="方正仿宋_GBK" w:eastAsia="方正仿宋_GBK" w:cs="方正仿宋_GBK"/>
          <w:b w:val="0"/>
          <w:bCs w:val="0"/>
          <w:i w:val="0"/>
          <w:iCs w:val="0"/>
          <w:caps w:val="0"/>
          <w:color w:val="000000"/>
          <w:spacing w:val="0"/>
          <w:sz w:val="32"/>
          <w:szCs w:val="32"/>
          <w:shd w:val="clear" w:fill="FFFFFF"/>
        </w:rPr>
        <w:t>本年度报告根据《中华人民共和国政府信息公开条例》（以下简称《条例》）和《国务院办公厅政府信息与政务公开办公室关于印发〈中华人民共和国政府信息公开工作年度报告格式的通知〉》，（以下简称《通知》）和《安徽省政务公开办公室关于做好2021年度政府信息公开工作年度报告编制和发布工作的通知》的有关要求编制，本信息公开年度报告由霍山县太平畈乡编制完成。全文包括概述、总体情况、主动公开政府信息情况、收到和处理政府信息公开申请情况、政府信息公开行政复议、行政诉讼情况、存在的主要问题及改进情况、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i w:val="0"/>
          <w:iCs w:val="0"/>
          <w:caps w:val="0"/>
          <w:color w:val="000000"/>
          <w:spacing w:val="0"/>
          <w:sz w:val="32"/>
          <w:szCs w:val="32"/>
          <w:shd w:val="clear" w:fill="FFFFFF"/>
        </w:rPr>
      </w:pPr>
      <w:r>
        <w:rPr>
          <w:rFonts w:hint="eastAsia" w:ascii="方正楷体_GBK" w:hAnsi="方正楷体_GBK" w:eastAsia="方正楷体_GBK" w:cs="方正楷体_GBK"/>
          <w:b w:val="0"/>
          <w:bCs w:val="0"/>
          <w:i w:val="0"/>
          <w:iCs w:val="0"/>
          <w:caps w:val="0"/>
          <w:color w:val="000000"/>
          <w:spacing w:val="0"/>
          <w:sz w:val="32"/>
          <w:szCs w:val="32"/>
          <w:shd w:val="clear" w:fill="FFFFFF"/>
        </w:rPr>
        <w:t>（二）主动公开政府信息情况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太平畈乡政务公开工作严格按照《条例》和县政府的总体要求，妥善处理公开与保密的关系，合理界定信息公开范围，做到积极稳妥，及时更新政府基本目录信息、两化专题、村务公开领域内容发布。着重食品药品安全、乡村振兴、民政救助、安全生产及与群众生活密切相关的疫情防控、低保救助、养老保险等种领域方面信息公开。2021年1月1日至2021年12月31日，太平畈乡政府本级栏目主动公开信息506条，“两化”专题栏目共公开873条，对“两化”的30个领域及时更新完善，确保信息全面及时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i w:val="0"/>
          <w:iCs w:val="0"/>
          <w:caps w:val="0"/>
          <w:color w:val="000000"/>
          <w:spacing w:val="0"/>
          <w:sz w:val="32"/>
          <w:szCs w:val="32"/>
          <w:shd w:val="clear" w:fill="FFFFFF"/>
        </w:rPr>
      </w:pPr>
      <w:r>
        <w:rPr>
          <w:rFonts w:hint="eastAsia" w:ascii="方正楷体_GBK" w:hAnsi="方正楷体_GBK" w:eastAsia="方正楷体_GBK" w:cs="方正楷体_GBK"/>
          <w:b w:val="0"/>
          <w:bCs w:val="0"/>
          <w:i w:val="0"/>
          <w:iCs w:val="0"/>
          <w:caps w:val="0"/>
          <w:color w:val="000000"/>
          <w:spacing w:val="0"/>
          <w:sz w:val="32"/>
          <w:szCs w:val="32"/>
          <w:shd w:val="clear" w:fill="FFFFFF"/>
        </w:rPr>
        <w:t>（三）收到和处理政府信息公开申请情况</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在编制的《霍山县太平畈乡信息公开指南 》中，对依申请公开工作的程序、申请方式、答复方式、答复时限等做了详细规定。2021年度太平畈乡未收到和受理依申请公开办理事项。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i w:val="0"/>
          <w:iCs w:val="0"/>
          <w:caps w:val="0"/>
          <w:color w:val="000000"/>
          <w:spacing w:val="0"/>
          <w:sz w:val="32"/>
          <w:szCs w:val="32"/>
          <w:shd w:val="clear" w:fill="FFFFFF"/>
        </w:rPr>
      </w:pPr>
      <w:r>
        <w:rPr>
          <w:rFonts w:hint="eastAsia" w:ascii="方正楷体_GBK" w:hAnsi="方正楷体_GBK" w:eastAsia="方正楷体_GBK" w:cs="方正楷体_GBK"/>
          <w:b w:val="0"/>
          <w:bCs w:val="0"/>
          <w:i w:val="0"/>
          <w:iCs w:val="0"/>
          <w:caps w:val="0"/>
          <w:color w:val="000000"/>
          <w:spacing w:val="0"/>
          <w:sz w:val="32"/>
          <w:szCs w:val="32"/>
          <w:shd w:val="clear" w:fill="FFFFFF"/>
        </w:rPr>
        <w:t>（四）政府信息管理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严格遵循“谁公开谁审查、谁审查谁负责”和“先审查、后公开”的原则，指定专人负责，三级审核制度，全力做好需公开政府信息的保密审查工作。认真落实公开属性源头认定机制，制发的文件对公开属性进行明确标识，从源头上保障了公开信息不涉密、涉密信息不公开。2021年，太平畈乡未发生政府信息公开泄密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i w:val="0"/>
          <w:iCs w:val="0"/>
          <w:caps w:val="0"/>
          <w:color w:val="000000"/>
          <w:spacing w:val="0"/>
          <w:sz w:val="32"/>
          <w:szCs w:val="32"/>
          <w:shd w:val="clear" w:fill="FFFFFF"/>
        </w:rPr>
      </w:pPr>
      <w:r>
        <w:rPr>
          <w:rFonts w:hint="eastAsia" w:ascii="方正楷体_GBK" w:hAnsi="方正楷体_GBK" w:eastAsia="方正楷体_GBK" w:cs="方正楷体_GBK"/>
          <w:b w:val="0"/>
          <w:bCs w:val="0"/>
          <w:i w:val="0"/>
          <w:iCs w:val="0"/>
          <w:caps w:val="0"/>
          <w:color w:val="000000"/>
          <w:spacing w:val="0"/>
          <w:sz w:val="32"/>
          <w:szCs w:val="32"/>
          <w:shd w:val="clear" w:fill="FFFFFF"/>
        </w:rPr>
        <w:t>（五）政府信息公开平台建设情况</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太平畈乡充分认识推进政务公开工作重要性，以霍山县人民政府网站下霍山县太平畈乡网站为我镇门户网站对外公开政府信息。为民服务大厅是本机关的政府信息公开工作机构，负责受理信息公开申请、负责政务信息公开专职工作人员1人，兼职1人，全面完善政务公开工作，提升政务公开工作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i w:val="0"/>
          <w:iCs w:val="0"/>
          <w:caps w:val="0"/>
          <w:color w:val="000000"/>
          <w:spacing w:val="0"/>
          <w:sz w:val="32"/>
          <w:szCs w:val="32"/>
          <w:shd w:val="clear" w:fill="FFFFFF"/>
        </w:rPr>
      </w:pPr>
      <w:r>
        <w:rPr>
          <w:rFonts w:hint="eastAsia" w:ascii="方正楷体_GBK" w:hAnsi="方正楷体_GBK" w:eastAsia="方正楷体_GBK" w:cs="方正楷体_GBK"/>
          <w:b w:val="0"/>
          <w:bCs w:val="0"/>
          <w:i w:val="0"/>
          <w:iCs w:val="0"/>
          <w:caps w:val="0"/>
          <w:color w:val="000000"/>
          <w:spacing w:val="0"/>
          <w:sz w:val="32"/>
          <w:szCs w:val="32"/>
          <w:shd w:val="clear" w:fill="FFFFFF"/>
        </w:rPr>
        <w:t>（六）监督保障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狠抓内部制约机制，重点以《中华人民共和国政府信息公开条例》实施为突破口，抓好外部监督制约机制的完善，建立健全长效管理机制，形成用制度规范行为、按制度办事、靠制度管人的机制。将政务公开工作与各项建设工作综合进行检查、考评，考评结果纳入岗位目标责任制。使政务公开工作更加扎实、有序开展。并设立信息公开监督电话(0564-5731386)和举报信箱（1837446122</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qq.com），接受社会评议、监督，确保政府信息公开工作持续良好开展。截止2021年12月31日，未发生政务公开方面问题，故无责任追究情况。</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t>二、主动公开政府信息情况</w:t>
      </w:r>
    </w:p>
    <w:tbl>
      <w:tblPr>
        <w:tblStyle w:val="3"/>
        <w:tblW w:w="95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62"/>
        <w:gridCol w:w="2455"/>
        <w:gridCol w:w="2455"/>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jc w:val="center"/>
        </w:trPr>
        <w:tc>
          <w:tcPr>
            <w:tcW w:w="9564"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24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信息内容</w:t>
            </w:r>
          </w:p>
        </w:tc>
        <w:tc>
          <w:tcPr>
            <w:tcW w:w="2455" w:type="dxa"/>
            <w:tcBorders>
              <w:top w:val="single" w:color="auto" w:sz="6" w:space="0"/>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本年制发件数</w:t>
            </w:r>
          </w:p>
        </w:tc>
        <w:tc>
          <w:tcPr>
            <w:tcW w:w="2455" w:type="dxa"/>
            <w:tcBorders>
              <w:top w:val="single" w:color="auto" w:sz="6" w:space="0"/>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本年废止件数</w:t>
            </w:r>
          </w:p>
        </w:tc>
        <w:tc>
          <w:tcPr>
            <w:tcW w:w="2192" w:type="dxa"/>
            <w:tcBorders>
              <w:top w:val="single" w:color="auto" w:sz="6" w:space="0"/>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24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规章</w:t>
            </w:r>
          </w:p>
        </w:tc>
        <w:tc>
          <w:tcPr>
            <w:tcW w:w="2455"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2455"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2192"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24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行政规范性文件</w:t>
            </w:r>
          </w:p>
        </w:tc>
        <w:tc>
          <w:tcPr>
            <w:tcW w:w="2455"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2455"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2192"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9564" w:type="dxa"/>
            <w:gridSpan w:val="4"/>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exact"/>
          <w:jc w:val="center"/>
        </w:trPr>
        <w:tc>
          <w:tcPr>
            <w:tcW w:w="24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信息内容</w:t>
            </w:r>
          </w:p>
        </w:tc>
        <w:tc>
          <w:tcPr>
            <w:tcW w:w="7102" w:type="dxa"/>
            <w:gridSpan w:val="3"/>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24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行政许可</w:t>
            </w:r>
          </w:p>
        </w:tc>
        <w:tc>
          <w:tcPr>
            <w:tcW w:w="7102" w:type="dxa"/>
            <w:gridSpan w:val="3"/>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9564" w:type="dxa"/>
            <w:gridSpan w:val="4"/>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24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信息内容</w:t>
            </w:r>
          </w:p>
        </w:tc>
        <w:tc>
          <w:tcPr>
            <w:tcW w:w="7102" w:type="dxa"/>
            <w:gridSpan w:val="3"/>
            <w:tcBorders>
              <w:top w:val="single" w:color="auto" w:sz="6" w:space="0"/>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24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行政处罚</w:t>
            </w:r>
          </w:p>
        </w:tc>
        <w:tc>
          <w:tcPr>
            <w:tcW w:w="7102" w:type="dxa"/>
            <w:gridSpan w:val="3"/>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exact"/>
          <w:jc w:val="center"/>
        </w:trPr>
        <w:tc>
          <w:tcPr>
            <w:tcW w:w="24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行政强制</w:t>
            </w:r>
          </w:p>
        </w:tc>
        <w:tc>
          <w:tcPr>
            <w:tcW w:w="7102" w:type="dxa"/>
            <w:gridSpan w:val="3"/>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9564" w:type="dxa"/>
            <w:gridSpan w:val="4"/>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24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信息内容</w:t>
            </w:r>
          </w:p>
        </w:tc>
        <w:tc>
          <w:tcPr>
            <w:tcW w:w="7102" w:type="dxa"/>
            <w:gridSpan w:val="3"/>
            <w:tcBorders>
              <w:top w:val="nil"/>
              <w:left w:val="nil"/>
              <w:bottom w:val="single" w:color="auto" w:sz="6" w:space="0"/>
              <w:right w:val="single" w:color="000000"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24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行政事业性收费</w:t>
            </w:r>
          </w:p>
        </w:tc>
        <w:tc>
          <w:tcPr>
            <w:tcW w:w="7102" w:type="dxa"/>
            <w:gridSpan w:val="3"/>
            <w:tcBorders>
              <w:top w:val="nil"/>
              <w:left w:val="nil"/>
              <w:bottom w:val="single" w:color="auto" w:sz="6" w:space="0"/>
              <w:right w:val="single" w:color="000000" w:sz="6" w:space="0"/>
            </w:tcBorders>
            <w:shd w:val="clear" w:color="auto" w:fill="FFFFFF"/>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bl>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7"/>
        <w:gridCol w:w="1074"/>
        <w:gridCol w:w="3142"/>
        <w:gridCol w:w="680"/>
        <w:gridCol w:w="680"/>
        <w:gridCol w:w="680"/>
        <w:gridCol w:w="680"/>
        <w:gridCol w:w="680"/>
        <w:gridCol w:w="680"/>
        <w:gridCol w:w="6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83" w:type="dxa"/>
            <w:gridSpan w:val="3"/>
            <w:vMerge w:val="restart"/>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（本列数据的勾稽关系为：第一项加第二项之和，等于第三项加第四项之和）</w:t>
            </w:r>
          </w:p>
        </w:tc>
        <w:tc>
          <w:tcPr>
            <w:tcW w:w="4765" w:type="dxa"/>
            <w:gridSpan w:val="7"/>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83"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80" w:type="dxa"/>
            <w:vMerge w:val="restart"/>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自然人</w:t>
            </w:r>
          </w:p>
        </w:tc>
        <w:tc>
          <w:tcPr>
            <w:tcW w:w="3400" w:type="dxa"/>
            <w:gridSpan w:val="5"/>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法人或其他组织</w:t>
            </w:r>
          </w:p>
        </w:tc>
        <w:tc>
          <w:tcPr>
            <w:tcW w:w="685" w:type="dxa"/>
            <w:vMerge w:val="restart"/>
            <w:tcBorders>
              <w:top w:val="single" w:color="auto" w:sz="6" w:space="0"/>
              <w:left w:val="nil"/>
              <w:bottom w:val="outset"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8" w:hRule="atLeast"/>
          <w:jc w:val="center"/>
        </w:trPr>
        <w:tc>
          <w:tcPr>
            <w:tcW w:w="4983"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80" w:type="dxa"/>
            <w:vMerge w:val="continue"/>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商业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机构</w:t>
            </w:r>
          </w:p>
        </w:tc>
        <w:tc>
          <w:tcPr>
            <w:tcW w:w="680"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社会公益组织</w:t>
            </w:r>
          </w:p>
        </w:tc>
        <w:tc>
          <w:tcPr>
            <w:tcW w:w="680"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法律服务机构</w:t>
            </w:r>
          </w:p>
        </w:tc>
        <w:tc>
          <w:tcPr>
            <w:tcW w:w="680"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w:t>
            </w:r>
          </w:p>
        </w:tc>
        <w:tc>
          <w:tcPr>
            <w:tcW w:w="685" w:type="dxa"/>
            <w:vMerge w:val="continue"/>
            <w:tcBorders>
              <w:top w:val="single" w:color="auto" w:sz="6" w:space="0"/>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83"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一、本年新收政府信息公开申请数量</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83"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二、上年结转政府信息公开申请数量</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98" w:hRule="atLeast"/>
          <w:jc w:val="center"/>
        </w:trPr>
        <w:tc>
          <w:tcPr>
            <w:tcW w:w="767" w:type="dxa"/>
            <w:vMerge w:val="restart"/>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三、本年度办理结果</w:t>
            </w:r>
          </w:p>
        </w:tc>
        <w:tc>
          <w:tcPr>
            <w:tcW w:w="4216"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（一）予以公开</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4216"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（二）部分公开（区分处理的，只计这一情形，不计其他情形）</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（三）不予公开</w:t>
            </w: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1.属于国家秘密</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2.其他法律行政法规禁止公开</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3.危及“三安全一稳定”</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4.保护第三方合法权益</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5.属于三类内部事务信息</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6.属于四类过程性信息</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7.属于行政执法案卷</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8.属于行政查询事项</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（四）无法提供</w:t>
            </w: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1.本机关不掌握相关政府信息</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2.没有现成信息需要另行制作</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3.补正后申请内容仍不明确</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（五）不予处理</w:t>
            </w: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1.信访举报投诉类申请</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2.重复申请</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3.要求提供公开出版物</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4.无正当理由大量反复申请</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142"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5.要求行政机关确认或重新出具已获取信息</w:t>
            </w:r>
          </w:p>
        </w:tc>
        <w:tc>
          <w:tcPr>
            <w:tcW w:w="680"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（六）其他处理</w:t>
            </w: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1.申请人无正当理由逾期不补正、行政机关不再处理其政府信息公开申请</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2.申请人逾期未按收费通知要求缴纳费用、行政机关不再处理其政府信息公开申请</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1074"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14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3.其他</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4216"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（七）总计</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83"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四、结转下年度继续办理</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0"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bl>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24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行政复议</w:t>
            </w:r>
          </w:p>
        </w:tc>
        <w:tc>
          <w:tcPr>
            <w:tcW w:w="6503" w:type="dxa"/>
            <w:gridSpan w:val="10"/>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4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结果维持</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纠正</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其他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结果</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尚未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审结</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总计</w:t>
            </w:r>
          </w:p>
        </w:tc>
        <w:tc>
          <w:tcPr>
            <w:tcW w:w="3248"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未经复议直接起诉</w:t>
            </w:r>
          </w:p>
        </w:tc>
        <w:tc>
          <w:tcPr>
            <w:tcW w:w="3255"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4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维持</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纠正</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其他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结果</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尚未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审结</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总计</w:t>
            </w:r>
          </w:p>
        </w:tc>
        <w:tc>
          <w:tcPr>
            <w:tcW w:w="651"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维持</w:t>
            </w:r>
          </w:p>
        </w:tc>
        <w:tc>
          <w:tcPr>
            <w:tcW w:w="651"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纠正</w:t>
            </w:r>
          </w:p>
        </w:tc>
        <w:tc>
          <w:tcPr>
            <w:tcW w:w="651"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其他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结果</w:t>
            </w:r>
          </w:p>
        </w:tc>
        <w:tc>
          <w:tcPr>
            <w:tcW w:w="651"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尚未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审结</w:t>
            </w:r>
          </w:p>
        </w:tc>
        <w:tc>
          <w:tcPr>
            <w:tcW w:w="651"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649" w:type="dxa"/>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0  </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0 </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0 </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0 </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0 </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0 </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0 </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0 </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0 </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0 </w:t>
            </w:r>
          </w:p>
        </w:tc>
        <w:tc>
          <w:tcPr>
            <w:tcW w:w="651"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0 </w:t>
            </w:r>
          </w:p>
        </w:tc>
        <w:tc>
          <w:tcPr>
            <w:tcW w:w="651"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0 </w:t>
            </w:r>
          </w:p>
        </w:tc>
        <w:tc>
          <w:tcPr>
            <w:tcW w:w="651"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0 </w:t>
            </w:r>
          </w:p>
        </w:tc>
        <w:tc>
          <w:tcPr>
            <w:tcW w:w="651"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0 </w:t>
            </w:r>
          </w:p>
        </w:tc>
        <w:tc>
          <w:tcPr>
            <w:tcW w:w="651"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i w:val="0"/>
          <w:iCs w:val="0"/>
          <w:caps w:val="0"/>
          <w:color w:val="000000"/>
          <w:spacing w:val="0"/>
          <w:sz w:val="32"/>
          <w:szCs w:val="32"/>
          <w:shd w:val="clear" w:fill="FFFFFF"/>
        </w:rPr>
      </w:pPr>
      <w:r>
        <w:rPr>
          <w:rFonts w:hint="eastAsia" w:ascii="方正楷体_GBK" w:hAnsi="方正楷体_GBK" w:eastAsia="方正楷体_GBK" w:cs="方正楷体_GBK"/>
          <w:b w:val="0"/>
          <w:bCs w:val="0"/>
          <w:i w:val="0"/>
          <w:iCs w:val="0"/>
          <w:caps w:val="0"/>
          <w:color w:val="000000"/>
          <w:spacing w:val="0"/>
          <w:sz w:val="32"/>
          <w:szCs w:val="32"/>
          <w:shd w:val="clear" w:fill="FFFFFF"/>
        </w:rPr>
        <w:t>（一）存在问题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仿宋_GBK" w:hAnsi="方正仿宋_GBK" w:eastAsia="方正仿宋_GBK" w:cs="方正仿宋_GBK"/>
          <w:i w:val="0"/>
          <w:iCs w:val="0"/>
          <w:caps w:val="0"/>
          <w:color w:val="000000"/>
          <w:spacing w:val="0"/>
          <w:sz w:val="32"/>
          <w:szCs w:val="32"/>
          <w:shd w:val="clear" w:fill="FFFFFF"/>
        </w:rPr>
        <w:t> </w:t>
      </w:r>
      <w:r>
        <w:rPr>
          <w:rFonts w:hint="eastAsia" w:ascii="方正仿宋_GBK" w:hAnsi="方正仿宋_GBK" w:eastAsia="方正仿宋_GBK" w:cs="方正仿宋_GBK"/>
          <w:b/>
          <w:bCs/>
          <w:i w:val="0"/>
          <w:iCs w:val="0"/>
          <w:caps w:val="0"/>
          <w:color w:val="000000"/>
          <w:spacing w:val="0"/>
          <w:sz w:val="32"/>
          <w:szCs w:val="32"/>
          <w:shd w:val="clear" w:fill="FFFFFF"/>
        </w:rPr>
        <w:t>一是</w:t>
      </w:r>
      <w:r>
        <w:rPr>
          <w:rFonts w:hint="eastAsia" w:ascii="方正仿宋_GBK" w:hAnsi="方正仿宋_GBK" w:eastAsia="方正仿宋_GBK" w:cs="方正仿宋_GBK"/>
          <w:i w:val="0"/>
          <w:iCs w:val="0"/>
          <w:caps w:val="0"/>
          <w:color w:val="000000"/>
          <w:spacing w:val="0"/>
          <w:sz w:val="32"/>
          <w:szCs w:val="32"/>
          <w:shd w:val="clear" w:fill="FFFFFF"/>
        </w:rPr>
        <w:t>对上级部门文件的要求理解不够；</w:t>
      </w:r>
      <w:r>
        <w:rPr>
          <w:rFonts w:hint="eastAsia" w:ascii="方正仿宋_GBK" w:hAnsi="方正仿宋_GBK" w:eastAsia="方正仿宋_GBK" w:cs="方正仿宋_GBK"/>
          <w:b/>
          <w:bCs/>
          <w:i w:val="0"/>
          <w:iCs w:val="0"/>
          <w:caps w:val="0"/>
          <w:color w:val="000000"/>
          <w:spacing w:val="0"/>
          <w:sz w:val="32"/>
          <w:szCs w:val="32"/>
          <w:shd w:val="clear" w:fill="FFFFFF"/>
        </w:rPr>
        <w:t>二是</w:t>
      </w:r>
      <w:r>
        <w:rPr>
          <w:rFonts w:hint="eastAsia" w:ascii="方正仿宋_GBK" w:hAnsi="方正仿宋_GBK" w:eastAsia="方正仿宋_GBK" w:cs="方正仿宋_GBK"/>
          <w:i w:val="0"/>
          <w:iCs w:val="0"/>
          <w:caps w:val="0"/>
          <w:color w:val="000000"/>
          <w:spacing w:val="0"/>
          <w:sz w:val="32"/>
          <w:szCs w:val="32"/>
          <w:shd w:val="clear" w:fill="FFFFFF"/>
        </w:rPr>
        <w:t>宣传范围局限，收效甚浅；</w:t>
      </w:r>
      <w:r>
        <w:rPr>
          <w:rFonts w:hint="eastAsia" w:ascii="方正仿宋_GBK" w:hAnsi="方正仿宋_GBK" w:eastAsia="方正仿宋_GBK" w:cs="方正仿宋_GBK"/>
          <w:b/>
          <w:bCs/>
          <w:i w:val="0"/>
          <w:iCs w:val="0"/>
          <w:caps w:val="0"/>
          <w:color w:val="000000"/>
          <w:spacing w:val="0"/>
          <w:sz w:val="32"/>
          <w:szCs w:val="32"/>
          <w:shd w:val="clear" w:fill="FFFFFF"/>
        </w:rPr>
        <w:t> 三是</w:t>
      </w:r>
      <w:r>
        <w:rPr>
          <w:rFonts w:hint="eastAsia" w:ascii="方正仿宋_GBK" w:hAnsi="方正仿宋_GBK" w:eastAsia="方正仿宋_GBK" w:cs="方正仿宋_GBK"/>
          <w:i w:val="0"/>
          <w:iCs w:val="0"/>
          <w:caps w:val="0"/>
          <w:color w:val="000000"/>
          <w:spacing w:val="0"/>
          <w:sz w:val="32"/>
          <w:szCs w:val="32"/>
          <w:shd w:val="clear" w:fill="FFFFFF"/>
        </w:rPr>
        <w:t>部分栏目发布信息数量较少，发布质量有待提升</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i w:val="0"/>
          <w:iCs w:val="0"/>
          <w:caps w:val="0"/>
          <w:color w:val="000000"/>
          <w:spacing w:val="0"/>
          <w:sz w:val="32"/>
          <w:szCs w:val="32"/>
          <w:shd w:val="clear" w:fill="FFFFFF"/>
        </w:rPr>
      </w:pPr>
      <w:r>
        <w:rPr>
          <w:rFonts w:hint="eastAsia" w:ascii="方正楷体_GBK" w:hAnsi="方正楷体_GBK" w:eastAsia="方正楷体_GBK" w:cs="方正楷体_GBK"/>
          <w:b w:val="0"/>
          <w:bCs w:val="0"/>
          <w:i w:val="0"/>
          <w:iCs w:val="0"/>
          <w:caps w:val="0"/>
          <w:color w:val="000000"/>
          <w:spacing w:val="0"/>
          <w:sz w:val="32"/>
          <w:szCs w:val="32"/>
          <w:shd w:val="clear" w:fill="FFFFFF"/>
        </w:rPr>
        <w:t>（二）整改措施</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一是</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进一步规范工作流程。加强日常管理，强化专人负责信息公开工作，明确工作职责；</w:t>
      </w: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二是</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进一步规范信息公开时效。适时梳理信息公开内容，修正、更新服务指南，在规定的政府信息公开范围内，及时发布和更新依法应主动公开的政府信息；</w:t>
      </w: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三是</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进一步加强协作性。加强信息公开部门与各职能部门间的沟通与合作，建立政务公开内部微信群，促进主动公开及时依规进行，保证依申请公开工作依法按期完成。</w:t>
      </w: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四是</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进一步完善工作机制。坚持把社会救助、乡村振兴等社会关注度高的政府信息作为突破口，不断拓展公开内容，进一步丰富政务公开方式，及时回应社会关切情况。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lang w:val="en-US" w:eastAsia="zh-CN"/>
          <w14:textFill>
            <w14:solidFill>
              <w14:schemeClr w14:val="tx1"/>
            </w14:solidFill>
          </w14:textFill>
        </w:rPr>
        <w:t>六、</w:t>
      </w:r>
      <w:r>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t>其他需要报告的事项</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2021年，为促进“线上”“线下”有效融合，增强信息公开服务实效，方便群众办事，在镇为民服务大厅打造了功能齐全、方便实用的政务公开专区，让企业和群众在“家门口”就能便捷查询服务信息，为企业群众提供“一号答”“一站式”的政策咨询服务，精准传达政策意图，助力营商环境持续改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按照《国务院办公厅关于印发〈政府信息公开信息处理费管理办法〉的通知》（国办函〔2020〕109号）规定的按件、按量收费标准，本年度没有产生信息公开处理费。</w:t>
      </w:r>
      <w:bookmarkStart w:id="0" w:name="_GoBack"/>
      <w:bookmarkEnd w:id="0"/>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E1D9EEDC-9E74-466F-A9E4-23C718E4FE02}"/>
  </w:font>
  <w:font w:name="方正仿宋_GBK">
    <w:panose1 w:val="03000509000000000000"/>
    <w:charset w:val="86"/>
    <w:family w:val="auto"/>
    <w:pitch w:val="default"/>
    <w:sig w:usb0="00000001" w:usb1="080E0000" w:usb2="00000000" w:usb3="00000000" w:csb0="00040000" w:csb1="00000000"/>
    <w:embedRegular r:id="rId2" w:fontKey="{A25BEDAB-4205-4EFF-BEAC-F8D71C1D8293}"/>
  </w:font>
  <w:font w:name="方正楷体_GBK">
    <w:panose1 w:val="02000000000000000000"/>
    <w:charset w:val="86"/>
    <w:family w:val="auto"/>
    <w:pitch w:val="default"/>
    <w:sig w:usb0="00000001" w:usb1="080E0000" w:usb2="00000000" w:usb3="00000000" w:csb0="00040000" w:csb1="00000000"/>
    <w:embedRegular r:id="rId3" w:fontKey="{93FC364A-0D53-409A-960E-4F825AC00325}"/>
  </w:font>
  <w:font w:name="方正FW筑紫老式黑体B">
    <w:panose1 w:val="0201060001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4" w:fontKey="{0B451CCC-1118-419E-BE68-A8B86C32F3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ODdhZTU2YTA5NGRkMmJlNDQ4MDExYTA5Y2Q4YmEifQ=="/>
  </w:docVars>
  <w:rsids>
    <w:rsidRoot w:val="14C4732F"/>
    <w:rsid w:val="14C4732F"/>
    <w:rsid w:val="33C67C80"/>
    <w:rsid w:val="44C31D36"/>
    <w:rsid w:val="55D33EC5"/>
    <w:rsid w:val="6A976D55"/>
    <w:rsid w:val="6E25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2556</Words>
  <Characters>2639</Characters>
  <Lines>0</Lines>
  <Paragraphs>0</Paragraphs>
  <TotalTime>1</TotalTime>
  <ScaleCrop>false</ScaleCrop>
  <LinksUpToDate>false</LinksUpToDate>
  <CharactersWithSpaces>2663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2024-02-22T10:10:00Z</dcterms:created>
  <dc:creator>XSZ</dc:creator>
  <cp:lastModifiedBy>XSZ</cp:lastModifiedBy>
  <dcterms:modified xsi:type="dcterms:W3CDTF">2024-02-26T09:22:35Z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8B6B189AF7894ED0BA3995796C618B1A_11</vt:lpwstr>
  </property>
</Properties>
</file>