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80"/>
        <w:jc w:val="left"/>
        <w:rPr>
          <w:rFonts w:hint="default" w:ascii="Times New Roman" w:hAnsi="Times New Roman" w:cs="Times New Roman"/>
          <w:sz w:val="21"/>
          <w:szCs w:val="21"/>
        </w:rPr>
      </w:pPr>
      <w:r>
        <w:rPr>
          <w:rFonts w:ascii="方正仿宋_GBK" w:hAnsi="方正仿宋_GBK" w:eastAsia="方正仿宋_GBK" w:cs="方正仿宋_GBK"/>
          <w:i w:val="0"/>
          <w:iCs w:val="0"/>
          <w:caps w:val="0"/>
          <w:color w:val="282828"/>
          <w:spacing w:val="0"/>
          <w:sz w:val="32"/>
          <w:szCs w:val="32"/>
          <w:bdr w:val="none" w:color="auto" w:sz="0" w:space="0"/>
          <w:shd w:val="clear" w:fill="FFFFFF"/>
        </w:rPr>
        <w:t>根据《中华人民共和国政府信息公开条例》规定，特编制霍山县住建局</w:t>
      </w: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t>2021年政府信息公开工作年度报告。报告统计数据时限为2021年1月1日至2021年12月31日。若对报告有任何疑问，请与霍山县住建局办公室联系（地址：霍山县政务新区住建大厦11楼1104室，邮编：237200，电话：0564—5022953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850"/>
        <w:jc w:val="both"/>
        <w:rPr>
          <w:rFonts w:hint="default" w:ascii="Times New Roman" w:hAnsi="Times New Roman" w:cs="Times New Roman"/>
          <w:sz w:val="21"/>
          <w:szCs w:val="21"/>
        </w:rPr>
      </w:pPr>
      <w:r>
        <w:rPr>
          <w:rFonts w:ascii="方正黑体_GBK" w:hAnsi="方正黑体_GBK" w:eastAsia="方正黑体_GBK" w:cs="方正黑体_GBK"/>
          <w:i w:val="0"/>
          <w:iCs w:val="0"/>
          <w:caps w:val="0"/>
          <w:color w:val="333333"/>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83"/>
        <w:jc w:val="both"/>
        <w:rPr>
          <w:rFonts w:hint="default" w:ascii="Times New Roman" w:hAnsi="Times New Roman" w:cs="Times New Roman"/>
          <w:sz w:val="21"/>
          <w:szCs w:val="21"/>
        </w:rPr>
      </w:pPr>
      <w:r>
        <w:rPr>
          <w:rFonts w:ascii="方正楷体_GBK" w:hAnsi="方正楷体_GBK" w:eastAsia="方正楷体_GBK" w:cs="方正楷体_GBK"/>
          <w:i w:val="0"/>
          <w:iCs w:val="0"/>
          <w:caps w:val="0"/>
          <w:color w:val="333333"/>
          <w:spacing w:val="0"/>
          <w:sz w:val="32"/>
          <w:szCs w:val="32"/>
          <w:bdr w:val="none" w:color="auto" w:sz="0" w:space="0"/>
          <w:shd w:val="clear" w:fill="FFFFFF"/>
        </w:rPr>
        <w:t>（一）主动公开情况。</w:t>
      </w: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t>一是信息方面。截止2021年12月31日,本年度主动公开信息445条；二是重点领域方面。完成60户对象年度危房改造任务，农村危房改造工作全流程公开；持续做好建筑工地扬尘污染防治，及时公布相关污染防治规定，通报扬尘污染防治检查结果，落实扬尘污染防治主体责任。加强房地产市场和工程质量监管。严格落实开发企业资质许可、商品房预售许可等房地产市场信息公开，按时公开房地产市场违规行为通报；推进建筑工程质量治理行动，及时公开建筑工程质量检查相关文件并通报检查结果。推动社会公益事业发展，做好住房保障、拆迁安置、住房救助、市政服务信息公开，广泛公开民生工程相关政策，落实社会公益事业领域政府决策、执行、管理、结果政务信息全流程公开，保障人民群众的知情权。稳健推进重大建设项目信息公开。严格落实机关职责，完善建设项目信息，做到建设过程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83"/>
        <w:jc w:val="both"/>
        <w:rPr>
          <w:rFonts w:hint="default" w:ascii="Times New Roman" w:hAnsi="Times New Roman" w:cs="Times New Roman"/>
          <w:sz w:val="21"/>
          <w:szCs w:val="21"/>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（二）依申请公开情况。</w:t>
      </w: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t>2021年，我局认真贯彻落实依申请公开相关规范，严格按照依申请公开程序办理，及时高效回应申请人公开要求。全年受理依申请公开1件，收到行政复议及复议后行政诉讼0件。</w:t>
      </w:r>
    </w:p>
    <w:p>
      <w:pPr>
        <w:pStyle w:val="2"/>
        <w:keepNext w:val="0"/>
        <w:keepLines w:val="0"/>
        <w:widowControl/>
        <w:suppressLineNumbers w:val="0"/>
        <w:autoSpaceDE w:val="0"/>
        <w:autoSpaceDN/>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方正楷体_GBK" w:hAnsi="方正楷体_GBK" w:eastAsia="方正楷体_GBK" w:cs="方正楷体_GBK"/>
          <w:i w:val="0"/>
          <w:iCs w:val="0"/>
          <w:caps w:val="0"/>
          <w:color w:val="333333"/>
          <w:spacing w:val="0"/>
          <w:sz w:val="32"/>
          <w:szCs w:val="32"/>
          <w:shd w:val="clear" w:fill="FFFFFF"/>
        </w:rPr>
        <w:t>（三）政府信息管理情况。</w:t>
      </w:r>
      <w:r>
        <w:rPr>
          <w:rFonts w:hint="eastAsia" w:ascii="方正仿宋_GBK" w:hAnsi="方正仿宋_GBK" w:eastAsia="方正仿宋_GBK" w:cs="方正仿宋_GBK"/>
          <w:i w:val="0"/>
          <w:iCs w:val="0"/>
          <w:caps w:val="0"/>
          <w:color w:val="282828"/>
          <w:spacing w:val="0"/>
          <w:sz w:val="32"/>
          <w:szCs w:val="32"/>
          <w:shd w:val="clear" w:fill="FFFFFF"/>
        </w:rPr>
        <w:t>一是全面推进基层政务公开标准化规范化工作。按照相关要求编制本部门重点领域政务公开事项目录清单；二是加强重点领域政府信息公开。坚持以公开为常态、不公开为例外，将重点领域公开任务及时分解至相关科室，并加强与市住建局对接，借助上级指导有效将压力层层传导，确保责任到人，保障房地产市场监管、保障性住房、农村危房改造、老旧小区改造等公共资源配置领域信息以及本部门牵头起草及制定的各项重要政策及时对外发布。三是严防涉密和个人隐私信息公开。坚持“公开为常态，不公开为例外”，严格遵守《中华人民共和国保守国家秘密法》及《中华人民共和国政府信息公开</w:t>
      </w:r>
      <w:bookmarkStart w:id="0" w:name="_GoBack"/>
      <w:bookmarkEnd w:id="0"/>
      <w:r>
        <w:rPr>
          <w:rFonts w:hint="eastAsia" w:ascii="方正仿宋_GBK" w:hAnsi="方正仿宋_GBK" w:eastAsia="方正仿宋_GBK" w:cs="方正仿宋_GBK"/>
          <w:i w:val="0"/>
          <w:iCs w:val="0"/>
          <w:caps w:val="0"/>
          <w:color w:val="282828"/>
          <w:spacing w:val="0"/>
          <w:sz w:val="32"/>
          <w:szCs w:val="32"/>
          <w:shd w:val="clear" w:fill="FFFFFF"/>
        </w:rPr>
        <w:t>条例》等有关规定。今年以来，我局公开的信息未发生涉密及个人隐私信息网络安全事故。</w:t>
      </w:r>
    </w:p>
    <w:p>
      <w:pPr>
        <w:pStyle w:val="2"/>
        <w:keepNext w:val="0"/>
        <w:keepLines w:val="0"/>
        <w:widowControl/>
        <w:suppressLineNumbers w:val="0"/>
        <w:autoSpaceDE w:val="0"/>
        <w:autoSpaceDN/>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方正楷体_GBK" w:hAnsi="方正楷体_GBK" w:eastAsia="方正楷体_GBK" w:cs="方正楷体_GBK"/>
          <w:i w:val="0"/>
          <w:iCs w:val="0"/>
          <w:caps w:val="0"/>
          <w:color w:val="333333"/>
          <w:spacing w:val="0"/>
          <w:sz w:val="32"/>
          <w:szCs w:val="32"/>
          <w:shd w:val="clear" w:fill="FFFFFF"/>
        </w:rPr>
        <w:t>（四）政府信息公开平台建设情况。</w:t>
      </w:r>
      <w:r>
        <w:rPr>
          <w:rFonts w:hint="eastAsia" w:ascii="方正仿宋_GBK" w:hAnsi="方正仿宋_GBK" w:eastAsia="方正仿宋_GBK" w:cs="方正仿宋_GBK"/>
          <w:i w:val="0"/>
          <w:iCs w:val="0"/>
          <w:caps w:val="0"/>
          <w:color w:val="282828"/>
          <w:spacing w:val="0"/>
          <w:sz w:val="32"/>
          <w:szCs w:val="32"/>
          <w:shd w:val="clear" w:fill="FFFFFF"/>
        </w:rPr>
        <w:t>我局把政府门户网站作为政府信息公开的第一平台,与宣传栏、公开栏等方式相结合及时向社会和群众公开政府信息。拟公开的信息经分管领导审核后，由局办公室统一发布，保证了政府信息公开的及时、有效，形成了横向广泛参与、纵向分级负责的信息网络。</w:t>
      </w:r>
    </w:p>
    <w:p>
      <w:pPr>
        <w:pStyle w:val="2"/>
        <w:keepNext w:val="0"/>
        <w:keepLines w:val="0"/>
        <w:widowControl/>
        <w:suppressLineNumbers w:val="0"/>
        <w:autoSpaceDE w:val="0"/>
        <w:autoSpaceDN/>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方正楷体_GBK" w:hAnsi="方正楷体_GBK" w:eastAsia="方正楷体_GBK" w:cs="方正楷体_GBK"/>
          <w:i w:val="0"/>
          <w:iCs w:val="0"/>
          <w:caps w:val="0"/>
          <w:color w:val="333333"/>
          <w:spacing w:val="0"/>
          <w:sz w:val="32"/>
          <w:szCs w:val="32"/>
          <w:shd w:val="clear" w:fill="FFFFFF"/>
        </w:rPr>
        <w:t>（五）监督保障。</w:t>
      </w:r>
      <w:r>
        <w:rPr>
          <w:rFonts w:hint="eastAsia" w:ascii="方正仿宋_GBK" w:hAnsi="方正仿宋_GBK" w:eastAsia="方正仿宋_GBK" w:cs="方正仿宋_GBK"/>
          <w:i w:val="0"/>
          <w:iCs w:val="0"/>
          <w:caps w:val="0"/>
          <w:color w:val="282828"/>
          <w:spacing w:val="0"/>
          <w:sz w:val="32"/>
          <w:szCs w:val="32"/>
          <w:shd w:val="clear" w:fill="FFFFFF"/>
        </w:rPr>
        <w:t>局领导高度重视政务信息公开工作，把政务公开工作列入重要议事日程，作为一项重点工作来抓，成立政务公开工作领导小组，定期听取工作开展情况汇报，将政务公开工作纳入行政和事业单位个人年度评优考量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jc w:val="both"/>
        <w:rPr>
          <w:rFonts w:hint="default" w:ascii="Times New Roman" w:hAnsi="Times New Roman" w:cs="Times New Roman"/>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二、主动公开政府信息情况</w:t>
      </w:r>
    </w:p>
    <w:tbl>
      <w:tblPr>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4" w:hRule="atLeast"/>
          <w:jc w:val="center"/>
        </w:trPr>
        <w:tc>
          <w:tcPr>
            <w:tcW w:w="9364"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信息内容</w:t>
            </w:r>
          </w:p>
        </w:tc>
        <w:tc>
          <w:tcPr>
            <w:tcW w:w="2455" w:type="dxa"/>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本年制发件数</w:t>
            </w:r>
          </w:p>
        </w:tc>
        <w:tc>
          <w:tcPr>
            <w:tcW w:w="2455" w:type="dxa"/>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本年废止件数</w:t>
            </w:r>
          </w:p>
        </w:tc>
        <w:tc>
          <w:tcPr>
            <w:tcW w:w="2192" w:type="dxa"/>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规章</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　　      0</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           0</w:t>
            </w:r>
          </w:p>
        </w:tc>
        <w:tc>
          <w:tcPr>
            <w:tcW w:w="2192"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ascii="Calibri" w:hAnsi="Calibri" w:cs="Calibri"/>
                <w:sz w:val="21"/>
                <w:szCs w:val="21"/>
              </w:rPr>
              <w:t> </w:t>
            </w:r>
            <w:r>
              <w:rPr>
                <w:rFonts w:hint="default" w:ascii="Calibri" w:hAnsi="Calibri" w:eastAsia="宋体"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行政规范性文件</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　　      0</w:t>
            </w:r>
          </w:p>
        </w:tc>
        <w:tc>
          <w:tcPr>
            <w:tcW w:w="2455"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 　       0</w:t>
            </w:r>
          </w:p>
        </w:tc>
        <w:tc>
          <w:tcPr>
            <w:tcW w:w="2192" w:type="dxa"/>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default" w:ascii="Calibri" w:hAnsi="Calibri" w:cs="Calibri"/>
                <w:sz w:val="21"/>
                <w:szCs w:val="21"/>
              </w:rPr>
              <w:t> </w:t>
            </w:r>
            <w:r>
              <w:rPr>
                <w:rFonts w:hint="default" w:ascii="Calibri" w:hAnsi="Calibri" w:eastAsia="宋体"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9364" w:type="dxa"/>
            <w:gridSpan w:val="4"/>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信息内容</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行政许可</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default" w:ascii="Calibri" w:hAnsi="Calibri" w:cs="Calibri"/>
                <w:sz w:val="21"/>
                <w:szCs w:val="21"/>
              </w:rPr>
              <w:t> </w:t>
            </w:r>
            <w:r>
              <w:rPr>
                <w:rFonts w:hint="default" w:ascii="Calibri" w:hAnsi="Calibri" w:eastAsia="宋体" w:cs="Calibri"/>
                <w:sz w:val="21"/>
                <w:szCs w:val="21"/>
              </w:rPr>
              <w:t>                              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9364" w:type="dxa"/>
            <w:gridSpan w:val="4"/>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信息内容</w:t>
            </w:r>
          </w:p>
        </w:tc>
        <w:tc>
          <w:tcPr>
            <w:tcW w:w="7102" w:type="dxa"/>
            <w:gridSpan w:val="3"/>
            <w:tcBorders>
              <w:top w:val="single" w:color="auto" w:sz="6" w:space="0"/>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行政处罚</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行政强制</w:t>
            </w:r>
          </w:p>
        </w:tc>
        <w:tc>
          <w:tcPr>
            <w:tcW w:w="7102" w:type="dxa"/>
            <w:gridSpan w:val="3"/>
            <w:tcBorders>
              <w:top w:val="nil"/>
              <w:left w:val="nil"/>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9364" w:type="dxa"/>
            <w:gridSpan w:val="4"/>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信息内容</w:t>
            </w:r>
          </w:p>
        </w:tc>
        <w:tc>
          <w:tcPr>
            <w:tcW w:w="7102" w:type="dxa"/>
            <w:gridSpan w:val="3"/>
            <w:tcBorders>
              <w:top w:val="nil"/>
              <w:left w:val="nil"/>
              <w:bottom w:val="single" w:color="auto" w:sz="6" w:space="0"/>
              <w:right w:val="single" w:color="000000"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9" w:hRule="atLeast"/>
          <w:jc w:val="center"/>
        </w:trPr>
        <w:tc>
          <w:tcPr>
            <w:tcW w:w="2262" w:type="dxa"/>
            <w:tcBorders>
              <w:top w:val="nil"/>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行政事业性收费</w:t>
            </w:r>
          </w:p>
        </w:tc>
        <w:tc>
          <w:tcPr>
            <w:tcW w:w="7102" w:type="dxa"/>
            <w:gridSpan w:val="3"/>
            <w:tcBorders>
              <w:top w:val="nil"/>
              <w:left w:val="nil"/>
              <w:bottom w:val="single" w:color="auto" w:sz="6" w:space="0"/>
              <w:right w:val="single" w:color="000000" w:sz="6" w:space="0"/>
            </w:tcBorders>
            <w:shd w:val="clear" w:color="auto" w:fill="FFFFFF"/>
            <w:tcMar>
              <w:top w:w="0" w:type="dxa"/>
              <w:left w:w="57" w:type="dxa"/>
              <w:bottom w:w="0" w:type="dxa"/>
              <w:right w:w="57" w:type="dxa"/>
            </w:tcMar>
            <w:vAlign w:val="center"/>
          </w:tcPr>
          <w:p>
            <w:pPr>
              <w:pStyle w:val="2"/>
              <w:keepNext w:val="0"/>
              <w:keepLines w:val="0"/>
              <w:widowControl/>
              <w:suppressLineNumbers w:val="0"/>
              <w:autoSpaceDE w:val="0"/>
              <w:autoSpaceDN/>
              <w:spacing w:before="75" w:beforeAutospacing="0" w:after="75"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                  </w:t>
            </w:r>
            <w:r>
              <w:rPr>
                <w:rFonts w:hint="eastAsia" w:ascii="宋体" w:hAnsi="宋体" w:eastAsia="宋体" w:cs="宋体"/>
                <w:sz w:val="20"/>
                <w:szCs w:val="20"/>
              </w:rPr>
              <w:t>        18.56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jc w:val="both"/>
        <w:rPr>
          <w:rFonts w:hint="default" w:ascii="Times New Roman" w:hAnsi="Times New Roman" w:cs="Times New Roman"/>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8"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ascii="楷体" w:hAnsi="楷体" w:eastAsia="楷体" w:cs="楷体"/>
                <w:sz w:val="20"/>
                <w:szCs w:val="20"/>
              </w:rPr>
              <w:t>（本列数据的勾稽关系为：第一项加第二项之和，等于第三项加第四项之和）</w:t>
            </w:r>
          </w:p>
        </w:tc>
        <w:tc>
          <w:tcPr>
            <w:tcW w:w="4820" w:type="dxa"/>
            <w:gridSpan w:val="7"/>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8"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restart"/>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自然人</w:t>
            </w:r>
          </w:p>
        </w:tc>
        <w:tc>
          <w:tcPr>
            <w:tcW w:w="3440" w:type="dxa"/>
            <w:gridSpan w:val="5"/>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法人或其他组织</w:t>
            </w:r>
          </w:p>
        </w:tc>
        <w:tc>
          <w:tcPr>
            <w:tcW w:w="692" w:type="dxa"/>
            <w:vMerge w:val="restart"/>
            <w:tcBorders>
              <w:top w:val="single" w:color="auto" w:sz="6" w:space="0"/>
              <w:left w:val="nil"/>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18" w:hRule="atLeast"/>
          <w:jc w:val="center"/>
        </w:trPr>
        <w:tc>
          <w:tcPr>
            <w:tcW w:w="4928"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continue"/>
            <w:tcBorders>
              <w:top w:val="nil"/>
              <w:left w:val="nil"/>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商业</w:t>
            </w:r>
          </w:p>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企业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科研</w:t>
            </w:r>
          </w:p>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机构</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社会公益组织</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法律服务机构</w:t>
            </w:r>
          </w:p>
        </w:tc>
        <w:tc>
          <w:tcPr>
            <w:tcW w:w="688"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eastAsia" w:ascii="宋体" w:hAnsi="宋体" w:eastAsia="宋体" w:cs="宋体"/>
                <w:sz w:val="20"/>
                <w:szCs w:val="20"/>
              </w:rPr>
              <w:t>其他</w:t>
            </w:r>
          </w:p>
        </w:tc>
        <w:tc>
          <w:tcPr>
            <w:tcW w:w="692" w:type="dxa"/>
            <w:vMerge w:val="continue"/>
            <w:tcBorders>
              <w:top w:val="single" w:color="auto" w:sz="6" w:space="0"/>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8"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一、本年新收政府信息公开申请数量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1</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0</w:t>
            </w:r>
            <w:r>
              <w:rPr>
                <w:rFonts w:hint="default" w:ascii="Calibri" w:hAnsi="Calibri" w:cs="Calibri"/>
                <w:sz w:val="20"/>
                <w:szCs w:val="20"/>
              </w:rPr>
              <w:t> </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8"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二、上年结转政府信息公开申请数量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 0</w:t>
            </w:r>
            <w:r>
              <w:rPr>
                <w:rFonts w:hint="default" w:ascii="Calibri" w:hAnsi="Calibri" w:cs="Calibri"/>
                <w:sz w:val="20"/>
                <w:szCs w:val="2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 0</w:t>
            </w:r>
            <w:r>
              <w:rPr>
                <w:rFonts w:hint="default" w:ascii="Calibri" w:hAnsi="Calibri" w:cs="Calibri"/>
                <w:sz w:val="20"/>
                <w:szCs w:val="20"/>
              </w:rPr>
              <w:t>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0</w:t>
            </w:r>
            <w:r>
              <w:rPr>
                <w:rFonts w:hint="default" w:ascii="Calibri" w:hAnsi="Calibri" w:cs="Calibri"/>
                <w:sz w:val="20"/>
                <w:szCs w:val="20"/>
              </w:rPr>
              <w:t> </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 0</w:t>
            </w: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三、本年度办理结果</w:t>
            </w:r>
          </w:p>
        </w:tc>
        <w:tc>
          <w:tcPr>
            <w:tcW w:w="4161"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（一）予以公开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1</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 1</w:t>
            </w:r>
            <w:r>
              <w:rPr>
                <w:rFonts w:hint="default" w:ascii="Calibri" w:hAnsi="Calibri" w:cs="Calibri"/>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1"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（三）不予公开</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1.属于国家秘密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2.其他法律行政法规禁止公开</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3.危及“三安全一稳定”</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4.保护第三方合法权益</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5.属于三类内部事务信息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6.属于四类过程性信息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7.属于行政执法案卷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8.属于行政查询事项</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（四）无法提供</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1.本机关不掌握相关政府信息</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2.没有现成信息需要另行制作</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3.补正后申请内容仍不明确</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（五）不予处理</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1.信访举报投诉类申请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2.重复申请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3.要求提供公开出版物</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4.无正当理由大量反复申请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both"/>
              <w:rPr>
                <w:rFonts w:hint="default" w:ascii="Times New Roman" w:hAnsi="Times New Roman" w:cs="Times New Roman"/>
                <w:sz w:val="21"/>
                <w:szCs w:val="21"/>
              </w:rPr>
            </w:pPr>
            <w:r>
              <w:rPr>
                <w:rFonts w:hint="eastAsia" w:ascii="宋体" w:hAnsi="宋体" w:eastAsia="宋体" w:cs="宋体"/>
                <w:sz w:val="20"/>
                <w:szCs w:val="20"/>
              </w:rPr>
              <w:t>5.要求行政机关确认或重新出具已获取信息</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outset"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（六）其他处理</w:t>
            </w: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both"/>
              <w:rPr>
                <w:rFonts w:hint="default" w:ascii="Times New Roman" w:hAnsi="Times New Roman" w:cs="Times New Roman"/>
                <w:sz w:val="21"/>
                <w:szCs w:val="21"/>
              </w:rPr>
            </w:pPr>
            <w:r>
              <w:rPr>
                <w:rFonts w:hint="eastAsia" w:ascii="宋体" w:hAnsi="宋体" w:eastAsia="宋体" w:cs="宋体"/>
                <w:sz w:val="20"/>
                <w:szCs w:val="20"/>
              </w:rPr>
              <w:t>1.申请人无正当理由逾期不补正、行政机关不再处理其政府信息公开申请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both"/>
              <w:rPr>
                <w:rFonts w:hint="default" w:ascii="Times New Roman" w:hAnsi="Times New Roman" w:cs="Times New Roman"/>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3.其他</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7" w:hRule="atLeast"/>
          <w:jc w:val="center"/>
        </w:trPr>
        <w:tc>
          <w:tcPr>
            <w:tcW w:w="767"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1"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（七）总计</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1</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eastAsia="宋体" w:cs="Calibri"/>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8"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0"/>
                <w:szCs w:val="20"/>
              </w:rPr>
              <w:t>四、结转下年度继续办理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jc w:val="center"/>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0</w:t>
            </w:r>
          </w:p>
        </w:tc>
        <w:tc>
          <w:tcPr>
            <w:tcW w:w="692"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autoSpaceDE w:val="0"/>
              <w:autoSpaceDN/>
              <w:spacing w:before="75" w:beforeAutospacing="0" w:after="75" w:afterAutospacing="0" w:line="590" w:lineRule="atLeast"/>
              <w:ind w:left="0" w:right="0"/>
              <w:jc w:val="left"/>
              <w:rPr>
                <w:rFonts w:hint="default" w:ascii="Times New Roman" w:hAnsi="Times New Roman" w:cs="Times New Roman"/>
                <w:sz w:val="21"/>
                <w:szCs w:val="21"/>
              </w:rPr>
            </w:pPr>
            <w:r>
              <w:rPr>
                <w:rFonts w:hint="default" w:ascii="Calibri" w:hAnsi="Calibri" w:cs="Calibri"/>
                <w:sz w:val="20"/>
                <w:szCs w:val="20"/>
              </w:rPr>
              <w:t> </w:t>
            </w:r>
            <w:r>
              <w:rPr>
                <w:rFonts w:hint="default" w:ascii="Calibri" w:hAnsi="Calibri" w:eastAsia="宋体" w:cs="Calibri"/>
                <w:sz w:val="20"/>
                <w:szCs w:val="20"/>
              </w:rPr>
              <w:t>  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jc w:val="both"/>
        <w:rPr>
          <w:rFonts w:hint="default" w:ascii="Times New Roman" w:hAnsi="Times New Roman" w:cs="Times New Roman"/>
          <w:sz w:val="24"/>
          <w:szCs w:val="24"/>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4"/>
        <w:gridCol w:w="644"/>
        <w:gridCol w:w="716"/>
        <w:gridCol w:w="644"/>
        <w:gridCol w:w="644"/>
        <w:gridCol w:w="644"/>
        <w:gridCol w:w="644"/>
        <w:gridCol w:w="645"/>
        <w:gridCol w:w="645"/>
        <w:gridCol w:w="645"/>
        <w:gridCol w:w="646"/>
        <w:gridCol w:w="646"/>
        <w:gridCol w:w="646"/>
        <w:gridCol w:w="646"/>
        <w:gridCol w:w="6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行政复议</w:t>
            </w:r>
          </w:p>
        </w:tc>
        <w:tc>
          <w:tcPr>
            <w:tcW w:w="6503"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未经复议直接起诉</w:t>
            </w:r>
          </w:p>
        </w:tc>
        <w:tc>
          <w:tcPr>
            <w:tcW w:w="3255"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总计</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1"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 0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0" w:beforeAutospacing="0" w:after="0" w:afterAutospacing="0" w:line="590" w:lineRule="atLeast"/>
              <w:ind w:left="0" w:right="0" w:firstLine="0"/>
              <w:jc w:val="center"/>
              <w:rPr>
                <w:rFonts w:hint="default" w:ascii="Times New Roman" w:hAnsi="Times New Roman" w:cs="Times New Roman"/>
                <w:sz w:val="21"/>
                <w:szCs w:val="21"/>
              </w:rPr>
            </w:pPr>
            <w:r>
              <w:rPr>
                <w:rFonts w:hint="eastAsia" w:ascii="宋体" w:hAnsi="宋体" w:eastAsia="宋体" w:cs="宋体"/>
                <w:sz w:val="20"/>
                <w:szCs w:val="20"/>
              </w:rPr>
              <w:t>0</w:t>
            </w:r>
          </w:p>
        </w:tc>
        <w:tc>
          <w:tcPr>
            <w:tcW w:w="651"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autoSpaceDE w:val="0"/>
              <w:autoSpaceDN/>
              <w:spacing w:before="75" w:beforeAutospacing="0" w:after="75" w:afterAutospacing="0" w:line="59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0"/>
        <w:jc w:val="both"/>
        <w:rPr>
          <w:rFonts w:hint="default" w:ascii="Times New Roman" w:hAnsi="Times New Roman" w:cs="Times New Roman"/>
          <w:sz w:val="21"/>
          <w:szCs w:val="21"/>
        </w:rPr>
      </w:pPr>
      <w:r>
        <w:rPr>
          <w:rFonts w:hint="default" w:ascii="Times New Roman" w:hAnsi="Times New Roman" w:cs="Times New Roman"/>
          <w:i w:val="0"/>
          <w:iCs w:val="0"/>
          <w:caps w:val="0"/>
          <w:color w:val="333333"/>
          <w:spacing w:val="0"/>
          <w:sz w:val="34"/>
          <w:szCs w:val="34"/>
          <w:bdr w:val="none" w:color="auto" w:sz="0" w:space="0"/>
          <w:shd w:val="clear" w:fill="FFFFFF"/>
        </w:rPr>
        <w:t>   </w:t>
      </w: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五、存在的主要问题及改进措施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80"/>
        <w:jc w:val="left"/>
        <w:rPr>
          <w:rFonts w:hint="default" w:ascii="Times New Roman" w:hAnsi="Times New Roman" w:cs="Times New Roman"/>
          <w:sz w:val="21"/>
          <w:szCs w:val="21"/>
        </w:rPr>
      </w:pP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t>目前，我局政府信息公开工作存在的问题：一是公开信息的时效性不够强;二是主动公开政府信息的数量还需要增加，公开的内容需要进一步细化;三是宣传和引导工作需要进一步加强，提升政府信息公开工作的认识程度，满足公众对政府信息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80"/>
        <w:jc w:val="left"/>
        <w:rPr>
          <w:rFonts w:hint="default" w:ascii="Times New Roman" w:hAnsi="Times New Roman" w:cs="Times New Roman"/>
          <w:sz w:val="21"/>
          <w:szCs w:val="21"/>
        </w:rPr>
      </w:pP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t>针对上述问题我们有以下几点改进措施：一是加强局信息公开负责部门与机关内部各处室之间联系，及时将各处室生成的信息发布到网上，尽量做到信息生成与发布保持同步;二是进一步解放思想，扩大信息公开的范围，除正式文件外，其他由我局生成的对社会公众有指导或帮助意义的信息也要纳入信息公开的范畴之中予以发布;三是加大对信息公开工作的宣传力度，使社会公众对这项工作有进一步的了解和更深的认识，引导公众正确使用信息公开这种新兴的政府服务职能，为自己的生活、工作提供便利。四是注意借鉴兄弟机关单位的好做法，收集新情况，总结新经验，继续坚持政府信息公开值班制度，及时处理网上留言、咨询和相关申请工作，认真做好相关记录，做到件件有着落，事事有回音，认真履行政府信息公开工作的各项职责，主动接受社会监督，为广大社会公众服好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850"/>
        <w:jc w:val="both"/>
        <w:rPr>
          <w:rFonts w:hint="default" w:ascii="Times New Roman" w:hAnsi="Times New Roman" w:cs="Times New Roman"/>
          <w:sz w:val="21"/>
          <w:szCs w:val="21"/>
        </w:rPr>
      </w:pP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left="0" w:right="0" w:firstLine="680"/>
        <w:jc w:val="left"/>
        <w:rPr>
          <w:rFonts w:hint="default" w:ascii="Times New Roman" w:hAnsi="Times New Roman" w:cs="Times New Roman"/>
          <w:sz w:val="21"/>
          <w:szCs w:val="21"/>
        </w:rPr>
      </w:pP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90" w:lineRule="atLeast"/>
        <w:ind w:right="0"/>
        <w:jc w:val="left"/>
        <w:rPr>
          <w:rFonts w:hint="default" w:ascii="Times New Roman" w:hAnsi="Times New Roman" w:cs="Times New Roman"/>
          <w:sz w:val="21"/>
          <w:szCs w:val="21"/>
        </w:rPr>
      </w:pPr>
      <w:r>
        <w:rPr>
          <w:rFonts w:hint="eastAsia" w:ascii="方正仿宋_GBK" w:hAnsi="方正仿宋_GBK" w:eastAsia="方正仿宋_GBK" w:cs="方正仿宋_GBK"/>
          <w:i w:val="0"/>
          <w:iCs w:val="0"/>
          <w:caps w:val="0"/>
          <w:color w:val="282828"/>
          <w:spacing w:val="0"/>
          <w:sz w:val="32"/>
          <w:szCs w:val="32"/>
          <w:bdr w:val="none" w:color="auto" w:sz="0" w:space="0"/>
          <w:shd w:val="clear" w:fill="FFFFFF"/>
        </w:rPr>
        <w:drawing>
          <wp:inline distT="0" distB="0" distL="114300" distR="114300">
            <wp:extent cx="304800" cy="30480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autoSpaceDE w:val="0"/>
        <w:autoSpaceDN/>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2I0NTRiNTc4ZWUzZWJkMjBkMjZiZmMzZTQ0ZWUifQ=="/>
  </w:docVars>
  <w:rsids>
    <w:rsidRoot w:val="32046A1A"/>
    <w:rsid w:val="01207CD3"/>
    <w:rsid w:val="22FC1D20"/>
    <w:rsid w:val="25AB07E2"/>
    <w:rsid w:val="31680CC4"/>
    <w:rsid w:val="32046A1A"/>
    <w:rsid w:val="42C5110E"/>
    <w:rsid w:val="45A92B7A"/>
    <w:rsid w:val="4F1B3731"/>
    <w:rsid w:val="52965B42"/>
    <w:rsid w:val="669E42DD"/>
    <w:rsid w:val="69187E54"/>
    <w:rsid w:val="7589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2022-01-14T02:26:00Z</dcterms:created>
  <dc:creator>安与桥</dc:creator>
  <cp:lastModifiedBy>安与桥</cp:lastModifiedBy>
  <cp:lastPrinted>2022-01-28T06:52:00Z</cp:lastPrinted>
  <dcterms:modified xsi:type="dcterms:W3CDTF">2024-03-02T02:55:22Z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6D12C4D51B3E4ADF8E1FBC92B8AE32C1</vt:lpwstr>
  </property>
</Properties>
</file>