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80"/>
        <w:jc w:val="left"/>
        <w:rPr>
          <w:rFonts w:hint="default" w:ascii="Times New Roman" w:hAnsi="Times New Roman" w:cs="Times New Roman"/>
          <w:sz w:val="21"/>
          <w:szCs w:val="21"/>
        </w:rPr>
      </w:pPr>
      <w:r>
        <w:rPr>
          <w:rFonts w:ascii="方正仿宋_GBK" w:hAnsi="方正仿宋_GBK" w:eastAsia="方正仿宋_GBK" w:cs="方正仿宋_GBK"/>
          <w:i w:val="0"/>
          <w:iCs w:val="0"/>
          <w:caps w:val="0"/>
          <w:color w:val="282828"/>
          <w:spacing w:val="0"/>
          <w:sz w:val="32"/>
          <w:szCs w:val="32"/>
          <w:bdr w:val="none" w:color="auto" w:sz="0" w:space="0"/>
          <w:shd w:val="clear" w:fill="FFFFFF"/>
        </w:rPr>
        <w:t>根据《中华人民共和国政府信息公开条例》规定，特编制霍山县住建局</w:t>
      </w: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t>2021年政府信息公开工作年度报告。报告统计数据时限为2021年1月1日至2021年12月31日。若对报告有任何疑问，请与霍山县住建局办公室联系（地址：霍山县政务新区住建大厦11楼1104室，邮编：237200，电话：0564—5022953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850"/>
        <w:jc w:val="both"/>
        <w:rPr>
          <w:rFonts w:hint="default" w:ascii="Times New Roman" w:hAnsi="Times New Roman" w:cs="Times New Roman"/>
          <w:sz w:val="21"/>
          <w:szCs w:val="21"/>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83"/>
        <w:jc w:val="both"/>
        <w:rPr>
          <w:rFonts w:hint="default" w:ascii="Times New Roman" w:hAnsi="Times New Roman" w:cs="Times New Roman"/>
          <w:sz w:val="21"/>
          <w:szCs w:val="21"/>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（一）主动公开情况。</w:t>
      </w: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t>一是信息方面。截止2021年12月31日,本年度主动公开信息445条；二是重点领域方面。完成60户对象年度危房改造任务，农村危房改造工作全流程公开；持续做好建筑工地扬尘污染防治，及时公布相关污染防治规定，通报扬尘污染防治检查结果，落实扬尘污染防治主体责任。加强房地产市场和工程质量监管。严格落实开发企业资质许可、商品房预售许可等房地产市场信息公开，按时公开房地产市场违规行为通报；推进建筑工程质量治理行动，及时公开建筑工程质量检查相关文件并通报检查结果。推动社会公益事业发展，做好住房保障、拆迁安置、住房救助、市政服务信息公开，广泛公开民生工程相关政策，落实社会公益事业领域政府决策、执行、管理、结果政务信息全流程公开，保障人民群众的知情权。稳健推进重大建设项目信息公开。严格落实机关职责，完善建设项目信息，做到建设过程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83"/>
        <w:jc w:val="both"/>
        <w:rPr>
          <w:rFonts w:hint="default" w:ascii="Times New Roman" w:hAnsi="Times New Roman" w:cs="Times New Roman"/>
          <w:sz w:val="21"/>
          <w:szCs w:val="21"/>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（二）依申请公开情况。</w:t>
      </w: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t>2021年，我局认真贯彻落实依申请公开相关规范，严格按照依申请公开程序办理，及时高效回应申请人公开要求。全年受理依申请公开1件，收到行政复议及复议后行政诉讼0件。</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i w:val="0"/>
          <w:iCs w:val="0"/>
          <w:caps w:val="0"/>
          <w:color w:val="333333"/>
          <w:spacing w:val="0"/>
          <w:sz w:val="32"/>
          <w:szCs w:val="32"/>
          <w:shd w:val="clear" w:fill="FFFFFF"/>
        </w:rPr>
        <w:t>（三）政府信息管理情况。</w:t>
      </w:r>
      <w:r>
        <w:rPr>
          <w:rFonts w:hint="eastAsia" w:ascii="方正仿宋_GBK" w:hAnsi="方正仿宋_GBK" w:eastAsia="方正仿宋_GBK" w:cs="方正仿宋_GBK"/>
          <w:i w:val="0"/>
          <w:iCs w:val="0"/>
          <w:caps w:val="0"/>
          <w:color w:val="282828"/>
          <w:spacing w:val="0"/>
          <w:sz w:val="32"/>
          <w:szCs w:val="32"/>
          <w:shd w:val="clear" w:fill="FFFFFF"/>
        </w:rPr>
        <w:t>一是全面推进基层政务公开标准化规范化工作。按照相关要求编制本部门重点领域政务公开事项目录清单；二是加强重点领域政府信息公开。坚持以公开为常态、不公开为例外，将重点领域公开任务及时分解至相关科室，并加强与市住建局对接，借助上级指导有效将压力层层传导，确保责任到人，保障房地产市场监管、保障性住房、农村危房改造、老旧小区改造等公共资源配置领域信息以及本部门牵头起草及制定的各项重要政策及时对外发布。三是严防涉密和个人隐私信息公开。坚持“公开为常态，不公开为例外”，严格遵守《中华人民共和国保守国家秘密法》及《中华人民共和国政府信息公开</w:t>
      </w:r>
      <w:bookmarkStart w:id="0" w:name="_GoBack"/>
      <w:bookmarkEnd w:id="0"/>
      <w:r>
        <w:rPr>
          <w:rFonts w:hint="eastAsia" w:ascii="方正仿宋_GBK" w:hAnsi="方正仿宋_GBK" w:eastAsia="方正仿宋_GBK" w:cs="方正仿宋_GBK"/>
          <w:i w:val="0"/>
          <w:iCs w:val="0"/>
          <w:caps w:val="0"/>
          <w:color w:val="282828"/>
          <w:spacing w:val="0"/>
          <w:sz w:val="32"/>
          <w:szCs w:val="32"/>
          <w:shd w:val="clear" w:fill="FFFFFF"/>
        </w:rPr>
        <w:t>条例》等有关规定。今年以来，我局公开的信息未发生涉密及个人隐私信息网络安全事故。</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i w:val="0"/>
          <w:iCs w:val="0"/>
          <w:caps w:val="0"/>
          <w:color w:val="333333"/>
          <w:spacing w:val="0"/>
          <w:sz w:val="32"/>
          <w:szCs w:val="32"/>
          <w:shd w:val="clear" w:fill="FFFFFF"/>
        </w:rPr>
        <w:t>（四）政府信息公开平台建设情况。</w:t>
      </w:r>
      <w:r>
        <w:rPr>
          <w:rFonts w:hint="eastAsia" w:ascii="方正仿宋_GBK" w:hAnsi="方正仿宋_GBK" w:eastAsia="方正仿宋_GBK" w:cs="方正仿宋_GBK"/>
          <w:i w:val="0"/>
          <w:iCs w:val="0"/>
          <w:caps w:val="0"/>
          <w:color w:val="282828"/>
          <w:spacing w:val="0"/>
          <w:sz w:val="32"/>
          <w:szCs w:val="32"/>
          <w:shd w:val="clear" w:fill="FFFFFF"/>
        </w:rPr>
        <w:t>我局把政府门户网站作为政府信息公开的第一平台,与宣传栏、公开栏等方式相结合及时向社会和群众公开政府信息。拟公开的信息经分管领导审核后，由局办公室统一发布，保证了政府信息公开的及时、有效，形成了横向广泛参与、纵向分级负责的信息网络。</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方正楷体_GBK" w:hAnsi="方正楷体_GBK" w:eastAsia="方正楷体_GBK" w:cs="方正楷体_GBK"/>
          <w:i w:val="0"/>
          <w:iCs w:val="0"/>
          <w:caps w:val="0"/>
          <w:color w:val="333333"/>
          <w:spacing w:val="0"/>
          <w:sz w:val="32"/>
          <w:szCs w:val="32"/>
          <w:shd w:val="clear" w:fill="FFFFFF"/>
        </w:rPr>
        <w:t>（五）监督保障。</w:t>
      </w:r>
      <w:r>
        <w:rPr>
          <w:rFonts w:hint="eastAsia" w:ascii="方正仿宋_GBK" w:hAnsi="方正仿宋_GBK" w:eastAsia="方正仿宋_GBK" w:cs="方正仿宋_GBK"/>
          <w:i w:val="0"/>
          <w:iCs w:val="0"/>
          <w:caps w:val="0"/>
          <w:color w:val="282828"/>
          <w:spacing w:val="0"/>
          <w:sz w:val="32"/>
          <w:szCs w:val="32"/>
          <w:shd w:val="clear" w:fill="FFFFFF"/>
        </w:rPr>
        <w:t>局领导高度重视政务信息公开工作，把政务公开工作列入重要议事日程，作为一项重点工作来抓，成立政务公开工作领导小组，定期听取工作开展情况汇报，将政务公开工作纳入行政和事业单位个人年度评优考量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jc w:val="both"/>
        <w:rPr>
          <w:rFonts w:hint="default" w:ascii="Times New Roman" w:hAnsi="Times New Roman" w:cs="Times New Roman"/>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二、主动公开政府信息情况</w:t>
      </w:r>
    </w:p>
    <w:tbl>
      <w:tblPr>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4" w:hRule="atLeast"/>
          <w:jc w:val="center"/>
        </w:trPr>
        <w:tc>
          <w:tcPr>
            <w:tcW w:w="9364"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信息内容</w:t>
            </w:r>
          </w:p>
        </w:tc>
        <w:tc>
          <w:tcPr>
            <w:tcW w:w="2455"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本年制发件数</w:t>
            </w:r>
          </w:p>
        </w:tc>
        <w:tc>
          <w:tcPr>
            <w:tcW w:w="2455"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本年废止件数</w:t>
            </w:r>
          </w:p>
        </w:tc>
        <w:tc>
          <w:tcPr>
            <w:tcW w:w="2192"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规章</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　　      0</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           0</w:t>
            </w:r>
          </w:p>
        </w:tc>
        <w:tc>
          <w:tcPr>
            <w:tcW w:w="2192"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ascii="Calibri" w:hAnsi="Calibri" w:cs="Calibri"/>
                <w:sz w:val="21"/>
                <w:szCs w:val="21"/>
              </w:rPr>
              <w:t> </w:t>
            </w:r>
            <w:r>
              <w:rPr>
                <w:rFonts w:hint="default" w:ascii="Calibri" w:hAnsi="Calibri" w:eastAsia="宋体" w:cs="Calibri"/>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行政规范性文件</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　　      0</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 　       0</w:t>
            </w:r>
          </w:p>
        </w:tc>
        <w:tc>
          <w:tcPr>
            <w:tcW w:w="2192"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default" w:ascii="Calibri" w:hAnsi="Calibri" w:cs="Calibri"/>
                <w:sz w:val="21"/>
                <w:szCs w:val="21"/>
              </w:rPr>
              <w:t> </w:t>
            </w:r>
            <w:r>
              <w:rPr>
                <w:rFonts w:hint="default" w:ascii="Calibri" w:hAnsi="Calibri" w:eastAsia="宋体" w:cs="Calibri"/>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93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信息内容</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行政许可</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default" w:ascii="Calibri" w:hAnsi="Calibri" w:cs="Calibri"/>
                <w:sz w:val="21"/>
                <w:szCs w:val="21"/>
              </w:rPr>
              <w:t> </w:t>
            </w:r>
            <w:r>
              <w:rPr>
                <w:rFonts w:hint="default" w:ascii="Calibri" w:hAnsi="Calibri" w:eastAsia="宋体" w:cs="Calibri"/>
                <w:sz w:val="21"/>
                <w:szCs w:val="21"/>
              </w:rPr>
              <w:t>                              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93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信息内容</w:t>
            </w:r>
          </w:p>
        </w:tc>
        <w:tc>
          <w:tcPr>
            <w:tcW w:w="7102" w:type="dxa"/>
            <w:gridSpan w:val="3"/>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行政处罚</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行政强制</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93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信息内容</w:t>
            </w:r>
          </w:p>
        </w:tc>
        <w:tc>
          <w:tcPr>
            <w:tcW w:w="7102" w:type="dxa"/>
            <w:gridSpan w:val="3"/>
            <w:tcBorders>
              <w:top w:val="nil"/>
              <w:left w:val="nil"/>
              <w:bottom w:val="single" w:color="auto" w:sz="6" w:space="0"/>
              <w:right w:val="single" w:color="000000"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行政事业性收费</w:t>
            </w:r>
          </w:p>
        </w:tc>
        <w:tc>
          <w:tcPr>
            <w:tcW w:w="7102" w:type="dxa"/>
            <w:gridSpan w:val="3"/>
            <w:tcBorders>
              <w:top w:val="nil"/>
              <w:left w:val="nil"/>
              <w:bottom w:val="single" w:color="auto" w:sz="6" w:space="0"/>
              <w:right w:val="single" w:color="000000" w:sz="6" w:space="0"/>
            </w:tcBorders>
            <w:shd w:val="clear" w:color="auto" w:fill="FFFFFF"/>
            <w:tcMar>
              <w:top w:w="0" w:type="dxa"/>
              <w:left w:w="57" w:type="dxa"/>
              <w:bottom w:w="0" w:type="dxa"/>
              <w:right w:w="57" w:type="dxa"/>
            </w:tcMar>
            <w:vAlign w:val="center"/>
          </w:tcPr>
          <w:p>
            <w:pPr>
              <w:pStyle w:val="2"/>
              <w:keepNext w:val="0"/>
              <w:keepLines w:val="0"/>
              <w:widowControl/>
              <w:suppressLineNumbers w:val="0"/>
              <w:autoSpaceDE w:val="0"/>
              <w:autoSpaceDN/>
              <w:spacing w:before="75" w:beforeAutospacing="0" w:after="75"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rPr>
              <w:t>                  </w:t>
            </w:r>
            <w:r>
              <w:rPr>
                <w:rFonts w:hint="eastAsia" w:ascii="宋体" w:hAnsi="宋体" w:eastAsia="宋体" w:cs="宋体"/>
                <w:sz w:val="20"/>
                <w:szCs w:val="20"/>
              </w:rPr>
              <w:t>        18.56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jc w:val="both"/>
        <w:rPr>
          <w:rFonts w:hint="default" w:ascii="Times New Roman" w:hAnsi="Times New Roman" w:cs="Times New Roman"/>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三、收到和处理政府信息公开申请情况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928" w:type="dxa"/>
            <w:gridSpan w:val="3"/>
            <w:vMerge w:val="restart"/>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ascii="楷体" w:hAnsi="楷体" w:eastAsia="楷体" w:cs="楷体"/>
                <w:sz w:val="20"/>
                <w:szCs w:val="20"/>
              </w:rPr>
              <w:t>（本列数据的勾稽关系为：第一项加第二项之和，等于第三项加第四项之和）</w:t>
            </w:r>
          </w:p>
        </w:tc>
        <w:tc>
          <w:tcPr>
            <w:tcW w:w="4820" w:type="dxa"/>
            <w:gridSpan w:val="7"/>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8" w:type="dxa"/>
            <w:gridSpan w:val="3"/>
            <w:vMerge w:val="continue"/>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自然人</w:t>
            </w:r>
          </w:p>
        </w:tc>
        <w:tc>
          <w:tcPr>
            <w:tcW w:w="3440" w:type="dxa"/>
            <w:gridSpan w:val="5"/>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法人或其他组织</w:t>
            </w:r>
          </w:p>
        </w:tc>
        <w:tc>
          <w:tcPr>
            <w:tcW w:w="692" w:type="dxa"/>
            <w:vMerge w:val="restart"/>
            <w:tcBorders>
              <w:top w:val="single" w:color="auto" w:sz="6" w:space="0"/>
              <w:left w:val="nil"/>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4928" w:type="dxa"/>
            <w:gridSpan w:val="3"/>
            <w:vMerge w:val="continue"/>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商业</w:t>
            </w:r>
          </w:p>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企业</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科研</w:t>
            </w:r>
          </w:p>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机构</w:t>
            </w:r>
          </w:p>
        </w:tc>
        <w:tc>
          <w:tcPr>
            <w:tcW w:w="688"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社会公益组织</w:t>
            </w:r>
          </w:p>
        </w:tc>
        <w:tc>
          <w:tcPr>
            <w:tcW w:w="688"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法律服务机构</w:t>
            </w:r>
          </w:p>
        </w:tc>
        <w:tc>
          <w:tcPr>
            <w:tcW w:w="688"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宋体" w:hAnsi="宋体" w:eastAsia="宋体" w:cs="宋体"/>
                <w:sz w:val="20"/>
                <w:szCs w:val="20"/>
              </w:rPr>
              <w:t>其他</w:t>
            </w:r>
          </w:p>
        </w:tc>
        <w:tc>
          <w:tcPr>
            <w:tcW w:w="692" w:type="dxa"/>
            <w:vMerge w:val="continue"/>
            <w:tcBorders>
              <w:top w:val="single" w:color="auto" w:sz="6" w:space="0"/>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8"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一、本年新收政府信息公开申请数量</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1</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0</w:t>
            </w:r>
            <w:r>
              <w:rPr>
                <w:rFonts w:hint="default" w:ascii="Calibri" w:hAnsi="Calibri" w:cs="Calibri"/>
                <w:sz w:val="20"/>
                <w:szCs w:val="20"/>
              </w:rPr>
              <w:t> </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8"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二、上年结转政府信息公开申请数量</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 0</w:t>
            </w:r>
            <w:r>
              <w:rPr>
                <w:rFonts w:hint="default" w:ascii="Calibri" w:hAnsi="Calibri" w:cs="Calibri"/>
                <w:sz w:val="20"/>
                <w:szCs w:val="20"/>
              </w:rPr>
              <w:t> </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 0</w:t>
            </w:r>
            <w:r>
              <w:rPr>
                <w:rFonts w:hint="default" w:ascii="Calibri" w:hAnsi="Calibri" w:cs="Calibri"/>
                <w:sz w:val="20"/>
                <w:szCs w:val="20"/>
              </w:rPr>
              <w:t> </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0</w:t>
            </w:r>
            <w:r>
              <w:rPr>
                <w:rFonts w:hint="default" w:ascii="Calibri" w:hAnsi="Calibri" w:cs="Calibri"/>
                <w:sz w:val="20"/>
                <w:szCs w:val="20"/>
              </w:rPr>
              <w:t> </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 0</w:t>
            </w: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三、本年度办理结果</w:t>
            </w:r>
          </w:p>
        </w:tc>
        <w:tc>
          <w:tcPr>
            <w:tcW w:w="4161"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（一）予以公开</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1</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 1</w:t>
            </w: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4161"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（三）不予公开</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1.属于国家秘密</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2.其他法律行政法规禁止公开</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3.危及“三安全一稳定”</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4.保护第三方合法权益</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5.属于三类内部事务信息</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6.属于四类过程性信息</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7.属于行政执法案卷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8.属于行政查询事项</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（四）无法提供</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1.本机关不掌握相关政府信息</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2.没有现成信息需要另行制作</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3.补正后申请内容仍不明确</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（五）不予处理</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1.信访举报投诉类申请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2.重复申请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3.要求提供公开出版物</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4.无正当理由大量反复申请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rPr>
              <w:t>5.要求行政机关确认或重新出具已获取信息</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outset"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（六）其他处理</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21"/>
                <w:szCs w:val="21"/>
              </w:rPr>
            </w:pPr>
            <w:r>
              <w:rPr>
                <w:rFonts w:hint="eastAsia" w:ascii="宋体" w:hAnsi="宋体" w:eastAsia="宋体" w:cs="宋体"/>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3.其他</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7" w:hRule="atLeast"/>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cs="Times New Roman"/>
                <w:sz w:val="20"/>
                <w:szCs w:val="20"/>
              </w:rPr>
            </w:pPr>
          </w:p>
        </w:tc>
        <w:tc>
          <w:tcPr>
            <w:tcW w:w="4161"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（七）总计</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1</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eastAsia="宋体" w:cs="Calibri"/>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8"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0"/>
                <w:szCs w:val="20"/>
              </w:rPr>
              <w:t>四、结转下年度继续办理</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pStyle w:val="2"/>
              <w:keepNext w:val="0"/>
              <w:keepLines w:val="0"/>
              <w:widowControl/>
              <w:suppressLineNumbers w:val="0"/>
              <w:autoSpaceDE w:val="0"/>
              <w:autoSpaceDN/>
              <w:spacing w:before="75" w:beforeAutospacing="0" w:after="75" w:afterAutospacing="0" w:line="590" w:lineRule="atLeast"/>
              <w:ind w:left="0" w:right="0"/>
              <w:jc w:val="left"/>
              <w:rPr>
                <w:rFonts w:hint="default" w:ascii="Times New Roman" w:hAnsi="Times New Roman" w:cs="Times New Roman"/>
                <w:sz w:val="21"/>
                <w:szCs w:val="21"/>
              </w:rPr>
            </w:pPr>
            <w:r>
              <w:rPr>
                <w:rFonts w:hint="default" w:ascii="Calibri" w:hAnsi="Calibri" w:cs="Calibri"/>
                <w:sz w:val="20"/>
                <w:szCs w:val="20"/>
              </w:rPr>
              <w:t> </w:t>
            </w:r>
            <w:r>
              <w:rPr>
                <w:rFonts w:hint="default" w:ascii="Calibri" w:hAnsi="Calibri" w:eastAsia="宋体" w:cs="Calibri"/>
                <w:sz w:val="20"/>
                <w:szCs w:val="20"/>
              </w:rPr>
              <w:t>  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jc w:val="both"/>
        <w:rPr>
          <w:rFonts w:hint="default" w:ascii="Times New Roman" w:hAnsi="Times New Roman" w:cs="Times New Roman"/>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四、政府信息公开行政复议、行政诉讼情况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44"/>
        <w:gridCol w:w="644"/>
        <w:gridCol w:w="716"/>
        <w:gridCol w:w="644"/>
        <w:gridCol w:w="644"/>
        <w:gridCol w:w="644"/>
        <w:gridCol w:w="644"/>
        <w:gridCol w:w="645"/>
        <w:gridCol w:w="645"/>
        <w:gridCol w:w="645"/>
        <w:gridCol w:w="646"/>
        <w:gridCol w:w="646"/>
        <w:gridCol w:w="646"/>
        <w:gridCol w:w="646"/>
        <w:gridCol w:w="6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行政复议</w:t>
            </w:r>
          </w:p>
        </w:tc>
        <w:tc>
          <w:tcPr>
            <w:tcW w:w="6503" w:type="dxa"/>
            <w:gridSpan w:val="10"/>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结果维持</w:t>
            </w:r>
          </w:p>
        </w:tc>
        <w:tc>
          <w:tcPr>
            <w:tcW w:w="649"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49"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49"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49"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总计</w:t>
            </w:r>
          </w:p>
        </w:tc>
        <w:tc>
          <w:tcPr>
            <w:tcW w:w="3248"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未经复议直接起诉</w:t>
            </w:r>
          </w:p>
        </w:tc>
        <w:tc>
          <w:tcPr>
            <w:tcW w:w="3255"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5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5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5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总计</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9"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 0 </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0" w:beforeAutospacing="0" w:after="0" w:afterAutospacing="0" w:line="590" w:lineRule="atLeast"/>
              <w:ind w:left="0" w:right="0" w:firstLine="0"/>
              <w:jc w:val="center"/>
              <w:rPr>
                <w:rFonts w:hint="default" w:ascii="Times New Roman" w:hAnsi="Times New Roman" w:cs="Times New Roman"/>
                <w:sz w:val="21"/>
                <w:szCs w:val="21"/>
              </w:rPr>
            </w:pPr>
            <w:r>
              <w:rPr>
                <w:rFonts w:hint="eastAsia" w:ascii="宋体" w:hAnsi="宋体" w:eastAsia="宋体" w:cs="宋体"/>
                <w:sz w:val="20"/>
                <w:szCs w:val="20"/>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before="75" w:beforeAutospacing="0" w:after="75" w:afterAutospacing="0" w:line="59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rP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34"/>
          <w:szCs w:val="34"/>
          <w:bdr w:val="none" w:color="auto" w:sz="0" w:space="0"/>
          <w:shd w:val="clear" w:fill="FFFFFF"/>
        </w:rPr>
        <w:t>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五、存在的主要问题及改进措施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8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t>目前，我局政府信息公开工作存在的问题：一是公开信息的时效性不够强;二是主动公开政府信息的数量还需要增加，公开的内容需要进一步细化;三是宣传和引导工作需要进一步加强，提升政府信息公开工作的认识程度，满足公众对政府信息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8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t>针对上述问题我们有以下几点改进措施：一是加强局信息公开负责部门与机关内部各处室之间联系，及时将各处室生成的信息发布到网上，尽量做到信息生成与发布保持同步;二是进一步解放思想，扩大信息公开的范围，除正式文件外，其他由我局生成的对社会公众有指导或帮助意义的信息也要纳入信息公开的范畴之中予以发布;三是加大对信息公开工作的宣传力度，使社会公众对这项工作有进一步的了解和更深的认识，引导公众正确使用信息公开这种新兴的政府服务职能，为自己的生活、工作提供便利。四是注意借鉴兄弟机关单位的好做法，收集新情况，总结新经验，继续坚持政府信息公开值班制度，及时处理网上留言、咨询和相关申请工作，认真做好相关记录，做到件件有着落，事事有回音，认真履行政府信息公开工作的各项职责，主动接受社会监督，为广大社会公众服好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850"/>
        <w:jc w:val="both"/>
        <w:rPr>
          <w:rFonts w:hint="default" w:ascii="Times New Roman" w:hAnsi="Times New Roman" w:cs="Times New Roman"/>
          <w:sz w:val="21"/>
          <w:szCs w:val="2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left="0" w:right="0" w:firstLine="68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90" w:lineRule="atLeast"/>
        <w:ind w:right="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282828"/>
          <w:spacing w:val="0"/>
          <w:sz w:val="32"/>
          <w:szCs w:val="32"/>
          <w:bdr w:val="none" w:color="auto" w:sz="0" w:space="0"/>
          <w:shd w:val="clear" w:fill="FFFFFF"/>
        </w:rPr>
        <w:drawing>
          <wp:inline distT="0" distB="0" distL="114300" distR="114300">
            <wp:extent cx="304800" cy="304800"/>
            <wp:effectExtent l="0" t="0" r="0"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2I0NTRiNTc4ZWUzZWJkMjBkMjZiZmMzZTQ0ZWUifQ=="/>
  </w:docVars>
  <w:rsids>
    <w:rsidRoot w:val="32046A1A"/>
    <w:rsid w:val="01207CD3"/>
    <w:rsid w:val="22FC1D20"/>
    <w:rsid w:val="25AB07E2"/>
    <w:rsid w:val="31680CC4"/>
    <w:rsid w:val="32046A1A"/>
    <w:rsid w:val="42C5110E"/>
    <w:rsid w:val="45A92B7A"/>
    <w:rsid w:val="4F1B3731"/>
    <w:rsid w:val="52965B42"/>
    <w:rsid w:val="669E42DD"/>
    <w:rsid w:val="69187E54"/>
    <w:rsid w:val="7589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2022-01-14T02:26:00Z</dcterms:created>
  <dc:creator>安与桥</dc:creator>
  <cp:lastModifiedBy>安与桥</cp:lastModifiedBy>
  <cp:lastPrinted>2022-01-28T06:52:00Z</cp:lastPrinted>
  <dcterms:modified xsi:type="dcterms:W3CDTF">2024-03-02T02:55:22Z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6D12C4D51B3E4ADF8E1FBC92B8AE32C1</vt:lpwstr>
  </property>
</Properties>
</file>