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pPr>
      <w:bookmarkStart w:id="0" w:name="_GoBack"/>
      <w:bookmarkEnd w:id="0"/>
      <w:r>
        <w:rPr>
          <w:rFonts w:hint="eastAsia"/>
        </w:rPr>
        <w:t>霍财预〔2024〕7号</w:t>
      </w:r>
    </w:p>
    <w:p>
      <w:pPr>
        <w:spacing w:line="600" w:lineRule="exact"/>
        <w:ind w:left="3118"/>
        <w:rPr>
          <w:rFonts w:ascii="方正仿宋简体" w:hAnsi="仿宋" w:eastAsia="方正仿宋简体" w:cs="仿宋"/>
          <w:spacing w:val="6"/>
          <w:sz w:val="31"/>
          <w:szCs w:val="31"/>
        </w:rPr>
      </w:pPr>
    </w:p>
    <w:p>
      <w:pPr>
        <w:spacing w:line="600" w:lineRule="exact"/>
        <w:ind w:left="3118"/>
        <w:rPr>
          <w:rFonts w:ascii="方正仿宋简体" w:hAnsi="仿宋" w:eastAsia="方正仿宋简体" w:cs="仿宋"/>
          <w:sz w:val="31"/>
          <w:szCs w:val="31"/>
        </w:rPr>
      </w:pPr>
    </w:p>
    <w:p>
      <w:pPr>
        <w:spacing w:line="600" w:lineRule="exact"/>
        <w:ind w:right="585"/>
        <w:jc w:val="center"/>
        <w:rPr>
          <w:rFonts w:ascii="方正大标宋简体" w:hAnsi="微软雅黑" w:eastAsia="方正大标宋简体" w:cs="微软雅黑"/>
          <w:spacing w:val="7"/>
          <w:sz w:val="44"/>
          <w:szCs w:val="44"/>
        </w:rPr>
      </w:pPr>
      <w:r>
        <w:rPr>
          <w:rFonts w:hint="eastAsia" w:ascii="方正大标宋简体" w:hAnsi="微软雅黑" w:eastAsia="方正大标宋简体" w:cs="微软雅黑"/>
          <w:spacing w:val="7"/>
          <w:sz w:val="44"/>
          <w:szCs w:val="44"/>
        </w:rPr>
        <w:t xml:space="preserve">霍山县财政局关于印发 </w:t>
      </w:r>
      <w:r>
        <w:rPr>
          <w:rFonts w:hint="eastAsia" w:ascii="方正大标宋简体" w:eastAsia="方正大标宋简体"/>
          <w:spacing w:val="7"/>
          <w:sz w:val="44"/>
          <w:szCs w:val="44"/>
        </w:rPr>
        <w:t xml:space="preserve">2024 </w:t>
      </w:r>
      <w:r>
        <w:rPr>
          <w:rFonts w:hint="eastAsia" w:ascii="方正大标宋简体" w:hAnsi="微软雅黑" w:eastAsia="方正大标宋简体" w:cs="微软雅黑"/>
          <w:spacing w:val="7"/>
          <w:sz w:val="44"/>
          <w:szCs w:val="44"/>
        </w:rPr>
        <w:t>年预算</w:t>
      </w:r>
    </w:p>
    <w:p>
      <w:pPr>
        <w:spacing w:line="600" w:lineRule="exact"/>
        <w:ind w:right="585"/>
        <w:jc w:val="center"/>
        <w:rPr>
          <w:rFonts w:ascii="方正大标宋简体" w:hAnsi="微软雅黑" w:eastAsia="方正大标宋简体" w:cs="微软雅黑"/>
          <w:sz w:val="44"/>
          <w:szCs w:val="44"/>
        </w:rPr>
      </w:pPr>
      <w:r>
        <w:rPr>
          <w:rFonts w:hint="eastAsia" w:ascii="方正大标宋简体" w:hAnsi="微软雅黑" w:eastAsia="方正大标宋简体" w:cs="微软雅黑"/>
          <w:spacing w:val="7"/>
          <w:sz w:val="44"/>
          <w:szCs w:val="44"/>
        </w:rPr>
        <w:t>公</w:t>
      </w:r>
      <w:r>
        <w:rPr>
          <w:rFonts w:hint="eastAsia" w:ascii="方正大标宋简体" w:hAnsi="微软雅黑" w:eastAsia="方正大标宋简体" w:cs="微软雅黑"/>
          <w:spacing w:val="3"/>
          <w:sz w:val="44"/>
          <w:szCs w:val="44"/>
        </w:rPr>
        <w:t>开</w:t>
      </w:r>
      <w:r>
        <w:rPr>
          <w:rFonts w:hint="eastAsia" w:ascii="方正大标宋简体" w:hAnsi="微软雅黑" w:eastAsia="方正大标宋简体" w:cs="微软雅黑"/>
          <w:spacing w:val="9"/>
          <w:sz w:val="44"/>
          <w:szCs w:val="44"/>
        </w:rPr>
        <w:t>工作方案的通</w:t>
      </w:r>
      <w:r>
        <w:rPr>
          <w:rFonts w:hint="eastAsia" w:ascii="方正大标宋简体" w:hAnsi="微软雅黑" w:eastAsia="方正大标宋简体" w:cs="微软雅黑"/>
          <w:spacing w:val="8"/>
          <w:sz w:val="44"/>
          <w:szCs w:val="44"/>
        </w:rPr>
        <w:t>知</w:t>
      </w:r>
    </w:p>
    <w:p>
      <w:pPr>
        <w:spacing w:line="600" w:lineRule="exact"/>
        <w:rPr>
          <w:rFonts w:ascii="方正仿宋简体" w:eastAsia="方正仿宋简体"/>
        </w:rPr>
      </w:pPr>
    </w:p>
    <w:p>
      <w:pPr>
        <w:spacing w:line="600" w:lineRule="exact"/>
        <w:ind w:left="27"/>
      </w:pPr>
      <w:r>
        <w:rPr>
          <w:rFonts w:hint="eastAsia"/>
        </w:rPr>
        <w:t>县直各部门、单位：</w:t>
      </w:r>
    </w:p>
    <w:p>
      <w:pPr>
        <w:spacing w:line="600" w:lineRule="exact"/>
        <w:ind w:left="21" w:right="10" w:firstLine="640"/>
      </w:pPr>
      <w:r>
        <w:rPr>
          <w:rFonts w:hint="eastAsia"/>
        </w:rPr>
        <w:t>为切实做好 2024 年预算公开工作，完善标准科学、规范透明、约束有力的预算制度，县财政局制定了《2024 年预算公开工作方案》，现印发给你们， 请认真遵照执行。</w:t>
      </w:r>
    </w:p>
    <w:p>
      <w:pPr>
        <w:spacing w:line="600" w:lineRule="exact"/>
      </w:pPr>
    </w:p>
    <w:p>
      <w:pPr>
        <w:spacing w:line="600" w:lineRule="exact"/>
        <w:ind w:firstLine="4998"/>
        <w:jc w:val="right"/>
        <w:textAlignment w:val="center"/>
      </w:pPr>
    </w:p>
    <w:p>
      <w:pPr>
        <w:spacing w:line="600" w:lineRule="exact"/>
        <w:ind w:firstLine="4998"/>
        <w:jc w:val="right"/>
        <w:textAlignment w:val="center"/>
      </w:pPr>
    </w:p>
    <w:p>
      <w:pPr>
        <w:spacing w:line="600" w:lineRule="exact"/>
        <w:ind w:firstLine="4998"/>
        <w:jc w:val="right"/>
        <w:textAlignment w:val="center"/>
      </w:pPr>
    </w:p>
    <w:p>
      <w:pPr>
        <w:spacing w:line="600" w:lineRule="exact"/>
        <w:ind w:firstLine="4998"/>
        <w:jc w:val="right"/>
        <w:textAlignment w:val="center"/>
      </w:pPr>
    </w:p>
    <w:p>
      <w:pPr>
        <w:spacing w:line="600" w:lineRule="exact"/>
        <w:ind w:firstLine="4998"/>
        <w:jc w:val="center"/>
        <w:textAlignment w:val="center"/>
        <w:rPr>
          <w:rFonts w:ascii="方正仿宋简体" w:hAnsi="仿宋" w:eastAsia="方正仿宋简体" w:cs="仿宋"/>
          <w:spacing w:val="-16"/>
          <w:sz w:val="31"/>
          <w:szCs w:val="3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0" w:footer="586" w:gutter="0"/>
          <w:cols w:space="720" w:num="1"/>
          <w:docGrid w:linePitch="286" w:charSpace="0"/>
        </w:sectPr>
      </w:pPr>
      <w:r>
        <w:rPr>
          <w:rFonts w:hint="eastAsia"/>
        </w:rPr>
        <w:t>2024年1月18日</w:t>
      </w:r>
    </w:p>
    <w:p>
      <w:pPr>
        <w:spacing w:line="600" w:lineRule="exact"/>
        <w:ind w:left="1948"/>
        <w:rPr>
          <w:rFonts w:ascii="方正大标宋简体" w:hAnsi="微软雅黑" w:eastAsia="方正大标宋简体" w:cs="微软雅黑"/>
          <w:sz w:val="44"/>
          <w:szCs w:val="44"/>
        </w:rPr>
      </w:pPr>
      <w:r>
        <w:rPr>
          <w:rFonts w:hint="eastAsia" w:ascii="方正大标宋简体" w:eastAsia="方正大标宋简体"/>
          <w:spacing w:val="9"/>
          <w:sz w:val="44"/>
          <w:szCs w:val="44"/>
        </w:rPr>
        <w:t>2024</w:t>
      </w:r>
      <w:r>
        <w:rPr>
          <w:rFonts w:hint="eastAsia" w:ascii="方正大标宋简体" w:eastAsia="方正大标宋简体"/>
          <w:spacing w:val="7"/>
          <w:sz w:val="44"/>
          <w:szCs w:val="44"/>
        </w:rPr>
        <w:t xml:space="preserve"> </w:t>
      </w:r>
      <w:r>
        <w:rPr>
          <w:rFonts w:hint="eastAsia" w:ascii="方正大标宋简体" w:hAnsi="微软雅黑" w:eastAsia="方正大标宋简体" w:cs="微软雅黑"/>
          <w:spacing w:val="7"/>
          <w:sz w:val="44"/>
          <w:szCs w:val="44"/>
        </w:rPr>
        <w:t>年预算公开工作方案</w:t>
      </w:r>
    </w:p>
    <w:p>
      <w:pPr>
        <w:spacing w:line="600" w:lineRule="exact"/>
        <w:ind w:left="1948"/>
        <w:rPr>
          <w:rFonts w:ascii="方正大标宋简体" w:hAnsi="微软雅黑" w:eastAsia="方正大标宋简体" w:cs="微软雅黑"/>
          <w:sz w:val="44"/>
          <w:szCs w:val="44"/>
        </w:rPr>
      </w:pPr>
    </w:p>
    <w:p>
      <w:pPr>
        <w:spacing w:after="0" w:line="580" w:lineRule="exact"/>
        <w:ind w:firstLine="640" w:firstLineChars="200"/>
      </w:pPr>
      <w:r>
        <w:rPr>
          <w:szCs w:val="32"/>
        </w:rPr>
        <w:t>根据《中华人民共和国预算法》《中华人民共和国预算法实施条例》</w:t>
      </w:r>
      <w:r>
        <w:t>《中华人民共和国政府信息公开条例》等</w:t>
      </w:r>
      <w:r>
        <w:rPr>
          <w:rFonts w:hint="eastAsia"/>
        </w:rPr>
        <w:t>规定</w:t>
      </w:r>
      <w:r>
        <w:t>，为</w:t>
      </w:r>
      <w:r>
        <w:rPr>
          <w:rFonts w:hint="eastAsia"/>
        </w:rPr>
        <w:t>切实</w:t>
      </w:r>
      <w:r>
        <w:t>做好2024年预算公开工作，</w:t>
      </w:r>
      <w:r>
        <w:rPr>
          <w:rFonts w:hint="eastAsia"/>
        </w:rPr>
        <w:t>现将有关事项通知如下</w:t>
      </w:r>
      <w:r>
        <w:t>。</w:t>
      </w:r>
    </w:p>
    <w:p>
      <w:pPr>
        <w:numPr>
          <w:ilvl w:val="0"/>
          <w:numId w:val="1"/>
        </w:numPr>
        <w:spacing w:after="0" w:line="580" w:lineRule="exact"/>
        <w:ind w:firstLine="640" w:firstLineChars="200"/>
        <w:rPr>
          <w:rFonts w:eastAsia="黑体"/>
        </w:rPr>
      </w:pPr>
      <w:r>
        <w:rPr>
          <w:rFonts w:hint="eastAsia" w:eastAsia="黑体"/>
        </w:rPr>
        <w:t>公开领域</w:t>
      </w:r>
    </w:p>
    <w:p>
      <w:pPr>
        <w:spacing w:after="0" w:line="580" w:lineRule="exact"/>
        <w:ind w:firstLine="640" w:firstLineChars="200"/>
      </w:pPr>
      <w:r>
        <w:rPr>
          <w:rFonts w:hint="eastAsia"/>
        </w:rPr>
        <w:t>预算公开领域包括政府预算、部门预算、单位预算、“三公”经费预算以及预算绩效、政府债务、部门预算执行情况等。其中：部门预算执行情况按季度进行公开，县直部门应在部门门户网站公开专栏，公开本部门截至二季度末、三季度末预算执行情况（年度预算执行情况待部门决算形成后，按照部门决算公开要求予以公开）。</w:t>
      </w:r>
    </w:p>
    <w:p>
      <w:pPr>
        <w:spacing w:after="0" w:line="580" w:lineRule="exact"/>
        <w:ind w:left="640"/>
        <w:rPr>
          <w:rFonts w:eastAsia="黑体"/>
        </w:rPr>
      </w:pPr>
      <w:r>
        <w:rPr>
          <w:rFonts w:hint="eastAsia" w:eastAsia="黑体"/>
        </w:rPr>
        <w:t>二、公开内容</w:t>
      </w:r>
    </w:p>
    <w:p>
      <w:pPr>
        <w:spacing w:after="0" w:line="580" w:lineRule="exact"/>
        <w:ind w:firstLine="643" w:firstLineChars="200"/>
      </w:pPr>
      <w:r>
        <w:rPr>
          <w:rFonts w:hint="eastAsia" w:ascii="楷体_GB2312" w:eastAsia="楷体_GB2312"/>
          <w:b/>
          <w:szCs w:val="32"/>
        </w:rPr>
        <w:t>（一）政府预算。</w:t>
      </w:r>
      <w:r>
        <w:t>政府预算应公开到支出功能分类项级科目，一般公共预算</w:t>
      </w:r>
      <w:r>
        <w:rPr>
          <w:rFonts w:hint="eastAsia"/>
        </w:rPr>
        <w:t>基本支出</w:t>
      </w:r>
      <w:r>
        <w:t>公开到支出经济分类款级科目，税收返还、一般性转移支付分地区公开，专项转移支付分地区分项目公开，对财政转移支付安排、举借政府债务等重要事项进行解释、说明，并公开重大政策和重点项目等绩效目标。</w:t>
      </w:r>
    </w:p>
    <w:p>
      <w:pPr>
        <w:spacing w:after="0" w:line="580" w:lineRule="exact"/>
        <w:ind w:firstLine="643" w:firstLineChars="200"/>
      </w:pPr>
      <w:r>
        <w:rPr>
          <w:rFonts w:hint="eastAsia" w:ascii="楷体_GB2312" w:eastAsia="楷体_GB2312"/>
          <w:b/>
          <w:szCs w:val="32"/>
        </w:rPr>
        <w:t>（二）部门预算。</w:t>
      </w:r>
      <w:r>
        <w:rPr>
          <w:szCs w:val="32"/>
        </w:rPr>
        <w:t>部门预算（包括部门本级及所属单位汇总预算，下同）应公开</w:t>
      </w:r>
      <w:r>
        <w:rPr>
          <w:rFonts w:hint="eastAsia"/>
          <w:szCs w:val="32"/>
        </w:rPr>
        <w:t>基本支出</w:t>
      </w:r>
      <w:r>
        <w:rPr>
          <w:szCs w:val="32"/>
        </w:rPr>
        <w:t>和项目支出</w:t>
      </w:r>
      <w:r>
        <w:rPr>
          <w:rFonts w:hint="eastAsia"/>
          <w:szCs w:val="32"/>
        </w:rPr>
        <w:t>。</w:t>
      </w:r>
      <w:r>
        <w:rPr>
          <w:szCs w:val="32"/>
        </w:rPr>
        <w:t>部门预算支出按其功能分类应公开到项，按其经济分类，</w:t>
      </w:r>
      <w:r>
        <w:rPr>
          <w:rFonts w:hint="eastAsia"/>
          <w:szCs w:val="32"/>
        </w:rPr>
        <w:t>基本支出</w:t>
      </w:r>
      <w:r>
        <w:rPr>
          <w:szCs w:val="32"/>
        </w:rPr>
        <w:t>应公开到款。部门公开预算时，一并公开本部门职责及机构设置情况、预算收支增减变化及原因、机关运行经费安排、政府采购、政府购买服务、国有资产占用、预算绩效情况等重点事项情况说明，并对专业性较强的名词进行解释。</w:t>
      </w:r>
      <w:r>
        <w:rPr>
          <w:rFonts w:hint="eastAsia"/>
          <w:szCs w:val="32"/>
        </w:rPr>
        <w:t>部门预算表应当包括2</w:t>
      </w:r>
      <w:r>
        <w:rPr>
          <w:szCs w:val="32"/>
        </w:rPr>
        <w:t>024</w:t>
      </w:r>
      <w:r>
        <w:rPr>
          <w:rFonts w:hint="eastAsia"/>
          <w:szCs w:val="32"/>
        </w:rPr>
        <w:t>年收支总表等14张表格，转换PDF格式作为附件公开【注：表1至表13预算公开表数据获取路径：安徽省预算管理一体化系统中的预算编制—预算报表—部门预算公开表La；表14项目支出绩效目标表由预算管理一体化系统中的预算绩效—项目绩效目标申报—项目绩效目标查询导出（1个项目生成1张表）】。</w:t>
      </w:r>
    </w:p>
    <w:p>
      <w:pPr>
        <w:spacing w:after="0" w:line="580" w:lineRule="exact"/>
        <w:ind w:firstLine="630"/>
        <w:rPr>
          <w:szCs w:val="32"/>
        </w:rPr>
      </w:pPr>
      <w:r>
        <w:rPr>
          <w:rFonts w:hint="eastAsia" w:ascii="楷体_GB2312" w:eastAsia="楷体_GB2312"/>
          <w:b/>
          <w:szCs w:val="32"/>
        </w:rPr>
        <w:t>（三）单位预算。</w:t>
      </w:r>
      <w:r>
        <w:rPr>
          <w:szCs w:val="32"/>
        </w:rPr>
        <w:t>单位预算应公开</w:t>
      </w:r>
      <w:r>
        <w:rPr>
          <w:rFonts w:hint="eastAsia"/>
          <w:szCs w:val="32"/>
        </w:rPr>
        <w:t>基本支出</w:t>
      </w:r>
      <w:r>
        <w:rPr>
          <w:szCs w:val="32"/>
        </w:rPr>
        <w:t>和项目支出</w:t>
      </w:r>
      <w:r>
        <w:rPr>
          <w:rFonts w:hint="eastAsia"/>
          <w:szCs w:val="32"/>
        </w:rPr>
        <w:t>。</w:t>
      </w:r>
      <w:r>
        <w:rPr>
          <w:szCs w:val="32"/>
        </w:rPr>
        <w:t>单位预算支出按其功能分类应公开到项，按其经济分类，</w:t>
      </w:r>
      <w:r>
        <w:rPr>
          <w:rFonts w:hint="eastAsia"/>
          <w:szCs w:val="32"/>
        </w:rPr>
        <w:t>基本支出</w:t>
      </w:r>
      <w:r>
        <w:rPr>
          <w:szCs w:val="32"/>
        </w:rPr>
        <w:t>应公开到款。单位公开预算时，</w:t>
      </w:r>
      <w:r>
        <w:rPr>
          <w:rFonts w:hint="eastAsia"/>
          <w:szCs w:val="32"/>
        </w:rPr>
        <w:t>应</w:t>
      </w:r>
      <w:r>
        <w:rPr>
          <w:szCs w:val="32"/>
        </w:rPr>
        <w:t>一并公开本</w:t>
      </w:r>
      <w:r>
        <w:rPr>
          <w:rFonts w:hint="eastAsia"/>
          <w:szCs w:val="32"/>
        </w:rPr>
        <w:t>单位</w:t>
      </w:r>
      <w:r>
        <w:rPr>
          <w:szCs w:val="32"/>
        </w:rPr>
        <w:t>职责及机构设置情况、预算收支增减变化及原因、机关运行经费安排、政府采购、政府购买服务、国有资产占用、预算绩效情况等重点事项情况说明，并对专业性较强的名词进行解释。</w:t>
      </w:r>
      <w:r>
        <w:rPr>
          <w:rFonts w:hint="eastAsia"/>
          <w:szCs w:val="32"/>
        </w:rPr>
        <w:t>单位预算表应包括202</w:t>
      </w:r>
      <w:r>
        <w:rPr>
          <w:szCs w:val="32"/>
        </w:rPr>
        <w:t>4</w:t>
      </w:r>
      <w:r>
        <w:rPr>
          <w:rFonts w:hint="eastAsia"/>
          <w:szCs w:val="32"/>
        </w:rPr>
        <w:t>年收支总表等14张表格，转换PDF格式作为附件公开【注：表1至表13预算公开表数据获取路径：安徽省预算管理一体化系统中的预算编制—预算报表—部门预算公开表La；表14项目支出绩效目标表由预算管理一体化系统中的预算绩效—项目绩效目标申报—项目绩效目标查询导出（1个项目生成1张表）】。</w:t>
      </w:r>
    </w:p>
    <w:p>
      <w:pPr>
        <w:spacing w:after="0" w:line="580" w:lineRule="exact"/>
        <w:ind w:firstLine="643" w:firstLineChars="200"/>
        <w:rPr>
          <w:color w:val="000000"/>
        </w:rPr>
      </w:pPr>
      <w:r>
        <w:rPr>
          <w:rFonts w:hint="eastAsia" w:ascii="楷体_GB2312" w:eastAsia="楷体_GB2312"/>
          <w:b/>
          <w:szCs w:val="32"/>
        </w:rPr>
        <w:t>（四）“三公”经费预算。</w:t>
      </w:r>
      <w:r>
        <w:rPr>
          <w:color w:val="000000"/>
          <w:szCs w:val="32"/>
        </w:rPr>
        <w:t>“三公”经费预算按总额及</w:t>
      </w:r>
      <w:r>
        <w:rPr>
          <w:color w:val="000000"/>
        </w:rPr>
        <w:t>“因公出国（境）费”“公务用车购置及运行费”“公务接待费”公开，</w:t>
      </w:r>
      <w:r>
        <w:rPr>
          <w:rFonts w:hint="eastAsia"/>
          <w:color w:val="000000"/>
        </w:rPr>
        <w:t>其中，</w:t>
      </w:r>
      <w:r>
        <w:rPr>
          <w:color w:val="000000"/>
        </w:rPr>
        <w:t>“公务用车购置及运行费”细化到“公务用车购置费”“公务用车运行费”两个项目</w:t>
      </w:r>
      <w:r>
        <w:rPr>
          <w:rFonts w:hint="eastAsia"/>
          <w:color w:val="000000"/>
        </w:rPr>
        <w:t>，</w:t>
      </w:r>
      <w:r>
        <w:rPr>
          <w:color w:val="000000"/>
        </w:rPr>
        <w:t>并对各项增减变化情况及原因进行说明。</w:t>
      </w:r>
    </w:p>
    <w:p>
      <w:pPr>
        <w:spacing w:after="0" w:line="580" w:lineRule="exact"/>
        <w:ind w:firstLine="645"/>
        <w:rPr>
          <w:color w:val="000000"/>
        </w:rPr>
      </w:pPr>
      <w:r>
        <w:rPr>
          <w:rFonts w:hint="eastAsia" w:ascii="楷体_GB2312" w:eastAsia="楷体_GB2312"/>
          <w:b/>
          <w:szCs w:val="32"/>
        </w:rPr>
        <w:t>（五）预算绩效。</w:t>
      </w:r>
      <w:r>
        <w:t>随政府预算公开</w:t>
      </w:r>
      <w:r>
        <w:rPr>
          <w:rFonts w:hint="eastAsia"/>
        </w:rPr>
        <w:t>的</w:t>
      </w:r>
      <w:r>
        <w:t>重大政策和重点项目等绩效目标</w:t>
      </w:r>
      <w:r>
        <w:rPr>
          <w:rFonts w:hint="eastAsia"/>
        </w:rPr>
        <w:t>，包括项目名称、主管部门、项目资金、年度目标和绩效指标等信息。随</w:t>
      </w:r>
      <w:r>
        <w:rPr>
          <w:color w:val="000000"/>
          <w:kern w:val="0"/>
        </w:rPr>
        <w:t>本</w:t>
      </w:r>
      <w:r>
        <w:rPr>
          <w:color w:val="000000"/>
        </w:rPr>
        <w:t>部门、本单位预算公开重点项目</w:t>
      </w:r>
      <w:r>
        <w:rPr>
          <w:rFonts w:hint="eastAsia"/>
          <w:color w:val="000000"/>
        </w:rPr>
        <w:t>绩效目标情况包括</w:t>
      </w:r>
      <w:r>
        <w:rPr>
          <w:color w:val="000000"/>
        </w:rPr>
        <w:t>项目概述、立项依据、实施主体、起止时间、项目内容、年度预算安排和绩效目标等信息</w:t>
      </w:r>
      <w:r>
        <w:rPr>
          <w:rFonts w:hint="eastAsia"/>
          <w:color w:val="000000"/>
        </w:rPr>
        <w:t>。所有项目绩效目标（涉密项目除外），由各部门、部门所属单位以绩效目标表的形式，随同部门预算同步公开。</w:t>
      </w:r>
    </w:p>
    <w:p>
      <w:pPr>
        <w:spacing w:after="0" w:line="580" w:lineRule="exact"/>
        <w:ind w:firstLine="643" w:firstLineChars="200"/>
        <w:rPr>
          <w:color w:val="000000"/>
          <w:szCs w:val="32"/>
        </w:rPr>
      </w:pPr>
      <w:r>
        <w:rPr>
          <w:rFonts w:hint="eastAsia" w:ascii="楷体_GB2312" w:eastAsia="楷体_GB2312"/>
          <w:b/>
          <w:szCs w:val="32"/>
        </w:rPr>
        <w:t>（六）政府债务。</w:t>
      </w:r>
      <w:r>
        <w:rPr>
          <w:color w:val="000000"/>
          <w:szCs w:val="32"/>
        </w:rPr>
        <w:t>财政部门</w:t>
      </w:r>
      <w:r>
        <w:rPr>
          <w:rFonts w:hint="eastAsia"/>
          <w:color w:val="000000"/>
          <w:szCs w:val="32"/>
        </w:rPr>
        <w:t>应</w:t>
      </w:r>
      <w:r>
        <w:rPr>
          <w:color w:val="000000"/>
          <w:szCs w:val="32"/>
        </w:rPr>
        <w:t>公开地方政府债务限额、余额、使用安排及还本付息等信息，包括：随同预算公开上一年度本地区地方政府债务限额及余额（或余额预计执行数），以及本地区上一年度地方政府债券（含再融资债券）发行及还本付息额（或预计执行数）、本年度地方政府债券还本付息预算数等；随同调整预算公开当年本地区地方政府债务限额、本级新增地方政府债券资金使用安排等。</w:t>
      </w:r>
    </w:p>
    <w:p>
      <w:pPr>
        <w:spacing w:after="0" w:line="580" w:lineRule="exact"/>
        <w:ind w:firstLine="640" w:firstLineChars="200"/>
        <w:rPr>
          <w:color w:val="000000"/>
          <w:szCs w:val="32"/>
        </w:rPr>
      </w:pPr>
      <w:r>
        <w:rPr>
          <w:color w:val="000000"/>
          <w:szCs w:val="32"/>
        </w:rPr>
        <w:t>除涉及国家秘密信息外，政府预算、部门预算和单位预算应全部主动公开；依法界定属于秘密事项的信息不予公开。对预算支出中涉及国家秘密的内容，应在保持支出总额不变的情况下，对涉密内容作区分处理，将不涉密的内容依法公开。</w:t>
      </w:r>
    </w:p>
    <w:p>
      <w:pPr>
        <w:spacing w:after="0" w:line="580" w:lineRule="exact"/>
        <w:ind w:firstLine="640" w:firstLineChars="200"/>
        <w:rPr>
          <w:rFonts w:ascii="黑体" w:hAnsi="黑体" w:eastAsia="黑体"/>
          <w:bCs/>
        </w:rPr>
      </w:pPr>
      <w:r>
        <w:rPr>
          <w:rFonts w:hint="eastAsia" w:ascii="黑体" w:hAnsi="黑体" w:eastAsia="黑体"/>
          <w:bCs/>
        </w:rPr>
        <w:t>三、</w:t>
      </w:r>
      <w:r>
        <w:rPr>
          <w:rFonts w:ascii="黑体" w:hAnsi="黑体" w:eastAsia="黑体"/>
          <w:bCs/>
        </w:rPr>
        <w:t>公开时间</w:t>
      </w:r>
    </w:p>
    <w:p>
      <w:pPr>
        <w:spacing w:after="0" w:line="580" w:lineRule="exact"/>
        <w:ind w:firstLine="645"/>
        <w:rPr>
          <w:color w:val="000000"/>
        </w:rPr>
      </w:pPr>
      <w:r>
        <w:rPr>
          <w:rFonts w:hint="eastAsia" w:ascii="楷体_GB2312" w:eastAsia="楷体_GB2312"/>
          <w:b/>
          <w:szCs w:val="32"/>
        </w:rPr>
        <w:t>（一）政府预算。</w:t>
      </w:r>
      <w:r>
        <w:rPr>
          <w:rFonts w:hint="eastAsia"/>
          <w:color w:val="000000"/>
        </w:rPr>
        <w:t>政府预算应在本级人民代表大会或其常务委员会批准后2</w:t>
      </w:r>
      <w:r>
        <w:rPr>
          <w:color w:val="000000"/>
        </w:rPr>
        <w:t>0</w:t>
      </w:r>
      <w:r>
        <w:rPr>
          <w:rFonts w:hint="eastAsia"/>
          <w:color w:val="000000"/>
        </w:rPr>
        <w:t>日内向社会公开。一般公共预算、“三公”经费预算、重大政策和重点项目等绩效目标，地方政府债务等信息随政府预算同步公开。财政部门应在法定时限内公开政府预算，并鼓励适当提前公开时间。其中，</w:t>
      </w:r>
      <w:r>
        <w:rPr>
          <w:color w:val="000000"/>
        </w:rPr>
        <w:t>财政部门</w:t>
      </w:r>
      <w:r>
        <w:rPr>
          <w:rFonts w:hint="eastAsia"/>
          <w:color w:val="000000"/>
        </w:rPr>
        <w:t>负责于1月26日公开</w:t>
      </w:r>
      <w:r>
        <w:rPr>
          <w:color w:val="000000"/>
        </w:rPr>
        <w:t>2024年</w:t>
      </w:r>
      <w:r>
        <w:rPr>
          <w:rFonts w:hint="eastAsia"/>
          <w:color w:val="000000"/>
        </w:rPr>
        <w:t>县级</w:t>
      </w:r>
      <w:r>
        <w:rPr>
          <w:color w:val="000000"/>
        </w:rPr>
        <w:t>政府预算、“三公”经费预算、预算绩效和政府债务等信息。</w:t>
      </w:r>
    </w:p>
    <w:p>
      <w:pPr>
        <w:spacing w:after="0" w:line="580" w:lineRule="exact"/>
        <w:ind w:firstLine="645"/>
        <w:rPr>
          <w:color w:val="000000"/>
        </w:rPr>
      </w:pPr>
      <w:r>
        <w:rPr>
          <w:rFonts w:hint="eastAsia" w:ascii="楷体_GB2312" w:eastAsia="楷体_GB2312"/>
          <w:b/>
          <w:szCs w:val="32"/>
        </w:rPr>
        <w:t>（二）部门预算。</w:t>
      </w:r>
      <w:r>
        <w:rPr>
          <w:rFonts w:hint="eastAsia"/>
          <w:color w:val="000000"/>
        </w:rPr>
        <w:t>部门预算应在本级政府财政部门批复后2</w:t>
      </w:r>
      <w:r>
        <w:rPr>
          <w:color w:val="000000"/>
        </w:rPr>
        <w:t>0</w:t>
      </w:r>
      <w:r>
        <w:rPr>
          <w:rFonts w:hint="eastAsia"/>
          <w:color w:val="000000"/>
        </w:rPr>
        <w:t>日内向社会公开。各部门一般公共预算、“三公”经费预算、绩效目标等信息随部门预算同步公开。各部门应在法定时限内公开部门预算，并鼓励适当提前公开时间，部门预算原则上在同一天集中公开。其中，县财政部门批复2</w:t>
      </w:r>
      <w:r>
        <w:rPr>
          <w:color w:val="000000"/>
        </w:rPr>
        <w:t>024</w:t>
      </w:r>
      <w:r>
        <w:rPr>
          <w:rFonts w:hint="eastAsia"/>
          <w:color w:val="000000"/>
        </w:rPr>
        <w:t>年部门预算后，县直部门负责于2月6日集中公开部门预算。</w:t>
      </w:r>
    </w:p>
    <w:p>
      <w:pPr>
        <w:spacing w:after="0" w:line="580" w:lineRule="exact"/>
        <w:ind w:firstLine="643" w:firstLineChars="200"/>
        <w:rPr>
          <w:color w:val="000000"/>
        </w:rPr>
      </w:pPr>
      <w:r>
        <w:rPr>
          <w:rFonts w:hint="eastAsia" w:ascii="楷体_GB2312" w:eastAsia="楷体_GB2312"/>
          <w:b/>
          <w:szCs w:val="32"/>
        </w:rPr>
        <w:t>（三）单位预算。</w:t>
      </w:r>
      <w:r>
        <w:rPr>
          <w:rFonts w:hint="eastAsia"/>
          <w:color w:val="000000"/>
        </w:rPr>
        <w:t>单位预算应在部门或上一级单位批复后2</w:t>
      </w:r>
      <w:r>
        <w:rPr>
          <w:color w:val="000000"/>
        </w:rPr>
        <w:t>0</w:t>
      </w:r>
      <w:r>
        <w:rPr>
          <w:rFonts w:hint="eastAsia"/>
          <w:color w:val="000000"/>
        </w:rPr>
        <w:t>日内向社会公开。各单位一般公共预算、“三公”经费预算、绩效目标等信息随单位预算同步公开。各部门所属单位应在法定时限内公开单位预算，并鼓励适当提前公开时间，同一部门所属同一级次单位的预算原则上在同一天公开。其中，</w:t>
      </w:r>
      <w:r>
        <w:rPr>
          <w:color w:val="000000"/>
        </w:rPr>
        <w:t>县直单位</w:t>
      </w:r>
      <w:r>
        <w:rPr>
          <w:rFonts w:hint="eastAsia"/>
          <w:color w:val="000000"/>
        </w:rPr>
        <w:t>负责于</w:t>
      </w:r>
      <w:r>
        <w:rPr>
          <w:color w:val="000000"/>
        </w:rPr>
        <w:t>2</w:t>
      </w:r>
      <w:r>
        <w:rPr>
          <w:rFonts w:hint="eastAsia"/>
          <w:color w:val="000000"/>
        </w:rPr>
        <w:t>月6日</w:t>
      </w:r>
      <w:r>
        <w:rPr>
          <w:color w:val="000000"/>
        </w:rPr>
        <w:t>集中公开</w:t>
      </w:r>
      <w:r>
        <w:rPr>
          <w:rFonts w:hint="eastAsia"/>
          <w:color w:val="000000"/>
        </w:rPr>
        <w:t>单位</w:t>
      </w:r>
      <w:r>
        <w:rPr>
          <w:color w:val="000000"/>
        </w:rPr>
        <w:t>预算。</w:t>
      </w:r>
    </w:p>
    <w:p>
      <w:pPr>
        <w:spacing w:after="0" w:line="580" w:lineRule="exact"/>
        <w:ind w:firstLine="640" w:firstLineChars="200"/>
        <w:rPr>
          <w:rFonts w:ascii="黑体" w:hAnsi="黑体" w:eastAsia="黑体"/>
          <w:bCs/>
        </w:rPr>
      </w:pPr>
      <w:r>
        <w:rPr>
          <w:rFonts w:hint="eastAsia" w:ascii="黑体" w:hAnsi="黑体" w:eastAsia="黑体"/>
          <w:bCs/>
        </w:rPr>
        <w:t>四、</w:t>
      </w:r>
      <w:r>
        <w:rPr>
          <w:rFonts w:ascii="黑体" w:hAnsi="黑体" w:eastAsia="黑体"/>
          <w:bCs/>
        </w:rPr>
        <w:t>公开方式</w:t>
      </w:r>
    </w:p>
    <w:p>
      <w:pPr>
        <w:spacing w:after="0" w:line="580" w:lineRule="exact"/>
        <w:ind w:firstLine="645"/>
        <w:rPr>
          <w:color w:val="000000"/>
        </w:rPr>
      </w:pPr>
      <w:r>
        <w:rPr>
          <w:rFonts w:hint="eastAsia" w:ascii="楷体_GB2312" w:eastAsia="楷体_GB2312"/>
          <w:b/>
          <w:szCs w:val="32"/>
        </w:rPr>
        <w:t>（一）政府预算。</w:t>
      </w:r>
      <w:r>
        <w:rPr>
          <w:color w:val="000000"/>
        </w:rPr>
        <w:t>财政</w:t>
      </w:r>
      <w:r>
        <w:t>部门</w:t>
      </w:r>
      <w:r>
        <w:rPr>
          <w:rFonts w:hint="eastAsia"/>
          <w:color w:val="000000"/>
        </w:rPr>
        <w:t>应</w:t>
      </w:r>
      <w:r>
        <w:rPr>
          <w:color w:val="000000"/>
        </w:rPr>
        <w:t>在本级政府或财政部门网站设立预算公开统一平台（或专栏），将政府预算在财政部门门户网站公开的同时，在统一平台（或专栏）集中公开。</w:t>
      </w:r>
    </w:p>
    <w:p>
      <w:pPr>
        <w:spacing w:after="0" w:line="580" w:lineRule="exact"/>
        <w:ind w:firstLine="645"/>
        <w:rPr>
          <w:b/>
          <w:color w:val="000000"/>
        </w:rPr>
      </w:pPr>
      <w:r>
        <w:rPr>
          <w:rFonts w:hint="eastAsia" w:ascii="楷体_GB2312" w:eastAsia="楷体_GB2312"/>
          <w:b/>
          <w:szCs w:val="32"/>
        </w:rPr>
        <w:t>（二）部门预算。</w:t>
      </w:r>
      <w:r>
        <w:rPr>
          <w:color w:val="000000"/>
        </w:rPr>
        <w:t>各部门</w:t>
      </w:r>
      <w:r>
        <w:rPr>
          <w:rFonts w:hint="eastAsia"/>
          <w:color w:val="000000"/>
        </w:rPr>
        <w:t>应</w:t>
      </w:r>
      <w:r>
        <w:rPr>
          <w:color w:val="000000"/>
        </w:rPr>
        <w:t>在本部门的门户网站醒目位置设立预算公开栏目，将部门预算在门户网站公开的同时，在统一平台（或专栏）集中公开。</w:t>
      </w:r>
    </w:p>
    <w:p>
      <w:pPr>
        <w:spacing w:after="0" w:line="580" w:lineRule="exact"/>
        <w:ind w:firstLine="645"/>
        <w:rPr>
          <w:color w:val="000000"/>
        </w:rPr>
      </w:pPr>
      <w:r>
        <w:rPr>
          <w:rFonts w:hint="eastAsia" w:ascii="楷体_GB2312" w:eastAsia="楷体_GB2312"/>
          <w:b/>
          <w:szCs w:val="32"/>
        </w:rPr>
        <w:t>（三）单位预算。</w:t>
      </w:r>
      <w:r>
        <w:rPr>
          <w:color w:val="000000"/>
        </w:rPr>
        <w:t>各部门所属单位</w:t>
      </w:r>
      <w:r>
        <w:rPr>
          <w:rFonts w:hint="eastAsia"/>
          <w:color w:val="000000"/>
        </w:rPr>
        <w:t>应</w:t>
      </w:r>
      <w:r>
        <w:rPr>
          <w:color w:val="000000"/>
        </w:rPr>
        <w:t>在本单位门户网站公开本单位预算，没有门户网站的单位，可以在主管部门门户网站或预算公开统一平台（专栏）等公开，或通过政府公报、新闻发布会、报刊、广播、电视等方式公开。</w:t>
      </w:r>
    </w:p>
    <w:p>
      <w:pPr>
        <w:spacing w:after="0" w:line="580" w:lineRule="exact"/>
        <w:ind w:firstLine="645"/>
        <w:rPr>
          <w:rFonts w:eastAsia="楷体_GB2312"/>
          <w:b/>
          <w:color w:val="000000"/>
        </w:rPr>
      </w:pPr>
      <w:r>
        <w:rPr>
          <w:color w:val="000000"/>
        </w:rPr>
        <w:t>对以上公开的政府预算、部门预算和单位预算，均</w:t>
      </w:r>
      <w:r>
        <w:rPr>
          <w:rFonts w:hint="eastAsia"/>
          <w:color w:val="000000"/>
        </w:rPr>
        <w:t>需</w:t>
      </w:r>
      <w:r>
        <w:rPr>
          <w:color w:val="000000"/>
        </w:rPr>
        <w:t>编制公开目录，对公开内容进行分类、分级。主管部门</w:t>
      </w:r>
      <w:r>
        <w:rPr>
          <w:rFonts w:hint="eastAsia"/>
          <w:color w:val="000000"/>
        </w:rPr>
        <w:t>应</w:t>
      </w:r>
      <w:r>
        <w:rPr>
          <w:color w:val="000000"/>
        </w:rPr>
        <w:t>在门户网站设立预算公开专栏，汇总展示公开的预算信息，便于社会公众查询监督。</w:t>
      </w:r>
    </w:p>
    <w:p>
      <w:pPr>
        <w:spacing w:after="0" w:line="580" w:lineRule="exact"/>
        <w:ind w:firstLine="640" w:firstLineChars="200"/>
        <w:rPr>
          <w:rFonts w:ascii="黑体" w:hAnsi="黑体" w:eastAsia="黑体"/>
          <w:bCs/>
        </w:rPr>
      </w:pPr>
      <w:r>
        <w:rPr>
          <w:rFonts w:hint="eastAsia" w:ascii="黑体" w:hAnsi="黑体" w:eastAsia="黑体"/>
          <w:bCs/>
        </w:rPr>
        <w:t>五、有关</w:t>
      </w:r>
      <w:r>
        <w:rPr>
          <w:rFonts w:ascii="黑体" w:hAnsi="黑体" w:eastAsia="黑体"/>
          <w:bCs/>
        </w:rPr>
        <w:t>要求</w:t>
      </w:r>
    </w:p>
    <w:p>
      <w:pPr>
        <w:spacing w:after="0" w:line="580" w:lineRule="exact"/>
        <w:ind w:firstLine="643" w:firstLineChars="200"/>
        <w:rPr>
          <w:szCs w:val="32"/>
        </w:rPr>
      </w:pPr>
      <w:r>
        <w:rPr>
          <w:rFonts w:hint="eastAsia" w:ascii="楷体_GB2312" w:eastAsia="楷体_GB2312"/>
          <w:b/>
          <w:szCs w:val="32"/>
        </w:rPr>
        <w:t>（一）高度重视，加强领导。</w:t>
      </w:r>
      <w:r>
        <w:rPr>
          <w:rFonts w:hint="eastAsia"/>
          <w:szCs w:val="32"/>
        </w:rPr>
        <w:t>推进预算公开是深化预算管理制度改革、提高预算透明度的重要举措，对保障公民的知情权、参与权、表达权、监督权，推动法制政府建设，具有重要意义。</w:t>
      </w:r>
      <w:r>
        <w:rPr>
          <w:szCs w:val="32"/>
        </w:rPr>
        <w:t>财政</w:t>
      </w:r>
      <w:r>
        <w:rPr>
          <w:rFonts w:hint="eastAsia"/>
          <w:szCs w:val="32"/>
        </w:rPr>
        <w:t>部门</w:t>
      </w:r>
      <w:r>
        <w:rPr>
          <w:szCs w:val="32"/>
        </w:rPr>
        <w:t>和县直部门单位</w:t>
      </w:r>
      <w:r>
        <w:rPr>
          <w:rFonts w:hint="eastAsia"/>
          <w:szCs w:val="32"/>
        </w:rPr>
        <w:t>务必</w:t>
      </w:r>
      <w:r>
        <w:rPr>
          <w:szCs w:val="32"/>
        </w:rPr>
        <w:t>高度重视，坚持以公开为常态、不公开为例外，加强事前、事中、事后全流程管理，持续跟踪落实到位，确保预算公开经得起检查检验。</w:t>
      </w:r>
    </w:p>
    <w:p>
      <w:pPr>
        <w:spacing w:after="0" w:line="580" w:lineRule="exact"/>
        <w:ind w:firstLine="643" w:firstLineChars="200"/>
        <w:rPr>
          <w:szCs w:val="32"/>
        </w:rPr>
      </w:pPr>
      <w:r>
        <w:rPr>
          <w:rFonts w:hint="eastAsia" w:ascii="楷体_GB2312" w:eastAsia="楷体_GB2312"/>
          <w:b/>
          <w:szCs w:val="32"/>
        </w:rPr>
        <w:t>（二）严肃纪律，压实责任。</w:t>
      </w:r>
      <w:r>
        <w:rPr>
          <w:szCs w:val="32"/>
        </w:rPr>
        <w:t>预算法第九十二条规定：未依照本法规定对有关预算事项进行公开和说明的，对负有直接责任的主管人员和其他直接责任人员追究行政责任。</w:t>
      </w:r>
      <w:r>
        <w:rPr>
          <w:rFonts w:hint="eastAsia"/>
          <w:szCs w:val="32"/>
        </w:rPr>
        <w:t>各级各部门应明确预算公开主体和责任，</w:t>
      </w:r>
      <w:r>
        <w:rPr>
          <w:szCs w:val="32"/>
        </w:rPr>
        <w:t>财政部门负责本级预算公开工作，县直部门负责公开本部门预算，各部门所属单位负责公开本单位预算，并对公开的及时性、完整性、真实性、规范性负责。</w:t>
      </w:r>
      <w:r>
        <w:rPr>
          <w:rFonts w:hint="eastAsia"/>
          <w:szCs w:val="32"/>
        </w:rPr>
        <w:t>预算公开检查和复核结果将作为对各部门单位政务公开考评评分依据。</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after="0" w:line="580" w:lineRule="exact"/>
        <w:ind w:firstLine="628"/>
        <w:rPr>
          <w:b/>
          <w:szCs w:val="32"/>
        </w:rPr>
      </w:pPr>
      <w:r>
        <w:rPr>
          <w:rFonts w:hint="eastAsia" w:ascii="楷体_GB2312" w:eastAsia="楷体_GB2312"/>
          <w:b/>
          <w:szCs w:val="32"/>
        </w:rPr>
        <w:t>（三）加强审查，依法公开。</w:t>
      </w:r>
      <w:r>
        <w:rPr>
          <w:rFonts w:hint="eastAsia"/>
          <w:szCs w:val="32"/>
        </w:rPr>
        <w:t>财政部门应根据法律法规和预算公开有关要求，结合实际，制定本地区预算公开规定，规范公开时间、内容、格式等。</w:t>
      </w:r>
      <w:r>
        <w:rPr>
          <w:szCs w:val="32"/>
        </w:rPr>
        <w:t>预算公开前，县直部门、单位</w:t>
      </w:r>
      <w:r>
        <w:rPr>
          <w:rFonts w:hint="eastAsia"/>
          <w:szCs w:val="32"/>
        </w:rPr>
        <w:t>应</w:t>
      </w:r>
      <w:r>
        <w:rPr>
          <w:szCs w:val="32"/>
        </w:rPr>
        <w:t>认真审查公开文本，按程序报部门单位负责人审定</w:t>
      </w:r>
      <w:r>
        <w:rPr>
          <w:rFonts w:hint="eastAsia"/>
          <w:szCs w:val="32"/>
        </w:rPr>
        <w:t>，其中县直部门及所属单位按公开模板编制文本（见附件1、2、3）。</w:t>
      </w:r>
      <w:r>
        <w:rPr>
          <w:szCs w:val="32"/>
        </w:rPr>
        <w:t>公开过程中，认真开展自查，及时纠正错漏。公开后，对公开情况常态化跟踪核查，确保预算信息长期保持公开状态。</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after="0" w:line="580" w:lineRule="exact"/>
        <w:ind w:firstLine="628"/>
        <w:rPr>
          <w:rFonts w:hint="eastAsia"/>
          <w:szCs w:val="32"/>
        </w:rPr>
      </w:pPr>
      <w:r>
        <w:rPr>
          <w:rFonts w:hint="eastAsia" w:ascii="楷体_GB2312" w:eastAsia="楷体_GB2312"/>
          <w:b/>
          <w:szCs w:val="32"/>
        </w:rPr>
        <w:t>（四）把握关切，及时回应。</w:t>
      </w:r>
      <w:r>
        <w:t>财政</w:t>
      </w:r>
      <w:r>
        <w:rPr>
          <w:rFonts w:hint="eastAsia"/>
        </w:rPr>
        <w:t>部门</w:t>
      </w:r>
      <w:r>
        <w:t>和县直部门单位</w:t>
      </w:r>
      <w:r>
        <w:rPr>
          <w:rFonts w:hint="eastAsia"/>
          <w:szCs w:val="32"/>
        </w:rPr>
        <w:t>应</w:t>
      </w:r>
      <w:r>
        <w:rPr>
          <w:szCs w:val="32"/>
        </w:rPr>
        <w:t>积极加强预算公开正面宣传和舆论引导，在主动公开信息的基础上，</w:t>
      </w:r>
      <w:r>
        <w:t>及时主动回应社会普遍关注的</w:t>
      </w:r>
      <w:r>
        <w:rPr>
          <w:rFonts w:hint="eastAsia"/>
        </w:rPr>
        <w:t>问题</w:t>
      </w:r>
      <w:r>
        <w:t>，方便社会公众理解。对于预算公开中</w:t>
      </w:r>
      <w:r>
        <w:rPr>
          <w:rFonts w:hint="eastAsia"/>
        </w:rPr>
        <w:t>反映出来的</w:t>
      </w:r>
      <w:r>
        <w:t>问题，有关部门单位</w:t>
      </w:r>
      <w:r>
        <w:rPr>
          <w:rFonts w:hint="eastAsia"/>
        </w:rPr>
        <w:t>应</w:t>
      </w:r>
      <w:r>
        <w:t>及时向</w:t>
      </w:r>
      <w:r>
        <w:rPr>
          <w:rFonts w:hint="eastAsia"/>
        </w:rPr>
        <w:t>县</w:t>
      </w:r>
      <w:r>
        <w:t>财政部门</w:t>
      </w:r>
      <w:r>
        <w:rPr>
          <w:szCs w:val="32"/>
        </w:rPr>
        <w:t>和</w:t>
      </w:r>
      <w:r>
        <w:rPr>
          <w:rFonts w:hint="eastAsia"/>
          <w:szCs w:val="32"/>
        </w:rPr>
        <w:t>县</w:t>
      </w:r>
      <w:r>
        <w:rPr>
          <w:szCs w:val="32"/>
        </w:rPr>
        <w:t>政务公开主管部门反馈，切实妥善解决。</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after="0" w:line="580" w:lineRule="exact"/>
        <w:ind w:firstLine="628"/>
        <w:rPr>
          <w:szCs w:val="32"/>
        </w:rPr>
      </w:pPr>
    </w:p>
    <w:p>
      <w:pPr>
        <w:spacing w:after="0" w:line="580" w:lineRule="exact"/>
        <w:ind w:firstLine="640" w:firstLineChars="200"/>
        <w:rPr>
          <w:szCs w:val="32"/>
        </w:rPr>
      </w:pPr>
      <w:r>
        <w:rPr>
          <w:szCs w:val="32"/>
        </w:rPr>
        <w:t>附件：1.2024年部门单位预算公开参考格式</w:t>
      </w:r>
    </w:p>
    <w:p>
      <w:pPr>
        <w:spacing w:after="0" w:line="580" w:lineRule="exact"/>
        <w:ind w:firstLine="1584" w:firstLineChars="495"/>
        <w:rPr>
          <w:szCs w:val="32"/>
        </w:rPr>
      </w:pPr>
      <w:r>
        <w:rPr>
          <w:szCs w:val="32"/>
        </w:rPr>
        <w:t>2.2024年部门单位预算公开</w:t>
      </w:r>
      <w:r>
        <w:rPr>
          <w:rFonts w:hint="eastAsia"/>
          <w:szCs w:val="32"/>
        </w:rPr>
        <w:t>附表</w:t>
      </w:r>
      <w:r>
        <w:rPr>
          <w:szCs w:val="32"/>
        </w:rPr>
        <w:t>参考格式</w:t>
      </w:r>
    </w:p>
    <w:p>
      <w:pPr>
        <w:spacing w:after="0" w:line="580" w:lineRule="exact"/>
        <w:ind w:left="320" w:leftChars="100" w:firstLine="1280" w:firstLineChars="400"/>
        <w:rPr>
          <w:szCs w:val="32"/>
        </w:rPr>
      </w:pPr>
      <w:r>
        <w:rPr>
          <w:szCs w:val="32"/>
        </w:rPr>
        <w:t>3.2024年部门单位一般公共预算</w:t>
      </w:r>
      <w:r>
        <w:rPr>
          <w:rFonts w:hint="eastAsia"/>
          <w:szCs w:val="32"/>
        </w:rPr>
        <w:t>安排</w:t>
      </w:r>
      <w:r>
        <w:rPr>
          <w:szCs w:val="32"/>
        </w:rPr>
        <w:t xml:space="preserve"> “三公”经费</w:t>
      </w:r>
      <w:r>
        <w:rPr>
          <w:rFonts w:hint="eastAsia"/>
          <w:szCs w:val="32"/>
        </w:rPr>
        <w:t>情况</w:t>
      </w:r>
      <w:r>
        <w:rPr>
          <w:szCs w:val="32"/>
        </w:rPr>
        <w:t>公开参考格式</w:t>
      </w:r>
    </w:p>
    <w:p>
      <w:pPr>
        <w:spacing w:after="0" w:line="580" w:lineRule="exact"/>
        <w:ind w:left="320" w:leftChars="100" w:firstLine="1280" w:firstLineChars="400"/>
        <w:rPr>
          <w:szCs w:val="32"/>
        </w:rPr>
      </w:pPr>
      <w:r>
        <w:rPr>
          <w:szCs w:val="32"/>
        </w:rPr>
        <w:t>4.2024年x季度</w:t>
      </w:r>
      <w:r>
        <w:rPr>
          <w:rFonts w:hint="eastAsia"/>
          <w:szCs w:val="32"/>
        </w:rPr>
        <w:t>末县</w:t>
      </w:r>
      <w:r>
        <w:rPr>
          <w:szCs w:val="32"/>
        </w:rPr>
        <w:t>级一般公共预算执行情况参考格式</w:t>
      </w: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587" w:bottom="1701" w:left="1587" w:header="851" w:footer="1474" w:gutter="0"/>
      <w:pgNumType w:fmt="numberInDash"/>
      <w:cols w:space="0" w:num="1"/>
      <w:docGrid w:type="lines" w:linePitch="4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431"/>
      <w:jc w:val="right"/>
      <w:rPr>
        <w:rFonts w:ascii="仿宋" w:hAnsi="仿宋" w:eastAsia="仿宋" w:cs="仿宋"/>
        <w:sz w:val="28"/>
        <w:szCs w:val="28"/>
      </w:rPr>
    </w:pPr>
    <w:r>
      <w:rPr>
        <w:rFonts w:ascii="仿宋" w:hAnsi="仿宋" w:eastAsia="仿宋" w:cs="仿宋"/>
        <w:snapToGrid w:val="0"/>
        <w:spacing w:val="-4"/>
        <w:position w:val="2"/>
        <w:sz w:val="28"/>
        <w:szCs w:val="2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D3938"/>
    <w:multiLevelType w:val="singleLevel"/>
    <w:tmpl w:val="7FFD3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5"/>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E7DF6E21-00D1-43E9-B7B4-B3BB742C7109}"/>
    <w:docVar w:name="DocumentName" w:val="_iw19b_13095058"/>
  </w:docVars>
  <w:rsids>
    <w:rsidRoot w:val="0081740E"/>
    <w:rsid w:val="00006B33"/>
    <w:rsid w:val="00007406"/>
    <w:rsid w:val="00020C6C"/>
    <w:rsid w:val="00085F33"/>
    <w:rsid w:val="000D6B07"/>
    <w:rsid w:val="001753EE"/>
    <w:rsid w:val="001C02E3"/>
    <w:rsid w:val="001F74F7"/>
    <w:rsid w:val="00215894"/>
    <w:rsid w:val="002731E1"/>
    <w:rsid w:val="002B7DAF"/>
    <w:rsid w:val="002E25C6"/>
    <w:rsid w:val="002E71D5"/>
    <w:rsid w:val="0032730D"/>
    <w:rsid w:val="003A4E30"/>
    <w:rsid w:val="003B17CC"/>
    <w:rsid w:val="003C260A"/>
    <w:rsid w:val="003D1F81"/>
    <w:rsid w:val="003E2230"/>
    <w:rsid w:val="003F7BB6"/>
    <w:rsid w:val="00422E60"/>
    <w:rsid w:val="00423A9F"/>
    <w:rsid w:val="004C7FBA"/>
    <w:rsid w:val="00517B90"/>
    <w:rsid w:val="00534E11"/>
    <w:rsid w:val="00683596"/>
    <w:rsid w:val="00756159"/>
    <w:rsid w:val="0078357E"/>
    <w:rsid w:val="00792ACB"/>
    <w:rsid w:val="007C56CD"/>
    <w:rsid w:val="0081740E"/>
    <w:rsid w:val="008659BD"/>
    <w:rsid w:val="008B63A0"/>
    <w:rsid w:val="008C2767"/>
    <w:rsid w:val="009227FF"/>
    <w:rsid w:val="009F556F"/>
    <w:rsid w:val="00A10B0E"/>
    <w:rsid w:val="00A46CC3"/>
    <w:rsid w:val="00AA4409"/>
    <w:rsid w:val="00AB2848"/>
    <w:rsid w:val="00B20C39"/>
    <w:rsid w:val="00BA0D4A"/>
    <w:rsid w:val="00C00A25"/>
    <w:rsid w:val="00D3123E"/>
    <w:rsid w:val="00D86196"/>
    <w:rsid w:val="00DA6EBB"/>
    <w:rsid w:val="00DD0E7D"/>
    <w:rsid w:val="00E95237"/>
    <w:rsid w:val="00EE3615"/>
    <w:rsid w:val="00F5271C"/>
    <w:rsid w:val="03495D90"/>
    <w:rsid w:val="03897017"/>
    <w:rsid w:val="07865A98"/>
    <w:rsid w:val="07C617EB"/>
    <w:rsid w:val="09B1192F"/>
    <w:rsid w:val="0CDF7960"/>
    <w:rsid w:val="0CFB5E7D"/>
    <w:rsid w:val="0DFD2290"/>
    <w:rsid w:val="0FA77450"/>
    <w:rsid w:val="1049458D"/>
    <w:rsid w:val="10DB5C7D"/>
    <w:rsid w:val="11DC2216"/>
    <w:rsid w:val="14672454"/>
    <w:rsid w:val="153D0E4E"/>
    <w:rsid w:val="15D90C78"/>
    <w:rsid w:val="16523E8E"/>
    <w:rsid w:val="169E0D77"/>
    <w:rsid w:val="18A240C5"/>
    <w:rsid w:val="18CC3634"/>
    <w:rsid w:val="19776228"/>
    <w:rsid w:val="199942F4"/>
    <w:rsid w:val="1A3F281D"/>
    <w:rsid w:val="1B6B29A3"/>
    <w:rsid w:val="1D7B2E86"/>
    <w:rsid w:val="1DAB7762"/>
    <w:rsid w:val="1E6269A3"/>
    <w:rsid w:val="224E4609"/>
    <w:rsid w:val="24245F05"/>
    <w:rsid w:val="24CF6333"/>
    <w:rsid w:val="250006CE"/>
    <w:rsid w:val="25162E4E"/>
    <w:rsid w:val="285B02BB"/>
    <w:rsid w:val="289F0D54"/>
    <w:rsid w:val="296A2CB5"/>
    <w:rsid w:val="2B3A3EBA"/>
    <w:rsid w:val="2DC851A3"/>
    <w:rsid w:val="2F50785F"/>
    <w:rsid w:val="2F5263C5"/>
    <w:rsid w:val="2F6C0D14"/>
    <w:rsid w:val="2FEF5FD8"/>
    <w:rsid w:val="2FFEB921"/>
    <w:rsid w:val="3091782D"/>
    <w:rsid w:val="31166B71"/>
    <w:rsid w:val="328C1A94"/>
    <w:rsid w:val="33750C6D"/>
    <w:rsid w:val="33F22A1F"/>
    <w:rsid w:val="362C0C2D"/>
    <w:rsid w:val="364E6EC3"/>
    <w:rsid w:val="377D4D6E"/>
    <w:rsid w:val="3932689C"/>
    <w:rsid w:val="3AEF5BAA"/>
    <w:rsid w:val="3B530501"/>
    <w:rsid w:val="3CC26B2A"/>
    <w:rsid w:val="3CF26376"/>
    <w:rsid w:val="3F0B2EA0"/>
    <w:rsid w:val="3F5661C0"/>
    <w:rsid w:val="3F752644"/>
    <w:rsid w:val="413508B6"/>
    <w:rsid w:val="41636183"/>
    <w:rsid w:val="450912B6"/>
    <w:rsid w:val="46064112"/>
    <w:rsid w:val="473F6E67"/>
    <w:rsid w:val="47FA13A9"/>
    <w:rsid w:val="488D0723"/>
    <w:rsid w:val="48BD7D72"/>
    <w:rsid w:val="490F4CA1"/>
    <w:rsid w:val="49656A05"/>
    <w:rsid w:val="4A860D51"/>
    <w:rsid w:val="4A897384"/>
    <w:rsid w:val="4A9F1120"/>
    <w:rsid w:val="4BDE86E9"/>
    <w:rsid w:val="4DC04836"/>
    <w:rsid w:val="4E4A5EFF"/>
    <w:rsid w:val="4EB66413"/>
    <w:rsid w:val="4EED50C6"/>
    <w:rsid w:val="51706033"/>
    <w:rsid w:val="530879CB"/>
    <w:rsid w:val="53ED1253"/>
    <w:rsid w:val="551A7195"/>
    <w:rsid w:val="55756150"/>
    <w:rsid w:val="56A16613"/>
    <w:rsid w:val="57FF340B"/>
    <w:rsid w:val="595B5EAD"/>
    <w:rsid w:val="5969317E"/>
    <w:rsid w:val="5ACB0E01"/>
    <w:rsid w:val="5B0E76A1"/>
    <w:rsid w:val="5BAF7E3F"/>
    <w:rsid w:val="5DFA0CC1"/>
    <w:rsid w:val="5DFB5F08"/>
    <w:rsid w:val="5EC669A5"/>
    <w:rsid w:val="5F7F1930"/>
    <w:rsid w:val="5FBF9FDB"/>
    <w:rsid w:val="5FEB74FB"/>
    <w:rsid w:val="5FFA0409"/>
    <w:rsid w:val="632F1363"/>
    <w:rsid w:val="63967837"/>
    <w:rsid w:val="644F3BD9"/>
    <w:rsid w:val="64DF0C69"/>
    <w:rsid w:val="65195050"/>
    <w:rsid w:val="655152E4"/>
    <w:rsid w:val="65FFC130"/>
    <w:rsid w:val="6A430769"/>
    <w:rsid w:val="6AF661EB"/>
    <w:rsid w:val="6BBF8288"/>
    <w:rsid w:val="6D8B46EB"/>
    <w:rsid w:val="6D9A244B"/>
    <w:rsid w:val="6DA61068"/>
    <w:rsid w:val="6DD62DA1"/>
    <w:rsid w:val="6E155465"/>
    <w:rsid w:val="6F2F788B"/>
    <w:rsid w:val="6F337DB1"/>
    <w:rsid w:val="6FB22673"/>
    <w:rsid w:val="714A6478"/>
    <w:rsid w:val="718B11A1"/>
    <w:rsid w:val="71D41435"/>
    <w:rsid w:val="72F32083"/>
    <w:rsid w:val="73B26108"/>
    <w:rsid w:val="754622A7"/>
    <w:rsid w:val="75832C9E"/>
    <w:rsid w:val="7665105D"/>
    <w:rsid w:val="785C3550"/>
    <w:rsid w:val="786813E8"/>
    <w:rsid w:val="789D7CA4"/>
    <w:rsid w:val="79212841"/>
    <w:rsid w:val="7B5923BC"/>
    <w:rsid w:val="7C3B22D9"/>
    <w:rsid w:val="7D9F66B2"/>
    <w:rsid w:val="7DB84177"/>
    <w:rsid w:val="7DDCA0CA"/>
    <w:rsid w:val="7E5C71CB"/>
    <w:rsid w:val="7F305F8F"/>
    <w:rsid w:val="9FFDB42A"/>
    <w:rsid w:val="AD562154"/>
    <w:rsid w:val="AE5FD6DE"/>
    <w:rsid w:val="AF2DC5A3"/>
    <w:rsid w:val="AFBF8FE4"/>
    <w:rsid w:val="BBD5C1D5"/>
    <w:rsid w:val="CDDCC715"/>
    <w:rsid w:val="CF3A5818"/>
    <w:rsid w:val="CFF94CC9"/>
    <w:rsid w:val="D1771D5F"/>
    <w:rsid w:val="D1FFCE53"/>
    <w:rsid w:val="D6E5325D"/>
    <w:rsid w:val="D6FFB811"/>
    <w:rsid w:val="D78B2D0F"/>
    <w:rsid w:val="DFFF85DB"/>
    <w:rsid w:val="E72809F9"/>
    <w:rsid w:val="F2BE317D"/>
    <w:rsid w:val="F4DF0D7E"/>
    <w:rsid w:val="F5DFBE9A"/>
    <w:rsid w:val="F9DF549C"/>
    <w:rsid w:val="FB973249"/>
    <w:rsid w:val="FCFB6290"/>
    <w:rsid w:val="FDED0940"/>
    <w:rsid w:val="FDFEF8D9"/>
    <w:rsid w:val="FF5B950F"/>
    <w:rsid w:val="FF77DB44"/>
    <w:rsid w:val="FF9975CF"/>
    <w:rsid w:val="FF9D77BA"/>
    <w:rsid w:val="FFFF0843"/>
    <w:rsid w:val="FFFF6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widowControl/>
      <w:jc w:val="left"/>
    </w:pPr>
    <w:rPr>
      <w:rFonts w:ascii="宋体" w:hAnsi="宋体" w:eastAsia="宋体" w:cs="宋体"/>
      <w:kern w:val="0"/>
      <w:sz w:val="24"/>
    </w:rPr>
  </w:style>
  <w:style w:type="character" w:customStyle="1" w:styleId="8">
    <w:name w:val="页眉 Char"/>
    <w:basedOn w:val="7"/>
    <w:link w:val="4"/>
    <w:uiPriority w:val="0"/>
    <w:rPr>
      <w:rFonts w:eastAsia="仿宋_GB2312"/>
      <w:kern w:val="2"/>
      <w:sz w:val="18"/>
      <w:szCs w:val="24"/>
    </w:rPr>
  </w:style>
  <w:style w:type="character" w:customStyle="1" w:styleId="9">
    <w:name w:val="页脚 Char"/>
    <w:basedOn w:val="7"/>
    <w:link w:val="3"/>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3232</Words>
  <Characters>134</Characters>
  <Lines>1</Lines>
  <Paragraphs>6</Paragraphs>
  <TotalTime>70</TotalTime>
  <ScaleCrop>false</ScaleCrop>
  <LinksUpToDate>false</LinksUpToDate>
  <CharactersWithSpaces>3360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2020-01-20T11:19:00Z</dcterms:created>
  <dc:creator>lenovo</dc:creator>
  <cp:lastModifiedBy>user</cp:lastModifiedBy>
  <cp:lastPrinted>2023-01-17T07:59:00Z</cp:lastPrinted>
  <dcterms:modified xsi:type="dcterms:W3CDTF">2024-03-20T16:55:06Z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2498D0D4EB674338B50226554CA2165E</vt:lpwstr>
  </property>
</Properties>
</file>