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before="0" w:after="0"/>
        <w:jc w:val="center"/>
        <w:rPr>
          <w:rFonts w:hint="default" w:ascii="Times New Roman" w:hAnsi="Times New Roman" w:eastAsia="黑体" w:cs="Times New Roman"/>
          <w:sz w:val="28"/>
          <w:szCs w:val="28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2024年“国培计划”项目一览表</w:t>
      </w:r>
    </w:p>
    <w:tbl>
      <w:tblPr>
        <w:tblStyle w:val="4"/>
        <w:tblW w:w="15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200"/>
        <w:gridCol w:w="1805"/>
        <w:gridCol w:w="6891"/>
        <w:gridCol w:w="2322"/>
        <w:gridCol w:w="133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  <w:t>项目类别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  <w:t>子项目名称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  <w:t>培训对象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  <w:t>培训时长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  <w:t>（天或学时）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</w:rPr>
              <w:t>经费标准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一、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农村骨干老师分层分类培训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农村地区卓越教师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培养计划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农村地区卓越教师培养对象，经市级遴选产生，主要来源是往年农村地区中青年骨干教师培养计划优秀学员。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具有高级教师以上职称，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年龄原则上不超过48周岁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获得过县级以上荣誉称号或政府奖励者，同等条件下优先。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计划培训初中教师185人，培训小学教师380人，培养幼儿园教师185人。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一周期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1.35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万元/人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（2024年）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由市级组织实施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农村地区骨干教师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培养计划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骨干教师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经县级遴选产生。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具有中级以上教师职称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年龄不超过45周岁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。获得过校级以上荣誉称号者优先。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培训道德与法治教师初中、小学各50人，语文教师初中、小学各50人，数学教师初中、小学各50人，初中外语、历史、地理、物理、化学、生物学、信息科技教师50人，体育教师初中50人、小学100人，音乐教师初中50人、小学100人，美术教师初中50人、小学100人，劳动教师初中50人、小学100人，小学科学教师100人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20天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万/人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（2024年）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由县级组织实施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义务教育新课程标准培训（初中）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农村初中学科骨干教师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未参加过该类项目国家级培训。经县级遴选产生，具有中级及以上职称。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道德与法治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人、语文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人、数学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人、外语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人、历史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00人、地理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00人、物理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人、化学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人、生物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00人、信息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科技2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义务教育新课程标准培训（小学）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农村小学学科骨干教师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未参加过该类项目国家级培训。经县级遴选产生，具有中级及以上职称。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道德与法治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1200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人、语文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1600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人、数学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1600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科学800人、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外语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人、信息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科技600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2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紧缺薄弱学科教师培训（初中）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农村初中紧缺薄弱学科教师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未参加过该类项目国家级培训。经县级遴选产生。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00人，音乐100人，美术100人，劳动教育100人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10天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0.45万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紧缺薄弱学科教师培训（小学）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农村小学紧缺薄弱学科教师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未参加过该类项目国家级培训。经县级遴选产生。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体育200人，音乐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00人，美术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00人，劳动教育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10天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0.45万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校园足球教师培训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义务教育学校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体育教师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年龄原则上不超过45周岁。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初中体育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00人，小学体育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00人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集中培训7天，线上研修18学时，线上线下同步进行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0.3204万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心理健康教师专项培训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农村义务教育学校心理健康教师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经县级遴选产生。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人，小学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班主任专项培训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农村义务教育学校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骨干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班主任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经县级遴选产生。具有中级及以上职称。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小学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0人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全学科教师心理健康教育专项培训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农村义务教育学校全学科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骨干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经县级遴选产生。具有中级及以上职称，年龄原则上不超过45周岁。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小学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二、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自主学习模式试点研修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农村学校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自主学习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模式试点研修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遴选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肥东县、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无为市、霍山县、当涂县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个项目试点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试点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加强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本级财政支持、完善教师培训支持服务体系、丰富教师培训课程资源。每试点县区从学前、小学、初中学段遴选有基础、有积极性的试点学校，整校推进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保证学前、小学和初中3个学段都有项目。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10天。按选学流程分段安排，集中培训与在线学习同步。“衔接校本研修”计入项目任务,根据实际需求确定时长，相关支出不占用国培经费，从本级培训经费列支。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0.19万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/年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市县教师培训团队研修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市县教师培训管理者团队研修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市县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教育局主管、教师发展机构管理骨干等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市级教师培训者团队研修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市级教师培训专家库人员和储备人选（市级名师、学科带头人、教研骨干等）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县级教师培训者团队研修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县级教师培训专家库人员和储备人选（县域名师、学科带头人、教研骨干等）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四、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骨干校园长提升研修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初中优秀校长深度研修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初中优秀校长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在正校长岗位工作5年以上、且有高级职称或市级以上荣誉称号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年龄原则上不超过50周岁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2年进阶式培训，2024年是第二年度，集中学习不少于30天。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1.35万元/人/年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第二年）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2023年延续性周期项目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小学优秀校长深度研修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农村小学优秀校长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在正校长岗位工作5年以上、且有高级职称或市级以上荣誉称号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年龄原则上不超过50周岁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2年进阶式培训，2024年是第二年度，集中学习不少于30天。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1.35万元/人/年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第二年）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2023年延续性周期项目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幼儿园优秀园长深度研修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幼儿园优秀园长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在正园长岗位工作5年以上、且有高级职称或市级以上荣誉称号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年龄原则上不超过50周岁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2年进阶式培训，2024年是第二年度，集中学习不少于30天。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1.35万元/人/年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第二年）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2023年延续性周期项目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学校管理团队信息化领导力提升培训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初中示范校管理者团队数字化领导力提升培训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项目区县农村教师信息技术应用能力提升工程2.0示范校校长、主管教学与信息化的副校长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小学示范校管理者团队数字化领导力提升培训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项目区县农村教师信息技术应用能力提升工程2.0示范校校长、主管教学与信息化的副校长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示范幼儿园管理者团队数字化领导力提升培训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项目区县农村教师信息技术应用能力提升工程2.0示范幼儿园园长、主管保教与信息化的副园长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学科骨干教师信息化教学创新能力提升培训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示范校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学科骨干教师数字化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应用能力提升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项目区县农村教师信息技术应用能力提升工程2.0示范校骨干，且提升工程2.0微能力考核优秀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小学示范校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学科骨干教师数字化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应用能力提升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项目区县农村教师信息技术应用能力提升工程2.0示范校骨干，且提升工程2.0微能力考核优秀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示范幼儿园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骨干教师数字化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应用能力提升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项目区县农村教师信息技术应用能力提升工程2.0示范幼儿园骨干，且提升工程2.0微能力考核优秀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七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培训团队信息技术应用指导能力提升培训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市县教育行政管理者教师发展数字化领导力提升培训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市县教育局主管、工程办及教师发展中心相关骨干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市县培训团队教师数字化应用指导能力提升培训（初中）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初中专兼职教研员、学校教育信息化主管等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市县培训团队教师数字化应用指导能力提升培训（小学）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小学专兼职教研员、学校教育信息化主管等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集中培训5天、在线学习30学时，在线学习与集中培训同步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0.234万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元/人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纳入省统一招标项目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YmUyNmEwNDI0ZjRlN2U4ZmRmNDhlMDE4MzgzMjEifQ=="/>
  </w:docVars>
  <w:rsids>
    <w:rsidRoot w:val="4A6F6CDA"/>
    <w:rsid w:val="03AD1C0C"/>
    <w:rsid w:val="0C4F32A3"/>
    <w:rsid w:val="0ED6099A"/>
    <w:rsid w:val="1B283D33"/>
    <w:rsid w:val="22775CAD"/>
    <w:rsid w:val="27063D11"/>
    <w:rsid w:val="28515A10"/>
    <w:rsid w:val="2E5A134D"/>
    <w:rsid w:val="3688368A"/>
    <w:rsid w:val="4A6F6CDA"/>
    <w:rsid w:val="5344322B"/>
    <w:rsid w:val="548B08B3"/>
    <w:rsid w:val="582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2024-05-07T02:05:00Z</dcterms:created>
  <dc:creator>文京羽</dc:creator>
  <cp:lastModifiedBy>Administrator</cp:lastModifiedBy>
  <dcterms:modified xsi:type="dcterms:W3CDTF">2024-05-13T07:25:01Z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0CAFD5B7CD0C48B283C119A303BA3847</vt:lpwstr>
  </property>
</Properties>
</file>