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安徽省物价局、财政厅关于制定我省卫生部门部分行政事业性收费标准的函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皖价费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〔</w:t>
      </w:r>
      <w:r>
        <w:rPr>
          <w:rFonts w:hint="eastAsia" w:ascii="楷体_GB2312" w:hAnsi="楷体_GB2312" w:eastAsia="楷体_GB2312" w:cs="楷体_GB2312"/>
          <w:sz w:val="32"/>
          <w:szCs w:val="32"/>
        </w:rPr>
        <w:t>2007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〕</w:t>
      </w:r>
      <w:r>
        <w:rPr>
          <w:rFonts w:hint="eastAsia" w:ascii="楷体_GB2312" w:hAnsi="楷体_GB2312" w:eastAsia="楷体_GB2312" w:cs="楷体_GB2312"/>
          <w:sz w:val="32"/>
          <w:szCs w:val="32"/>
        </w:rPr>
        <w:t>17号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>2007年1月30日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省卫生厅: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你厅《关于请批准《安徽省卫生监督和防疫防治服务收费标准的函》(卫计秘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2006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481号)悉。为进一步规范卫生部门行政事业性收费,确保卫生监督执法和疾病预防控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制工作的顺利开展,经研究,现将我省卫生部门部分行政事业性收费标准及有关问题函复如下: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一、根据《财政部、国家发展改革委员会关于发布2004年全国性及中央部门和单位行政事业性收费项目目录的通知》(财综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6号)规定的卫生部门收费项目,制定我省消毒药械审批费、化妆品审批费、新资源食品审评费、卫生许可证工本费、卫生监测费、卫生质量检验费、预防性体检费、预防接种劳务费、委托性卫生防疫服务费等9项收费标准(见附件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各级卫生监督和疾病预防控制机构在严格按照各自的职责分工,实施卫生监督执法和疾病防控及公共卫生技术管理服务时,应分别执行卫生监督收费和疾病预防控制服务收费标准,不得交叉和重复收费,严禁擅自增加收费项目和提高收费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各级卫生监督机构依照法律法规、按照国家卫生监督规范,并采用现场快速监测设备开展日常卫生监督监测时，在规定的监督监测频次内,方可执行附件中第五项的卫生监测收费。除此情况之外,开展卫生监测一律不得收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各收费单位应及时到同级价格主管部门办理《收费许可证》,实行亮证收费。收费单位应加强内部管理,提供优质服务,并实行收费公示制度,在收费场所显著位置公布卫生监督和疾病预防控制服务收费项目、收费标准、收费范围等,接受服务对象和社会的监督。收费收入应按照《安徽省政府非税收入管理暂行办法》(省政府第184号令)规定,全额纳入预算,严格实行收支两条线管理,收费时使用省财政厅统一印制的政府非税收入票据。同时,主动接受价格、财政、审计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三、上述规定自2007年1月1日开始执行,试行期1年。期满后按规定程序重新报批。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附件:安徽省卫生部门部分行政事业性收费标准表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FFE5299-20A2-4176-8349-0C9E1F35A25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25C6A4F-E102-44CF-9B0A-BD6B2CED4C2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08894C8-01CE-4F43-9B25-AE72738C39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134C7"/>
    <w:rsid w:val="1AB54A8C"/>
    <w:rsid w:val="2CE5490F"/>
    <w:rsid w:val="337637CD"/>
    <w:rsid w:val="379C685E"/>
    <w:rsid w:val="6BF1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2022-01-14T12:01:00Z</dcterms:created>
  <dc:creator>小梨涡er</dc:creator>
  <cp:lastModifiedBy>小梨涡er</cp:lastModifiedBy>
  <dcterms:modified xsi:type="dcterms:W3CDTF">2022-01-19T01:33:59Z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04CF0EEBF14A4A56909C30FEB63B7C36</vt:lpwstr>
  </property>
</Properties>
</file>