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240" w:beforeLines="100" w:after="120" w:afterLines="50" w:line="500" w:lineRule="exact"/>
        <w:ind w:right="267" w:rightChars="127"/>
        <w:jc w:val="center"/>
        <w:rPr>
          <w:rFonts w:hint="eastAsia" w:ascii="宋体" w:hAnsi="宋体" w:eastAsia="宋体"/>
          <w:b/>
          <w:bCs/>
          <w:color w:val="auto"/>
          <w:sz w:val="52"/>
          <w:szCs w:val="52"/>
          <w:highlight w:val="none"/>
          <w:lang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52"/>
          <w:szCs w:val="52"/>
          <w:highlight w:val="none"/>
        </w:rPr>
      </w:pPr>
      <w:r>
        <w:rPr>
          <w:rFonts w:hint="eastAsia" w:ascii="宋体" w:hAnsi="宋体" w:eastAsia="宋体"/>
          <w:b/>
          <w:bCs/>
          <w:color w:val="auto"/>
          <w:sz w:val="52"/>
          <w:szCs w:val="52"/>
          <w:highlight w:val="none"/>
        </w:rPr>
        <w:t>竞争性磋商文件示范文本（服务类）</w:t>
      </w:r>
    </w:p>
    <w:bookmarkEnd w:id="0"/>
    <w:p>
      <w:pPr>
        <w:tabs>
          <w:tab w:val="left" w:pos="315"/>
          <w:tab w:val="left" w:pos="8820"/>
        </w:tabs>
        <w:spacing w:before="240" w:beforeLines="100" w:after="120" w:afterLines="50" w:line="500" w:lineRule="exact"/>
        <w:ind w:right="267" w:rightChars="127"/>
        <w:jc w:val="center"/>
        <w:rPr>
          <w:rFonts w:ascii="宋体" w:hAnsi="宋体" w:eastAsia="宋体"/>
          <w:bCs/>
          <w:color w:val="auto"/>
          <w:sz w:val="44"/>
          <w:szCs w:val="44"/>
          <w:highlight w:val="none"/>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2024版</w:t>
      </w:r>
      <w:r>
        <w:rPr>
          <w:rFonts w:hint="eastAsia" w:ascii="宋体" w:hAnsi="宋体" w:eastAsia="宋体"/>
          <w:b/>
          <w:bCs/>
          <w:color w:val="auto"/>
          <w:sz w:val="52"/>
          <w:szCs w:val="52"/>
          <w:highlight w:val="none"/>
          <w:lang w:eastAsia="zh-CN"/>
        </w:rPr>
        <w:t>）</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ascii="宋体" w:hAnsi="宋体" w:eastAsia="宋体"/>
          <w:b/>
          <w:color w:val="auto"/>
          <w:spacing w:val="20"/>
          <w:kern w:val="0"/>
          <w:sz w:val="32"/>
          <w:szCs w:val="32"/>
          <w:highlight w:val="none"/>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240" w:beforeLines="100" w:after="120"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hint="eastAsia"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2777"/>
      <w:bookmarkStart w:id="2" w:name="_Toc74227630"/>
      <w:bookmarkStart w:id="3" w:name="_Toc99301417"/>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w:t>
      </w:r>
      <w:r>
        <w:rPr>
          <w:rFonts w:hint="eastAsia" w:ascii="Times New Roman" w:hAnsi="Times New Roman" w:eastAsia="宋体" w:cs="Times New Roman"/>
          <w:kern w:val="0"/>
          <w:sz w:val="24"/>
          <w:szCs w:val="24"/>
          <w:highlight w:val="none"/>
          <w:lang w:val="en-US" w:eastAsia="zh-CN"/>
        </w:rPr>
        <w:t>采购</w:t>
      </w:r>
      <w:r>
        <w:rPr>
          <w:rFonts w:hint="eastAsia" w:ascii="Times New Roman" w:hAnsi="Times New Roman" w:eastAsia="宋体" w:cs="Times New Roman"/>
          <w:kern w:val="0"/>
          <w:sz w:val="24"/>
          <w:szCs w:val="24"/>
          <w:highlight w:val="none"/>
        </w:rPr>
        <w:t>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提供纸质材料。对于供应商依照规定提交各类声明函、承诺函的，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rPr>
        <w:t>供应商自主选择以支票、汇票、本票、保函等非现金形式缴纳或提交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4.《示范文本》在政府采购合同中明确约定双方的违约责任。对于因采购人原因导致中止或者终止政府采购合同的，采购人应当依照合同约定对供应商受到的损失予以赔偿或者补偿。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5.《示范文本》提供《政府采购供应商询问函和质疑函范本》，便于供应商通过网上询问、质疑等多种途径反馈诉求，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2.条款中以“□”形式标记的内容，为采购人或采购代理机构需要确定的选项。编制采购文件时，适用于本项目的选项标记为“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lang w:val="en-US" w:eastAsia="zh-CN"/>
        </w:rPr>
        <w:t>响应</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为便于供应商制作</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lang w:val="en-US" w:eastAsia="zh-CN"/>
        </w:rPr>
        <w:t>磋商小组</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lang w:val="en-US" w:eastAsia="zh-CN"/>
        </w:rPr>
        <w:t>响应</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第二章中“供应商须知前附表”所列条款号与“供应商须知正文”的序号一一对应。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p>
    <w:p>
      <w:pPr>
        <w:pStyle w:val="15"/>
        <w:tabs>
          <w:tab w:val="right" w:leader="dot" w:pos="8279"/>
        </w:tabs>
      </w:pPr>
      <w:r>
        <w:rPr>
          <w:rFonts w:asciiTheme="minorEastAsia" w:hAnsiTheme="minorEastAsia"/>
          <w:b/>
          <w:bCs/>
          <w:color w:val="auto"/>
          <w:sz w:val="24"/>
          <w:szCs w:val="24"/>
          <w:highlight w:val="none"/>
        </w:rPr>
        <w:fldChar w:fldCharType="begin"/>
      </w:r>
      <w:r>
        <w:rPr>
          <w:rFonts w:asciiTheme="minorEastAsia" w:hAnsiTheme="minorEastAsia"/>
          <w:b/>
          <w:bCs/>
          <w:color w:val="auto"/>
          <w:sz w:val="24"/>
          <w:szCs w:val="24"/>
          <w:highlight w:val="none"/>
        </w:rPr>
        <w:instrText xml:space="preserve"> </w:instrText>
      </w:r>
      <w:r>
        <w:rPr>
          <w:rFonts w:hint="eastAsia" w:asciiTheme="minorEastAsia" w:hAnsiTheme="minorEastAsia"/>
          <w:b/>
          <w:bCs/>
          <w:color w:val="auto"/>
          <w:sz w:val="24"/>
          <w:szCs w:val="24"/>
          <w:highlight w:val="none"/>
        </w:rPr>
        <w:instrText xml:space="preserve">TOC \o "1-2" \h \z \u</w:instrText>
      </w:r>
      <w:r>
        <w:rPr>
          <w:rFonts w:asciiTheme="minorEastAsia" w:hAnsiTheme="minorEastAsia"/>
          <w:b/>
          <w:bCs/>
          <w:color w:val="auto"/>
          <w:sz w:val="24"/>
          <w:szCs w:val="24"/>
          <w:highlight w:val="none"/>
        </w:rPr>
        <w:instrText xml:space="preserve"> </w:instrText>
      </w:r>
      <w:r>
        <w:rPr>
          <w:rFonts w:asciiTheme="minorEastAsia" w:hAnsiTheme="minorEastAsia"/>
          <w:b/>
          <w:bCs/>
          <w:color w:val="auto"/>
          <w:sz w:val="24"/>
          <w:szCs w:val="24"/>
          <w:highlight w:val="none"/>
        </w:rPr>
        <w:fldChar w:fldCharType="separate"/>
      </w: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_Toc19988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磋商邀请</w:t>
      </w:r>
      <w:r>
        <w:tab/>
      </w:r>
      <w:r>
        <w:fldChar w:fldCharType="begin"/>
      </w:r>
      <w:r>
        <w:instrText xml:space="preserve"> PAGEREF _Toc19988 \h </w:instrText>
      </w:r>
      <w:r>
        <w:fldChar w:fldCharType="separate"/>
      </w:r>
      <w:r>
        <w:t>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_Toc7162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供应商</w:t>
      </w:r>
      <w:r>
        <w:rPr>
          <w:rFonts w:asciiTheme="minorEastAsia" w:hAnsiTheme="minorEastAsia" w:eastAsiaTheme="minorEastAsia"/>
          <w:highlight w:val="none"/>
        </w:rPr>
        <w:t>须知</w:t>
      </w:r>
      <w:r>
        <w:tab/>
      </w:r>
      <w:r>
        <w:fldChar w:fldCharType="begin"/>
      </w:r>
      <w:r>
        <w:instrText xml:space="preserve"> PAGEREF _Toc7162 \h </w:instrText>
      </w:r>
      <w:r>
        <w:fldChar w:fldCharType="separate"/>
      </w:r>
      <w:r>
        <w:t>3</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_Toc19440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第三章  采购需求</w:t>
      </w:r>
      <w:r>
        <w:tab/>
      </w:r>
      <w:r>
        <w:fldChar w:fldCharType="begin"/>
      </w:r>
      <w:r>
        <w:instrText xml:space="preserve"> PAGEREF _Toc19440 \h </w:instrText>
      </w:r>
      <w:r>
        <w:fldChar w:fldCharType="separate"/>
      </w:r>
      <w:r>
        <w:t>15</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_Toc8668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第四章  评审方法和标准</w:t>
      </w:r>
      <w:r>
        <w:tab/>
      </w:r>
      <w:r>
        <w:fldChar w:fldCharType="begin"/>
      </w:r>
      <w:r>
        <w:instrText xml:space="preserve"> PAGEREF _Toc8668 \h </w:instrText>
      </w:r>
      <w:r>
        <w:fldChar w:fldCharType="separate"/>
      </w:r>
      <w:r>
        <w:t>17</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_Toc17167 </w:instrText>
      </w:r>
      <w:r>
        <w:rPr>
          <w:rFonts w:asciiTheme="minorEastAsia" w:hAnsiTheme="minorEastAsia"/>
          <w:bCs/>
          <w:szCs w:val="24"/>
          <w:highlight w:val="none"/>
        </w:rPr>
        <w:fldChar w:fldCharType="separate"/>
      </w:r>
      <w:r>
        <w:rPr>
          <w:rFonts w:hint="eastAsia" w:asciiTheme="minorEastAsia" w:hAnsiTheme="minorEastAsia" w:eastAsiaTheme="minorEastAsia"/>
        </w:rPr>
        <w:t xml:space="preserve">第五章  </w:t>
      </w:r>
      <w:r>
        <w:rPr>
          <w:rFonts w:asciiTheme="minorEastAsia" w:hAnsiTheme="minorEastAsia" w:eastAsiaTheme="minorEastAsia"/>
        </w:rPr>
        <w:t>政府采购合同</w:t>
      </w:r>
      <w:r>
        <w:tab/>
      </w:r>
      <w:r>
        <w:fldChar w:fldCharType="begin"/>
      </w:r>
      <w:r>
        <w:instrText xml:space="preserve"> PAGEREF _Toc17167 \h </w:instrText>
      </w:r>
      <w:r>
        <w:fldChar w:fldCharType="separate"/>
      </w:r>
      <w:r>
        <w:t>21</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_Toc25148 </w:instrText>
      </w:r>
      <w:r>
        <w:rPr>
          <w:rFonts w:asciiTheme="minorEastAsia" w:hAnsiTheme="minorEastAsia"/>
          <w:bCs/>
          <w:szCs w:val="24"/>
          <w:highlight w:val="none"/>
        </w:rPr>
        <w:fldChar w:fldCharType="separate"/>
      </w:r>
      <w:r>
        <w:rPr>
          <w:rFonts w:hint="eastAsia" w:asciiTheme="minorEastAsia" w:hAnsiTheme="minorEastAsia" w:eastAsiaTheme="minorEastAsia"/>
          <w:highlight w:val="none"/>
        </w:rPr>
        <w:t>第六章  响应文件格式</w:t>
      </w:r>
      <w:r>
        <w:tab/>
      </w:r>
      <w:r>
        <w:fldChar w:fldCharType="begin"/>
      </w:r>
      <w:r>
        <w:instrText xml:space="preserve"> PAGEREF _Toc25148 \h </w:instrText>
      </w:r>
      <w:r>
        <w:fldChar w:fldCharType="separate"/>
      </w:r>
      <w:r>
        <w:t>30</w:t>
      </w:r>
      <w:r>
        <w:fldChar w:fldCharType="end"/>
      </w:r>
      <w:r>
        <w:rPr>
          <w:rFonts w:asciiTheme="minorEastAsia" w:hAnsiTheme="minorEastAsia"/>
          <w:bCs/>
          <w:color w:val="auto"/>
          <w:szCs w:val="24"/>
          <w:highlight w:val="none"/>
        </w:rPr>
        <w:fldChar w:fldCharType="end"/>
      </w:r>
    </w:p>
    <w:p>
      <w:pPr>
        <w:pStyle w:val="15"/>
        <w:tabs>
          <w:tab w:val="right" w:leader="dot" w:pos="8279"/>
        </w:tabs>
      </w:pPr>
      <w:r>
        <w:rPr>
          <w:rFonts w:asciiTheme="minorEastAsia" w:hAnsiTheme="minorEastAsia"/>
          <w:bCs/>
          <w:color w:val="auto"/>
          <w:szCs w:val="24"/>
          <w:highlight w:val="none"/>
        </w:rPr>
        <w:fldChar w:fldCharType="begin"/>
      </w:r>
      <w:r>
        <w:rPr>
          <w:rFonts w:asciiTheme="minorEastAsia" w:hAnsiTheme="minorEastAsia"/>
          <w:bCs/>
          <w:szCs w:val="24"/>
          <w:highlight w:val="none"/>
        </w:rPr>
        <w:instrText xml:space="preserve"> HYPERLINK \l _Toc19418 </w:instrText>
      </w:r>
      <w:r>
        <w:rPr>
          <w:rFonts w:asciiTheme="minorEastAsia" w:hAnsiTheme="minorEastAsia"/>
          <w:bCs/>
          <w:szCs w:val="24"/>
          <w:highlight w:val="none"/>
        </w:rPr>
        <w:fldChar w:fldCharType="separate"/>
      </w:r>
      <w:r>
        <w:rPr>
          <w:rFonts w:hint="eastAsia" w:ascii="宋体" w:hAnsi="宋体" w:eastAsia="宋体"/>
          <w:bCs/>
          <w:highlight w:val="none"/>
        </w:rPr>
        <w:t>第</w:t>
      </w:r>
      <w:r>
        <w:rPr>
          <w:rFonts w:hint="eastAsia" w:ascii="宋体" w:hAnsi="宋体" w:eastAsia="宋体"/>
          <w:bCs/>
          <w:highlight w:val="none"/>
          <w:lang w:val="en-US" w:eastAsia="zh-CN"/>
        </w:rPr>
        <w:t>七</w:t>
      </w:r>
      <w:r>
        <w:rPr>
          <w:rFonts w:hint="eastAsia" w:ascii="宋体" w:hAnsi="宋体" w:eastAsia="宋体"/>
          <w:bCs/>
          <w:highlight w:val="none"/>
        </w:rPr>
        <w:t>章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_Toc19418 \h </w:instrText>
      </w:r>
      <w:r>
        <w:fldChar w:fldCharType="separate"/>
      </w:r>
      <w:r>
        <w:t>47</w:t>
      </w:r>
      <w:r>
        <w:fldChar w:fldCharType="end"/>
      </w:r>
      <w:r>
        <w:rPr>
          <w:rFonts w:asciiTheme="minorEastAsia" w:hAnsiTheme="minorEastAsia"/>
          <w:bCs/>
          <w:color w:val="auto"/>
          <w:szCs w:val="24"/>
          <w:highlight w:val="none"/>
        </w:rPr>
        <w:fldChar w:fldCharType="end"/>
      </w:r>
    </w:p>
    <w:p>
      <w:pPr>
        <w:pStyle w:val="16"/>
        <w:tabs>
          <w:tab w:val="right" w:leader="dot" w:pos="8296"/>
        </w:tabs>
        <w:rPr>
          <w:rFonts w:asciiTheme="minorEastAsia" w:hAnsiTheme="minorEastAsia"/>
          <w:b/>
          <w:color w:val="auto"/>
          <w:sz w:val="32"/>
          <w:highlight w:val="none"/>
        </w:rPr>
      </w:pPr>
      <w:r>
        <w:rPr>
          <w:rFonts w:asciiTheme="minorEastAsia" w:hAnsiTheme="minorEastAsia"/>
          <w:bCs/>
          <w:color w:val="auto"/>
          <w:szCs w:val="24"/>
          <w:highlight w:val="none"/>
        </w:rPr>
        <w:fldChar w:fldCharType="end"/>
      </w: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19988"/>
      <w:bookmarkStart w:id="5" w:name="_Toc501"/>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4"/>
      <w:bookmarkEnd w:id="5"/>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6" w:name="_Toc35393629"/>
      <w:bookmarkStart w:id="7" w:name="_Toc28359089"/>
      <w:bookmarkStart w:id="8" w:name="_Toc14730"/>
      <w:bookmarkStart w:id="9" w:name="_Toc35393798"/>
      <w:bookmarkStart w:id="10" w:name="_Toc28359012"/>
      <w:r>
        <w:rPr>
          <w:rFonts w:hint="eastAsia" w:ascii="宋体" w:hAnsi="宋体" w:eastAsia="宋体" w:cs="宋体"/>
          <w:b/>
          <w:bCs w:val="0"/>
          <w:sz w:val="24"/>
          <w:szCs w:val="24"/>
        </w:rPr>
        <w:t>一、项目基本情况</w:t>
      </w:r>
      <w:bookmarkEnd w:id="6"/>
      <w:bookmarkEnd w:id="7"/>
      <w:bookmarkEnd w:id="8"/>
      <w:bookmarkEnd w:id="9"/>
      <w:bookmarkEnd w:id="1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最高限价</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如有</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Theme="minorEastAsia" w:hAnsiTheme="minorEastAsia" w:eastAsiaTheme="minorEastAsia"/>
          <w:color w:val="auto"/>
          <w:sz w:val="24"/>
          <w:highlight w:val="none"/>
        </w:rPr>
        <w:t>本项目（是/否）接受联合体</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1" w:name="_Toc28359090"/>
      <w:bookmarkStart w:id="12" w:name="_Toc35393799"/>
      <w:bookmarkStart w:id="13" w:name="_Toc32615"/>
      <w:bookmarkStart w:id="14" w:name="_Toc28359013"/>
      <w:bookmarkStart w:id="15" w:name="_Toc35393630"/>
      <w:r>
        <w:rPr>
          <w:rFonts w:hint="eastAsia" w:ascii="宋体" w:hAnsi="宋体" w:eastAsia="宋体" w:cs="宋体"/>
          <w:b/>
          <w:bCs w:val="0"/>
          <w:sz w:val="24"/>
          <w:szCs w:val="24"/>
        </w:rPr>
        <w:t>二、申请人的资格要求：</w:t>
      </w:r>
      <w:bookmarkEnd w:id="11"/>
      <w:bookmarkEnd w:id="12"/>
      <w:bookmarkEnd w:id="13"/>
      <w:bookmarkEnd w:id="14"/>
      <w:bookmarkEnd w:id="1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1.满足《中华人民共和国政府采购法》第二十二条规定；</w:t>
      </w:r>
    </w:p>
    <w:p>
      <w:pPr>
        <w:spacing w:line="360" w:lineRule="auto"/>
        <w:ind w:firstLine="435"/>
        <w:rPr>
          <w:rFonts w:hint="eastAsia" w:ascii="宋体" w:hAnsi="宋体" w:eastAsia="宋体" w:cs="宋体"/>
          <w:sz w:val="24"/>
          <w:szCs w:val="24"/>
        </w:rPr>
      </w:pPr>
      <w:bookmarkStart w:id="16" w:name="_Toc28359014"/>
      <w:bookmarkStart w:id="17" w:name="_Toc28359091"/>
      <w:r>
        <w:rPr>
          <w:rFonts w:hint="eastAsia" w:ascii="宋体" w:hAnsi="宋体" w:eastAsia="宋体" w:cs="宋体"/>
          <w:sz w:val="24"/>
          <w:szCs w:val="24"/>
        </w:rPr>
        <w:t>2.落实政府采购政策需满足的资格要求：</w:t>
      </w:r>
    </w:p>
    <w:p>
      <w:pPr>
        <w:spacing w:line="360" w:lineRule="auto"/>
        <w:ind w:firstLine="435"/>
        <w:rPr>
          <w:rFonts w:hint="default" w:ascii="宋体" w:hAnsi="宋体" w:eastAsia="宋体" w:cs="宋体"/>
          <w:sz w:val="24"/>
          <w:szCs w:val="24"/>
          <w:lang w:val="en-US"/>
        </w:rPr>
      </w:pPr>
      <w:r>
        <w:rPr>
          <w:rFonts w:hint="eastAsia" w:ascii="宋体" w:hAnsi="宋体" w:eastAsia="宋体" w:cs="宋体"/>
          <w:sz w:val="24"/>
          <w:szCs w:val="24"/>
          <w:lang w:val="en-US" w:eastAsia="zh-CN"/>
        </w:rPr>
        <w:t>2.1中小企业政策</w:t>
      </w:r>
    </w:p>
    <w:p>
      <w:pPr>
        <w:spacing w:line="360" w:lineRule="auto"/>
        <w:ind w:firstLine="43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2.1.1□本项目不专门面向中小企业预留采购份额。</w:t>
      </w:r>
    </w:p>
    <w:p>
      <w:pPr>
        <w:spacing w:line="360" w:lineRule="auto"/>
        <w:ind w:firstLine="43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2.1.2□本项目专门面向</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采购。（</w:t>
      </w:r>
      <w:r>
        <w:rPr>
          <w:rFonts w:hint="eastAsia" w:ascii="宋体" w:hAnsi="宋体" w:eastAsia="宋体" w:cs="宋体"/>
          <w:i/>
          <w:iCs/>
          <w:sz w:val="24"/>
          <w:szCs w:val="24"/>
          <w:lang w:val="en-US" w:eastAsia="zh-CN"/>
        </w:rPr>
        <w:t>由采购人根据项目专门面向中小企业采购情形填写</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spacing w:line="360" w:lineRule="auto"/>
        <w:ind w:firstLine="435"/>
        <w:textAlignment w:val="auto"/>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rPr>
          <w:rFonts w:hint="eastAsia" w:ascii="宋体" w:hAnsi="宋体" w:eastAsia="宋体" w:cs="宋体"/>
          <w:sz w:val="24"/>
          <w:szCs w:val="24"/>
          <w:lang w:eastAsia="zh-CN"/>
        </w:rPr>
      </w:pPr>
      <w:r>
        <w:rPr>
          <w:rFonts w:hint="default" w:ascii="宋体" w:hAnsi="宋体" w:eastAsia="宋体" w:cs="宋体"/>
          <w:sz w:val="24"/>
          <w:szCs w:val="24"/>
          <w:lang w:val="en-US" w:eastAsia="zh-CN"/>
        </w:rPr>
        <w:t>2.2</w:t>
      </w:r>
      <w:r>
        <w:rPr>
          <w:rFonts w:hint="eastAsia" w:ascii="宋体" w:hAnsi="宋体" w:eastAsia="宋体" w:cs="宋体"/>
          <w:sz w:val="24"/>
          <w:szCs w:val="24"/>
          <w:lang w:val="en-US" w:eastAsia="zh-CN"/>
        </w:rPr>
        <w:t>其它落实政府采购政策的资格要求（如有）：</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w:t>
      </w:r>
    </w:p>
    <w:p>
      <w:pPr>
        <w:spacing w:line="360" w:lineRule="auto"/>
        <w:ind w:firstLine="435"/>
        <w:rPr>
          <w:rFonts w:hint="eastAsia" w:ascii="宋体" w:hAnsi="宋体" w:eastAsia="宋体" w:cs="宋体"/>
          <w:sz w:val="24"/>
          <w:szCs w:val="24"/>
        </w:rPr>
      </w:pPr>
      <w:r>
        <w:rPr>
          <w:rFonts w:hint="eastAsia" w:ascii="宋体" w:hAnsi="宋体" w:eastAsia="宋体" w:cs="宋体"/>
          <w:sz w:val="24"/>
          <w:szCs w:val="24"/>
        </w:rPr>
        <w:t>3.本项目的特定资格要求：</w:t>
      </w:r>
      <w:r>
        <w:rPr>
          <w:rFonts w:hint="default" w:ascii="宋体" w:hAnsi="宋体" w:eastAsia="宋体" w:cs="宋体"/>
          <w:sz w:val="24"/>
          <w:szCs w:val="24"/>
          <w:lang w:val="en-US" w:eastAsia="zh-CN"/>
        </w:rPr>
        <w:t>___________________</w:t>
      </w:r>
      <w:r>
        <w:rPr>
          <w:rFonts w:hint="eastAsia" w:ascii="宋体" w:hAnsi="宋体" w:eastAsia="宋体" w:cs="宋体"/>
          <w:sz w:val="24"/>
          <w:szCs w:val="24"/>
          <w:lang w:val="en-US" w:eastAsia="zh-CN"/>
        </w:rPr>
        <w:t>。</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18" w:name="_Toc35393800"/>
      <w:bookmarkStart w:id="19" w:name="_Toc24072"/>
      <w:bookmarkStart w:id="20" w:name="_Toc35393631"/>
      <w:r>
        <w:rPr>
          <w:rFonts w:hint="eastAsia" w:ascii="宋体" w:hAnsi="宋体" w:eastAsia="宋体" w:cs="宋体"/>
          <w:b/>
          <w:bCs w:val="0"/>
          <w:sz w:val="24"/>
          <w:szCs w:val="24"/>
        </w:rPr>
        <w:t>三、获取采购文件</w:t>
      </w:r>
      <w:bookmarkEnd w:id="16"/>
      <w:bookmarkEnd w:id="17"/>
      <w:bookmarkEnd w:id="18"/>
      <w:bookmarkEnd w:id="19"/>
      <w:bookmarkEnd w:id="20"/>
    </w:p>
    <w:p>
      <w:pPr>
        <w:spacing w:line="360" w:lineRule="auto"/>
        <w:ind w:firstLine="540"/>
        <w:rPr>
          <w:rFonts w:hint="eastAsia" w:asciiTheme="minorEastAsia" w:hAnsiTheme="minorEastAsia" w:eastAsiaTheme="minorEastAsia" w:cstheme="minorEastAsia"/>
          <w:i/>
          <w:iCs/>
          <w:sz w:val="24"/>
          <w:szCs w:val="24"/>
        </w:rPr>
      </w:pPr>
      <w:bookmarkStart w:id="21" w:name="_Toc35393632"/>
      <w:bookmarkStart w:id="22" w:name="_Toc28359092"/>
      <w:bookmarkStart w:id="23" w:name="_Toc28359015"/>
      <w:bookmarkStart w:id="24" w:name="_Toc35393801"/>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5" w:name="_Toc5805"/>
      <w:r>
        <w:rPr>
          <w:rFonts w:hint="eastAsia" w:ascii="宋体" w:hAnsi="宋体" w:eastAsia="宋体" w:cs="宋体"/>
          <w:b/>
          <w:bCs w:val="0"/>
          <w:sz w:val="24"/>
          <w:szCs w:val="24"/>
        </w:rPr>
        <w:t>四、响应文件提交</w:t>
      </w:r>
      <w:bookmarkEnd w:id="21"/>
      <w:bookmarkEnd w:id="22"/>
      <w:bookmarkEnd w:id="23"/>
      <w:bookmarkEnd w:id="24"/>
      <w:bookmarkEnd w:id="2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r>
        <w:rPr>
          <w:rFonts w:hint="eastAsia" w:ascii="宋体" w:hAnsi="宋体" w:eastAsia="宋体" w:cs="宋体"/>
          <w:iCs/>
          <w:sz w:val="24"/>
          <w:szCs w:val="24"/>
          <w:u w:val="single"/>
        </w:rPr>
        <w:t>（</w:t>
      </w:r>
      <w:r>
        <w:rPr>
          <w:rFonts w:hint="eastAsia" w:ascii="宋体" w:hAnsi="宋体" w:eastAsia="宋体" w:cs="宋体"/>
          <w:i/>
          <w:sz w:val="24"/>
          <w:szCs w:val="24"/>
          <w:u w:val="single"/>
        </w:rPr>
        <w:t>从磋商文件开始发出之日起至供应商提交首次响应文件截止之日止不得少于10日</w:t>
      </w:r>
      <w:r>
        <w:rPr>
          <w:rFonts w:hint="eastAsia" w:ascii="宋体" w:hAnsi="宋体" w:eastAsia="宋体" w:cs="宋体"/>
          <w:iCs/>
          <w:sz w:val="24"/>
          <w:szCs w:val="24"/>
          <w:u w:val="singl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26" w:name="_Toc28359093"/>
      <w:bookmarkStart w:id="27" w:name="_Toc35393802"/>
      <w:bookmarkStart w:id="28" w:name="_Toc35393633"/>
      <w:bookmarkStart w:id="29" w:name="_Toc32658"/>
      <w:bookmarkStart w:id="30" w:name="_Toc28359016"/>
      <w:r>
        <w:rPr>
          <w:rFonts w:hint="eastAsia" w:ascii="宋体" w:hAnsi="宋体" w:eastAsia="宋体" w:cs="宋体"/>
          <w:b/>
          <w:bCs w:val="0"/>
          <w:sz w:val="24"/>
          <w:szCs w:val="24"/>
        </w:rPr>
        <w:t>五、开启</w:t>
      </w:r>
      <w:bookmarkEnd w:id="26"/>
      <w:bookmarkEnd w:id="27"/>
      <w:bookmarkEnd w:id="28"/>
      <w:bookmarkEnd w:id="29"/>
      <w:bookmarkEnd w:id="30"/>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时间：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sz w:val="24"/>
          <w:szCs w:val="24"/>
        </w:rPr>
        <w:t>（北京时间）</w:t>
      </w:r>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sz w:val="24"/>
          <w:szCs w:val="24"/>
          <w:u w:val="single"/>
        </w:rPr>
      </w:pPr>
      <w:r>
        <w:rPr>
          <w:rFonts w:hint="eastAsia" w:ascii="宋体" w:hAnsi="宋体" w:eastAsia="宋体" w:cs="宋体"/>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1" w:name="_Toc35393803"/>
      <w:bookmarkStart w:id="32" w:name="_Toc35393634"/>
      <w:bookmarkStart w:id="33" w:name="_Toc28359017"/>
      <w:bookmarkStart w:id="34" w:name="_Toc6935"/>
      <w:bookmarkStart w:id="35" w:name="_Toc28359094"/>
      <w:r>
        <w:rPr>
          <w:rFonts w:hint="eastAsia" w:ascii="宋体" w:hAnsi="宋体" w:eastAsia="宋体" w:cs="宋体"/>
          <w:b/>
          <w:bCs w:val="0"/>
          <w:sz w:val="24"/>
          <w:szCs w:val="24"/>
        </w:rPr>
        <w:t>六、公告期限</w:t>
      </w:r>
      <w:bookmarkEnd w:id="31"/>
      <w:bookmarkEnd w:id="32"/>
      <w:bookmarkEnd w:id="33"/>
      <w:bookmarkEnd w:id="34"/>
      <w:bookmarkEnd w:id="35"/>
    </w:p>
    <w:p>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自本公告发布之日起3个工作日。</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6" w:name="_Toc23004"/>
      <w:bookmarkStart w:id="37" w:name="_Toc35393804"/>
      <w:bookmarkStart w:id="38" w:name="_Toc35393635"/>
      <w:r>
        <w:rPr>
          <w:rFonts w:hint="eastAsia" w:ascii="宋体" w:hAnsi="宋体" w:eastAsia="宋体" w:cs="宋体"/>
          <w:b/>
          <w:bCs w:val="0"/>
          <w:sz w:val="24"/>
          <w:szCs w:val="24"/>
        </w:rPr>
        <w:t>七、其他补充事宜</w:t>
      </w:r>
      <w:bookmarkEnd w:id="36"/>
      <w:bookmarkEnd w:id="37"/>
      <w:bookmarkEnd w:id="3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pStyle w:val="4"/>
        <w:pageBreakBefore w:val="0"/>
        <w:widowControl w:val="0"/>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宋体" w:hAnsi="宋体" w:eastAsia="宋体" w:cs="宋体"/>
          <w:b/>
          <w:bCs w:val="0"/>
          <w:sz w:val="24"/>
          <w:szCs w:val="24"/>
        </w:rPr>
      </w:pPr>
      <w:bookmarkStart w:id="39" w:name="_Toc28099"/>
      <w:bookmarkStart w:id="40" w:name="_Toc35393636"/>
      <w:bookmarkStart w:id="41" w:name="_Toc35393805"/>
      <w:bookmarkStart w:id="42" w:name="_Toc28359018"/>
      <w:bookmarkStart w:id="43" w:name="_Toc28359095"/>
      <w:r>
        <w:rPr>
          <w:rFonts w:hint="eastAsia" w:ascii="宋体" w:hAnsi="宋体" w:eastAsia="宋体" w:cs="宋体"/>
          <w:b/>
          <w:bCs w:val="0"/>
          <w:sz w:val="24"/>
          <w:szCs w:val="24"/>
        </w:rPr>
        <w:t>八、凡对本次采购提出询问，请按以下方式联系。</w:t>
      </w:r>
      <w:bookmarkEnd w:id="39"/>
      <w:bookmarkEnd w:id="40"/>
      <w:bookmarkEnd w:id="41"/>
      <w:bookmarkEnd w:id="42"/>
      <w:bookmarkEnd w:id="43"/>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44" w:name="_Toc28359096"/>
      <w:bookmarkStart w:id="45" w:name="_Toc29915"/>
      <w:bookmarkStart w:id="46" w:name="_Toc35393637"/>
      <w:bookmarkStart w:id="47" w:name="_Toc28359019"/>
      <w:bookmarkStart w:id="48" w:name="_Toc35393806"/>
      <w:r>
        <w:rPr>
          <w:rFonts w:hint="eastAsia" w:ascii="宋体" w:hAnsi="宋体" w:eastAsia="宋体" w:cs="宋体"/>
          <w:b w:val="0"/>
          <w:sz w:val="24"/>
          <w:szCs w:val="24"/>
        </w:rPr>
        <w:t>1.采购人信息</w:t>
      </w:r>
      <w:bookmarkEnd w:id="44"/>
      <w:bookmarkEnd w:id="45"/>
      <w:bookmarkEnd w:id="46"/>
      <w:bookmarkEnd w:id="47"/>
      <w:bookmarkEnd w:id="48"/>
    </w:p>
    <w:p>
      <w:pPr>
        <w:spacing w:line="360" w:lineRule="auto"/>
        <w:ind w:firstLine="435"/>
        <w:rPr>
          <w:rFonts w:ascii="宋体" w:hAnsi="宋体" w:eastAsia="宋体"/>
          <w:color w:val="auto"/>
          <w:sz w:val="24"/>
          <w:szCs w:val="18"/>
          <w:highlight w:val="none"/>
        </w:rPr>
      </w:pPr>
      <w:bookmarkStart w:id="49" w:name="_Toc28359020"/>
      <w:bookmarkStart w:id="50" w:name="_Toc28359097"/>
      <w:bookmarkStart w:id="51" w:name="_Toc35393638"/>
      <w:bookmarkStart w:id="52" w:name="_Toc35393807"/>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b w:val="0"/>
          <w:sz w:val="24"/>
          <w:szCs w:val="24"/>
        </w:rPr>
      </w:pPr>
      <w:bookmarkStart w:id="53" w:name="_Toc15577"/>
      <w:r>
        <w:rPr>
          <w:rFonts w:hint="eastAsia" w:ascii="宋体" w:hAnsi="宋体" w:eastAsia="宋体" w:cs="宋体"/>
          <w:b w:val="0"/>
          <w:sz w:val="24"/>
          <w:szCs w:val="24"/>
        </w:rPr>
        <w:t>2.采购代理机构信息</w:t>
      </w:r>
      <w:bookmarkEnd w:id="49"/>
      <w:bookmarkEnd w:id="50"/>
      <w:bookmarkEnd w:id="51"/>
      <w:bookmarkEnd w:id="52"/>
      <w:bookmarkEnd w:id="53"/>
    </w:p>
    <w:p>
      <w:pPr>
        <w:spacing w:line="360" w:lineRule="auto"/>
        <w:ind w:firstLine="435"/>
        <w:rPr>
          <w:rFonts w:ascii="宋体" w:hAnsi="宋体" w:eastAsia="宋体"/>
          <w:color w:val="auto"/>
          <w:sz w:val="24"/>
          <w:szCs w:val="18"/>
          <w:highlight w:val="none"/>
        </w:rPr>
      </w:pPr>
      <w:bookmarkStart w:id="54" w:name="_Toc28359098"/>
      <w:bookmarkStart w:id="55" w:name="_Toc35393639"/>
      <w:bookmarkStart w:id="56" w:name="_Toc35393808"/>
      <w:bookmarkStart w:id="57" w:name="_Toc28359021"/>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bookmarkEnd w:id="54"/>
    <w:bookmarkEnd w:id="55"/>
    <w:bookmarkEnd w:id="56"/>
    <w:bookmarkEnd w:id="57"/>
    <w:p>
      <w:pPr>
        <w:spacing w:line="360" w:lineRule="auto"/>
        <w:ind w:firstLine="437"/>
        <w:outlineLvl w:val="9"/>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8" w:name="_Toc7162"/>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58"/>
    </w:p>
    <w:p>
      <w:pPr>
        <w:spacing w:line="360" w:lineRule="auto"/>
        <w:jc w:val="center"/>
        <w:outlineLvl w:val="1"/>
        <w:rPr>
          <w:rFonts w:asciiTheme="minorEastAsia" w:hAnsiTheme="minorEastAsia" w:eastAsiaTheme="minorEastAsia"/>
          <w:b/>
          <w:color w:val="auto"/>
          <w:sz w:val="24"/>
          <w:highlight w:val="none"/>
        </w:rPr>
      </w:pPr>
      <w:bookmarkStart w:id="59" w:name="_Toc11383"/>
      <w:bookmarkStart w:id="60" w:name="_Toc11709"/>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59"/>
      <w:bookmarkEnd w:id="60"/>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本表是本项目的具体要求，是对供应商须知的具体补充和修改，如有不一致，以本表为准。</w:t>
      </w:r>
    </w:p>
    <w:tbl>
      <w:tblPr>
        <w:tblStyle w:val="20"/>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2227"/>
        <w:gridCol w:w="6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yellow"/>
              </w:rPr>
            </w:pPr>
            <w:r>
              <w:rPr>
                <w:rFonts w:hint="eastAsia" w:ascii="宋体" w:hAnsi="宋体" w:eastAsia="宋体"/>
                <w:bCs w:val="0"/>
                <w:color w:val="auto"/>
                <w:kern w:val="2"/>
                <w:sz w:val="24"/>
                <w:szCs w:val="20"/>
                <w:highlight w:val="none"/>
              </w:rPr>
              <w:t>条款号</w:t>
            </w:r>
          </w:p>
        </w:tc>
        <w:tc>
          <w:tcPr>
            <w:tcW w:w="1160"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67" w:type="pct"/>
            <w:vAlign w:val="center"/>
          </w:tcPr>
          <w:p>
            <w:pPr>
              <w:pStyle w:val="37"/>
              <w:widowControl w:val="0"/>
              <w:spacing w:before="0" w:beforeAutospacing="0" w:after="0" w:afterAutospacing="0" w:line="360" w:lineRule="auto"/>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3267" w:type="pct"/>
            <w:vAlign w:val="center"/>
          </w:tcPr>
          <w:p>
            <w:pPr>
              <w:spacing w:line="360" w:lineRule="auto"/>
              <w:rPr>
                <w:rFonts w:ascii="宋体" w:hAnsi="宋体" w:eastAsia="宋体"/>
                <w:bCs/>
                <w:color w:val="auto"/>
                <w:sz w:val="24"/>
                <w:highlight w:val="none"/>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spacing w:line="360" w:lineRule="auto"/>
              <w:rPr>
                <w:rFonts w:ascii="宋体" w:hAnsi="宋体" w:eastAsia="宋体"/>
                <w:bCs/>
                <w:color w:val="auto"/>
                <w:sz w:val="24"/>
                <w:highlight w:val="none"/>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spacing w:line="360" w:lineRule="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如供应商未参加采购人统一组织的现场考察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，由此引起的一切责任由供应商自行承担。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7.1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供应商参加多个包磋商的成交</w:t>
            </w:r>
            <w:r>
              <w:rPr>
                <w:rFonts w:ascii="宋体" w:hAnsi="宋体" w:eastAsia="宋体"/>
                <w:b w:val="0"/>
                <w:bCs w:val="0"/>
                <w:color w:val="auto"/>
                <w:sz w:val="24"/>
                <w:szCs w:val="24"/>
                <w:highlight w:val="none"/>
              </w:rPr>
              <w:t>包</w:t>
            </w:r>
            <w:r>
              <w:rPr>
                <w:rFonts w:hint="eastAsia" w:ascii="宋体" w:hAnsi="宋体" w:eastAsia="宋体"/>
                <w:b w:val="0"/>
                <w:bCs w:val="0"/>
                <w:color w:val="auto"/>
                <w:sz w:val="24"/>
                <w:szCs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10.1</w:t>
            </w:r>
          </w:p>
        </w:tc>
        <w:tc>
          <w:tcPr>
            <w:tcW w:w="1160" w:type="pct"/>
            <w:vAlign w:val="center"/>
          </w:tcPr>
          <w:p>
            <w:pPr>
              <w:pStyle w:val="37"/>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磋商保证金</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11</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磋商有效期</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12</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响应文件解密时间</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none"/>
              </w:rPr>
              <w:t>响应文件提交截止时间后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14.2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评审方法</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17.4</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最后报价扣除</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i/>
                <w:color w:val="auto"/>
                <w:sz w:val="24"/>
                <w:highlight w:val="none"/>
              </w:rPr>
              <w:t>（非专门面向中小企业采购项目适用）</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Merge w:val="restart"/>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19</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60" w:type="pct"/>
            <w:vMerge w:val="restar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rPr>
              <w:t>磋商小组推荐成交</w:t>
            </w:r>
            <w:r>
              <w:rPr>
                <w:rFonts w:ascii="宋体" w:hAnsi="宋体" w:eastAsia="宋体"/>
                <w:b w:val="0"/>
                <w:color w:val="auto"/>
                <w:sz w:val="24"/>
                <w:highlight w:val="none"/>
              </w:rPr>
              <w:t>候选</w:t>
            </w:r>
            <w:r>
              <w:rPr>
                <w:rFonts w:hint="eastAsia" w:ascii="宋体" w:hAnsi="宋体" w:eastAsia="宋体"/>
                <w:b w:val="0"/>
                <w:color w:val="auto"/>
                <w:sz w:val="24"/>
                <w:highlight w:val="none"/>
              </w:rPr>
              <w:t>供应商的</w:t>
            </w:r>
            <w:r>
              <w:rPr>
                <w:rFonts w:ascii="宋体" w:hAnsi="宋体" w:eastAsia="宋体"/>
                <w:b w:val="0"/>
                <w:color w:val="auto"/>
                <w:sz w:val="24"/>
                <w:highlight w:val="none"/>
              </w:rPr>
              <w:t>数</w:t>
            </w:r>
            <w:r>
              <w:rPr>
                <w:rFonts w:hint="eastAsia" w:ascii="宋体" w:hAnsi="宋体" w:eastAsia="宋体"/>
                <w:b w:val="0"/>
                <w:color w:val="auto"/>
                <w:sz w:val="24"/>
                <w:highlight w:val="none"/>
              </w:rPr>
              <w:t>量：3家</w:t>
            </w:r>
            <w:r>
              <w:rPr>
                <w:rFonts w:hint="eastAsia" w:ascii="宋体" w:hAnsi="宋体" w:eastAsia="宋体"/>
                <w:b w:val="0"/>
                <w:color w:val="auto"/>
                <w:sz w:val="24"/>
                <w:highlight w:val="none"/>
                <w:lang w:val="en-US" w:eastAsia="zh-CN"/>
              </w:rPr>
              <w:t>以上</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u w:val="single"/>
                <w:lang w:val="en-US" w:eastAsia="zh-CN" w:bidi="ar-SA"/>
              </w:rPr>
            </w:pPr>
            <w:r>
              <w:rPr>
                <w:rFonts w:hint="eastAsia" w:ascii="宋体" w:hAnsi="宋体" w:eastAsia="宋体"/>
                <w:b w:val="0"/>
                <w:color w:val="auto"/>
                <w:sz w:val="24"/>
                <w:highlight w:val="none"/>
                <w:lang w:val="en-US" w:eastAsia="zh-CN"/>
              </w:rPr>
              <w:t>注：法律、法规另有规定的，从其规定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72" w:type="pct"/>
            <w:vMerge w:val="continue"/>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p>
        </w:tc>
        <w:tc>
          <w:tcPr>
            <w:tcW w:w="1160" w:type="pct"/>
            <w:vMerge w:val="continue"/>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确定成交供应商：</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color w:val="auto"/>
                <w:sz w:val="24"/>
                <w:highlight w:val="none"/>
              </w:rPr>
              <w:sym w:font="Wingdings" w:char="00A8"/>
            </w:r>
            <w:r>
              <w:rPr>
                <w:rFonts w:hint="eastAsia" w:ascii="宋体" w:hAnsi="宋体" w:eastAsia="宋体"/>
                <w:b w:val="0"/>
                <w:color w:val="auto"/>
                <w:sz w:val="24"/>
                <w:highlight w:val="none"/>
              </w:rPr>
              <w:t xml:space="preserve">采购人委托磋商小组确定 </w:t>
            </w:r>
            <w:r>
              <w:rPr>
                <w:rFonts w:ascii="宋体" w:hAnsi="宋体" w:eastAsia="宋体"/>
                <w:b w:val="0"/>
                <w:color w:val="auto"/>
                <w:sz w:val="24"/>
                <w:highlight w:val="none"/>
              </w:rPr>
              <w:t xml:space="preserve">   </w:t>
            </w:r>
            <w:r>
              <w:rPr>
                <w:rFonts w:hint="eastAsia" w:ascii="宋体" w:hAnsi="宋体" w:eastAsia="宋体"/>
                <w:b w:val="0"/>
                <w:color w:val="auto"/>
                <w:sz w:val="24"/>
                <w:highlight w:val="none"/>
              </w:rPr>
              <w:t xml:space="preserve"> □采购人确定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22</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随成交结果公告同时公告的内容</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37"/>
              <w:widowControl w:val="0"/>
              <w:spacing w:before="0" w:beforeAutospacing="0" w:after="0" w:afterAutospacing="0" w:line="360" w:lineRule="auto"/>
              <w:jc w:val="both"/>
              <w:rPr>
                <w:rFonts w:hint="eastAsia" w:ascii="宋体" w:hAnsi="宋体" w:eastAsia="宋体"/>
                <w:b w:val="0"/>
                <w:i/>
                <w:iCs/>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color w:val="auto"/>
                <w:sz w:val="24"/>
                <w:highlight w:val="none"/>
                <w:u w:val="none"/>
                <w:lang w:eastAsia="zh-CN"/>
              </w:rPr>
              <w:t>；</w:t>
            </w:r>
          </w:p>
          <w:p>
            <w:pPr>
              <w:pStyle w:val="37"/>
              <w:widowControl w:val="0"/>
              <w:spacing w:before="0" w:beforeAutospacing="0" w:after="0" w:afterAutospacing="0" w:line="360" w:lineRule="auto"/>
              <w:jc w:val="both"/>
              <w:rPr>
                <w:rFonts w:ascii="宋体" w:hAnsi="宋体" w:eastAsia="宋体" w:cs="@仿宋_GB2312"/>
                <w:b w:val="0"/>
                <w:bCs w:val="0"/>
                <w:color w:val="auto"/>
                <w:kern w:val="0"/>
                <w:sz w:val="24"/>
                <w:szCs w:val="24"/>
                <w:highlight w:val="none"/>
                <w:lang w:val="en-US" w:eastAsia="zh-CN" w:bidi="ar-SA"/>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4</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成交通知书发出的形式</w:t>
            </w:r>
          </w:p>
        </w:tc>
        <w:tc>
          <w:tcPr>
            <w:tcW w:w="3267" w:type="pct"/>
            <w:vAlign w:val="center"/>
          </w:tcPr>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 xml:space="preserve">□书面 </w:t>
            </w:r>
            <w:r>
              <w:rPr>
                <w:rFonts w:ascii="宋体" w:hAnsi="宋体" w:eastAsia="宋体"/>
                <w:b w:val="0"/>
                <w:color w:val="auto"/>
                <w:sz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color w:val="auto"/>
                <w:sz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24</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告知磋商结果的形式</w:t>
            </w:r>
          </w:p>
        </w:tc>
        <w:tc>
          <w:tcPr>
            <w:tcW w:w="3267" w:type="pct"/>
            <w:vAlign w:val="center"/>
          </w:tcPr>
          <w:p>
            <w:pPr>
              <w:pStyle w:val="37"/>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ascii="宋体" w:hAnsi="宋体" w:eastAsia="宋体"/>
                <w:b w:val="0"/>
                <w:bCs w:val="0"/>
                <w:color w:val="auto"/>
                <w:sz w:val="24"/>
                <w:szCs w:val="24"/>
                <w:highlight w:val="none"/>
              </w:rPr>
              <w:t>系统查看</w:t>
            </w:r>
          </w:p>
          <w:p>
            <w:pPr>
              <w:pStyle w:val="37"/>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rPr>
              <w:t>□磋商现场告知</w:t>
            </w:r>
          </w:p>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67" w:type="pct"/>
            <w:vAlign w:val="top"/>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pStyle w:val="37"/>
              <w:widowControl w:val="0"/>
              <w:spacing w:before="0" w:beforeAutospacing="0" w:after="0" w:afterAutospacing="0" w:line="360" w:lineRule="auto"/>
              <w:jc w:val="both"/>
              <w:rPr>
                <w:rFonts w:ascii="宋体" w:hAnsi="宋体" w:eastAsia="宋体" w:cs="@仿宋_GB2312"/>
                <w:b/>
                <w:bCs/>
                <w:color w:val="auto"/>
                <w:kern w:val="0"/>
                <w:sz w:val="24"/>
                <w:szCs w:val="28"/>
                <w:highlight w:val="none"/>
                <w:lang w:val="en-US" w:eastAsia="zh-CN" w:bidi="ar-SA"/>
              </w:rPr>
            </w:pPr>
            <w:r>
              <w:rPr>
                <w:rFonts w:hint="eastAsia" w:ascii="宋体" w:hAnsi="宋体" w:eastAsia="宋体"/>
                <w:bCs w:val="0"/>
                <w:color w:val="auto"/>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lang w:val="en-US" w:eastAsia="zh-CN"/>
              </w:rPr>
              <w:t>代理</w:t>
            </w:r>
            <w:r>
              <w:rPr>
                <w:rFonts w:hint="eastAsia" w:ascii="宋体" w:hAnsi="宋体" w:eastAsia="宋体"/>
                <w:b w:val="0"/>
                <w:color w:val="auto"/>
                <w:sz w:val="24"/>
                <w:highlight w:val="none"/>
              </w:rPr>
              <w:t>费</w:t>
            </w:r>
            <w:r>
              <w:rPr>
                <w:rFonts w:hint="eastAsia" w:ascii="宋体" w:hAnsi="宋体" w:eastAsia="宋体"/>
                <w:b w:val="0"/>
                <w:color w:val="auto"/>
                <w:sz w:val="24"/>
                <w:highlight w:val="none"/>
                <w:lang w:val="en-US" w:eastAsia="zh-CN"/>
              </w:rPr>
              <w:t>用</w:t>
            </w:r>
          </w:p>
        </w:tc>
        <w:tc>
          <w:tcPr>
            <w:tcW w:w="3267"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cs="宋体"/>
                <w:spacing w:val="14"/>
                <w:sz w:val="24"/>
                <w:szCs w:val="24"/>
                <w:lang w:val="en-US" w:eastAsia="zh-CN"/>
              </w:rPr>
              <w:t>成交供应商</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yellow"/>
                <w:lang w:val="en-US" w:eastAsia="zh-CN" w:bidi="ar-SA"/>
              </w:rPr>
            </w:pPr>
            <w:r>
              <w:rPr>
                <w:rFonts w:hint="eastAsia" w:ascii="宋体" w:hAnsi="宋体" w:eastAsia="宋体"/>
                <w:bCs/>
                <w:color w:val="auto"/>
                <w:kern w:val="2"/>
                <w:highlight w:val="none"/>
                <w:lang w:val="en-US" w:eastAsia="zh-CN"/>
              </w:rPr>
              <w:t>27.1</w:t>
            </w:r>
          </w:p>
        </w:tc>
        <w:tc>
          <w:tcPr>
            <w:tcW w:w="1160" w:type="pct"/>
            <w:vAlign w:val="center"/>
          </w:tcPr>
          <w:p>
            <w:pPr>
              <w:pStyle w:val="3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267" w:type="pct"/>
            <w:vAlign w:val="center"/>
          </w:tcPr>
          <w:p>
            <w:pPr>
              <w:pStyle w:val="37"/>
              <w:widowControl w:val="0"/>
              <w:spacing w:before="0" w:beforeAutospacing="0" w:after="0" w:afterAutospacing="0" w:line="360" w:lineRule="auto"/>
              <w:jc w:val="both"/>
              <w:rPr>
                <w:rFonts w:hint="eastAsia" w:ascii="宋体" w:hAnsi="宋体" w:eastAsia="宋体"/>
                <w:b/>
                <w:bCs w:val="0"/>
                <w:color w:val="auto"/>
                <w:sz w:val="24"/>
                <w:highlight w:val="none"/>
                <w:lang w:val="en-US" w:eastAsia="zh-CN"/>
              </w:rPr>
            </w:pPr>
            <w:r>
              <w:rPr>
                <w:rFonts w:hint="eastAsia" w:ascii="宋体" w:hAnsi="宋体" w:eastAsia="宋体"/>
                <w:b/>
                <w:bCs w:val="0"/>
                <w:color w:val="auto"/>
                <w:sz w:val="24"/>
                <w:highlight w:val="none"/>
                <w:lang w:val="en-US" w:eastAsia="zh-CN"/>
              </w:rPr>
              <w:t>（1）采购人与成交供应商应当自发出成交通知书之日起7个工作日内签订合同，采购合同签订之日起2个工作日内完成政府采购合同公开。</w:t>
            </w:r>
          </w:p>
          <w:p>
            <w:pPr>
              <w:pStyle w:val="3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ascii="宋体" w:hAnsi="宋体" w:eastAsia="宋体" w:cs="宋体"/>
                <w:b/>
                <w:bCs w:val="0"/>
                <w:sz w:val="24"/>
                <w:szCs w:val="24"/>
              </w:rPr>
              <w:t>（2）采购人与</w:t>
            </w:r>
            <w:r>
              <w:rPr>
                <w:rFonts w:hint="eastAsia" w:ascii="宋体" w:hAnsi="宋体" w:eastAsia="宋体"/>
                <w:b/>
                <w:bCs w:val="0"/>
                <w:color w:val="auto"/>
                <w:sz w:val="24"/>
                <w:highlight w:val="none"/>
                <w:lang w:val="en-US" w:eastAsia="zh-CN"/>
              </w:rPr>
              <w:t>成交供应商</w:t>
            </w:r>
            <w:r>
              <w:rPr>
                <w:rFonts w:ascii="宋体" w:hAnsi="宋体" w:eastAsia="宋体" w:cs="宋体"/>
                <w:sz w:val="24"/>
                <w:szCs w:val="24"/>
              </w:rPr>
              <w:t>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hint="eastAsia" w:ascii="宋体" w:hAnsi="宋体" w:eastAsia="宋体"/>
                <w:bCs/>
                <w:color w:val="auto"/>
                <w:kern w:val="2"/>
                <w:highlight w:val="yellow"/>
                <w:lang w:eastAsia="zh-CN"/>
              </w:rPr>
            </w:pPr>
            <w:r>
              <w:rPr>
                <w:rFonts w:hint="eastAsia" w:ascii="宋体" w:hAnsi="宋体" w:eastAsia="宋体"/>
                <w:bCs/>
                <w:color w:val="auto"/>
                <w:kern w:val="2"/>
                <w:highlight w:val="none"/>
                <w:lang w:val="en-US" w:eastAsia="zh-CN"/>
              </w:rPr>
              <w:t>29.3</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67"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37"/>
              <w:widowControl w:val="0"/>
              <w:spacing w:before="0" w:beforeAutospacing="0" w:after="0" w:afterAutospacing="0" w:line="360" w:lineRule="auto"/>
              <w:jc w:val="both"/>
              <w:rPr>
                <w:rFonts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002" w:type="dxa"/>
            <w:vAlign w:val="center"/>
          </w:tcPr>
          <w:p>
            <w:pPr>
              <w:pStyle w:val="38"/>
              <w:pBdr>
                <w:bottom w:val="none" w:color="auto" w:sz="0" w:space="0"/>
              </w:pBdr>
              <w:tabs>
                <w:tab w:val="clear" w:pos="4153"/>
                <w:tab w:val="clear" w:pos="8306"/>
              </w:tabs>
              <w:adjustRightInd/>
              <w:spacing w:line="360" w:lineRule="auto"/>
              <w:textAlignment w:val="auto"/>
              <w:rPr>
                <w:rFonts w:ascii="宋体" w:hAnsi="宋体" w:eastAsia="宋体"/>
                <w:bCs/>
                <w:color w:val="auto"/>
                <w:kern w:val="2"/>
                <w:highlight w:val="yellow"/>
              </w:rPr>
            </w:pPr>
            <w:r>
              <w:rPr>
                <w:rFonts w:hint="eastAsia" w:ascii="宋体" w:hAnsi="宋体" w:eastAsia="宋体"/>
                <w:bCs/>
                <w:color w:val="auto"/>
                <w:kern w:val="2"/>
                <w:highlight w:val="none"/>
                <w:lang w:val="en-US" w:eastAsia="zh-CN"/>
              </w:rPr>
              <w:t>30</w:t>
            </w:r>
          </w:p>
        </w:tc>
        <w:tc>
          <w:tcPr>
            <w:tcW w:w="1160"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其他内容</w:t>
            </w:r>
          </w:p>
        </w:tc>
        <w:tc>
          <w:tcPr>
            <w:tcW w:w="6274" w:type="dxa"/>
            <w:vAlign w:val="center"/>
          </w:tcPr>
          <w:p>
            <w:pPr>
              <w:spacing w:line="360" w:lineRule="auto"/>
              <w:rPr>
                <w:rFonts w:hint="default"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（5）</w:t>
            </w:r>
            <w:r>
              <w:rPr>
                <w:rFonts w:asciiTheme="minorEastAsia" w:hAnsiTheme="minorEastAsia" w:eastAsiaTheme="minorEastAsia"/>
                <w:bCs/>
                <w:color w:val="auto"/>
                <w:sz w:val="24"/>
                <w:szCs w:val="24"/>
                <w:highlight w:val="none"/>
              </w:rPr>
              <w:t>按本款前述规定仍不能形成结论的，由</w:t>
            </w:r>
            <w:r>
              <w:rPr>
                <w:rFonts w:hint="eastAsia" w:asciiTheme="minorEastAsia" w:hAnsiTheme="minorEastAsia" w:eastAsiaTheme="minorEastAsia"/>
                <w:bCs/>
                <w:color w:val="auto"/>
                <w:sz w:val="24"/>
                <w:szCs w:val="24"/>
                <w:highlight w:val="none"/>
              </w:rPr>
              <w:t>采购</w:t>
            </w:r>
            <w:r>
              <w:rPr>
                <w:rFonts w:asciiTheme="minorEastAsia" w:hAnsiTheme="minorEastAsia" w:eastAsiaTheme="minorEastAsia"/>
                <w:bCs/>
                <w:color w:val="auto"/>
                <w:sz w:val="24"/>
                <w:szCs w:val="24"/>
                <w:highlight w:val="none"/>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供应商</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成交供应商</w:t>
            </w:r>
            <w:r>
              <w:rPr>
                <w:rFonts w:hint="eastAsia" w:asciiTheme="minorEastAsia" w:hAnsiTheme="minorEastAsia" w:eastAsiaTheme="minorEastAsia"/>
                <w:bCs/>
                <w:color w:val="auto"/>
                <w:sz w:val="24"/>
                <w:szCs w:val="24"/>
                <w:highlight w:val="none"/>
              </w:rPr>
              <w:t>融资申请信息推送第三方平台、意向金融机构。</w:t>
            </w:r>
          </w:p>
          <w:p>
            <w:pPr>
              <w:spacing w:line="360" w:lineRule="auto"/>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3.电子保函指引：成交供应商可访问安徽省政府采购网“融资/保函”栏目，申请办理电子保函（包括：履约保函、预付款保函）。</w:t>
            </w:r>
          </w:p>
          <w:p>
            <w:pPr>
              <w:spacing w:line="360" w:lineRule="auto"/>
              <w:rPr>
                <w:rFonts w:hint="eastAsia" w:cs="@仿宋_GB2312" w:asciiTheme="minorEastAsia" w:hAnsiTheme="minorEastAsia" w:eastAsiaTheme="minorEastAsia"/>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61" w:name="_Toc14293"/>
      <w:bookmarkStart w:id="62" w:name="_Toc27470"/>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61"/>
      <w:bookmarkEnd w:id="62"/>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yellow"/>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w:t>
      </w:r>
      <w:r>
        <w:rPr>
          <w:rFonts w:hint="eastAsia" w:ascii="宋体" w:hAnsi="宋体" w:eastAsia="宋体"/>
          <w:color w:val="auto"/>
          <w:sz w:val="24"/>
          <w:highlight w:val="none"/>
        </w:rPr>
        <w:t>供应商</w:t>
      </w:r>
      <w:r>
        <w:rPr>
          <w:rFonts w:ascii="宋体" w:hAnsi="宋体" w:eastAsia="宋体"/>
          <w:color w:val="auto"/>
          <w:sz w:val="24"/>
          <w:highlight w:val="none"/>
        </w:rPr>
        <w:t>：是指向采购人提供货物、工程或者服务的法人、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w:t>
      </w:r>
      <w:r>
        <w:rPr>
          <w:rFonts w:hint="eastAsia" w:ascii="宋体" w:hAnsi="宋体" w:eastAsia="宋体"/>
          <w:color w:val="auto"/>
          <w:sz w:val="24"/>
          <w:highlight w:val="none"/>
        </w:rPr>
        <w:t>供应商</w:t>
      </w:r>
      <w:r>
        <w:rPr>
          <w:rFonts w:ascii="宋体" w:hAnsi="宋体" w:eastAsia="宋体"/>
          <w:color w:val="auto"/>
          <w:sz w:val="24"/>
          <w:highlight w:val="none"/>
        </w:rPr>
        <w:t>及其</w:t>
      </w:r>
      <w:r>
        <w:rPr>
          <w:rFonts w:hint="eastAsia" w:ascii="宋体" w:hAnsi="宋体" w:eastAsia="宋体"/>
          <w:color w:val="auto"/>
          <w:sz w:val="24"/>
          <w:highlight w:val="none"/>
        </w:rPr>
        <w:t>所</w:t>
      </w:r>
      <w:r>
        <w:rPr>
          <w:rFonts w:ascii="宋体" w:hAnsi="宋体" w:eastAsia="宋体"/>
          <w:color w:val="auto"/>
          <w:sz w:val="24"/>
          <w:highlight w:val="none"/>
        </w:rPr>
        <w:t>投货物须满足以下条件：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w:t>
      </w:r>
      <w:r>
        <w:rPr>
          <w:rFonts w:hint="eastAsia" w:ascii="宋体" w:hAnsi="宋体" w:eastAsia="宋体"/>
          <w:color w:val="auto"/>
          <w:sz w:val="24"/>
          <w:highlight w:val="none"/>
          <w:lang w:val="en-US" w:eastAsia="zh-CN"/>
        </w:rPr>
        <w:t>磋商</w:t>
      </w:r>
      <w:r>
        <w:rPr>
          <w:rFonts w:ascii="宋体" w:hAnsi="宋体" w:eastAsia="宋体"/>
          <w:color w:val="auto"/>
          <w:sz w:val="24"/>
          <w:highlight w:val="none"/>
        </w:rPr>
        <w:t>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w:t>
      </w:r>
      <w:r>
        <w:rPr>
          <w:rFonts w:hint="eastAsia" w:ascii="宋体" w:hAnsi="宋体" w:eastAsia="宋体"/>
          <w:color w:val="auto"/>
          <w:sz w:val="24"/>
          <w:highlight w:val="none"/>
          <w:lang w:val="en-US" w:eastAsia="zh-CN"/>
        </w:rPr>
        <w:t>供应商</w:t>
      </w:r>
      <w:r>
        <w:rPr>
          <w:rFonts w:ascii="宋体" w:hAnsi="宋体" w:eastAsia="宋体"/>
          <w:color w:val="auto"/>
          <w:sz w:val="24"/>
          <w:highlight w:val="none"/>
        </w:rPr>
        <w:t>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lang w:eastAsia="zh-CN"/>
        </w:rPr>
        <w:t>采购需求</w:t>
      </w:r>
      <w:r>
        <w:rPr>
          <w:rFonts w:hint="eastAsia" w:ascii="宋体" w:hAnsi="宋体" w:eastAsia="宋体"/>
          <w:color w:val="auto"/>
          <w:sz w:val="24"/>
          <w:highlight w:val="none"/>
        </w:rPr>
        <w:t>中未写明允许采购进口产品，如供应商所投产品为进口产品，其响应文件将被认定为</w:t>
      </w:r>
      <w:r>
        <w:rPr>
          <w:rFonts w:hint="eastAsia" w:ascii="宋体" w:hAnsi="宋体" w:eastAsia="宋体"/>
          <w:b/>
          <w:color w:val="auto"/>
          <w:sz w:val="24"/>
          <w:highlight w:val="none"/>
        </w:rPr>
        <w:t>响应无效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bookmarkStart w:id="63" w:name="_Hlk60607583"/>
      <w:r>
        <w:rPr>
          <w:rFonts w:hint="eastAsia" w:ascii="宋体" w:hAnsi="宋体" w:eastAsia="宋体"/>
          <w:bCs/>
          <w:color w:val="auto"/>
          <w:kern w:val="0"/>
          <w:sz w:val="24"/>
          <w:szCs w:val="28"/>
          <w:highlight w:val="none"/>
          <w:lang w:val="en-US" w:eastAsia="zh-CN"/>
        </w:rPr>
        <w:t>1</w:t>
      </w:r>
      <w:r>
        <w:rPr>
          <w:rFonts w:ascii="宋体" w:hAnsi="宋体" w:eastAsia="宋体"/>
          <w:bCs/>
          <w:color w:val="auto"/>
          <w:kern w:val="0"/>
          <w:sz w:val="24"/>
          <w:szCs w:val="28"/>
          <w:highlight w:val="none"/>
        </w:rPr>
        <w:t>.5</w:t>
      </w:r>
      <w:r>
        <w:rPr>
          <w:rFonts w:hint="eastAsia" w:ascii="宋体" w:hAnsi="宋体" w:eastAsia="宋体"/>
          <w:bCs/>
          <w:color w:val="auto"/>
          <w:kern w:val="0"/>
          <w:sz w:val="24"/>
          <w:szCs w:val="28"/>
          <w:highlight w:val="none"/>
        </w:rPr>
        <w:t>若竞争性磋商公告</w:t>
      </w:r>
      <w:r>
        <w:rPr>
          <w:rFonts w:ascii="宋体" w:hAnsi="宋体" w:eastAsia="宋体"/>
          <w:bCs/>
          <w:color w:val="auto"/>
          <w:kern w:val="0"/>
          <w:sz w:val="24"/>
          <w:szCs w:val="28"/>
          <w:highlight w:val="none"/>
        </w:rPr>
        <w:t>中允许联合体</w:t>
      </w:r>
      <w:r>
        <w:rPr>
          <w:rFonts w:hint="eastAsia" w:ascii="宋体" w:hAnsi="宋体" w:eastAsia="宋体"/>
          <w:bCs/>
          <w:color w:val="auto"/>
          <w:kern w:val="0"/>
          <w:sz w:val="24"/>
          <w:szCs w:val="28"/>
          <w:highlight w:val="none"/>
        </w:rPr>
        <w:t>参加磋商</w:t>
      </w:r>
      <w:r>
        <w:rPr>
          <w:rFonts w:ascii="宋体" w:hAnsi="宋体" w:eastAsia="宋体"/>
          <w:bCs/>
          <w:color w:val="auto"/>
          <w:kern w:val="0"/>
          <w:sz w:val="24"/>
          <w:szCs w:val="28"/>
          <w:highlight w:val="none"/>
        </w:rPr>
        <w:t>，对联合体规定如下：</w:t>
      </w:r>
    </w:p>
    <w:bookmarkEnd w:id="63"/>
    <w:p>
      <w:pPr>
        <w:spacing w:line="360" w:lineRule="auto"/>
        <w:ind w:firstLine="435"/>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.1</w:t>
      </w:r>
      <w:r>
        <w:rPr>
          <w:rFonts w:hint="eastAsia" w:ascii="宋体" w:hAnsi="宋体" w:eastAsia="宋体"/>
          <w:color w:val="auto"/>
          <w:sz w:val="24"/>
          <w:highlight w:val="none"/>
        </w:rPr>
        <w:t>两个以上供应商可以组成一个磋商联合体，以一个供应商的身份磋商</w:t>
      </w:r>
      <w:r>
        <w:rPr>
          <w:rFonts w:ascii="宋体" w:hAnsi="宋体" w:eastAsia="宋体"/>
          <w:color w:val="auto"/>
          <w:sz w:val="24"/>
          <w:highlight w:val="none"/>
        </w:rPr>
        <w:t>。</w:t>
      </w:r>
      <w:r>
        <w:rPr>
          <w:rFonts w:ascii="宋体" w:hAnsi="宋体" w:eastAsia="宋体"/>
          <w:b w:val="0"/>
          <w:color w:val="auto"/>
          <w:sz w:val="24"/>
          <w:highlight w:val="none"/>
        </w:rPr>
        <w:t>联合体参加磋商的，</w:t>
      </w:r>
      <w:r>
        <w:rPr>
          <w:rFonts w:hint="eastAsia" w:ascii="宋体" w:hAnsi="宋体" w:eastAsia="宋体"/>
          <w:b w:val="0"/>
          <w:color w:val="auto"/>
          <w:sz w:val="24"/>
          <w:highlight w:val="none"/>
        </w:rPr>
        <w:t>磋商文件获取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任一</w:t>
      </w:r>
      <w:r>
        <w:rPr>
          <w:rFonts w:hint="eastAsia" w:ascii="宋体" w:hAnsi="宋体" w:eastAsia="宋体"/>
          <w:b w:val="0"/>
          <w:color w:val="auto"/>
          <w:sz w:val="24"/>
          <w:highlight w:val="none"/>
        </w:rPr>
        <w:t>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.3采购人根据采购项目对</w:t>
      </w:r>
      <w:r>
        <w:rPr>
          <w:rFonts w:hint="eastAsia" w:ascii="宋体" w:hAnsi="宋体" w:eastAsia="宋体"/>
          <w:color w:val="auto"/>
          <w:sz w:val="24"/>
          <w:highlight w:val="none"/>
        </w:rPr>
        <w:t>供应商</w:t>
      </w:r>
      <w:r>
        <w:rPr>
          <w:rFonts w:ascii="宋体" w:hAnsi="宋体" w:eastAsia="宋体"/>
          <w:color w:val="auto"/>
          <w:sz w:val="24"/>
          <w:highlight w:val="none"/>
        </w:rPr>
        <w:t>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w:t>
      </w:r>
      <w:r>
        <w:rPr>
          <w:rFonts w:hint="eastAsia" w:ascii="宋体" w:hAnsi="宋体" w:eastAsia="宋体"/>
          <w:color w:val="auto"/>
          <w:sz w:val="24"/>
          <w:highlight w:val="none"/>
        </w:rPr>
        <w:t>响应</w:t>
      </w:r>
      <w:r>
        <w:rPr>
          <w:rFonts w:ascii="宋体" w:hAnsi="宋体" w:eastAsia="宋体"/>
          <w:color w:val="auto"/>
          <w:sz w:val="24"/>
          <w:highlight w:val="none"/>
        </w:rPr>
        <w:t>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.5大中型企业、其他自然人、法人或者非法人组织与小型、微型企业组成联合体共同参加</w:t>
      </w:r>
      <w:r>
        <w:rPr>
          <w:rFonts w:hint="eastAsia" w:ascii="宋体" w:hAnsi="宋体" w:eastAsia="宋体"/>
          <w:color w:val="auto"/>
          <w:sz w:val="24"/>
          <w:highlight w:val="none"/>
        </w:rPr>
        <w:t>磋商</w:t>
      </w:r>
      <w:r>
        <w:rPr>
          <w:rFonts w:ascii="宋体" w:hAnsi="宋体" w:eastAsia="宋体"/>
          <w:color w:val="auto"/>
          <w:sz w:val="24"/>
          <w:highlight w:val="none"/>
        </w:rPr>
        <w:t>，</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联合协议合同</w:t>
      </w:r>
      <w:r>
        <w:rPr>
          <w:rFonts w:ascii="宋体" w:hAnsi="宋体" w:eastAsia="宋体"/>
          <w:color w:val="auto"/>
          <w:sz w:val="24"/>
          <w:highlight w:val="none"/>
        </w:rPr>
        <w:t>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.7以联合体形式参加政府采购活动的，联合体各方不得再单独参加或者与其他供应商另外组成联合体参加本项目</w:t>
      </w:r>
      <w:r>
        <w:rPr>
          <w:rFonts w:hint="eastAsia" w:ascii="宋体" w:hAnsi="宋体" w:eastAsia="宋体"/>
          <w:color w:val="auto"/>
          <w:sz w:val="24"/>
          <w:highlight w:val="none"/>
        </w:rPr>
        <w:t>磋商</w:t>
      </w:r>
      <w:r>
        <w:rPr>
          <w:rFonts w:ascii="宋体" w:hAnsi="宋体" w:eastAsia="宋体"/>
          <w:color w:val="auto"/>
          <w:sz w:val="24"/>
          <w:highlight w:val="none"/>
        </w:rPr>
        <w:t>，否则相关</w:t>
      </w:r>
      <w:r>
        <w:rPr>
          <w:rFonts w:hint="eastAsia" w:ascii="宋体" w:hAnsi="宋体" w:eastAsia="宋体"/>
          <w:color w:val="auto"/>
          <w:sz w:val="24"/>
          <w:highlight w:val="none"/>
        </w:rPr>
        <w:t>响应文件将被认定为</w:t>
      </w:r>
      <w:r>
        <w:rPr>
          <w:rFonts w:hint="eastAsia" w:ascii="宋体" w:hAnsi="宋体" w:eastAsia="宋体"/>
          <w:b/>
          <w:color w:val="auto"/>
          <w:sz w:val="24"/>
          <w:highlight w:val="none"/>
        </w:rPr>
        <w:t>响应无效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w:t>
      </w:r>
      <w:r>
        <w:rPr>
          <w:rFonts w:hint="eastAsia" w:ascii="宋体" w:hAnsi="宋体" w:eastAsia="宋体"/>
          <w:color w:val="auto"/>
          <w:sz w:val="24"/>
          <w:highlight w:val="none"/>
        </w:rPr>
        <w:t>5</w:t>
      </w:r>
      <w:r>
        <w:rPr>
          <w:rFonts w:ascii="宋体" w:hAnsi="宋体" w:eastAsia="宋体"/>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不论磋商的结果如何，供应商应承担其所有与准备和参加磋商有关的费用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2"/>
        <w:rPr>
          <w:rFonts w:hint="eastAsia" w:ascii="宋体" w:hAnsi="宋体" w:eastAsia="宋体"/>
          <w:color w:val="auto"/>
          <w:sz w:val="24"/>
          <w:highlight w:val="none"/>
        </w:rPr>
      </w:pPr>
      <w:r>
        <w:rPr>
          <w:rFonts w:hint="eastAsia" w:ascii="宋体" w:hAnsi="宋体" w:eastAsia="宋体"/>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.1磋商文件包括下列内容：</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rFonts w:ascii="宋体" w:hAnsi="宋体" w:eastAsia="宋体"/>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64" w:name="_Hlk16458572"/>
      <w:r>
        <w:rPr>
          <w:rFonts w:hint="eastAsia" w:ascii="宋体" w:hAnsi="宋体" w:eastAsia="宋体"/>
          <w:color w:val="auto"/>
          <w:sz w:val="24"/>
          <w:szCs w:val="18"/>
          <w:highlight w:val="none"/>
        </w:rPr>
        <w:t>安徽省政府采购网及</w:t>
      </w:r>
      <w:bookmarkEnd w:id="64"/>
      <w:r>
        <w:rPr>
          <w:rFonts w:hint="eastAsia" w:asciiTheme="minorEastAsia" w:hAnsiTheme="minorEastAsia" w:eastAsiaTheme="minorEastAsia"/>
          <w:color w:val="auto"/>
          <w:sz w:val="24"/>
          <w:highlight w:val="none"/>
        </w:rPr>
        <w:t>以发布更正公告的方式澄清或者修改磋商文件，更正公告的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pPr>
        <w:spacing w:line="360" w:lineRule="auto"/>
        <w:ind w:firstLine="435"/>
        <w:rPr>
          <w:rFonts w:hint="eastAsia" w:asciiTheme="minorEastAsia" w:hAnsiTheme="minorEastAsia" w:eastAsiaTheme="minorEastAsia"/>
          <w:iCs/>
          <w:color w:val="auto"/>
          <w:sz w:val="24"/>
          <w:highlight w:val="none"/>
          <w:lang w:eastAsia="zh-CN"/>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lang w:eastAsia="zh-CN"/>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pPr>
        <w:spacing w:line="360" w:lineRule="auto"/>
        <w:ind w:firstLine="435"/>
        <w:rPr>
          <w:rFonts w:hint="default" w:eastAsiaTheme="minorEastAsia"/>
          <w:highlight w:val="none"/>
          <w:lang w:val="en-US" w:eastAsia="zh-CN"/>
        </w:rPr>
      </w:pPr>
      <w:r>
        <w:rPr>
          <w:rFonts w:hint="eastAsia" w:asciiTheme="minorEastAsia" w:hAnsiTheme="minorEastAsia" w:eastAsiaTheme="minorEastAsia"/>
          <w:color w:val="auto"/>
          <w:sz w:val="24"/>
          <w:highlight w:val="none"/>
          <w:lang w:val="en-US" w:eastAsia="zh-CN"/>
        </w:rPr>
        <w:t>7.2 供应商</w:t>
      </w:r>
      <w:r>
        <w:rPr>
          <w:rFonts w:asciiTheme="minorEastAsia" w:hAnsiTheme="minorEastAsia" w:eastAsiaTheme="minorEastAsia"/>
          <w:color w:val="auto"/>
          <w:sz w:val="24"/>
          <w:highlight w:val="none"/>
        </w:rPr>
        <w:t>应当对所投分包</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将被认定为</w:t>
      </w:r>
      <w:r>
        <w:rPr>
          <w:rFonts w:hint="eastAsia" w:asciiTheme="minorEastAsia" w:hAnsiTheme="minorEastAsia" w:eastAsiaTheme="minorEastAsia"/>
          <w:b/>
          <w:color w:val="auto"/>
          <w:sz w:val="24"/>
          <w:highlight w:val="none"/>
          <w:lang w:val="en-US" w:eastAsia="zh-CN"/>
        </w:rPr>
        <w:t>响应</w:t>
      </w:r>
      <w:r>
        <w:rPr>
          <w:rFonts w:asciiTheme="minorEastAsia" w:hAnsiTheme="minorEastAsia" w:eastAsiaTheme="minorEastAsia"/>
          <w:b/>
          <w:color w:val="auto"/>
          <w:sz w:val="24"/>
          <w:highlight w:val="none"/>
        </w:rPr>
        <w:t>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无论磋商文件中是否要求，供应商所投货物及伴随的服务和工程均应符合国家强制性标准。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它语言，但必须附中文译文。翻译的中文资料与外文资料如果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应完整地按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文件提供的</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具体内容详见本项目</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hint="eastAsia" w:ascii="宋体" w:hAnsi="宋体" w:eastAsia="宋体"/>
          <w:color w:val="auto"/>
          <w:sz w:val="24"/>
          <w:highlight w:val="none"/>
          <w:lang w:val="en-US" w:eastAsia="zh-CN"/>
        </w:rPr>
        <w:t>供应商</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文件要求的</w:t>
      </w:r>
      <w:r>
        <w:rPr>
          <w:rFonts w:asciiTheme="minorEastAsia" w:hAnsiTheme="minorEastAsia" w:eastAsiaTheme="minorEastAsia"/>
          <w:color w:val="auto"/>
          <w:sz w:val="24"/>
          <w:highlight w:val="none"/>
        </w:rPr>
        <w:t>证明文件，证明其</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内容符合</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w:t>
      </w:r>
      <w:r>
        <w:rPr>
          <w:rFonts w:hint="eastAsia" w:asciiTheme="minorEastAsia" w:hAnsiTheme="minorEastAsia" w:eastAsiaTheme="minorEastAsia"/>
          <w:color w:val="auto"/>
          <w:sz w:val="24"/>
          <w:highlight w:val="none"/>
          <w:lang w:val="en-US" w:eastAsia="zh-CN"/>
        </w:rPr>
        <w:t>响应</w:t>
      </w:r>
      <w:r>
        <w:rPr>
          <w:rFonts w:asciiTheme="minorEastAsia" w:hAnsiTheme="minorEastAsia" w:eastAsiaTheme="minorEastAsia"/>
          <w:color w:val="auto"/>
          <w:sz w:val="24"/>
          <w:highlight w:val="none"/>
        </w:rPr>
        <w:t>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r>
        <w:rPr>
          <w:rFonts w:hint="eastAsia" w:asciiTheme="minorEastAsia" w:hAnsiTheme="minorEastAsia" w:eastAsiaTheme="minorEastAsia"/>
          <w:color w:val="auto"/>
          <w:sz w:val="24"/>
          <w:highlight w:val="none"/>
          <w:lang w:val="en-US" w:eastAsia="zh-CN"/>
        </w:rPr>
        <w:t>等。</w:t>
      </w:r>
    </w:p>
    <w:p>
      <w:pPr>
        <w:spacing w:line="360" w:lineRule="auto"/>
        <w:ind w:firstLine="435"/>
        <w:rPr>
          <w:rFonts w:hint="default" w:asciiTheme="minorEastAsia" w:hAnsiTheme="minorEastAsia" w:eastAsiaTheme="minorEastAsia"/>
          <w:color w:val="auto"/>
          <w:sz w:val="24"/>
          <w:highlight w:val="yellow"/>
          <w:lang w:val="en-US" w:eastAsia="zh-CN"/>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w:t>
      </w:r>
      <w:r>
        <w:rPr>
          <w:rFonts w:hint="eastAsia" w:asciiTheme="minorEastAsia" w:hAnsiTheme="minorEastAsia" w:eastAsiaTheme="minorEastAsia"/>
          <w:color w:val="auto"/>
          <w:sz w:val="24"/>
          <w:highlight w:val="none"/>
          <w:lang w:val="en-US" w:eastAsia="zh-CN"/>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w:t>
      </w:r>
      <w:r>
        <w:rPr>
          <w:rFonts w:hint="eastAsia" w:asciiTheme="minorEastAsia" w:hAnsiTheme="minorEastAsia" w:eastAsiaTheme="minorEastAsia"/>
          <w:color w:val="auto"/>
          <w:sz w:val="24"/>
          <w:highlight w:val="none"/>
          <w:lang w:val="en-US" w:eastAsia="zh-CN"/>
        </w:rPr>
        <w:t>磋商</w:t>
      </w:r>
      <w:r>
        <w:rPr>
          <w:rFonts w:asciiTheme="minorEastAsia" w:hAnsiTheme="minorEastAsia" w:eastAsiaTheme="minorEastAsia"/>
          <w:color w:val="auto"/>
          <w:sz w:val="24"/>
          <w:highlight w:val="none"/>
        </w:rPr>
        <w:t>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全部采购需求所应提供的</w:t>
      </w:r>
      <w:r>
        <w:rPr>
          <w:rFonts w:hint="eastAsia" w:asciiTheme="minorEastAsia" w:hAnsiTheme="minorEastAsia" w:eastAsiaTheme="minorEastAsia"/>
          <w:color w:val="auto"/>
          <w:sz w:val="24"/>
          <w:highlight w:val="none"/>
        </w:rPr>
        <w:t>货物，</w:t>
      </w:r>
      <w:r>
        <w:rPr>
          <w:rFonts w:asciiTheme="minorEastAsia" w:hAnsiTheme="minorEastAsia" w:eastAsiaTheme="minorEastAsia"/>
          <w:color w:val="auto"/>
          <w:sz w:val="24"/>
          <w:highlight w:val="none"/>
        </w:rPr>
        <w:t>以及伴随的</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和工程</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除磋商文件另有规定外，</w:t>
      </w:r>
      <w:r>
        <w:rPr>
          <w:rFonts w:hint="eastAsia" w:asciiTheme="minorEastAsia" w:hAnsiTheme="minorEastAsia" w:eastAsiaTheme="minorEastAsia"/>
          <w:color w:val="auto"/>
          <w:sz w:val="24"/>
          <w:highlight w:val="none"/>
        </w:rPr>
        <w:t>所有内容均应以人民币报价，供应商的磋商报价应遵守《中华人民共和国价格法》。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除非磋商文件另有规定或经采购人同意支付的，最后报价均不得高于磋商文件（公告）列明的项目预算，否则其响应文件将被认定为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hint="eastAsia" w:asciiTheme="minorEastAsia" w:hAnsiTheme="minorEastAsia" w:eastAsiaTheme="minorEastAsia"/>
          <w:color w:val="auto"/>
          <w:sz w:val="24"/>
          <w:highlight w:val="none"/>
        </w:rPr>
        <w:t>.1本项目不收取磋商保证金。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.1供应商应当在第一章</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规定的响应文件提交截止时间前</w:t>
      </w:r>
      <w:r>
        <w:rPr>
          <w:rFonts w:asciiTheme="minorEastAsia" w:hAnsiTheme="minorEastAsia" w:eastAsiaTheme="minorEastAsia"/>
          <w:color w:val="auto"/>
          <w:sz w:val="24"/>
          <w:highlight w:val="none"/>
        </w:rPr>
        <w:t>，将加密的</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val="en-US" w:eastAsia="zh-CN"/>
        </w:rPr>
        <w:t>未在规定时间内进行解密的，</w:t>
      </w:r>
      <w:r>
        <w:rPr>
          <w:rFonts w:hint="eastAsia" w:asciiTheme="minorEastAsia" w:hAnsiTheme="minorEastAsia" w:eastAsiaTheme="minorEastAsia"/>
          <w:b/>
          <w:bCs/>
          <w:color w:val="auto"/>
          <w:sz w:val="24"/>
          <w:highlight w:val="none"/>
          <w:lang w:val="en-US" w:eastAsia="zh-CN"/>
        </w:rPr>
        <w:t>响应无效。</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12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ascii="宋体" w:hAnsi="宋体" w:eastAsia="宋体"/>
          <w:color w:val="auto"/>
          <w:sz w:val="24"/>
          <w:highlight w:val="none"/>
        </w:rPr>
        <w:t>但属于磋商小组在评审中发现的计算错误并进行核实的修改、按照磋商文件的变动情况和磋商小组的要求重新提交响应文件的，不在此列。</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.1本项目将依法组建磋商小组，磋商小组成员由3人以上</w:t>
      </w:r>
      <w:r>
        <w:rPr>
          <w:rFonts w:hint="eastAsia" w:asciiTheme="minorEastAsia" w:hAnsiTheme="minorEastAsia" w:eastAsiaTheme="minorEastAsia"/>
          <w:color w:val="auto"/>
          <w:sz w:val="24"/>
          <w:highlight w:val="none"/>
        </w:rPr>
        <w:t>（含）</w:t>
      </w:r>
      <w:r>
        <w:rPr>
          <w:rFonts w:asciiTheme="minorEastAsia" w:hAnsiTheme="minorEastAsia" w:eastAsiaTheme="minorEastAsia"/>
          <w:color w:val="auto"/>
          <w:sz w:val="24"/>
          <w:highlight w:val="none"/>
        </w:rPr>
        <w:t>单数组成，磋商小组及其成员应当依照政府采购的有关规定履行相关职责和义务。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13</w:t>
      </w:r>
      <w:r>
        <w:rPr>
          <w:rFonts w:asciiTheme="minorEastAsia" w:hAnsiTheme="minorEastAsia" w:eastAsiaTheme="minorEastAsia"/>
          <w:color w:val="auto"/>
          <w:sz w:val="24"/>
          <w:highlight w:val="none"/>
        </w:rPr>
        <w:t>.3磋商小组应当从质量和服务均能满足磋商文件实质性响应要求的供应商中，按照评审方法和标准</w:t>
      </w:r>
      <w:r>
        <w:rPr>
          <w:rFonts w:hint="eastAsia" w:asciiTheme="minorEastAsia" w:hAnsiTheme="minorEastAsia" w:eastAsiaTheme="minorEastAsia"/>
          <w:color w:val="auto"/>
          <w:sz w:val="24"/>
          <w:highlight w:val="none"/>
        </w:rPr>
        <w:t>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14</w:t>
      </w:r>
      <w:r>
        <w:rPr>
          <w:rFonts w:asciiTheme="minorEastAsia" w:hAnsiTheme="minorEastAsia" w:eastAsiaTheme="minorEastAsia"/>
          <w:b/>
          <w:color w:val="auto"/>
          <w:sz w:val="24"/>
          <w:highlight w:val="none"/>
        </w:rPr>
        <w:t>.响应文件的评审与磋商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asciiTheme="minorEastAsia" w:hAnsiTheme="minorEastAsia" w:eastAsiaTheme="minorEastAsia"/>
          <w:color w:val="auto"/>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.2竞争性磋商活动采用综合评分法评审。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.3磋商小组将按照磋商文件规定的评审方法和标准对供应商独立进行评审。评审程序如下：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ascii="宋体" w:hAnsi="宋体" w:eastAsia="宋体"/>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.3.4</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实质上响应磋商文件要求的响应文件进行综合评分。经磋商确定最终采购需求和提交最后报价的供应商后，由磋商小组采用综合评分法对提交最后报价的供应商的响应文件和最后报价进行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.4相关说明。</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4.3磋商小组发现供应商的报价或者某些分项报价明显低于其他通过初审的供应商的报价，有可能影响产品质量和不能诚信履约的，应当要求其在合理的时间内提供书面说明，必要时提交相关证明材料；供应商不能证明其报价合理性的，其响应文件将被认定为</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.4.4</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14</w:t>
      </w:r>
      <w:r>
        <w:rPr>
          <w:rFonts w:hint="eastAsia" w:asciiTheme="minorEastAsia" w:hAnsiTheme="minorEastAsia" w:eastAsiaTheme="minorEastAsia"/>
          <w:color w:val="auto"/>
          <w:sz w:val="24"/>
          <w:highlight w:val="none"/>
        </w:rPr>
        <w:t>.4.5磋商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pPr>
        <w:spacing w:line="360" w:lineRule="auto"/>
        <w:ind w:firstLine="470" w:firstLineChars="196"/>
        <w:rPr>
          <w:rFonts w:ascii="宋体" w:hAnsi="宋体" w:eastAsia="宋体"/>
          <w:color w:val="auto"/>
          <w:sz w:val="24"/>
          <w:highlight w:val="none"/>
        </w:rPr>
      </w:pPr>
      <w:r>
        <w:rPr>
          <w:rFonts w:hint="eastAsia" w:ascii="宋体" w:hAnsi="宋体" w:eastAsia="宋体"/>
          <w:color w:val="auto"/>
          <w:sz w:val="24"/>
          <w:highlight w:val="none"/>
          <w:lang w:val="en-US" w:eastAsia="zh-CN"/>
        </w:rPr>
        <w:t>16</w:t>
      </w:r>
      <w:r>
        <w:rPr>
          <w:rFonts w:hint="eastAsia" w:ascii="宋体" w:hAnsi="宋体" w:eastAsia="宋体"/>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电子签章</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b/>
          <w:color w:val="auto"/>
          <w:sz w:val="24"/>
          <w:highlight w:val="none"/>
        </w:rPr>
        <w:t>如有询标，授权代表（或法定代表人）可通过远程登录的方式接受网上询标，也可凭本人有效身份证明参加询标。因授权代表联系不上</w:t>
      </w:r>
      <w:r>
        <w:rPr>
          <w:rFonts w:hint="eastAsia" w:ascii="宋体" w:hAnsi="宋体" w:eastAsia="宋体"/>
          <w:b/>
          <w:bCs/>
          <w:color w:val="auto"/>
          <w:sz w:val="24"/>
          <w:highlight w:val="none"/>
        </w:rPr>
        <w:t>、没有及时登录系统等情形</w:t>
      </w:r>
      <w:r>
        <w:rPr>
          <w:rFonts w:hint="eastAsia" w:ascii="宋体" w:hAnsi="宋体" w:eastAsia="宋体"/>
          <w:b/>
          <w:color w:val="auto"/>
          <w:sz w:val="24"/>
          <w:highlight w:val="none"/>
        </w:rPr>
        <w:t>而无法接受磋商小组询标的，供应商自行承担相关风险。</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pPr>
        <w:spacing w:line="360" w:lineRule="auto"/>
        <w:ind w:firstLine="435"/>
        <w:rPr>
          <w:rFonts w:asciiTheme="majorEastAsia" w:hAnsiTheme="majorEastAsia" w:eastAsiaTheme="majorEastAsia"/>
          <w:color w:val="auto"/>
          <w:sz w:val="24"/>
          <w:highlight w:val="none"/>
        </w:rPr>
      </w:pPr>
      <w:bookmarkStart w:id="65" w:name="_Hlk60607655"/>
      <w:bookmarkStart w:id="66" w:name="_Hlk60607673"/>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 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pPr>
        <w:spacing w:line="360" w:lineRule="auto"/>
        <w:ind w:firstLine="435"/>
        <w:rPr>
          <w:rFonts w:asciiTheme="minorEastAsia" w:hAnsiTheme="minorEastAsia" w:eastAsiaTheme="min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65"/>
    </w:p>
    <w:bookmarkEnd w:id="66"/>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ascii="宋体" w:hAnsi="宋体" w:eastAsia="宋体"/>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.1评审将在严格保密的情况下进行。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21</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w:t>
      </w:r>
      <w:r>
        <w:rPr>
          <w:rFonts w:hint="eastAsia" w:ascii="宋体" w:hAnsi="宋体" w:eastAsia="宋体"/>
          <w:color w:val="auto"/>
          <w:sz w:val="24"/>
          <w:highlight w:val="none"/>
        </w:rPr>
        <w:t>评审</w:t>
      </w:r>
      <w:r>
        <w:rPr>
          <w:rFonts w:ascii="宋体" w:hAnsi="宋体" w:eastAsia="宋体"/>
          <w:color w:val="auto"/>
          <w:sz w:val="24"/>
          <w:highlight w:val="none"/>
        </w:rPr>
        <w:t>工作纪律，不得</w:t>
      </w:r>
      <w:r>
        <w:rPr>
          <w:rFonts w:hint="eastAsia" w:ascii="宋体" w:hAnsi="宋体" w:eastAsia="宋体"/>
          <w:color w:val="auto"/>
          <w:sz w:val="24"/>
          <w:highlight w:val="none"/>
        </w:rPr>
        <w:t>泄露评审文件</w:t>
      </w:r>
      <w:r>
        <w:rPr>
          <w:rFonts w:ascii="宋体" w:hAnsi="宋体" w:eastAsia="宋体"/>
          <w:color w:val="auto"/>
          <w:sz w:val="24"/>
          <w:highlight w:val="none"/>
        </w:rPr>
        <w:t>、</w:t>
      </w:r>
      <w:r>
        <w:rPr>
          <w:rFonts w:hint="eastAsia" w:ascii="宋体" w:hAnsi="宋体" w:eastAsia="宋体"/>
          <w:color w:val="auto"/>
          <w:sz w:val="24"/>
          <w:highlight w:val="none"/>
        </w:rPr>
        <w:t>评审</w:t>
      </w:r>
      <w:r>
        <w:rPr>
          <w:rFonts w:ascii="宋体" w:hAnsi="宋体" w:eastAsia="宋体"/>
          <w:color w:val="auto"/>
          <w:sz w:val="24"/>
          <w:highlight w:val="none"/>
        </w:rPr>
        <w:t>情况和</w:t>
      </w:r>
      <w:r>
        <w:rPr>
          <w:rFonts w:hint="eastAsia" w:ascii="宋体" w:hAnsi="宋体" w:eastAsia="宋体"/>
          <w:color w:val="auto"/>
          <w:sz w:val="24"/>
          <w:highlight w:val="none"/>
        </w:rPr>
        <w:t>评审</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22</w:t>
      </w:r>
      <w:r>
        <w:rPr>
          <w:rFonts w:asciiTheme="minorEastAsia" w:hAnsiTheme="minorEastAsia" w:eastAsiaTheme="minorEastAsia"/>
          <w:b/>
          <w:color w:val="auto"/>
          <w:sz w:val="24"/>
          <w:highlight w:val="none"/>
        </w:rPr>
        <w:t>.成交结果公告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.1为体现“公开、公平、公正”的原则，磋商结束后，</w:t>
      </w:r>
      <w:r>
        <w:rPr>
          <w:rFonts w:hint="eastAsia" w:ascii="宋体" w:hAnsi="宋体" w:eastAsia="宋体"/>
          <w:color w:val="auto"/>
          <w:sz w:val="24"/>
          <w:szCs w:val="18"/>
          <w:highlight w:val="none"/>
        </w:rPr>
        <w:t>采购代理机构将在安徽省政府采购网（www.ccgp-anhui.gov.cn）</w:t>
      </w:r>
      <w:r>
        <w:rPr>
          <w:rFonts w:asciiTheme="minorEastAsia" w:hAnsiTheme="minorEastAsia" w:eastAsiaTheme="minorEastAsia"/>
          <w:color w:val="auto"/>
          <w:sz w:val="24"/>
          <w:highlight w:val="none"/>
        </w:rPr>
        <w:t>上发布成交结果公告。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主要成交标的的名称、规格型号、数量、单价、服务要求，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23</w:t>
      </w:r>
      <w:r>
        <w:rPr>
          <w:rFonts w:ascii="宋体" w:hAnsi="宋体" w:eastAsia="宋体"/>
          <w:b/>
          <w:color w:val="auto"/>
          <w:sz w:val="24"/>
          <w:highlight w:val="none"/>
        </w:rPr>
        <w:t>.成交</w:t>
      </w:r>
      <w:r>
        <w:rPr>
          <w:rFonts w:asciiTheme="minorEastAsia" w:hAnsiTheme="minorEastAsia" w:eastAsiaTheme="minorEastAsia"/>
          <w:b/>
          <w:color w:val="auto"/>
          <w:sz w:val="24"/>
          <w:highlight w:val="none"/>
        </w:rPr>
        <w:t>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ascii="宋体" w:hAnsi="宋体" w:eastAsia="宋体"/>
          <w:color w:val="auto"/>
          <w:sz w:val="24"/>
          <w:highlight w:val="none"/>
        </w:rPr>
        <w:t>向成交供应商发出成交通知书。</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.2成交通知书对采购人和成交供应商具有同等法律效力。成交通知书发出以后，采购人改变成交结果或者成交供应商放弃成交资格，应当承担相应的法律责任。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23</w:t>
      </w:r>
      <w:r>
        <w:rPr>
          <w:rFonts w:ascii="宋体" w:hAnsi="宋体" w:eastAsia="宋体"/>
          <w:color w:val="auto"/>
          <w:sz w:val="24"/>
          <w:highlight w:val="none"/>
        </w:rPr>
        <w:t>.3成交通知书是合同的组成部分。</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24</w:t>
      </w:r>
      <w:r>
        <w:rPr>
          <w:rFonts w:ascii="宋体" w:hAnsi="宋体" w:eastAsia="宋体"/>
          <w:b/>
          <w:color w:val="auto"/>
          <w:sz w:val="24"/>
          <w:highlight w:val="none"/>
        </w:rPr>
        <w:t>.告知</w:t>
      </w:r>
      <w:r>
        <w:rPr>
          <w:rFonts w:hint="eastAsia" w:ascii="宋体" w:hAnsi="宋体" w:eastAsia="宋体"/>
          <w:b/>
          <w:color w:val="auto"/>
          <w:sz w:val="24"/>
          <w:highlight w:val="none"/>
        </w:rPr>
        <w:t>磋商</w:t>
      </w:r>
      <w:r>
        <w:rPr>
          <w:rFonts w:ascii="宋体" w:hAnsi="宋体" w:eastAsia="宋体"/>
          <w:b/>
          <w:color w:val="auto"/>
          <w:sz w:val="24"/>
          <w:highlight w:val="none"/>
        </w:rPr>
        <w:t>结果</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.1在公告</w:t>
      </w:r>
      <w:r>
        <w:rPr>
          <w:rFonts w:hint="eastAsia" w:ascii="宋体" w:hAnsi="宋体" w:eastAsia="宋体"/>
          <w:color w:val="auto"/>
          <w:sz w:val="24"/>
          <w:highlight w:val="none"/>
        </w:rPr>
        <w:t>成交</w:t>
      </w:r>
      <w:r>
        <w:rPr>
          <w:rFonts w:ascii="宋体" w:hAnsi="宋体" w:eastAsia="宋体"/>
          <w:color w:val="auto"/>
          <w:sz w:val="24"/>
          <w:highlight w:val="none"/>
        </w:rPr>
        <w:t>结果的同时，采购代理机构同时以</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规定的形式告知未</w:t>
      </w:r>
      <w:r>
        <w:rPr>
          <w:rFonts w:hint="eastAsia" w:ascii="宋体" w:hAnsi="宋体" w:eastAsia="宋体"/>
          <w:color w:val="auto"/>
          <w:sz w:val="24"/>
          <w:highlight w:val="none"/>
        </w:rPr>
        <w:t>成交供应商</w:t>
      </w:r>
      <w:r>
        <w:rPr>
          <w:rFonts w:ascii="宋体" w:hAnsi="宋体" w:eastAsia="宋体"/>
          <w:color w:val="auto"/>
          <w:sz w:val="24"/>
          <w:highlight w:val="none"/>
        </w:rPr>
        <w:t>本人的评审得分和排序。</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val="en-US" w:eastAsia="zh-CN"/>
        </w:rPr>
        <w:t>24</w:t>
      </w: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采购代理机构对未成交的供应商不做未成交原因的解释。</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25</w:t>
      </w:r>
      <w:r>
        <w:rPr>
          <w:rFonts w:ascii="宋体" w:hAnsi="宋体" w:eastAsia="宋体"/>
          <w:b/>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.1成交供应商应按照</w:t>
      </w:r>
      <w:r>
        <w:rPr>
          <w:rFonts w:ascii="宋体" w:hAnsi="宋体" w:eastAsia="宋体"/>
          <w:color w:val="auto"/>
          <w:sz w:val="24"/>
          <w:highlight w:val="none"/>
          <w:u w:val="single"/>
        </w:rPr>
        <w:t>供应商须知前附表</w:t>
      </w:r>
      <w:r>
        <w:rPr>
          <w:rFonts w:ascii="宋体" w:hAnsi="宋体" w:eastAsia="宋体"/>
          <w:color w:val="auto"/>
          <w:sz w:val="24"/>
          <w:highlight w:val="none"/>
        </w:rPr>
        <w:t>规定</w:t>
      </w:r>
      <w:r>
        <w:rPr>
          <w:rFonts w:hint="eastAsia" w:ascii="宋体" w:hAnsi="宋体" w:eastAsia="宋体"/>
          <w:color w:val="auto"/>
          <w:sz w:val="24"/>
          <w:highlight w:val="none"/>
        </w:rPr>
        <w:t>缴纳</w:t>
      </w:r>
      <w:r>
        <w:rPr>
          <w:rFonts w:ascii="宋体" w:hAnsi="宋体" w:eastAsia="宋体"/>
          <w:color w:val="auto"/>
          <w:sz w:val="24"/>
          <w:highlight w:val="none"/>
        </w:rPr>
        <w:t>履约保证金。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25</w:t>
      </w:r>
      <w:r>
        <w:rPr>
          <w:rFonts w:ascii="宋体" w:hAnsi="宋体" w:eastAsia="宋体"/>
          <w:color w:val="auto"/>
          <w:sz w:val="24"/>
          <w:highlight w:val="none"/>
        </w:rPr>
        <w:t>.2如果成交供应商没有按照上述履约保证金的规定执行，将视为放弃成交资格。在此情况下，采购人可确定下一成交候选供应商为成交供应商，也可以重新开展采购活动。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26</w:t>
      </w:r>
      <w:r>
        <w:rPr>
          <w:rFonts w:ascii="宋体" w:hAnsi="宋体" w:eastAsia="宋体"/>
          <w:b/>
          <w:color w:val="auto"/>
          <w:sz w:val="24"/>
          <w:highlight w:val="none"/>
        </w:rPr>
        <w:t>.</w:t>
      </w:r>
      <w:r>
        <w:rPr>
          <w:rFonts w:hint="eastAsia" w:ascii="宋体" w:hAnsi="宋体" w:eastAsia="宋体"/>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26</w:t>
      </w:r>
      <w:r>
        <w:rPr>
          <w:rFonts w:ascii="宋体" w:hAnsi="宋体" w:eastAsia="宋体"/>
          <w:color w:val="auto"/>
          <w:sz w:val="24"/>
          <w:highlight w:val="none"/>
        </w:rPr>
        <w:t>.1本项目</w:t>
      </w:r>
      <w:r>
        <w:rPr>
          <w:rFonts w:hint="eastAsia" w:ascii="宋体" w:hAnsi="宋体" w:eastAsia="宋体"/>
          <w:color w:val="auto"/>
          <w:sz w:val="24"/>
          <w:highlight w:val="none"/>
          <w:lang w:val="en-US" w:eastAsia="zh-CN"/>
        </w:rPr>
        <w:t>代理费用</w:t>
      </w:r>
      <w:r>
        <w:rPr>
          <w:rFonts w:ascii="宋体" w:hAnsi="宋体" w:eastAsia="宋体"/>
          <w:color w:val="auto"/>
          <w:sz w:val="24"/>
          <w:highlight w:val="none"/>
        </w:rPr>
        <w:t>的收取按</w:t>
      </w:r>
      <w:r>
        <w:rPr>
          <w:rFonts w:hint="eastAsia" w:ascii="宋体" w:hAnsi="宋体" w:eastAsia="宋体"/>
          <w:color w:val="auto"/>
          <w:sz w:val="24"/>
          <w:highlight w:val="none"/>
          <w:u w:val="single"/>
        </w:rPr>
        <w:t>供应商</w:t>
      </w:r>
      <w:r>
        <w:rPr>
          <w:rFonts w:ascii="宋体" w:hAnsi="宋体" w:eastAsia="宋体"/>
          <w:color w:val="auto"/>
          <w:sz w:val="24"/>
          <w:highlight w:val="none"/>
          <w:u w:val="single"/>
        </w:rPr>
        <w:t>须知前附表</w:t>
      </w:r>
      <w:r>
        <w:rPr>
          <w:rFonts w:ascii="宋体" w:hAnsi="宋体" w:eastAsia="宋体"/>
          <w:color w:val="auto"/>
          <w:sz w:val="24"/>
          <w:highlight w:val="none"/>
        </w:rPr>
        <w:t>的规定执行。</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27</w:t>
      </w:r>
      <w:r>
        <w:rPr>
          <w:rFonts w:ascii="宋体" w:hAnsi="宋体" w:eastAsia="宋体"/>
          <w:b/>
          <w:color w:val="auto"/>
          <w:sz w:val="24"/>
          <w:highlight w:val="none"/>
        </w:rPr>
        <w:t>.签订</w:t>
      </w:r>
      <w:r>
        <w:rPr>
          <w:rFonts w:asciiTheme="minorEastAsia" w:hAnsiTheme="minorEastAsia" w:eastAsiaTheme="minorEastAsia"/>
          <w:b/>
          <w:color w:val="auto"/>
          <w:sz w:val="24"/>
          <w:highlight w:val="none"/>
        </w:rPr>
        <w:t>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.2磋商文件、成交供应商的响应文件及其澄清文件等，均为签订合同的依据。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ascii="宋体" w:hAnsi="宋体" w:eastAsia="宋体"/>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ascii="宋体" w:hAnsi="宋体" w:eastAsia="宋体"/>
          <w:color w:val="auto"/>
          <w:sz w:val="24"/>
          <w:highlight w:val="none"/>
        </w:rPr>
        <w:t>成交供应商拒绝签订政府采购合同的不得参加对该项目重新开展的采购活动。</w:t>
      </w:r>
    </w:p>
    <w:p>
      <w:pPr>
        <w:spacing w:line="360" w:lineRule="auto"/>
        <w:ind w:firstLine="470" w:firstLineChars="196"/>
        <w:rPr>
          <w:rFonts w:ascii="宋体" w:hAnsi="宋体" w:eastAsia="宋体"/>
          <w:color w:val="auto"/>
          <w:sz w:val="24"/>
          <w:highlight w:val="none"/>
        </w:rPr>
      </w:pPr>
      <w:bookmarkStart w:id="67" w:name="_Hlk60264926"/>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w:t>
      </w:r>
      <w:r>
        <w:rPr>
          <w:rFonts w:ascii="宋体" w:hAnsi="宋体" w:eastAsia="宋体"/>
          <w:color w:val="auto"/>
          <w:sz w:val="24"/>
          <w:highlight w:val="none"/>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bookmarkEnd w:id="67"/>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28</w:t>
      </w:r>
      <w:r>
        <w:rPr>
          <w:rFonts w:ascii="宋体" w:hAnsi="宋体" w:eastAsia="宋体"/>
          <w:b/>
          <w:color w:val="auto"/>
          <w:sz w:val="24"/>
          <w:highlight w:val="none"/>
        </w:rPr>
        <w:t>.廉洁</w:t>
      </w:r>
      <w:r>
        <w:rPr>
          <w:rFonts w:asciiTheme="minorEastAsia" w:hAnsiTheme="minorEastAsia" w:eastAsiaTheme="minorEastAsia"/>
          <w:b/>
          <w:color w:val="auto"/>
          <w:sz w:val="24"/>
          <w:highlight w:val="none"/>
        </w:rPr>
        <w:t>自律</w:t>
      </w:r>
      <w:r>
        <w:rPr>
          <w:rFonts w:ascii="宋体" w:hAnsi="宋体" w:eastAsia="宋体"/>
          <w:b/>
          <w:color w:val="auto"/>
          <w:sz w:val="24"/>
          <w:highlight w:val="none"/>
        </w:rPr>
        <w:t>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.1采购代理机构工作人员不得以不正当手段获取政府采购代理业务，不得与采购人、供应商恶意串通。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.2采购代理机构工作人员不得接受采购人或者供应商组织的宴请、旅游、娱乐，不得收受礼品、现金、有价证券等，不得向采购人或者供应商报销应当由个人承担的费用。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29</w:t>
      </w:r>
      <w:r>
        <w:rPr>
          <w:rFonts w:ascii="宋体" w:hAnsi="宋体" w:eastAsia="宋体"/>
          <w:b/>
          <w:color w:val="auto"/>
          <w:sz w:val="24"/>
          <w:highlight w:val="none"/>
        </w:rPr>
        <w:t>.质疑的</w:t>
      </w:r>
      <w:r>
        <w:rPr>
          <w:rFonts w:asciiTheme="minorEastAsia" w:hAnsiTheme="minorEastAsia" w:eastAsiaTheme="minorEastAsia"/>
          <w:b/>
          <w:color w:val="auto"/>
          <w:sz w:val="24"/>
          <w:highlight w:val="none"/>
        </w:rPr>
        <w:t>提出</w:t>
      </w:r>
      <w:r>
        <w:rPr>
          <w:rFonts w:ascii="宋体" w:hAnsi="宋体" w:eastAsia="宋体"/>
          <w:b/>
          <w:color w:val="auto"/>
          <w:sz w:val="24"/>
          <w:highlight w:val="none"/>
        </w:rPr>
        <w:t>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质疑函范本》格式（详见磋商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29</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宋体" w:hAnsi="宋体" w:eastAsia="宋体"/>
          <w:b/>
          <w:color w:val="auto"/>
          <w:sz w:val="24"/>
          <w:highlight w:val="none"/>
        </w:rPr>
      </w:pPr>
      <w:r>
        <w:rPr>
          <w:rFonts w:hint="eastAsia" w:ascii="宋体" w:hAnsi="宋体" w:eastAsia="宋体"/>
          <w:b/>
          <w:color w:val="auto"/>
          <w:sz w:val="24"/>
          <w:highlight w:val="none"/>
          <w:lang w:val="en-US" w:eastAsia="zh-CN"/>
        </w:rPr>
        <w:t>30</w:t>
      </w:r>
      <w:r>
        <w:rPr>
          <w:rFonts w:ascii="宋体" w:hAnsi="宋体" w:eastAsia="宋体"/>
          <w:b/>
          <w:color w:val="auto"/>
          <w:sz w:val="24"/>
          <w:highlight w:val="none"/>
        </w:rPr>
        <w:t>.需要</w:t>
      </w:r>
      <w:r>
        <w:rPr>
          <w:rFonts w:asciiTheme="minorEastAsia" w:hAnsiTheme="minorEastAsia" w:eastAsiaTheme="minorEastAsia"/>
          <w:b/>
          <w:color w:val="auto"/>
          <w:sz w:val="24"/>
          <w:highlight w:val="none"/>
        </w:rPr>
        <w:t>补充</w:t>
      </w:r>
      <w:r>
        <w:rPr>
          <w:rFonts w:ascii="宋体" w:hAnsi="宋体" w:eastAsia="宋体"/>
          <w:b/>
          <w:color w:val="auto"/>
          <w:sz w:val="24"/>
          <w:highlight w:val="none"/>
        </w:rPr>
        <w:t>的其他内容</w:t>
      </w:r>
    </w:p>
    <w:p>
      <w:pPr>
        <w:spacing w:line="360" w:lineRule="auto"/>
        <w:ind w:firstLine="437"/>
        <w:outlineLvl w:val="2"/>
        <w:rPr>
          <w:rFonts w:asciiTheme="minorEastAsia" w:hAnsiTheme="minorEastAsia" w:eastAsiaTheme="minorEastAsia"/>
          <w:b/>
          <w:color w:val="auto"/>
          <w:sz w:val="28"/>
          <w:highlight w:val="none"/>
        </w:rPr>
      </w:pPr>
      <w:r>
        <w:rPr>
          <w:rFonts w:hint="eastAsia" w:ascii="宋体" w:hAnsi="宋体" w:eastAsia="宋体"/>
          <w:color w:val="auto"/>
          <w:sz w:val="24"/>
          <w:highlight w:val="none"/>
        </w:rPr>
        <w:t>需要补充的其他内容，见</w:t>
      </w:r>
      <w:r>
        <w:rPr>
          <w:rFonts w:hint="eastAsia" w:ascii="宋体" w:hAnsi="宋体" w:eastAsia="宋体"/>
          <w:color w:val="auto"/>
          <w:sz w:val="24"/>
          <w:highlight w:val="none"/>
          <w:u w:val="single"/>
        </w:rPr>
        <w:t>供应商须知前附表</w:t>
      </w:r>
      <w:r>
        <w:rPr>
          <w:rFonts w:hint="eastAsia" w:ascii="宋体" w:hAnsi="宋体" w:eastAsia="宋体"/>
          <w:color w:val="auto"/>
          <w:sz w:val="24"/>
          <w:highlight w:val="none"/>
        </w:rPr>
        <w:t>。</w:t>
      </w: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68" w:name="_Toc19440"/>
      <w:r>
        <w:rPr>
          <w:rFonts w:hint="eastAsia" w:asciiTheme="minorEastAsia" w:hAnsiTheme="minorEastAsia" w:eastAsiaTheme="minorEastAsia"/>
          <w:b/>
          <w:color w:val="auto"/>
          <w:sz w:val="28"/>
          <w:highlight w:val="none"/>
        </w:rPr>
        <w:t>第三章  采购需求</w:t>
      </w:r>
      <w:bookmarkEnd w:id="68"/>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可以进行优化，提供满足采购人实际需要的更优（或者性能实质上不低于的）服务方案，且此方案须经</w:t>
      </w:r>
      <w:r>
        <w:rPr>
          <w:rFonts w:hint="eastAsia" w:ascii="宋体" w:hAnsi="宋体" w:eastAsia="宋体" w:cs="宋体"/>
          <w:color w:val="auto"/>
          <w:sz w:val="24"/>
          <w:szCs w:val="24"/>
          <w:highlight w:val="none"/>
          <w:lang w:eastAsia="zh-CN"/>
        </w:rPr>
        <w:t>磋商小组</w:t>
      </w:r>
      <w:r>
        <w:rPr>
          <w:rFonts w:hint="eastAsia" w:ascii="宋体" w:hAnsi="宋体" w:eastAsia="宋体" w:cs="宋体"/>
          <w:color w:val="auto"/>
          <w:sz w:val="24"/>
          <w:szCs w:val="24"/>
          <w:highlight w:val="none"/>
        </w:rPr>
        <w:t>评审认可。</w:t>
      </w:r>
    </w:p>
    <w:p>
      <w:pPr>
        <w:spacing w:line="360" w:lineRule="auto"/>
        <w:ind w:firstLine="435"/>
        <w:rPr>
          <w:rFonts w:hint="eastAsia" w:ascii="宋体" w:hAnsi="宋体" w:eastAsia="宋体"/>
          <w:color w:val="auto"/>
          <w:sz w:val="24"/>
          <w:szCs w:val="18"/>
        </w:rPr>
      </w:pPr>
      <w:r>
        <w:rPr>
          <w:rFonts w:hint="eastAsia" w:ascii="宋体" w:hAnsi="宋体" w:eastAsia="宋体"/>
          <w:color w:val="auto"/>
          <w:sz w:val="24"/>
          <w:szCs w:val="18"/>
        </w:rPr>
        <w:t>2.下列采购需求中</w:t>
      </w:r>
      <w:r>
        <w:rPr>
          <w:rFonts w:ascii="宋体" w:hAnsi="宋体" w:eastAsia="宋体" w:cs="宋体"/>
          <w:sz w:val="24"/>
          <w:szCs w:val="24"/>
          <w:highlight w:val="none"/>
        </w:rPr>
        <w:t>（包括但不限于下列具体政策要求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olor w:val="auto"/>
          <w:sz w:val="24"/>
          <w:szCs w:val="18"/>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所投产品须具有市场监管总局公布的《参与实施政府采购节能产品认证机构目录》中的认证机构出具的、处于有效期内的节能产品认证证书。</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应当执行《关于印发〈商品包装政府采购需求标准（试行）〉、〈快递包装政府采购需求标准（试行）〉的通知》（财办库〔2020〕123 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szCs w:val="18"/>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69" w:name="_Toc26349"/>
      <w:bookmarkStart w:id="70" w:name="_Toc7699"/>
      <w:r>
        <w:rPr>
          <w:rFonts w:hint="eastAsia" w:ascii="宋体" w:hAnsi="宋体" w:eastAsia="宋体"/>
          <w:b/>
          <w:color w:val="auto"/>
          <w:sz w:val="24"/>
          <w:szCs w:val="18"/>
          <w:highlight w:val="none"/>
        </w:rPr>
        <w:t>一、采购需求前附表</w:t>
      </w:r>
      <w:bookmarkEnd w:id="69"/>
      <w:bookmarkEnd w:id="70"/>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bookmarkStart w:id="71" w:name="_Hlk16461016"/>
            <w:r>
              <w:rPr>
                <w:rFonts w:hint="eastAsia" w:ascii="宋体" w:hAnsi="宋体" w:eastAsia="宋体"/>
                <w:b/>
                <w:color w:val="auto"/>
                <w:kern w:val="2"/>
                <w:highlight w:val="none"/>
              </w:rPr>
              <w:t>序号</w:t>
            </w:r>
          </w:p>
        </w:tc>
        <w:tc>
          <w:tcPr>
            <w:tcW w:w="1192"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37"/>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4</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r>
              <w:rPr>
                <w:rFonts w:hint="eastAsia" w:asciiTheme="minorEastAsia" w:hAnsiTheme="minorEastAsia" w:eastAsiaTheme="minorEastAsia"/>
                <w:color w:val="auto"/>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rPr>
                <w:rFonts w:ascii="宋体" w:hAnsi="宋体" w:eastAsia="宋体"/>
                <w:color w:val="auto"/>
                <w:sz w:val="24"/>
                <w:highlight w:val="none"/>
              </w:rPr>
            </w:pPr>
            <w:r>
              <w:rPr>
                <w:rFonts w:hint="eastAsia" w:asciiTheme="minorEastAsia" w:hAnsiTheme="minorEastAsia" w:eastAsiaTheme="minorEastAsia"/>
                <w:color w:val="auto"/>
                <w:sz w:val="24"/>
                <w:highlight w:val="none"/>
              </w:rPr>
              <w:t>所属行业：</w:t>
            </w:r>
          </w:p>
          <w:p>
            <w:pPr>
              <w:pStyle w:val="37"/>
              <w:widowControl w:val="0"/>
              <w:spacing w:before="0" w:beforeAutospacing="0" w:after="0" w:afterAutospacing="0" w:line="360" w:lineRule="auto"/>
              <w:jc w:val="both"/>
              <w:rPr>
                <w:rFonts w:ascii="宋体" w:hAnsi="宋体" w:eastAsia="宋体"/>
                <w:b w:val="0"/>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8"/>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5</w:t>
            </w:r>
          </w:p>
        </w:tc>
        <w:tc>
          <w:tcPr>
            <w:tcW w:w="1192" w:type="pct"/>
            <w:vAlign w:val="center"/>
          </w:tcPr>
          <w:p>
            <w:pPr>
              <w:pStyle w:val="37"/>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3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spacing w:line="360" w:lineRule="auto"/>
        <w:ind w:firstLine="437"/>
        <w:outlineLvl w:val="1"/>
        <w:rPr>
          <w:rFonts w:ascii="宋体" w:hAnsi="宋体" w:eastAsia="宋体"/>
          <w:b/>
          <w:color w:val="auto"/>
          <w:sz w:val="24"/>
          <w:szCs w:val="18"/>
          <w:highlight w:val="none"/>
        </w:rPr>
      </w:pPr>
      <w:bookmarkStart w:id="72" w:name="_Toc23116"/>
      <w:bookmarkStart w:id="73" w:name="_Toc25144"/>
      <w:r>
        <w:rPr>
          <w:rFonts w:hint="eastAsia" w:ascii="宋体" w:hAnsi="宋体" w:eastAsia="宋体"/>
          <w:b/>
          <w:color w:val="auto"/>
          <w:sz w:val="24"/>
          <w:szCs w:val="18"/>
          <w:highlight w:val="none"/>
        </w:rPr>
        <w:t>二、项目概况</w:t>
      </w:r>
      <w:bookmarkEnd w:id="72"/>
      <w:bookmarkEnd w:id="73"/>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4" w:name="_Toc21757"/>
      <w:bookmarkStart w:id="75" w:name="_Toc8586"/>
      <w:r>
        <w:rPr>
          <w:rFonts w:hint="eastAsia" w:ascii="宋体" w:hAnsi="宋体" w:eastAsia="宋体"/>
          <w:b/>
          <w:color w:val="auto"/>
          <w:sz w:val="24"/>
          <w:szCs w:val="18"/>
          <w:highlight w:val="none"/>
        </w:rPr>
        <w:t>三、服务需求</w:t>
      </w:r>
      <w:bookmarkEnd w:id="74"/>
      <w:bookmarkEnd w:id="75"/>
    </w:p>
    <w:p>
      <w:pPr>
        <w:spacing w:line="360" w:lineRule="auto"/>
        <w:ind w:firstLine="437"/>
        <w:rPr>
          <w:rFonts w:ascii="宋体" w:hAnsi="宋体" w:eastAsia="宋体"/>
          <w:b/>
          <w:color w:val="auto"/>
          <w:sz w:val="24"/>
          <w:szCs w:val="18"/>
          <w:highlight w:val="none"/>
        </w:rPr>
      </w:pPr>
    </w:p>
    <w:p>
      <w:pPr>
        <w:spacing w:line="360" w:lineRule="auto"/>
        <w:ind w:firstLine="437"/>
        <w:outlineLvl w:val="1"/>
        <w:rPr>
          <w:rFonts w:ascii="宋体" w:hAnsi="宋体" w:eastAsia="宋体"/>
          <w:b/>
          <w:color w:val="auto"/>
          <w:sz w:val="24"/>
          <w:szCs w:val="18"/>
          <w:highlight w:val="none"/>
        </w:rPr>
      </w:pPr>
      <w:bookmarkStart w:id="76" w:name="_Toc12910"/>
      <w:bookmarkStart w:id="77" w:name="_Toc18052"/>
      <w:r>
        <w:rPr>
          <w:rFonts w:hint="eastAsia" w:ascii="宋体" w:hAnsi="宋体" w:eastAsia="宋体"/>
          <w:b/>
          <w:color w:val="auto"/>
          <w:sz w:val="24"/>
          <w:szCs w:val="18"/>
          <w:highlight w:val="none"/>
        </w:rPr>
        <w:t>四、报价要求</w:t>
      </w:r>
      <w:bookmarkEnd w:id="76"/>
      <w:bookmarkEnd w:id="77"/>
    </w:p>
    <w:p>
      <w:pPr>
        <w:spacing w:line="360" w:lineRule="auto"/>
        <w:ind w:firstLine="437"/>
        <w:outlineLvl w:val="1"/>
        <w:rPr>
          <w:rFonts w:ascii="宋体" w:hAnsi="宋体" w:eastAsia="宋体"/>
          <w:b/>
          <w:color w:val="auto"/>
          <w:sz w:val="24"/>
          <w:szCs w:val="18"/>
          <w:highlight w:val="none"/>
        </w:rPr>
      </w:pPr>
      <w:bookmarkStart w:id="78" w:name="_Toc3530"/>
      <w:bookmarkStart w:id="79" w:name="_Toc23590"/>
      <w:r>
        <w:rPr>
          <w:rFonts w:hint="eastAsia" w:ascii="宋体" w:hAnsi="宋体" w:eastAsia="宋体"/>
          <w:b/>
          <w:color w:val="auto"/>
          <w:sz w:val="24"/>
          <w:szCs w:val="18"/>
          <w:highlight w:val="none"/>
        </w:rPr>
        <w:t>五、其他要求</w:t>
      </w:r>
      <w:bookmarkEnd w:id="78"/>
      <w:bookmarkEnd w:id="79"/>
    </w:p>
    <w:bookmarkEnd w:id="71"/>
    <w:p>
      <w:pPr>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80" w:name="_Toc8668"/>
      <w:r>
        <w:rPr>
          <w:rFonts w:hint="eastAsia" w:asciiTheme="minorEastAsia" w:hAnsiTheme="minorEastAsia" w:eastAsiaTheme="minorEastAsia"/>
          <w:b/>
          <w:color w:val="auto"/>
          <w:sz w:val="28"/>
          <w:highlight w:val="none"/>
        </w:rPr>
        <w:t>第四章  评审方法和标准</w:t>
      </w:r>
      <w:bookmarkEnd w:id="80"/>
    </w:p>
    <w:p>
      <w:pPr>
        <w:spacing w:line="360" w:lineRule="auto"/>
        <w:ind w:firstLine="437"/>
        <w:outlineLvl w:val="1"/>
        <w:rPr>
          <w:rFonts w:asciiTheme="minorEastAsia" w:hAnsiTheme="minorEastAsia" w:eastAsiaTheme="minorEastAsia"/>
          <w:b/>
          <w:color w:val="auto"/>
          <w:sz w:val="24"/>
          <w:highlight w:val="none"/>
        </w:rPr>
      </w:pPr>
      <w:bookmarkStart w:id="81" w:name="_Toc21211"/>
      <w:bookmarkStart w:id="82" w:name="_Toc12199"/>
      <w:r>
        <w:rPr>
          <w:rFonts w:hint="eastAsia" w:asciiTheme="minorEastAsia" w:hAnsiTheme="minorEastAsia" w:eastAsiaTheme="minorEastAsia"/>
          <w:b/>
          <w:color w:val="auto"/>
          <w:sz w:val="24"/>
          <w:highlight w:val="none"/>
        </w:rPr>
        <w:t>一、总则</w:t>
      </w:r>
      <w:bookmarkEnd w:id="81"/>
      <w:bookmarkEnd w:id="82"/>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 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pPr>
        <w:spacing w:line="360" w:lineRule="auto"/>
        <w:ind w:firstLine="437"/>
        <w:outlineLvl w:val="1"/>
        <w:rPr>
          <w:rFonts w:asciiTheme="minorEastAsia" w:hAnsiTheme="minorEastAsia" w:eastAsiaTheme="minorEastAsia"/>
          <w:b/>
          <w:color w:val="auto"/>
          <w:sz w:val="24"/>
          <w:highlight w:val="none"/>
        </w:rPr>
      </w:pPr>
      <w:bookmarkStart w:id="83" w:name="_Toc13039"/>
      <w:bookmarkStart w:id="84" w:name="_Toc16885"/>
      <w:r>
        <w:rPr>
          <w:rFonts w:hint="eastAsia" w:asciiTheme="minorEastAsia" w:hAnsiTheme="minorEastAsia" w:eastAsiaTheme="minorEastAsia"/>
          <w:b/>
          <w:color w:val="auto"/>
          <w:sz w:val="24"/>
          <w:highlight w:val="none"/>
        </w:rPr>
        <w:t>二、评审方法</w:t>
      </w:r>
      <w:bookmarkEnd w:id="83"/>
      <w:bookmarkEnd w:id="84"/>
    </w:p>
    <w:p>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20"/>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810"/>
        <w:gridCol w:w="5001"/>
        <w:gridCol w:w="2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lang w:val="en-US" w:eastAsia="zh-CN"/>
              </w:rPr>
              <w:t>初审</w:t>
            </w:r>
            <w:r>
              <w:rPr>
                <w:rFonts w:hint="eastAsia" w:ascii="宋体" w:hAnsi="宋体" w:eastAsia="宋体"/>
                <w:b/>
                <w:color w:val="auto"/>
                <w:sz w:val="24"/>
                <w:szCs w:val="22"/>
                <w:highlight w:val="none"/>
              </w:rPr>
              <w:t>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8"/>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1075"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ascii="宋体" w:hAnsi="宋体" w:eastAsia="宋体" w:cs="宋体"/>
                <w:sz w:val="24"/>
                <w:szCs w:val="24"/>
              </w:rPr>
              <w:t>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5"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w:t>
            </w:r>
            <w:r>
              <w:rPr>
                <w:rFonts w:hint="eastAsia" w:ascii="宋体" w:hAnsi="宋体" w:eastAsia="宋体" w:cs="宋体"/>
                <w:b w:val="0"/>
                <w:bCs w:val="0"/>
                <w:color w:val="auto"/>
                <w:sz w:val="24"/>
                <w:szCs w:val="24"/>
                <w:highlight w:val="none"/>
                <w:lang w:val="en-US" w:eastAsia="zh-CN"/>
              </w:rPr>
              <w:t>磋商</w:t>
            </w:r>
            <w:r>
              <w:rPr>
                <w:rFonts w:hint="eastAsia" w:ascii="宋体" w:hAnsi="宋体" w:eastAsia="宋体" w:cs="宋体"/>
                <w:b w:val="0"/>
                <w:bCs w:val="0"/>
                <w:color w:val="auto"/>
                <w:sz w:val="24"/>
                <w:szCs w:val="24"/>
                <w:highlight w:val="none"/>
              </w:rPr>
              <w:t>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供应商资格声明书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w:t>
            </w:r>
            <w:r>
              <w:rPr>
                <w:rFonts w:hint="eastAsia" w:ascii="宋体" w:hAnsi="宋体" w:eastAsia="宋体" w:cs="宋体"/>
                <w:sz w:val="24"/>
                <w:szCs w:val="24"/>
                <w:lang w:val="en-US" w:eastAsia="zh-CN"/>
              </w:rPr>
              <w:t>磋商</w:t>
            </w:r>
            <w:r>
              <w:rPr>
                <w:rFonts w:ascii="宋体" w:hAnsi="宋体" w:eastAsia="宋体" w:cs="宋体"/>
                <w:sz w:val="24"/>
                <w:szCs w:val="24"/>
              </w:rPr>
              <w:t>文件要求的《</w:t>
            </w:r>
            <w:r>
              <w:rPr>
                <w:rFonts w:hint="eastAsia" w:ascii="宋体" w:hAnsi="宋体" w:eastAsia="宋体" w:cs="宋体"/>
                <w:sz w:val="24"/>
                <w:szCs w:val="24"/>
                <w:lang w:val="en-US" w:eastAsia="zh-CN"/>
              </w:rPr>
              <w:t>供应商</w:t>
            </w:r>
            <w:r>
              <w:rPr>
                <w:rFonts w:ascii="宋体" w:hAnsi="宋体" w:eastAsia="宋体" w:cs="宋体"/>
                <w:sz w:val="24"/>
                <w:szCs w:val="24"/>
              </w:rPr>
              <w:t>资格声明书》</w:t>
            </w:r>
            <w:r>
              <w:rPr>
                <w:rFonts w:hint="eastAsia" w:ascii="宋体" w:hAnsi="宋体" w:eastAsia="宋体" w:cs="宋体"/>
                <w:sz w:val="24"/>
                <w:szCs w:val="24"/>
                <w:lang w:eastAsia="zh-CN"/>
              </w:rPr>
              <w:t>。</w:t>
            </w:r>
          </w:p>
        </w:tc>
        <w:tc>
          <w:tcPr>
            <w:tcW w:w="1075"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不得存在</w:t>
            </w:r>
            <w:r>
              <w:rPr>
                <w:rFonts w:hint="eastAsia" w:ascii="宋体" w:hAnsi="宋体" w:eastAsia="宋体" w:cs="宋体"/>
                <w:sz w:val="24"/>
                <w:szCs w:val="24"/>
                <w:lang w:val="en-US" w:eastAsia="zh-CN"/>
              </w:rPr>
              <w:t>供应商</w:t>
            </w:r>
            <w:r>
              <w:rPr>
                <w:rFonts w:hint="eastAsia" w:ascii="宋体" w:hAnsi="宋体" w:eastAsia="宋体" w:cs="宋体"/>
                <w:sz w:val="24"/>
                <w:szCs w:val="24"/>
                <w:lang w:val="zh-CN" w:eastAsia="zh-CN"/>
              </w:rPr>
              <w:t>须</w:t>
            </w:r>
            <w:r>
              <w:rPr>
                <w:rFonts w:hint="eastAsia" w:ascii="宋体" w:hAnsi="宋体" w:eastAsia="宋体" w:cs="宋体"/>
                <w:sz w:val="24"/>
                <w:szCs w:val="24"/>
                <w:highlight w:val="none"/>
                <w:lang w:val="zh-CN" w:eastAsia="zh-CN"/>
              </w:rPr>
              <w:t>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5"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w:t>
            </w:r>
            <w:r>
              <w:rPr>
                <w:rFonts w:hint="eastAsia" w:ascii="宋体" w:hAnsi="宋体" w:eastAsia="宋体" w:cs="宋体"/>
                <w:sz w:val="24"/>
                <w:szCs w:val="24"/>
                <w:lang w:val="en-US" w:eastAsia="zh-CN"/>
              </w:rPr>
              <w:t>供应商提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文件要求以联合体形式参加或者要求合同分包的，且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文件关于预留份额的要求。</w:t>
            </w:r>
          </w:p>
        </w:tc>
        <w:tc>
          <w:tcPr>
            <w:tcW w:w="1075"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因落实政府采购政策拟进行分包的。</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w:t>
            </w:r>
            <w:r>
              <w:rPr>
                <w:rFonts w:hint="eastAsia" w:ascii="宋体" w:hAnsi="宋体" w:eastAsia="宋体" w:cs="宋体"/>
                <w:spacing w:val="-2"/>
                <w:sz w:val="24"/>
                <w:szCs w:val="24"/>
                <w:lang w:val="en-US" w:eastAsia="zh-CN"/>
              </w:rPr>
              <w:t>磋商</w:t>
            </w:r>
            <w:r>
              <w:rPr>
                <w:rFonts w:ascii="宋体" w:hAnsi="宋体" w:eastAsia="宋体" w:cs="宋体"/>
                <w:spacing w:val="-2"/>
                <w:sz w:val="24"/>
                <w:szCs w:val="24"/>
              </w:rPr>
              <w:t>邀请》</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适用于接受联合体磋商项目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075"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w:t>
            </w:r>
            <w:r>
              <w:rPr>
                <w:rFonts w:hint="eastAsia" w:ascii="宋体" w:hAnsi="宋体" w:eastAsia="宋体" w:cs="宋体"/>
                <w:spacing w:val="10"/>
                <w:sz w:val="24"/>
                <w:szCs w:val="24"/>
                <w:lang w:val="en-US" w:eastAsia="zh-CN"/>
              </w:rPr>
              <w:t>磋商</w:t>
            </w:r>
            <w:r>
              <w:rPr>
                <w:rFonts w:ascii="宋体" w:hAnsi="宋体" w:eastAsia="宋体" w:cs="宋体"/>
                <w:spacing w:val="10"/>
                <w:sz w:val="24"/>
                <w:szCs w:val="24"/>
              </w:rPr>
              <w:t>邀请》</w:t>
            </w:r>
          </w:p>
        </w:tc>
        <w:tc>
          <w:tcPr>
            <w:tcW w:w="1075"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9</w:t>
            </w:r>
          </w:p>
        </w:tc>
        <w:tc>
          <w:tcPr>
            <w:tcW w:w="1810"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磋商响应函</w:t>
            </w:r>
          </w:p>
        </w:tc>
        <w:tc>
          <w:tcPr>
            <w:tcW w:w="5001"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szCs w:val="28"/>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2070" w:type="dxa"/>
            <w:vAlign w:val="center"/>
          </w:tcPr>
          <w:p>
            <w:pPr>
              <w:adjustRightInd w:val="0"/>
              <w:snapToGrid w:val="0"/>
              <w:spacing w:line="360" w:lineRule="auto"/>
              <w:ind w:right="-10" w:rightChars="0"/>
              <w:jc w:val="center"/>
              <w:rPr>
                <w:rFonts w:hint="eastAsia" w:asciiTheme="minorEastAsia" w:hAnsiTheme="minorEastAsia" w:eastAsiaTheme="minorEastAsia"/>
                <w:color w:val="auto"/>
                <w:sz w:val="24"/>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10</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授权书</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格式、填写要求符合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文件规定并加盖</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szCs w:val="28"/>
                <w:highlight w:val="none"/>
              </w:rPr>
              <w:t>电子签章</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法定代表人参加</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的无需此件，提供身份证明即可。详见第六章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11</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报价</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12</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宋体" w:hAnsi="宋体" w:eastAsia="宋体" w:cs="宋体"/>
                <w:spacing w:val="10"/>
                <w:sz w:val="24"/>
                <w:szCs w:val="24"/>
                <w:lang w:val="en-US" w:eastAsia="zh-CN"/>
              </w:rPr>
              <w:t>磋商</w:t>
            </w:r>
            <w:r>
              <w:rPr>
                <w:rFonts w:hint="eastAsia" w:asciiTheme="minorEastAsia" w:hAnsiTheme="minorEastAsia" w:eastAsiaTheme="minorEastAsia"/>
                <w:color w:val="auto"/>
                <w:sz w:val="24"/>
                <w:szCs w:val="28"/>
                <w:highlight w:val="none"/>
              </w:rPr>
              <w:t>文件采购需求中对付款方式、</w:t>
            </w:r>
            <w:r>
              <w:rPr>
                <w:rFonts w:hint="eastAsia" w:asciiTheme="minorEastAsia" w:hAnsiTheme="minorEastAsia" w:eastAsiaTheme="minorEastAsia"/>
                <w:color w:val="auto"/>
                <w:sz w:val="24"/>
                <w:szCs w:val="28"/>
                <w:highlight w:val="none"/>
                <w:lang w:val="en-US" w:eastAsia="zh-CN"/>
              </w:rPr>
              <w:t>服务地点</w:t>
            </w:r>
            <w:r>
              <w:rPr>
                <w:rFonts w:hint="eastAsia" w:asciiTheme="minorEastAsia" w:hAnsiTheme="minorEastAsia" w:eastAsiaTheme="minorEastAsia"/>
                <w:color w:val="auto"/>
                <w:sz w:val="24"/>
                <w:szCs w:val="28"/>
                <w:highlight w:val="none"/>
              </w:rPr>
              <w:t>、</w:t>
            </w:r>
            <w:r>
              <w:rPr>
                <w:rFonts w:hint="eastAsia" w:asciiTheme="minorEastAsia" w:hAnsiTheme="minorEastAsia" w:eastAsiaTheme="minorEastAsia"/>
                <w:color w:val="auto"/>
                <w:sz w:val="24"/>
                <w:szCs w:val="28"/>
                <w:highlight w:val="none"/>
                <w:lang w:val="en-US" w:eastAsia="zh-CN"/>
              </w:rPr>
              <w:t>服务期限等实质性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13</w:t>
            </w:r>
          </w:p>
        </w:tc>
        <w:tc>
          <w:tcPr>
            <w:tcW w:w="1810" w:type="dxa"/>
            <w:vAlign w:val="center"/>
          </w:tcPr>
          <w:p>
            <w:pPr>
              <w:spacing w:line="360" w:lineRule="auto"/>
              <w:outlineLvl w:val="2"/>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5001" w:type="dxa"/>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r>
              <w:rPr>
                <w:rFonts w:hint="eastAsia" w:asciiTheme="minorEastAsia" w:hAnsiTheme="minorEastAsia" w:eastAsiaTheme="minorEastAsia"/>
                <w:color w:val="auto"/>
                <w:sz w:val="24"/>
                <w:highlight w:val="none"/>
              </w:rPr>
              <w:t>详见第六章</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8" w:type="pct"/>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Theme="minorEastAsia" w:hAnsiTheme="minorEastAsia" w:eastAsiaTheme="minorEastAsia"/>
                <w:color w:val="auto"/>
                <w:sz w:val="24"/>
                <w:highlight w:val="none"/>
                <w:lang w:val="en-US" w:eastAsia="zh-CN"/>
              </w:rPr>
              <w:t>14</w:t>
            </w:r>
          </w:p>
        </w:tc>
        <w:tc>
          <w:tcPr>
            <w:tcW w:w="942"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其他要求</w:t>
            </w:r>
          </w:p>
        </w:tc>
        <w:tc>
          <w:tcPr>
            <w:tcW w:w="2603" w:type="pct"/>
            <w:vAlign w:val="center"/>
          </w:tcPr>
          <w:p>
            <w:pPr>
              <w:spacing w:after="50" w:line="360" w:lineRule="auto"/>
              <w:ind w:right="-10" w:rightChars="0"/>
              <w:jc w:val="center"/>
              <w:rPr>
                <w:rFonts w:ascii="宋体" w:hAnsi="宋体" w:eastAsia="宋体" w:cs="宋体"/>
                <w:spacing w:val="10"/>
                <w:sz w:val="24"/>
                <w:szCs w:val="24"/>
              </w:rPr>
            </w:pPr>
            <w:r>
              <w:rPr>
                <w:rFonts w:hint="eastAsia" w:asciiTheme="minorEastAsia" w:hAnsiTheme="minorEastAsia" w:eastAsiaTheme="minorEastAsia"/>
                <w:color w:val="auto"/>
                <w:sz w:val="24"/>
                <w:szCs w:val="28"/>
                <w:highlight w:val="none"/>
              </w:rPr>
              <w:t>符合法律、行政法规规定的其他条件或</w:t>
            </w:r>
            <w:r>
              <w:rPr>
                <w:rFonts w:hint="eastAsia" w:asciiTheme="minorEastAsia" w:hAnsiTheme="minorEastAsia" w:eastAsiaTheme="minorEastAsia"/>
                <w:color w:val="auto"/>
                <w:sz w:val="24"/>
                <w:szCs w:val="28"/>
                <w:highlight w:val="none"/>
                <w:lang w:val="en-US" w:eastAsia="zh-CN"/>
              </w:rPr>
              <w:t>磋商</w:t>
            </w:r>
            <w:r>
              <w:rPr>
                <w:rFonts w:hint="eastAsia" w:asciiTheme="minorEastAsia" w:hAnsiTheme="minorEastAsia" w:eastAsiaTheme="minorEastAsia"/>
                <w:color w:val="auto"/>
                <w:sz w:val="24"/>
                <w:szCs w:val="28"/>
                <w:highlight w:val="none"/>
              </w:rPr>
              <w:t>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075" w:type="pct"/>
            <w:vAlign w:val="center"/>
          </w:tcPr>
          <w:p>
            <w:pPr>
              <w:adjustRightInd w:val="0"/>
              <w:snapToGrid w:val="0"/>
              <w:spacing w:line="360" w:lineRule="auto"/>
              <w:ind w:right="-10" w:rightChars="0"/>
              <w:jc w:val="center"/>
              <w:rPr>
                <w:rFonts w:hint="eastAsia" w:ascii="宋体" w:hAnsi="宋体" w:eastAsia="宋体" w:cs="宋体"/>
                <w:b w:val="0"/>
                <w:bCs w:val="0"/>
                <w:color w:val="auto"/>
                <w:sz w:val="24"/>
                <w:szCs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2.2综合评分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ascii="宋体" w:hAnsi="宋体" w:eastAsia="宋体"/>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pPr>
        <w:spacing w:line="360" w:lineRule="auto"/>
        <w:ind w:firstLine="435"/>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价格分统一采用低价优先法，即满足磋商文件要求且最后报价最低的供应商的价格为磋商基准价，其价格分为满分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分。其他供应商的价格分统一按照下列公式计算：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ascii="宋体" w:hAnsi="宋体" w:eastAsia="宋体"/>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Theme="minorEastAsia" w:hAnsiTheme="minorEastAsia" w:eastAsiaTheme="minorEastAsia"/>
          <w:b/>
          <w:sz w:val="28"/>
        </w:rPr>
      </w:pPr>
      <w:bookmarkStart w:id="85" w:name="_Toc63440921"/>
      <w:r>
        <w:rPr>
          <w:rFonts w:hint="eastAsia" w:asciiTheme="minorEastAsia" w:hAnsiTheme="minorEastAsia" w:eastAsiaTheme="minorEastAsia"/>
          <w:b/>
          <w:sz w:val="28"/>
        </w:rPr>
        <w:t xml:space="preserve">第五章  </w:t>
      </w:r>
      <w:r>
        <w:rPr>
          <w:rFonts w:asciiTheme="minorEastAsia" w:hAnsiTheme="minorEastAsia" w:eastAsiaTheme="minorEastAsia"/>
          <w:b/>
          <w:sz w:val="28"/>
        </w:rPr>
        <w:t>政府采购合同</w:t>
      </w:r>
      <w:bookmarkEnd w:id="85"/>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outlineLvl w:val="1"/>
        <w:rPr>
          <w:rFonts w:ascii="宋体" w:hAnsi="宋体" w:eastAsia="宋体"/>
          <w:b/>
          <w:sz w:val="32"/>
          <w:szCs w:val="32"/>
        </w:rPr>
      </w:pPr>
      <w:bookmarkStart w:id="287" w:name="_GoBack"/>
      <w:bookmarkEnd w:id="287"/>
      <w:r>
        <w:rPr>
          <w:rFonts w:ascii="宋体" w:hAnsi="宋体" w:eastAsia="宋体"/>
          <w:b/>
          <w:sz w:val="32"/>
          <w:szCs w:val="32"/>
        </w:rPr>
        <w:t>政府采购合同</w:t>
      </w:r>
      <w:r>
        <w:rPr>
          <w:rFonts w:hint="eastAsia" w:ascii="宋体" w:hAnsi="宋体" w:eastAsia="宋体"/>
          <w:b/>
          <w:sz w:val="32"/>
          <w:szCs w:val="32"/>
        </w:rPr>
        <w:t>参考范本</w:t>
      </w:r>
    </w:p>
    <w:p>
      <w:pPr>
        <w:spacing w:line="480" w:lineRule="auto"/>
        <w:jc w:val="center"/>
        <w:outlineLvl w:val="1"/>
        <w:rPr>
          <w:rFonts w:ascii="宋体" w:hAnsi="宋体" w:eastAsia="宋体"/>
          <w:b/>
          <w:sz w:val="32"/>
          <w:szCs w:val="32"/>
        </w:rPr>
      </w:pPr>
      <w:r>
        <w:rPr>
          <w:rFonts w:hint="eastAsia" w:ascii="宋体" w:hAnsi="宋体" w:eastAsia="宋体"/>
          <w:b/>
          <w:sz w:val="32"/>
          <w:szCs w:val="32"/>
        </w:rPr>
        <w:t>（服务类）</w:t>
      </w: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360" w:lineRule="auto"/>
        <w:jc w:val="center"/>
        <w:outlineLvl w:val="1"/>
        <w:rPr>
          <w:rFonts w:ascii="宋体" w:hAnsi="宋体" w:eastAsia="宋体"/>
          <w:b/>
          <w:sz w:val="24"/>
        </w:rPr>
      </w:pPr>
      <w:r>
        <w:rPr>
          <w:rFonts w:hint="eastAsia" w:ascii="宋体" w:hAnsi="宋体" w:eastAsia="宋体"/>
          <w:b/>
          <w:sz w:val="24"/>
        </w:rPr>
        <w:t>第一部分 合同书</w:t>
      </w: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line="480" w:lineRule="auto"/>
        <w:jc w:val="center"/>
        <w:rPr>
          <w:rFonts w:ascii="宋体" w:hAnsi="宋体" w:eastAsia="宋体"/>
          <w:b/>
          <w:sz w:val="24"/>
        </w:rPr>
      </w:pPr>
    </w:p>
    <w:p>
      <w:pPr>
        <w:spacing w:before="120" w:line="480" w:lineRule="auto"/>
        <w:ind w:left="960"/>
        <w:rPr>
          <w:rFonts w:ascii="宋体" w:hAnsi="宋体" w:eastAsia="宋体"/>
          <w:sz w:val="24"/>
          <w:u w:val="single"/>
        </w:rPr>
      </w:pPr>
      <w:r>
        <w:rPr>
          <w:rFonts w:hint="eastAsia" w:ascii="宋体" w:hAnsi="宋体" w:eastAsia="宋体"/>
          <w:sz w:val="24"/>
        </w:rPr>
        <w:t>项目名称：</w:t>
      </w:r>
      <w:r>
        <w:rPr>
          <w:rFonts w:hint="eastAsia" w:ascii="宋体" w:hAnsi="宋体" w:eastAsia="宋体"/>
          <w:sz w:val="24"/>
          <w:u w:val="single"/>
        </w:rPr>
        <w:t xml:space="preserve">           </w:t>
      </w:r>
      <w:r>
        <w:rPr>
          <w:rFonts w:hint="eastAsia" w:ascii="宋体" w:hAnsi="宋体" w:eastAsia="宋体"/>
          <w:i/>
          <w:iCs/>
          <w:sz w:val="24"/>
        </w:rPr>
        <w:t>（分包项目须填写完整的分包号及分包名称）</w:t>
      </w:r>
    </w:p>
    <w:p>
      <w:pPr>
        <w:spacing w:before="120" w:line="480" w:lineRule="auto"/>
        <w:ind w:left="960"/>
        <w:rPr>
          <w:rFonts w:ascii="宋体" w:hAnsi="宋体" w:eastAsia="宋体"/>
          <w:sz w:val="24"/>
        </w:rPr>
      </w:pPr>
      <w:r>
        <w:rPr>
          <w:rFonts w:hint="eastAsia" w:ascii="宋体" w:hAnsi="宋体" w:eastAsia="宋体"/>
          <w:sz w:val="24"/>
        </w:rPr>
        <w:t>项目编号：</w:t>
      </w:r>
      <w:r>
        <w:rPr>
          <w:rFonts w:hint="eastAsia" w:ascii="宋体" w:hAnsi="宋体" w:eastAsia="宋体"/>
          <w:sz w:val="24"/>
          <w:u w:val="single"/>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甲方（采购人）：</w:t>
      </w:r>
      <w:r>
        <w:rPr>
          <w:rFonts w:hint="eastAsia" w:ascii="宋体" w:hAnsi="宋体" w:eastAsia="宋体"/>
          <w:sz w:val="24"/>
          <w:u w:val="single"/>
        </w:rPr>
        <w:t xml:space="preserve">                              </w:t>
      </w:r>
    </w:p>
    <w:p>
      <w:pPr>
        <w:spacing w:before="120" w:line="480" w:lineRule="auto"/>
        <w:ind w:left="960"/>
        <w:rPr>
          <w:rFonts w:ascii="宋体" w:hAnsi="宋体" w:eastAsia="宋体"/>
          <w:sz w:val="24"/>
          <w:u w:val="single"/>
        </w:rPr>
      </w:pPr>
      <w:r>
        <w:rPr>
          <w:rFonts w:hint="eastAsia" w:ascii="宋体" w:hAnsi="宋体" w:eastAsia="宋体"/>
          <w:sz w:val="24"/>
        </w:rPr>
        <w:t>乙方（成交供应商）：</w:t>
      </w:r>
      <w:r>
        <w:rPr>
          <w:rFonts w:ascii="宋体" w:hAnsi="宋体" w:eastAsia="宋体"/>
          <w:sz w:val="24"/>
          <w:u w:val="single"/>
        </w:rPr>
        <w:t xml:space="preserve">        </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u w:val="single"/>
        </w:rPr>
      </w:pPr>
      <w:r>
        <w:rPr>
          <w:rFonts w:hint="eastAsia" w:ascii="宋体" w:hAnsi="宋体" w:eastAsia="宋体"/>
          <w:sz w:val="24"/>
        </w:rPr>
        <w:t>签订地：</w:t>
      </w:r>
      <w:r>
        <w:rPr>
          <w:rFonts w:hint="eastAsia" w:ascii="宋体" w:hAnsi="宋体" w:eastAsia="宋体"/>
          <w:sz w:val="24"/>
          <w:u w:val="single"/>
        </w:rPr>
        <w:t xml:space="preserve">                                     </w:t>
      </w:r>
    </w:p>
    <w:p>
      <w:pPr>
        <w:spacing w:before="120" w:line="480" w:lineRule="auto"/>
        <w:ind w:firstLine="960" w:firstLineChars="400"/>
        <w:rPr>
          <w:rFonts w:ascii="宋体" w:hAnsi="宋体" w:eastAsia="宋体"/>
          <w:sz w:val="24"/>
        </w:rPr>
      </w:pPr>
      <w:r>
        <w:rPr>
          <w:rFonts w:hint="eastAsia" w:ascii="宋体" w:hAnsi="宋体" w:eastAsia="宋体"/>
          <w:sz w:val="24"/>
        </w:rPr>
        <w:t>签订日期：</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pPr>
        <w:widowControl/>
        <w:jc w:val="left"/>
        <w:rPr>
          <w:rFonts w:ascii="宋体" w:hAnsi="宋体" w:eastAsia="宋体"/>
          <w:sz w:val="24"/>
        </w:rPr>
      </w:pPr>
      <w:r>
        <w:rPr>
          <w:rFonts w:ascii="宋体" w:hAnsi="宋体" w:eastAsia="宋体"/>
          <w:sz w:val="24"/>
        </w:rPr>
        <w:br w:type="page"/>
      </w:r>
    </w:p>
    <w:p>
      <w:pPr>
        <w:spacing w:line="360" w:lineRule="auto"/>
        <w:ind w:firstLine="435"/>
        <w:rPr>
          <w:rFonts w:ascii="宋体" w:hAnsi="宋体" w:eastAsia="宋体"/>
          <w:sz w:val="24"/>
        </w:rPr>
      </w:pPr>
      <w:r>
        <w:rPr>
          <w:rFonts w:hint="eastAsia" w:ascii="宋体" w:hAnsi="宋体" w:eastAsia="宋体"/>
          <w:sz w:val="24"/>
          <w:u w:val="single"/>
        </w:rPr>
        <w:t xml:space="preserve">               </w:t>
      </w:r>
      <w:r>
        <w:rPr>
          <w:rFonts w:hint="eastAsia" w:ascii="宋体" w:hAnsi="宋体" w:eastAsia="宋体"/>
          <w:sz w:val="24"/>
        </w:rPr>
        <w:t>（</w:t>
      </w:r>
      <w:r>
        <w:rPr>
          <w:rFonts w:hint="eastAsia" w:ascii="宋体" w:hAnsi="宋体" w:eastAsia="宋体"/>
          <w:sz w:val="24"/>
          <w:lang w:val="zh-CN"/>
        </w:rPr>
        <w:t>以下简称：甲方</w:t>
      </w:r>
      <w:r>
        <w:rPr>
          <w:rFonts w:hint="eastAsia" w:ascii="宋体" w:hAnsi="宋体" w:eastAsia="宋体"/>
          <w:sz w:val="24"/>
        </w:rPr>
        <w:t>）通过</w:t>
      </w:r>
      <w:r>
        <w:rPr>
          <w:rFonts w:hint="eastAsia" w:ascii="宋体" w:hAnsi="宋体" w:eastAsia="宋体"/>
          <w:sz w:val="24"/>
          <w:u w:val="single"/>
        </w:rPr>
        <w:t xml:space="preserve">               </w:t>
      </w:r>
      <w:r>
        <w:rPr>
          <w:rFonts w:hint="eastAsia" w:ascii="宋体" w:hAnsi="宋体" w:eastAsia="宋体"/>
          <w:sz w:val="24"/>
        </w:rPr>
        <w:t>组织的</w:t>
      </w:r>
      <w:r>
        <w:rPr>
          <w:rFonts w:hint="eastAsia" w:ascii="宋体" w:hAnsi="宋体" w:eastAsia="宋体"/>
          <w:sz w:val="24"/>
          <w:u w:val="single"/>
        </w:rPr>
        <w:t>竞争性磋商</w:t>
      </w:r>
      <w:r>
        <w:rPr>
          <w:rFonts w:hint="eastAsia" w:ascii="宋体" w:hAnsi="宋体" w:eastAsia="宋体"/>
          <w:sz w:val="24"/>
        </w:rPr>
        <w:t>方式采购活动，经</w:t>
      </w:r>
      <w:r>
        <w:rPr>
          <w:rFonts w:hint="eastAsia" w:ascii="宋体" w:hAnsi="宋体" w:eastAsia="宋体"/>
          <w:sz w:val="24"/>
          <w:u w:val="single"/>
        </w:rPr>
        <w:t>磋商小组</w:t>
      </w:r>
      <w:r>
        <w:rPr>
          <w:rFonts w:hint="eastAsia" w:ascii="宋体" w:hAnsi="宋体" w:eastAsia="宋体"/>
          <w:sz w:val="24"/>
        </w:rPr>
        <w:t>评定，</w:t>
      </w:r>
      <w:r>
        <w:rPr>
          <w:rFonts w:hint="eastAsia" w:ascii="宋体" w:hAnsi="宋体" w:eastAsia="宋体"/>
          <w:sz w:val="24"/>
          <w:u w:val="single"/>
        </w:rPr>
        <w:t xml:space="preserve">               </w:t>
      </w:r>
      <w:r>
        <w:rPr>
          <w:rFonts w:hint="eastAsia" w:ascii="宋体" w:hAnsi="宋体" w:eastAsia="宋体"/>
          <w:sz w:val="24"/>
        </w:rPr>
        <w:t>（</w:t>
      </w:r>
      <w:r>
        <w:rPr>
          <w:rFonts w:hint="eastAsia" w:ascii="宋体" w:hAnsi="宋体" w:eastAsia="宋体"/>
          <w:sz w:val="24"/>
          <w:lang w:val="zh-CN"/>
        </w:rPr>
        <w:t>以下简称：乙方</w:t>
      </w:r>
      <w:r>
        <w:rPr>
          <w:rFonts w:hint="eastAsia" w:ascii="宋体" w:hAnsi="宋体" w:eastAsia="宋体"/>
          <w:sz w:val="24"/>
        </w:rPr>
        <w:t>）为本项目成交供应商，现按照采购文件确定的事项签订本合同。</w:t>
      </w:r>
    </w:p>
    <w:p>
      <w:pPr>
        <w:spacing w:line="360" w:lineRule="auto"/>
        <w:ind w:firstLine="435"/>
        <w:rPr>
          <w:rFonts w:ascii="宋体" w:hAnsi="宋体" w:eastAsia="宋体"/>
          <w:sz w:val="24"/>
          <w:lang w:val="zh-CN"/>
        </w:rPr>
      </w:pPr>
      <w:r>
        <w:rPr>
          <w:rFonts w:hint="eastAsia" w:ascii="宋体" w:hAnsi="宋体" w:eastAsia="宋体"/>
          <w:sz w:val="24"/>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ascii="宋体" w:hAnsi="宋体" w:eastAsia="宋体"/>
          <w:b/>
          <w:bCs/>
          <w:sz w:val="24"/>
          <w:lang w:val="zh-CN"/>
        </w:rPr>
      </w:pPr>
      <w:bookmarkStart w:id="86" w:name="_Toc24059"/>
      <w:bookmarkStart w:id="87" w:name="_Toc2232"/>
      <w:bookmarkStart w:id="88" w:name="_Toc3029"/>
      <w:r>
        <w:rPr>
          <w:rFonts w:hint="eastAsia" w:ascii="宋体" w:hAnsi="宋体" w:eastAsia="宋体"/>
          <w:b/>
          <w:bCs/>
          <w:sz w:val="24"/>
          <w:lang w:val="zh-CN"/>
        </w:rPr>
        <w:t>1.1</w:t>
      </w:r>
      <w:r>
        <w:rPr>
          <w:rFonts w:ascii="宋体" w:hAnsi="宋体" w:eastAsia="宋体"/>
          <w:b/>
          <w:bCs/>
          <w:sz w:val="24"/>
          <w:lang w:val="zh-CN"/>
        </w:rPr>
        <w:t xml:space="preserve"> </w:t>
      </w:r>
      <w:r>
        <w:rPr>
          <w:rFonts w:hint="eastAsia" w:ascii="宋体" w:hAnsi="宋体" w:eastAsia="宋体"/>
          <w:b/>
          <w:bCs/>
          <w:sz w:val="24"/>
          <w:lang w:val="zh-CN"/>
        </w:rPr>
        <w:t>合同组成部分</w:t>
      </w:r>
      <w:bookmarkEnd w:id="86"/>
      <w:bookmarkEnd w:id="87"/>
      <w:bookmarkEnd w:id="88"/>
    </w:p>
    <w:p>
      <w:pPr>
        <w:spacing w:line="360" w:lineRule="auto"/>
        <w:ind w:firstLine="435"/>
        <w:rPr>
          <w:rFonts w:ascii="宋体" w:hAnsi="宋体" w:eastAsia="宋体"/>
          <w:sz w:val="24"/>
          <w:lang w:val="zh-CN"/>
        </w:rPr>
      </w:pPr>
      <w:r>
        <w:rPr>
          <w:rFonts w:hint="eastAsia" w:ascii="宋体" w:hAnsi="宋体" w:eastAsia="宋体"/>
          <w:sz w:val="24"/>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ascii="宋体" w:hAnsi="宋体" w:eastAsia="宋体"/>
          <w:sz w:val="24"/>
          <w:lang w:val="zh-CN"/>
        </w:rPr>
      </w:pPr>
      <w:r>
        <w:rPr>
          <w:rFonts w:hint="eastAsia" w:ascii="宋体" w:hAnsi="宋体" w:eastAsia="宋体"/>
          <w:sz w:val="24"/>
          <w:lang w:val="zh-CN"/>
        </w:rPr>
        <w:t>1.1.1本合同及其补充合同、变更协议；</w:t>
      </w:r>
    </w:p>
    <w:p>
      <w:pPr>
        <w:spacing w:line="360" w:lineRule="auto"/>
        <w:ind w:firstLine="435"/>
        <w:rPr>
          <w:rFonts w:ascii="宋体" w:hAnsi="宋体" w:eastAsia="宋体"/>
          <w:sz w:val="24"/>
          <w:lang w:val="zh-CN"/>
        </w:rPr>
      </w:pPr>
      <w:r>
        <w:rPr>
          <w:rFonts w:hint="eastAsia" w:ascii="宋体" w:hAnsi="宋体" w:eastAsia="宋体"/>
          <w:sz w:val="24"/>
          <w:lang w:val="zh-CN"/>
        </w:rPr>
        <w:t>1.1.2成交通知书；</w:t>
      </w:r>
    </w:p>
    <w:p>
      <w:pPr>
        <w:spacing w:line="360" w:lineRule="auto"/>
        <w:ind w:firstLine="435"/>
        <w:rPr>
          <w:rFonts w:ascii="宋体" w:hAnsi="宋体" w:eastAsia="宋体"/>
          <w:sz w:val="24"/>
          <w:lang w:val="zh-CN"/>
        </w:rPr>
      </w:pPr>
      <w:r>
        <w:rPr>
          <w:rFonts w:hint="eastAsia" w:ascii="宋体" w:hAnsi="宋体" w:eastAsia="宋体"/>
          <w:sz w:val="24"/>
          <w:lang w:val="zh-CN"/>
        </w:rPr>
        <w:t>1.1.3响应文件（含澄清或者说明文件）；</w:t>
      </w:r>
    </w:p>
    <w:p>
      <w:pPr>
        <w:spacing w:line="360" w:lineRule="auto"/>
        <w:ind w:firstLine="435"/>
        <w:rPr>
          <w:rFonts w:ascii="宋体" w:hAnsi="宋体" w:eastAsia="宋体"/>
          <w:sz w:val="24"/>
          <w:lang w:val="zh-CN"/>
        </w:rPr>
      </w:pPr>
      <w:r>
        <w:rPr>
          <w:rFonts w:hint="eastAsia" w:ascii="宋体" w:hAnsi="宋体" w:eastAsia="宋体"/>
          <w:sz w:val="24"/>
          <w:lang w:val="zh-CN"/>
        </w:rPr>
        <w:t>1.1.4磋商文件（含澄清或者修改文件）；</w:t>
      </w:r>
    </w:p>
    <w:p>
      <w:pPr>
        <w:spacing w:line="360" w:lineRule="auto"/>
        <w:ind w:firstLine="435"/>
        <w:rPr>
          <w:rFonts w:ascii="宋体" w:hAnsi="宋体" w:eastAsia="宋体"/>
          <w:sz w:val="24"/>
          <w:lang w:val="zh-CN"/>
        </w:rPr>
      </w:pPr>
      <w:r>
        <w:rPr>
          <w:rFonts w:hint="eastAsia" w:ascii="宋体" w:hAnsi="宋体" w:eastAsia="宋体"/>
          <w:sz w:val="24"/>
          <w:lang w:val="zh-CN"/>
        </w:rPr>
        <w:t>1.1.5其他相关采购文件。</w:t>
      </w:r>
    </w:p>
    <w:p>
      <w:pPr>
        <w:spacing w:line="360" w:lineRule="auto"/>
        <w:ind w:firstLine="437"/>
        <w:outlineLvl w:val="2"/>
        <w:rPr>
          <w:rFonts w:ascii="宋体" w:hAnsi="宋体" w:eastAsia="宋体"/>
          <w:b/>
          <w:bCs/>
          <w:sz w:val="24"/>
          <w:lang w:val="zh-CN"/>
        </w:rPr>
      </w:pPr>
      <w:bookmarkStart w:id="89" w:name="_Toc6773"/>
      <w:bookmarkStart w:id="90" w:name="_Toc18585"/>
      <w:bookmarkStart w:id="91" w:name="_Toc6311"/>
      <w:bookmarkStart w:id="92" w:name="_Toc22185"/>
      <w:bookmarkStart w:id="93" w:name="_Toc2918"/>
      <w:r>
        <w:rPr>
          <w:rFonts w:hint="eastAsia" w:ascii="宋体" w:hAnsi="宋体" w:eastAsia="宋体"/>
          <w:b/>
          <w:bCs/>
          <w:sz w:val="24"/>
          <w:lang w:val="zh-CN"/>
        </w:rPr>
        <w:t xml:space="preserve">1.2 </w:t>
      </w:r>
      <w:bookmarkEnd w:id="89"/>
      <w:bookmarkEnd w:id="90"/>
      <w:bookmarkEnd w:id="91"/>
      <w:bookmarkEnd w:id="92"/>
      <w:bookmarkEnd w:id="93"/>
      <w:r>
        <w:rPr>
          <w:rFonts w:hint="eastAsia" w:ascii="宋体" w:hAnsi="宋体" w:eastAsia="宋体"/>
          <w:b/>
          <w:bCs/>
          <w:sz w:val="24"/>
          <w:lang w:val="zh-CN"/>
        </w:rPr>
        <w:t>服务</w:t>
      </w:r>
    </w:p>
    <w:p>
      <w:pPr>
        <w:spacing w:line="360" w:lineRule="auto"/>
        <w:ind w:firstLine="435"/>
        <w:rPr>
          <w:rFonts w:ascii="宋体" w:hAnsi="宋体" w:eastAsia="宋体"/>
          <w:sz w:val="24"/>
          <w:u w:val="single"/>
        </w:rPr>
      </w:pPr>
      <w:r>
        <w:rPr>
          <w:rFonts w:hint="eastAsia" w:ascii="宋体" w:hAnsi="宋体" w:eastAsia="宋体"/>
          <w:sz w:val="24"/>
        </w:rPr>
        <w:t>1.2.1服务</w:t>
      </w:r>
      <w:r>
        <w:rPr>
          <w:rFonts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u w:val="single"/>
        </w:rPr>
      </w:pPr>
      <w:r>
        <w:rPr>
          <w:rFonts w:hint="eastAsia" w:ascii="宋体" w:hAnsi="宋体" w:eastAsia="宋体"/>
          <w:sz w:val="24"/>
        </w:rPr>
        <w:t>1.2.2服务内容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1.2.3服务质量：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94" w:name="_Toc21631"/>
      <w:bookmarkStart w:id="95" w:name="_Toc23292"/>
      <w:bookmarkStart w:id="96" w:name="_Toc21551"/>
      <w:r>
        <w:rPr>
          <w:rFonts w:hint="eastAsia" w:ascii="宋体" w:hAnsi="宋体" w:eastAsia="宋体"/>
          <w:b/>
          <w:bCs/>
          <w:sz w:val="24"/>
          <w:lang w:val="zh-CN"/>
        </w:rPr>
        <w:t>1.</w:t>
      </w:r>
      <w:r>
        <w:rPr>
          <w:rFonts w:ascii="宋体" w:hAnsi="宋体" w:eastAsia="宋体"/>
          <w:b/>
          <w:bCs/>
          <w:sz w:val="24"/>
          <w:lang w:val="zh-CN"/>
        </w:rPr>
        <w:t xml:space="preserve">3 </w:t>
      </w:r>
      <w:r>
        <w:rPr>
          <w:rFonts w:hint="eastAsia" w:ascii="宋体" w:hAnsi="宋体" w:eastAsia="宋体"/>
          <w:b/>
          <w:bCs/>
          <w:sz w:val="24"/>
          <w:lang w:val="zh-CN"/>
        </w:rPr>
        <w:t>价款</w:t>
      </w:r>
      <w:bookmarkEnd w:id="94"/>
      <w:bookmarkEnd w:id="95"/>
      <w:bookmarkEnd w:id="96"/>
    </w:p>
    <w:p>
      <w:pPr>
        <w:spacing w:line="360" w:lineRule="auto"/>
        <w:ind w:firstLine="435"/>
        <w:rPr>
          <w:rFonts w:ascii="宋体" w:hAnsi="宋体" w:eastAsia="宋体"/>
          <w:sz w:val="24"/>
        </w:rPr>
      </w:pPr>
      <w:r>
        <w:rPr>
          <w:rFonts w:ascii="宋体" w:hAnsi="宋体" w:eastAsia="宋体"/>
          <w:sz w:val="24"/>
        </w:rPr>
        <w:t>本合同总价为</w:t>
      </w:r>
      <w:r>
        <w:rPr>
          <w:rFonts w:hint="eastAsia" w:ascii="宋体" w:hAnsi="宋体" w:eastAsia="宋体"/>
          <w:sz w:val="24"/>
        </w:rPr>
        <w:t>：￥</w:t>
      </w:r>
      <w:r>
        <w:rPr>
          <w:rFonts w:hint="eastAsia" w:ascii="宋体" w:hAnsi="宋体" w:eastAsia="宋体"/>
          <w:sz w:val="24"/>
          <w:u w:val="single"/>
        </w:rPr>
        <w:t xml:space="preserve">           </w:t>
      </w:r>
      <w:r>
        <w:rPr>
          <w:rFonts w:ascii="宋体" w:hAnsi="宋体" w:eastAsia="宋体"/>
          <w:sz w:val="24"/>
        </w:rPr>
        <w:t>元</w:t>
      </w:r>
      <w:r>
        <w:rPr>
          <w:rFonts w:hint="eastAsia" w:ascii="宋体" w:hAnsi="宋体" w:eastAsia="宋体"/>
          <w:sz w:val="24"/>
        </w:rPr>
        <w:t>（大写：人民币</w:t>
      </w:r>
      <w:r>
        <w:rPr>
          <w:rFonts w:hint="eastAsia" w:ascii="宋体" w:hAnsi="宋体" w:eastAsia="宋体"/>
          <w:sz w:val="24"/>
          <w:u w:val="single"/>
        </w:rPr>
        <w:t xml:space="preserve">                 </w:t>
      </w:r>
      <w:r>
        <w:rPr>
          <w:rFonts w:hint="eastAsia" w:ascii="宋体" w:hAnsi="宋体" w:eastAsia="宋体"/>
          <w:sz w:val="24"/>
        </w:rPr>
        <w:t>元）</w:t>
      </w:r>
      <w:r>
        <w:rPr>
          <w:rFonts w:ascii="宋体" w:hAnsi="宋体" w:eastAsia="宋体"/>
          <w:sz w:val="24"/>
        </w:rPr>
        <w:t>。</w:t>
      </w:r>
    </w:p>
    <w:p>
      <w:pPr>
        <w:spacing w:line="360" w:lineRule="auto"/>
        <w:ind w:firstLine="435"/>
        <w:rPr>
          <w:rFonts w:ascii="宋体" w:hAnsi="宋体" w:eastAsia="宋体"/>
          <w:sz w:val="24"/>
          <w:u w:val="single"/>
        </w:rPr>
      </w:pPr>
      <w:r>
        <w:rPr>
          <w:rFonts w:ascii="宋体" w:hAnsi="宋体" w:eastAsia="宋体"/>
          <w:sz w:val="24"/>
        </w:rPr>
        <w:t>分项价格：</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4732"/>
        <w:gridCol w:w="13"/>
        <w:gridCol w:w="3536"/>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vAlign w:val="center"/>
          </w:tcPr>
          <w:p>
            <w:pPr>
              <w:jc w:val="center"/>
              <w:rPr>
                <w:rFonts w:ascii="宋体" w:hAnsi="宋体" w:eastAsia="宋体"/>
                <w:sz w:val="24"/>
                <w:lang w:val="zh-CN"/>
              </w:rPr>
            </w:pPr>
            <w:r>
              <w:rPr>
                <w:rFonts w:ascii="宋体" w:hAnsi="宋体" w:eastAsia="宋体"/>
                <w:sz w:val="24"/>
                <w:lang w:val="zh-CN"/>
              </w:rPr>
              <w:t>序号</w:t>
            </w:r>
          </w:p>
        </w:tc>
        <w:tc>
          <w:tcPr>
            <w:tcW w:w="2532" w:type="pct"/>
            <w:vAlign w:val="center"/>
          </w:tcPr>
          <w:p>
            <w:pPr>
              <w:pStyle w:val="50"/>
              <w:ind w:firstLine="200"/>
              <w:jc w:val="center"/>
              <w:rPr>
                <w:rFonts w:ascii="宋体" w:hAnsi="宋体" w:eastAsia="宋体"/>
                <w:sz w:val="24"/>
                <w:szCs w:val="24"/>
              </w:rPr>
            </w:pPr>
            <w:r>
              <w:rPr>
                <w:rFonts w:hint="eastAsia" w:ascii="宋体" w:hAnsi="宋体" w:eastAsia="宋体"/>
                <w:sz w:val="24"/>
                <w:szCs w:val="24"/>
              </w:rPr>
              <w:t>分项名称</w:t>
            </w:r>
          </w:p>
        </w:tc>
        <w:tc>
          <w:tcPr>
            <w:tcW w:w="1899" w:type="pct"/>
            <w:gridSpan w:val="2"/>
            <w:vAlign w:val="center"/>
          </w:tcPr>
          <w:p>
            <w:pPr>
              <w:pStyle w:val="50"/>
              <w:jc w:val="center"/>
              <w:rPr>
                <w:rFonts w:ascii="宋体" w:hAnsi="宋体" w:eastAsia="宋体"/>
                <w:sz w:val="24"/>
                <w:szCs w:val="24"/>
              </w:rPr>
            </w:pPr>
            <w:r>
              <w:rPr>
                <w:rFonts w:ascii="宋体" w:hAnsi="宋体" w:eastAsia="宋体"/>
                <w:sz w:val="24"/>
                <w:szCs w:val="24"/>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1</w:t>
            </w:r>
          </w:p>
        </w:tc>
        <w:tc>
          <w:tcPr>
            <w:tcW w:w="2532" w:type="pct"/>
            <w:vAlign w:val="center"/>
          </w:tcPr>
          <w:p>
            <w:pPr>
              <w:pStyle w:val="50"/>
              <w:ind w:firstLine="200"/>
              <w:jc w:val="center"/>
              <w:rPr>
                <w:rFonts w:ascii="宋体" w:hAnsi="宋体" w:eastAsia="宋体"/>
                <w:sz w:val="24"/>
                <w:szCs w:val="24"/>
              </w:rPr>
            </w:pPr>
          </w:p>
        </w:tc>
        <w:tc>
          <w:tcPr>
            <w:tcW w:w="1899" w:type="pct"/>
            <w:gridSpan w:val="2"/>
            <w:vAlign w:val="center"/>
          </w:tcPr>
          <w:p>
            <w:pPr>
              <w:pStyle w:val="50"/>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2</w:t>
            </w:r>
          </w:p>
        </w:tc>
        <w:tc>
          <w:tcPr>
            <w:tcW w:w="2532" w:type="pct"/>
            <w:vAlign w:val="center"/>
          </w:tcPr>
          <w:p>
            <w:pPr>
              <w:pStyle w:val="50"/>
              <w:ind w:firstLine="200"/>
              <w:jc w:val="center"/>
              <w:rPr>
                <w:rFonts w:ascii="宋体" w:hAnsi="宋体" w:eastAsia="宋体"/>
                <w:sz w:val="24"/>
                <w:szCs w:val="24"/>
              </w:rPr>
            </w:pPr>
          </w:p>
        </w:tc>
        <w:tc>
          <w:tcPr>
            <w:tcW w:w="1899" w:type="pct"/>
            <w:gridSpan w:val="2"/>
            <w:vAlign w:val="center"/>
          </w:tcPr>
          <w:p>
            <w:pPr>
              <w:pStyle w:val="50"/>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ascii="宋体" w:hAnsi="宋体" w:eastAsia="宋体"/>
                <w:sz w:val="24"/>
                <w:lang w:val="zh-CN"/>
              </w:rPr>
              <w:t>3</w:t>
            </w:r>
          </w:p>
        </w:tc>
        <w:tc>
          <w:tcPr>
            <w:tcW w:w="2532" w:type="pct"/>
            <w:vAlign w:val="center"/>
          </w:tcPr>
          <w:p>
            <w:pPr>
              <w:pStyle w:val="50"/>
              <w:ind w:firstLine="200"/>
              <w:jc w:val="center"/>
              <w:rPr>
                <w:rFonts w:ascii="宋体" w:hAnsi="宋体" w:eastAsia="宋体"/>
                <w:sz w:val="24"/>
                <w:szCs w:val="24"/>
              </w:rPr>
            </w:pPr>
          </w:p>
        </w:tc>
        <w:tc>
          <w:tcPr>
            <w:tcW w:w="1899" w:type="pct"/>
            <w:gridSpan w:val="2"/>
            <w:vAlign w:val="center"/>
          </w:tcPr>
          <w:p>
            <w:pPr>
              <w:pStyle w:val="50"/>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pct"/>
          <w:trHeight w:val="369" w:hRule="atLeast"/>
          <w:jc w:val="center"/>
        </w:trPr>
        <w:tc>
          <w:tcPr>
            <w:tcW w:w="562" w:type="pct"/>
          </w:tcPr>
          <w:p>
            <w:pPr>
              <w:jc w:val="center"/>
              <w:rPr>
                <w:rFonts w:ascii="宋体" w:hAnsi="宋体" w:eastAsia="宋体"/>
                <w:sz w:val="24"/>
                <w:lang w:val="zh-CN"/>
              </w:rPr>
            </w:pPr>
            <w:r>
              <w:rPr>
                <w:rFonts w:hint="eastAsia" w:ascii="宋体" w:hAnsi="宋体" w:eastAsia="宋体"/>
                <w:sz w:val="24"/>
                <w:lang w:val="zh-CN"/>
              </w:rPr>
              <w:t>……</w:t>
            </w:r>
          </w:p>
        </w:tc>
        <w:tc>
          <w:tcPr>
            <w:tcW w:w="2532" w:type="pct"/>
            <w:vAlign w:val="center"/>
          </w:tcPr>
          <w:p>
            <w:pPr>
              <w:pStyle w:val="50"/>
              <w:ind w:firstLine="200"/>
              <w:jc w:val="center"/>
              <w:rPr>
                <w:rFonts w:ascii="宋体" w:hAnsi="宋体" w:eastAsia="宋体"/>
                <w:sz w:val="24"/>
                <w:szCs w:val="24"/>
              </w:rPr>
            </w:pPr>
          </w:p>
        </w:tc>
        <w:tc>
          <w:tcPr>
            <w:tcW w:w="1899" w:type="pct"/>
            <w:gridSpan w:val="2"/>
            <w:vAlign w:val="center"/>
          </w:tcPr>
          <w:p>
            <w:pPr>
              <w:pStyle w:val="50"/>
              <w:ind w:firstLine="200"/>
              <w:jc w:val="center"/>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101" w:type="pct"/>
            <w:gridSpan w:val="3"/>
            <w:vAlign w:val="center"/>
          </w:tcPr>
          <w:p>
            <w:pPr>
              <w:pStyle w:val="50"/>
              <w:ind w:firstLine="200"/>
              <w:jc w:val="center"/>
              <w:rPr>
                <w:rFonts w:ascii="宋体" w:hAnsi="宋体" w:eastAsia="宋体"/>
                <w:sz w:val="24"/>
                <w:szCs w:val="24"/>
              </w:rPr>
            </w:pPr>
            <w:r>
              <w:rPr>
                <w:rFonts w:hint="eastAsia" w:ascii="宋体" w:hAnsi="宋体" w:eastAsia="宋体"/>
                <w:sz w:val="24"/>
                <w:szCs w:val="24"/>
              </w:rPr>
              <w:t>总价</w:t>
            </w:r>
          </w:p>
        </w:tc>
        <w:tc>
          <w:tcPr>
            <w:tcW w:w="1899" w:type="pct"/>
            <w:gridSpan w:val="2"/>
            <w:vAlign w:val="center"/>
          </w:tcPr>
          <w:p>
            <w:pPr>
              <w:pStyle w:val="50"/>
              <w:ind w:firstLine="200"/>
              <w:jc w:val="center"/>
              <w:rPr>
                <w:rFonts w:ascii="宋体" w:hAnsi="宋体" w:eastAsia="宋体"/>
                <w:sz w:val="24"/>
                <w:szCs w:val="24"/>
              </w:rPr>
            </w:pPr>
          </w:p>
        </w:tc>
      </w:tr>
    </w:tbl>
    <w:p>
      <w:pPr>
        <w:spacing w:line="360" w:lineRule="auto"/>
        <w:ind w:firstLine="437"/>
        <w:outlineLvl w:val="2"/>
        <w:rPr>
          <w:rFonts w:ascii="宋体" w:hAnsi="宋体" w:eastAsia="宋体"/>
          <w:b/>
          <w:bCs/>
          <w:sz w:val="24"/>
          <w:lang w:val="zh-CN"/>
        </w:rPr>
      </w:pPr>
      <w:bookmarkStart w:id="97" w:name="_Toc10340"/>
      <w:bookmarkStart w:id="98" w:name="_Toc1814"/>
      <w:bookmarkStart w:id="99" w:name="_Toc22618"/>
      <w:r>
        <w:rPr>
          <w:rFonts w:hint="eastAsia" w:ascii="宋体" w:hAnsi="宋体" w:eastAsia="宋体"/>
          <w:b/>
          <w:bCs/>
          <w:sz w:val="24"/>
          <w:lang w:val="zh-CN"/>
        </w:rPr>
        <w:t>1.</w:t>
      </w:r>
      <w:r>
        <w:rPr>
          <w:rFonts w:ascii="宋体" w:hAnsi="宋体" w:eastAsia="宋体"/>
          <w:b/>
          <w:bCs/>
          <w:sz w:val="24"/>
          <w:lang w:val="zh-CN"/>
        </w:rPr>
        <w:t>4 付款方式和发票开具方式</w:t>
      </w:r>
      <w:bookmarkEnd w:id="97"/>
      <w:bookmarkEnd w:id="98"/>
      <w:bookmarkEnd w:id="99"/>
    </w:p>
    <w:p>
      <w:pPr>
        <w:spacing w:line="360" w:lineRule="auto"/>
        <w:ind w:firstLine="435"/>
        <w:rPr>
          <w:rFonts w:ascii="宋体" w:hAnsi="宋体" w:eastAsia="宋体"/>
          <w:sz w:val="24"/>
        </w:rPr>
      </w:pPr>
      <w:r>
        <w:rPr>
          <w:rFonts w:hint="eastAsia" w:ascii="宋体" w:hAnsi="宋体" w:eastAsia="宋体"/>
          <w:sz w:val="24"/>
        </w:rPr>
        <w:t>1.4.1</w:t>
      </w:r>
      <w:r>
        <w:rPr>
          <w:rFonts w:ascii="宋体" w:hAnsi="宋体" w:eastAsia="宋体"/>
          <w:sz w:val="24"/>
        </w:rPr>
        <w:t>付款方式：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1.4.2发票开具方式：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100" w:name="_Toc2846"/>
      <w:bookmarkStart w:id="101" w:name="_Toc32071"/>
      <w:bookmarkStart w:id="102" w:name="_Toc19304"/>
      <w:r>
        <w:rPr>
          <w:rFonts w:hint="eastAsia" w:ascii="宋体" w:hAnsi="宋体" w:eastAsia="宋体"/>
          <w:b/>
          <w:bCs/>
          <w:sz w:val="24"/>
          <w:lang w:val="zh-CN"/>
        </w:rPr>
        <w:t>1.</w:t>
      </w:r>
      <w:r>
        <w:rPr>
          <w:rFonts w:ascii="宋体" w:hAnsi="宋体" w:eastAsia="宋体"/>
          <w:b/>
          <w:bCs/>
          <w:sz w:val="24"/>
          <w:lang w:val="zh-CN"/>
        </w:rPr>
        <w:t xml:space="preserve">5 </w:t>
      </w:r>
      <w:r>
        <w:rPr>
          <w:rFonts w:hint="eastAsia" w:ascii="宋体" w:hAnsi="宋体" w:eastAsia="宋体"/>
          <w:b/>
          <w:bCs/>
          <w:sz w:val="24"/>
          <w:lang w:val="zh-CN"/>
        </w:rPr>
        <w:t>服务</w:t>
      </w:r>
      <w:r>
        <w:rPr>
          <w:rFonts w:ascii="宋体" w:hAnsi="宋体" w:eastAsia="宋体"/>
          <w:b/>
          <w:bCs/>
          <w:sz w:val="24"/>
          <w:lang w:val="zh-CN"/>
        </w:rPr>
        <w:t>期限</w:t>
      </w:r>
      <w:r>
        <w:rPr>
          <w:rFonts w:hint="eastAsia" w:ascii="宋体" w:hAnsi="宋体" w:eastAsia="宋体"/>
          <w:b/>
          <w:bCs/>
          <w:sz w:val="24"/>
          <w:lang w:val="zh-CN"/>
        </w:rPr>
        <w:t>、地点和方式</w:t>
      </w:r>
      <w:bookmarkEnd w:id="100"/>
      <w:bookmarkEnd w:id="101"/>
      <w:bookmarkEnd w:id="102"/>
    </w:p>
    <w:p>
      <w:pPr>
        <w:spacing w:line="360" w:lineRule="auto"/>
        <w:ind w:firstLine="435"/>
        <w:rPr>
          <w:rFonts w:ascii="宋体" w:hAnsi="宋体" w:eastAsia="宋体"/>
          <w:sz w:val="24"/>
          <w:u w:val="single"/>
        </w:rPr>
      </w:pPr>
      <w:r>
        <w:rPr>
          <w:rFonts w:hint="eastAsia" w:ascii="宋体" w:hAnsi="宋体" w:eastAsia="宋体"/>
          <w:sz w:val="24"/>
        </w:rPr>
        <w:t>1.5.1服务期限</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1.5.2服务地点</w:t>
      </w:r>
      <w:r>
        <w:rPr>
          <w:rFonts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1.5.3服务方式：</w:t>
      </w:r>
      <w:r>
        <w:rPr>
          <w:rFonts w:hint="eastAsia" w:ascii="宋体" w:hAnsi="宋体" w:eastAsia="宋体"/>
          <w:sz w:val="24"/>
          <w:u w:val="single"/>
        </w:rPr>
        <w:t xml:space="preserve">                                                </w:t>
      </w:r>
      <w:r>
        <w:rPr>
          <w:rFonts w:hint="eastAsia" w:ascii="宋体" w:hAnsi="宋体" w:eastAsia="宋体"/>
          <w:sz w:val="24"/>
        </w:rPr>
        <w:t>。</w:t>
      </w:r>
    </w:p>
    <w:p>
      <w:pPr>
        <w:spacing w:line="360" w:lineRule="auto"/>
        <w:ind w:firstLine="437"/>
        <w:outlineLvl w:val="2"/>
        <w:rPr>
          <w:rFonts w:ascii="宋体" w:hAnsi="宋体" w:eastAsia="宋体"/>
          <w:b/>
          <w:bCs/>
          <w:sz w:val="24"/>
          <w:lang w:val="zh-CN"/>
        </w:rPr>
      </w:pPr>
      <w:bookmarkStart w:id="103" w:name="_Toc27250"/>
      <w:bookmarkStart w:id="104" w:name="_Toc21423"/>
      <w:bookmarkStart w:id="105" w:name="_Toc19554"/>
      <w:r>
        <w:rPr>
          <w:rFonts w:hint="eastAsia" w:ascii="宋体" w:hAnsi="宋体" w:eastAsia="宋体"/>
          <w:b/>
          <w:bCs/>
          <w:sz w:val="24"/>
          <w:lang w:val="zh-CN"/>
        </w:rPr>
        <w:t>1.6 违约责任</w:t>
      </w:r>
      <w:bookmarkEnd w:id="103"/>
      <w:bookmarkEnd w:id="104"/>
      <w:bookmarkEnd w:id="105"/>
    </w:p>
    <w:p>
      <w:pPr>
        <w:spacing w:line="360" w:lineRule="auto"/>
        <w:ind w:firstLine="435"/>
        <w:rPr>
          <w:rFonts w:ascii="宋体" w:hAnsi="宋体" w:eastAsia="宋体"/>
          <w:sz w:val="24"/>
        </w:rPr>
      </w:pPr>
      <w:r>
        <w:rPr>
          <w:rFonts w:hint="eastAsia" w:ascii="宋体" w:hAnsi="宋体" w:eastAsia="宋体"/>
          <w:sz w:val="24"/>
        </w:rPr>
        <w:t>1.6.1</w:t>
      </w:r>
      <w:r>
        <w:rPr>
          <w:rFonts w:ascii="宋体" w:hAnsi="宋体" w:eastAsia="宋体"/>
          <w:sz w:val="24"/>
        </w:rPr>
        <w:t>除不可抗力外，如果乙方没有按照本合同约定的期限</w:t>
      </w:r>
      <w:r>
        <w:rPr>
          <w:rFonts w:hint="eastAsia" w:ascii="宋体" w:hAnsi="宋体" w:eastAsia="宋体"/>
          <w:sz w:val="24"/>
        </w:rPr>
        <w:t>、</w:t>
      </w:r>
      <w:r>
        <w:rPr>
          <w:rFonts w:ascii="宋体" w:hAnsi="宋体" w:eastAsia="宋体"/>
          <w:sz w:val="24"/>
        </w:rPr>
        <w:t>地点和方式</w:t>
      </w:r>
      <w:r>
        <w:rPr>
          <w:rFonts w:hint="eastAsia" w:ascii="宋体" w:hAnsi="宋体" w:eastAsia="宋体"/>
          <w:sz w:val="24"/>
        </w:rPr>
        <w:t>履行</w:t>
      </w:r>
      <w:r>
        <w:rPr>
          <w:rFonts w:ascii="宋体" w:hAnsi="宋体" w:eastAsia="宋体"/>
          <w:sz w:val="24"/>
        </w:rPr>
        <w:t>，那么甲方可要求乙方支付违约金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履行</w:t>
      </w:r>
      <w:r>
        <w:rPr>
          <w:rFonts w:ascii="宋体" w:hAnsi="宋体" w:eastAsia="宋体"/>
          <w:sz w:val="24"/>
        </w:rPr>
        <w:t>一日的应提供而未</w:t>
      </w:r>
      <w:r>
        <w:rPr>
          <w:rFonts w:hint="eastAsia" w:ascii="宋体" w:hAnsi="宋体" w:eastAsia="宋体"/>
          <w:sz w:val="24"/>
        </w:rPr>
        <w:t>提供</w:t>
      </w:r>
      <w:r>
        <w:rPr>
          <w:rFonts w:ascii="宋体" w:hAnsi="宋体" w:eastAsia="宋体"/>
          <w:sz w:val="24"/>
        </w:rPr>
        <w:t>服务价格的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履行</w:t>
      </w:r>
      <w:r>
        <w:rPr>
          <w:rFonts w:ascii="宋体" w:hAnsi="宋体" w:eastAsia="宋体"/>
          <w:sz w:val="24"/>
        </w:rPr>
        <w:t>的违约金计算数额达到前述最高限额之日起</w:t>
      </w:r>
      <w:r>
        <w:rPr>
          <w:rFonts w:hint="eastAsia" w:ascii="宋体" w:hAnsi="宋体" w:eastAsia="宋体"/>
          <w:sz w:val="24"/>
        </w:rPr>
        <w:t>，</w:t>
      </w:r>
      <w:r>
        <w:rPr>
          <w:rFonts w:ascii="宋体" w:hAnsi="宋体" w:eastAsia="宋体"/>
          <w:sz w:val="24"/>
        </w:rPr>
        <w:t>甲方有权在要求乙方支付违约金的同时</w:t>
      </w:r>
      <w:r>
        <w:rPr>
          <w:rFonts w:hint="eastAsia" w:ascii="宋体" w:hAnsi="宋体" w:eastAsia="宋体"/>
          <w:sz w:val="24"/>
        </w:rPr>
        <w:t>，书面通知乙方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1.6.2</w:t>
      </w:r>
      <w:r>
        <w:rPr>
          <w:rFonts w:ascii="宋体" w:hAnsi="宋体" w:eastAsia="宋体"/>
          <w:sz w:val="24"/>
        </w:rPr>
        <w:t>除不可抗力外，如果甲方没有按照本合同约定的付款方式付款，那么乙方可要求甲方支付违约金</w:t>
      </w:r>
      <w:r>
        <w:rPr>
          <w:rFonts w:hint="eastAsia" w:ascii="宋体" w:hAnsi="宋体" w:eastAsia="宋体"/>
          <w:sz w:val="24"/>
        </w:rPr>
        <w:t>，</w:t>
      </w:r>
      <w:r>
        <w:rPr>
          <w:rFonts w:ascii="宋体" w:hAnsi="宋体" w:eastAsia="宋体"/>
          <w:sz w:val="24"/>
        </w:rPr>
        <w:t>违约金按每迟延</w:t>
      </w:r>
      <w:r>
        <w:rPr>
          <w:rFonts w:hint="eastAsia" w:ascii="宋体" w:hAnsi="宋体" w:eastAsia="宋体"/>
          <w:sz w:val="24"/>
        </w:rPr>
        <w:t>付款</w:t>
      </w:r>
      <w:r>
        <w:rPr>
          <w:rFonts w:ascii="宋体" w:hAnsi="宋体" w:eastAsia="宋体"/>
          <w:sz w:val="24"/>
        </w:rPr>
        <w:t>一日的应付而未付款的</w:t>
      </w:r>
      <w:r>
        <w:rPr>
          <w:rFonts w:hint="eastAsia" w:ascii="宋体" w:hAnsi="宋体" w:eastAsia="宋体"/>
          <w:sz w:val="24"/>
          <w:u w:val="single"/>
        </w:rPr>
        <w:t xml:space="preserve">    </w:t>
      </w:r>
      <w:r>
        <w:rPr>
          <w:rFonts w:ascii="宋体" w:hAnsi="宋体" w:eastAsia="宋体"/>
          <w:sz w:val="24"/>
        </w:rPr>
        <w:t>%计算</w:t>
      </w:r>
      <w:r>
        <w:rPr>
          <w:rFonts w:hint="eastAsia" w:ascii="宋体" w:hAnsi="宋体" w:eastAsia="宋体"/>
          <w:sz w:val="24"/>
        </w:rPr>
        <w:t>，</w:t>
      </w:r>
      <w:r>
        <w:rPr>
          <w:rFonts w:ascii="宋体" w:hAnsi="宋体" w:eastAsia="宋体"/>
          <w:sz w:val="24"/>
        </w:rPr>
        <w:t>最高限额为</w:t>
      </w:r>
      <w:r>
        <w:rPr>
          <w:rFonts w:hint="eastAsia" w:ascii="宋体" w:hAnsi="宋体" w:eastAsia="宋体"/>
          <w:sz w:val="24"/>
        </w:rPr>
        <w:t>本</w:t>
      </w:r>
      <w:r>
        <w:rPr>
          <w:rFonts w:ascii="宋体" w:hAnsi="宋体" w:eastAsia="宋体"/>
          <w:sz w:val="24"/>
        </w:rPr>
        <w:t>合同总价的</w:t>
      </w:r>
      <w:r>
        <w:rPr>
          <w:rFonts w:hint="eastAsia" w:ascii="宋体" w:hAnsi="宋体" w:eastAsia="宋体"/>
          <w:sz w:val="24"/>
          <w:u w:val="single"/>
        </w:rPr>
        <w:t xml:space="preserve">     </w:t>
      </w:r>
      <w:r>
        <w:rPr>
          <w:rFonts w:ascii="宋体" w:hAnsi="宋体" w:eastAsia="宋体"/>
          <w:sz w:val="24"/>
        </w:rPr>
        <w:t>%</w:t>
      </w:r>
      <w:r>
        <w:rPr>
          <w:rFonts w:hint="eastAsia" w:ascii="宋体" w:hAnsi="宋体" w:eastAsia="宋体"/>
          <w:sz w:val="24"/>
        </w:rPr>
        <w:t>；</w:t>
      </w:r>
      <w:r>
        <w:rPr>
          <w:rFonts w:ascii="宋体" w:hAnsi="宋体" w:eastAsia="宋体"/>
          <w:sz w:val="24"/>
        </w:rPr>
        <w:t>迟延</w:t>
      </w:r>
      <w:r>
        <w:rPr>
          <w:rFonts w:hint="eastAsia" w:ascii="宋体" w:hAnsi="宋体" w:eastAsia="宋体"/>
          <w:sz w:val="24"/>
        </w:rPr>
        <w:t>付款</w:t>
      </w:r>
      <w:r>
        <w:rPr>
          <w:rFonts w:ascii="宋体" w:hAnsi="宋体" w:eastAsia="宋体"/>
          <w:sz w:val="24"/>
        </w:rPr>
        <w:t>的违约金计算数额达到前述最高限额之日起</w:t>
      </w:r>
      <w:r>
        <w:rPr>
          <w:rFonts w:hint="eastAsia" w:ascii="宋体" w:hAnsi="宋体" w:eastAsia="宋体"/>
          <w:sz w:val="24"/>
        </w:rPr>
        <w:t>，乙</w:t>
      </w:r>
      <w:r>
        <w:rPr>
          <w:rFonts w:ascii="宋体" w:hAnsi="宋体" w:eastAsia="宋体"/>
          <w:sz w:val="24"/>
        </w:rPr>
        <w:t>方有权在要求甲方支付违约金的同时</w:t>
      </w:r>
      <w:r>
        <w:rPr>
          <w:rFonts w:hint="eastAsia" w:ascii="宋体" w:hAnsi="宋体" w:eastAsia="宋体"/>
          <w:sz w:val="24"/>
        </w:rPr>
        <w:t>，书面通知甲方</w:t>
      </w:r>
      <w:r>
        <w:rPr>
          <w:rFonts w:ascii="宋体" w:hAnsi="宋体" w:eastAsia="宋体"/>
          <w:sz w:val="24"/>
        </w:rPr>
        <w:t>解除本合同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ascii="宋体" w:hAnsi="宋体" w:eastAsia="宋体"/>
          <w:sz w:val="24"/>
        </w:rPr>
      </w:pPr>
      <w:r>
        <w:rPr>
          <w:rFonts w:hint="eastAsia" w:ascii="宋体" w:hAnsi="宋体" w:eastAsia="宋体"/>
          <w:sz w:val="24"/>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ascii="宋体" w:hAnsi="宋体" w:eastAsia="宋体"/>
          <w:sz w:val="24"/>
        </w:rPr>
      </w:pPr>
      <w:r>
        <w:rPr>
          <w:rFonts w:hint="eastAsia" w:ascii="宋体" w:hAnsi="宋体" w:eastAsia="宋体"/>
          <w:sz w:val="24"/>
        </w:rPr>
        <w:t>1.6.6如果出现政府采购监督管理部门在处理投诉事项期间，书面通知甲方暂停采购活动的情形，或者询问或质疑事项可能影响成交结果的，导致甲方中止履行合同的情形，均不视为甲方违约。</w:t>
      </w:r>
    </w:p>
    <w:p>
      <w:pPr>
        <w:spacing w:line="360" w:lineRule="auto"/>
        <w:ind w:firstLine="435"/>
        <w:rPr>
          <w:rFonts w:asciiTheme="minorEastAsia" w:hAnsiTheme="minorEastAsia" w:eastAsiaTheme="minorEastAsia"/>
          <w:sz w:val="24"/>
        </w:rPr>
      </w:pPr>
      <w:bookmarkStart w:id="106" w:name="_Toc15583"/>
      <w:bookmarkStart w:id="107" w:name="_Toc16021"/>
      <w:bookmarkStart w:id="108" w:name="_Toc28375"/>
      <w:r>
        <w:rPr>
          <w:rFonts w:hint="eastAsia" w:asciiTheme="minorEastAsia" w:hAnsiTheme="minorEastAsia" w:eastAsiaTheme="minorEastAsia"/>
          <w:sz w:val="24"/>
        </w:rPr>
        <w:t>1.6.7因甲方未按合同约定支付价款、未按合同约定受领标的物、擅自解除合同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asciiTheme="minorEastAsia" w:hAnsiTheme="minorEastAsia" w:eastAsiaTheme="minorEastAsia"/>
          <w:sz w:val="24"/>
        </w:rPr>
        <w:t>导致乙方遭受的直接损失，乙方可向甲方申请赔偿，赔偿金额由双方协商一致；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ascii="宋体" w:hAnsi="宋体" w:eastAsia="宋体"/>
          <w:b/>
          <w:bCs/>
          <w:sz w:val="24"/>
          <w:lang w:val="zh-CN"/>
        </w:rPr>
      </w:pPr>
      <w:r>
        <w:rPr>
          <w:rFonts w:hint="eastAsia" w:ascii="宋体" w:hAnsi="宋体" w:eastAsia="宋体"/>
          <w:b/>
          <w:bCs/>
          <w:sz w:val="24"/>
          <w:lang w:val="zh-CN"/>
        </w:rPr>
        <w:t>1.7</w:t>
      </w:r>
      <w:r>
        <w:rPr>
          <w:rFonts w:ascii="宋体" w:hAnsi="宋体" w:eastAsia="宋体"/>
          <w:b/>
          <w:bCs/>
          <w:sz w:val="24"/>
          <w:lang w:val="zh-CN"/>
        </w:rPr>
        <w:t xml:space="preserve"> </w:t>
      </w:r>
      <w:r>
        <w:rPr>
          <w:rFonts w:hint="eastAsia" w:ascii="宋体" w:hAnsi="宋体" w:eastAsia="宋体"/>
          <w:b/>
          <w:bCs/>
          <w:sz w:val="24"/>
          <w:lang w:val="zh-CN"/>
        </w:rPr>
        <w:t>合同</w:t>
      </w:r>
      <w:r>
        <w:rPr>
          <w:rFonts w:ascii="宋体" w:hAnsi="宋体" w:eastAsia="宋体"/>
          <w:b/>
          <w:bCs/>
          <w:sz w:val="24"/>
          <w:lang w:val="zh-CN"/>
        </w:rPr>
        <w:t>争议的解决</w:t>
      </w:r>
      <w:bookmarkEnd w:id="106"/>
      <w:bookmarkEnd w:id="107"/>
      <w:bookmarkEnd w:id="108"/>
    </w:p>
    <w:p>
      <w:pPr>
        <w:spacing w:line="360" w:lineRule="auto"/>
        <w:ind w:firstLine="435"/>
        <w:rPr>
          <w:rFonts w:ascii="宋体" w:hAnsi="宋体" w:eastAsia="宋体"/>
          <w:sz w:val="24"/>
        </w:rPr>
      </w:pPr>
      <w:r>
        <w:rPr>
          <w:rFonts w:hint="eastAsia" w:ascii="宋体" w:hAnsi="宋体" w:eastAsia="宋体"/>
          <w:sz w:val="24"/>
        </w:rPr>
        <w:t>本合</w:t>
      </w:r>
      <w:r>
        <w:rPr>
          <w:rFonts w:ascii="宋体" w:hAnsi="宋体" w:eastAsia="宋体"/>
          <w:sz w:val="24"/>
        </w:rPr>
        <w:t>同履行过程中发生的任何争议，双方当事人均可</w:t>
      </w:r>
      <w:r>
        <w:rPr>
          <w:rFonts w:hint="eastAsia" w:ascii="宋体" w:hAnsi="宋体" w:eastAsia="宋体"/>
          <w:sz w:val="24"/>
        </w:rPr>
        <w:t>通过和解或者调解解决；不愿和解、调解或者和解、调解不成的，可以选择下列第</w:t>
      </w:r>
      <w:r>
        <w:rPr>
          <w:rFonts w:hint="eastAsia" w:ascii="宋体" w:hAnsi="宋体" w:eastAsia="宋体"/>
          <w:sz w:val="24"/>
          <w:u w:val="single"/>
        </w:rPr>
        <w:t xml:space="preserve">    </w:t>
      </w:r>
      <w:r>
        <w:rPr>
          <w:rFonts w:hint="eastAsia" w:ascii="宋体" w:hAnsi="宋体" w:eastAsia="宋体"/>
          <w:sz w:val="24"/>
        </w:rPr>
        <w:t>种方式解决：</w:t>
      </w:r>
    </w:p>
    <w:p>
      <w:pPr>
        <w:spacing w:line="360" w:lineRule="auto"/>
        <w:ind w:firstLine="435"/>
        <w:rPr>
          <w:rFonts w:ascii="宋体" w:hAnsi="宋体" w:eastAsia="宋体"/>
          <w:sz w:val="24"/>
        </w:rPr>
      </w:pPr>
      <w:r>
        <w:rPr>
          <w:rFonts w:hint="eastAsia" w:ascii="宋体" w:hAnsi="宋体" w:eastAsia="宋体"/>
          <w:sz w:val="24"/>
        </w:rPr>
        <w:t>1.7.1将争议提交</w:t>
      </w:r>
      <w:r>
        <w:rPr>
          <w:rFonts w:hint="eastAsia" w:ascii="宋体" w:hAnsi="宋体" w:eastAsia="宋体"/>
          <w:sz w:val="24"/>
          <w:u w:val="single"/>
        </w:rPr>
        <w:t xml:space="preserve">              </w:t>
      </w:r>
      <w:r>
        <w:rPr>
          <w:rFonts w:hint="eastAsia" w:ascii="宋体" w:hAnsi="宋体" w:eastAsia="宋体"/>
          <w:sz w:val="24"/>
        </w:rPr>
        <w:t>仲裁委员会依申请仲裁时其现行有效的仲裁规则裁决；</w:t>
      </w:r>
    </w:p>
    <w:p>
      <w:pPr>
        <w:spacing w:line="360" w:lineRule="auto"/>
        <w:ind w:firstLine="435"/>
        <w:rPr>
          <w:rFonts w:ascii="宋体" w:hAnsi="宋体" w:eastAsia="宋体"/>
          <w:sz w:val="24"/>
        </w:rPr>
      </w:pPr>
      <w:r>
        <w:rPr>
          <w:rFonts w:hint="eastAsia" w:ascii="宋体" w:hAnsi="宋体" w:eastAsia="宋体"/>
          <w:sz w:val="24"/>
        </w:rPr>
        <w:t>1.7.2向</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r>
        <w:rPr>
          <w:rFonts w:hint="eastAsia" w:ascii="宋体" w:hAnsi="宋体" w:eastAsia="宋体"/>
          <w:sz w:val="24"/>
        </w:rPr>
        <w:t>人民法院起诉。</w:t>
      </w:r>
    </w:p>
    <w:p>
      <w:pPr>
        <w:spacing w:line="360" w:lineRule="auto"/>
        <w:ind w:firstLine="437"/>
        <w:outlineLvl w:val="2"/>
        <w:rPr>
          <w:rFonts w:ascii="宋体" w:hAnsi="宋体" w:eastAsia="宋体"/>
          <w:b/>
          <w:bCs/>
          <w:sz w:val="24"/>
          <w:lang w:val="zh-CN"/>
        </w:rPr>
      </w:pPr>
      <w:bookmarkStart w:id="109" w:name="_Toc7245"/>
      <w:bookmarkStart w:id="110" w:name="_Toc11173"/>
      <w:bookmarkStart w:id="111" w:name="_Toc15322"/>
      <w:r>
        <w:rPr>
          <w:rFonts w:hint="eastAsia" w:ascii="宋体" w:hAnsi="宋体" w:eastAsia="宋体"/>
          <w:b/>
          <w:bCs/>
          <w:sz w:val="24"/>
          <w:lang w:val="zh-CN"/>
        </w:rPr>
        <w:t>1.8</w:t>
      </w:r>
      <w:r>
        <w:rPr>
          <w:rFonts w:ascii="宋体" w:hAnsi="宋体" w:eastAsia="宋体"/>
          <w:b/>
          <w:bCs/>
          <w:sz w:val="24"/>
          <w:lang w:val="zh-CN"/>
        </w:rPr>
        <w:t xml:space="preserve"> 合同生效</w:t>
      </w:r>
      <w:bookmarkEnd w:id="109"/>
      <w:bookmarkEnd w:id="110"/>
      <w:bookmarkEnd w:id="111"/>
    </w:p>
    <w:p>
      <w:pPr>
        <w:spacing w:line="360" w:lineRule="auto"/>
        <w:ind w:firstLine="435"/>
        <w:rPr>
          <w:rFonts w:ascii="宋体" w:hAnsi="宋体" w:eastAsia="宋体"/>
          <w:sz w:val="24"/>
        </w:rPr>
      </w:pPr>
      <w:r>
        <w:rPr>
          <w:rFonts w:ascii="宋体" w:hAnsi="宋体" w:eastAsia="宋体"/>
          <w:sz w:val="24"/>
        </w:rPr>
        <w:t>本合同自</w:t>
      </w:r>
      <w:r>
        <w:rPr>
          <w:rFonts w:hint="eastAsia" w:ascii="宋体" w:hAnsi="宋体" w:eastAsia="宋体"/>
          <w:sz w:val="24"/>
        </w:rPr>
        <w:t>双方当事人盖章时</w:t>
      </w:r>
      <w:r>
        <w:rPr>
          <w:rFonts w:ascii="宋体" w:hAnsi="宋体" w:eastAsia="宋体"/>
          <w:sz w:val="24"/>
        </w:rPr>
        <w:t>生效。</w:t>
      </w: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ascii="宋体" w:hAnsi="宋体" w:eastAsia="宋体"/>
          <w:sz w:val="24"/>
          <w:lang w:val="zh-CN"/>
        </w:rPr>
      </w:pPr>
    </w:p>
    <w:p>
      <w:pPr>
        <w:autoSpaceDE w:val="0"/>
        <w:autoSpaceDN w:val="0"/>
        <w:adjustRightInd w:val="0"/>
        <w:spacing w:line="560" w:lineRule="exact"/>
        <w:rPr>
          <w:rFonts w:cs="Times New Roman" w:asciiTheme="minorEastAsia" w:hAnsiTheme="minorEastAsia" w:eastAsiaTheme="minorEastAsia"/>
          <w:bCs/>
          <w:sz w:val="24"/>
          <w:szCs w:val="24"/>
          <w:lang w:val="zh-CN"/>
        </w:rPr>
      </w:pPr>
      <w:bookmarkStart w:id="112" w:name="_Toc331685783"/>
      <w:r>
        <w:rPr>
          <w:rFonts w:hint="eastAsia" w:cs="Times New Roman" w:asciiTheme="minorEastAsia" w:hAnsiTheme="minorEastAsia" w:eastAsiaTheme="minorEastAsia"/>
          <w:bCs/>
          <w:sz w:val="24"/>
          <w:szCs w:val="24"/>
          <w:lang w:val="zh-CN"/>
        </w:rPr>
        <w:t xml:space="preserve">甲 </w:t>
      </w:r>
      <w:r>
        <w:rPr>
          <w:rFonts w:cs="Times New Roman" w:asciiTheme="minorEastAsia" w:hAnsiTheme="minorEastAsia" w:eastAsiaTheme="minorEastAsia"/>
          <w:bCs/>
          <w:sz w:val="24"/>
          <w:szCs w:val="24"/>
          <w:lang w:val="zh-CN"/>
        </w:rPr>
        <w:t xml:space="preserve">   </w:t>
      </w:r>
      <w:r>
        <w:rPr>
          <w:rFonts w:hint="eastAsia" w:cs="Times New Roman" w:asciiTheme="minorEastAsia" w:hAnsiTheme="minorEastAsia" w:eastAsiaTheme="minorEastAsia"/>
          <w:bCs/>
          <w:sz w:val="24"/>
          <w:szCs w:val="24"/>
          <w:lang w:val="zh-CN"/>
        </w:rPr>
        <w:t>方：</w:t>
      </w:r>
      <w:r>
        <w:rPr>
          <w:rFonts w:hint="eastAsia" w:cs="Times New Roman" w:asciiTheme="minorEastAsia" w:hAnsiTheme="minorEastAsia" w:eastAsiaTheme="minorEastAsia"/>
          <w:bCs/>
          <w:sz w:val="24"/>
          <w:szCs w:val="24"/>
          <w:u w:val="single"/>
          <w:lang w:val="zh-CN"/>
        </w:rPr>
        <w:t xml:space="preserve">    （单位盖章）     </w:t>
      </w:r>
      <w:r>
        <w:rPr>
          <w:rFonts w:hint="eastAsia" w:cs="Times New Roman" w:asciiTheme="minorEastAsia" w:hAnsiTheme="minorEastAsia" w:eastAsiaTheme="minorEastAsia"/>
          <w:bCs/>
          <w:sz w:val="24"/>
          <w:szCs w:val="24"/>
          <w:lang w:val="zh-CN"/>
        </w:rPr>
        <w:t xml:space="preserve">          乙方：</w:t>
      </w:r>
      <w:r>
        <w:rPr>
          <w:rFonts w:hint="eastAsia" w:cs="Times New Roman" w:asciiTheme="minorEastAsia" w:hAnsiTheme="minorEastAsia" w:eastAsiaTheme="minorEastAsia"/>
          <w:bCs/>
          <w:sz w:val="24"/>
          <w:szCs w:val="24"/>
          <w:u w:val="single"/>
          <w:lang w:val="zh-CN"/>
        </w:rPr>
        <w:t xml:space="preserve">    （单位盖章）     </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 xml:space="preserve">法定代表人                             </w:t>
      </w:r>
      <w:r>
        <w:rPr>
          <w:rFonts w:cs="Times New Roman" w:asciiTheme="minorEastAsia" w:hAnsiTheme="minorEastAsia" w:eastAsiaTheme="minorEastAsia"/>
          <w:sz w:val="24"/>
          <w:szCs w:val="24"/>
          <w:lang w:val="zh-CN"/>
        </w:rPr>
        <w:t xml:space="preserve">  </w:t>
      </w:r>
      <w:r>
        <w:rPr>
          <w:rFonts w:hint="eastAsia" w:cs="Times New Roman" w:asciiTheme="minorEastAsia" w:hAnsiTheme="minorEastAsia" w:eastAsiaTheme="minorEastAsia"/>
          <w:sz w:val="24"/>
          <w:szCs w:val="24"/>
          <w:lang w:val="zh-CN"/>
        </w:rPr>
        <w:t>法定代表人</w:t>
      </w:r>
    </w:p>
    <w:p>
      <w:pPr>
        <w:autoSpaceDE w:val="0"/>
        <w:autoSpaceDN w:val="0"/>
        <w:adjustRightInd w:val="0"/>
        <w:spacing w:line="560" w:lineRule="exact"/>
        <w:rPr>
          <w:rFonts w:cs="Times New Roman" w:asciiTheme="minorEastAsia" w:hAnsiTheme="minorEastAsia" w:eastAsiaTheme="minorEastAsia"/>
          <w:sz w:val="24"/>
          <w:szCs w:val="24"/>
          <w:lang w:val="zh-CN"/>
        </w:rPr>
      </w:pPr>
      <w:r>
        <w:rPr>
          <w:rFonts w:hint="eastAsia" w:cs="Times New Roman" w:asciiTheme="minorEastAsia" w:hAnsiTheme="minorEastAsia" w:eastAsiaTheme="minorEastAsia"/>
          <w:sz w:val="24"/>
          <w:szCs w:val="24"/>
          <w:lang w:val="zh-CN"/>
        </w:rPr>
        <w:t>或授权代表（签字）：                      或授权代表（签字）：</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               时间：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年</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月</w:t>
      </w:r>
      <w:r>
        <w:rPr>
          <w:rFonts w:hint="eastAsia" w:cs="Times New Roman" w:asciiTheme="minorEastAsia" w:hAnsiTheme="minorEastAsia" w:eastAsiaTheme="minorEastAsia"/>
          <w:bCs/>
          <w:sz w:val="24"/>
          <w:szCs w:val="24"/>
          <w:u w:val="single"/>
        </w:rPr>
        <w:t xml:space="preserve"> </w:t>
      </w:r>
      <w:r>
        <w:rPr>
          <w:rFonts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rPr>
        <w:t>日</w:t>
      </w:r>
    </w:p>
    <w:p>
      <w:pPr>
        <w:widowControl/>
        <w:spacing w:line="560" w:lineRule="exact"/>
        <w:jc w:val="left"/>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乙方账户信息</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户名：</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账号：</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spacing w:line="560" w:lineRule="exact"/>
        <w:jc w:val="left"/>
        <w:rPr>
          <w:rFonts w:hint="eastAsia" w:cs="Times New Roman" w:asciiTheme="minorEastAsia" w:hAnsiTheme="minorEastAsia" w:eastAsiaTheme="minorEastAsia"/>
          <w:bCs/>
          <w:sz w:val="24"/>
          <w:szCs w:val="24"/>
          <w:u w:val="single"/>
        </w:rPr>
      </w:pPr>
      <w:r>
        <w:rPr>
          <w:rFonts w:hint="eastAsia" w:cs="Times New Roman" w:asciiTheme="minorEastAsia" w:hAnsiTheme="minorEastAsia" w:eastAsiaTheme="minorEastAsia"/>
          <w:bCs/>
          <w:sz w:val="24"/>
          <w:szCs w:val="24"/>
        </w:rPr>
        <w:t xml:space="preserve">                          </w:t>
      </w:r>
      <w:r>
        <w:rPr>
          <w:rFonts w:hint="eastAsia" w:cs="Times New Roman" w:asciiTheme="minorEastAsia" w:hAnsiTheme="minorEastAsia" w:eastAsiaTheme="minorEastAsia"/>
          <w:bCs/>
          <w:sz w:val="24"/>
          <w:szCs w:val="24"/>
          <w:lang w:val="en-US" w:eastAsia="zh-CN"/>
        </w:rPr>
        <w:t xml:space="preserve">             </w:t>
      </w:r>
      <w:r>
        <w:rPr>
          <w:rFonts w:hint="eastAsia" w:cs="Times New Roman" w:asciiTheme="minorEastAsia" w:hAnsiTheme="minorEastAsia" w:eastAsiaTheme="minorEastAsia"/>
          <w:bCs/>
          <w:sz w:val="24"/>
          <w:szCs w:val="24"/>
        </w:rPr>
        <w:t xml:space="preserve"> 开户银行：</w:t>
      </w:r>
      <w:r>
        <w:rPr>
          <w:rFonts w:hint="eastAsia" w:cs="Times New Roman" w:asciiTheme="minorEastAsia" w:hAnsiTheme="minorEastAsia" w:eastAsiaTheme="minorEastAsia"/>
          <w:bCs/>
          <w:sz w:val="24"/>
          <w:szCs w:val="24"/>
          <w:u w:val="single"/>
        </w:rPr>
        <w:t xml:space="preserve">   </w:t>
      </w:r>
      <w:r>
        <w:rPr>
          <w:rFonts w:hint="eastAsia" w:cs="Times New Roman" w:asciiTheme="minorEastAsia" w:hAnsiTheme="minorEastAsia" w:eastAsiaTheme="minorEastAsia"/>
          <w:bCs/>
          <w:sz w:val="24"/>
          <w:szCs w:val="24"/>
          <w:u w:val="single"/>
          <w:lang w:val="en-US" w:eastAsia="zh-CN"/>
        </w:rPr>
        <w:t xml:space="preserve">        </w:t>
      </w:r>
      <w:r>
        <w:rPr>
          <w:rFonts w:hint="eastAsia" w:cs="Times New Roman" w:asciiTheme="minorEastAsia" w:hAnsiTheme="minorEastAsia" w:eastAsiaTheme="minorEastAsia"/>
          <w:bCs/>
          <w:sz w:val="24"/>
          <w:szCs w:val="24"/>
          <w:u w:val="single"/>
        </w:rPr>
        <w:t xml:space="preserve">     </w:t>
      </w:r>
    </w:p>
    <w:p>
      <w:pPr>
        <w:widowControl/>
        <w:jc w:val="left"/>
        <w:rPr>
          <w:rFonts w:ascii="宋体" w:hAnsi="宋体" w:eastAsia="宋体"/>
          <w:b/>
          <w:sz w:val="24"/>
        </w:rPr>
      </w:pPr>
      <w:r>
        <w:rPr>
          <w:rFonts w:ascii="宋体" w:hAnsi="宋体" w:eastAsia="宋体"/>
          <w:b/>
          <w:sz w:val="24"/>
        </w:rPr>
        <w:br w:type="page"/>
      </w:r>
    </w:p>
    <w:p>
      <w:pPr>
        <w:spacing w:line="360" w:lineRule="auto"/>
        <w:jc w:val="center"/>
        <w:outlineLvl w:val="1"/>
        <w:rPr>
          <w:rFonts w:ascii="宋体" w:hAnsi="宋体" w:eastAsia="宋体"/>
          <w:b/>
          <w:sz w:val="24"/>
        </w:rPr>
      </w:pPr>
      <w:r>
        <w:rPr>
          <w:rFonts w:hint="eastAsia" w:ascii="宋体" w:hAnsi="宋体" w:eastAsia="宋体"/>
          <w:b/>
          <w:sz w:val="24"/>
        </w:rPr>
        <w:t>第二部分</w:t>
      </w:r>
      <w:r>
        <w:rPr>
          <w:rFonts w:ascii="宋体" w:hAnsi="宋体" w:eastAsia="宋体"/>
          <w:b/>
          <w:sz w:val="24"/>
        </w:rPr>
        <w:t xml:space="preserve"> </w:t>
      </w:r>
      <w:r>
        <w:rPr>
          <w:rFonts w:hint="eastAsia" w:ascii="宋体" w:hAnsi="宋体" w:eastAsia="宋体"/>
          <w:b/>
          <w:sz w:val="24"/>
        </w:rPr>
        <w:t>合同一般条款</w:t>
      </w:r>
      <w:bookmarkEnd w:id="112"/>
    </w:p>
    <w:p>
      <w:pPr>
        <w:spacing w:line="360" w:lineRule="auto"/>
        <w:ind w:firstLine="437"/>
        <w:outlineLvl w:val="2"/>
        <w:rPr>
          <w:rFonts w:ascii="宋体" w:hAnsi="宋体" w:eastAsia="宋体"/>
          <w:b/>
          <w:bCs/>
          <w:sz w:val="24"/>
          <w:lang w:val="zh-CN"/>
        </w:rPr>
      </w:pPr>
      <w:bookmarkStart w:id="113" w:name="_Ref467378463"/>
      <w:bookmarkStart w:id="114" w:name="_Ref467379195"/>
      <w:bookmarkStart w:id="115" w:name="_Toc16917"/>
      <w:bookmarkStart w:id="116" w:name="_Ref467379094"/>
      <w:bookmarkStart w:id="117" w:name="_Ref467378499"/>
      <w:bookmarkStart w:id="118" w:name="_Ref467379101"/>
      <w:bookmarkStart w:id="119" w:name="_Ref467379214"/>
      <w:bookmarkStart w:id="120" w:name="_Toc28763"/>
      <w:bookmarkStart w:id="121" w:name="_Ref467379109"/>
      <w:bookmarkStart w:id="122" w:name="_Toc279701240"/>
      <w:bookmarkStart w:id="123" w:name="_Ref467378404"/>
      <w:bookmarkStart w:id="124" w:name="_Toc487900349"/>
      <w:bookmarkStart w:id="125" w:name="_Ref467379205"/>
      <w:bookmarkStart w:id="126" w:name="_Toc19614"/>
      <w:bookmarkStart w:id="127" w:name="_Toc259093669"/>
      <w:bookmarkStart w:id="128" w:name="_Ref467379225"/>
      <w:r>
        <w:rPr>
          <w:rFonts w:hint="eastAsia" w:ascii="宋体" w:hAnsi="宋体" w:eastAsia="宋体"/>
          <w:b/>
          <w:bCs/>
          <w:sz w:val="24"/>
          <w:lang w:val="zh-CN"/>
        </w:rPr>
        <w:t>2.1</w:t>
      </w:r>
      <w:r>
        <w:rPr>
          <w:rFonts w:ascii="宋体" w:hAnsi="宋体" w:eastAsia="宋体"/>
          <w:b/>
          <w:bCs/>
          <w:sz w:val="24"/>
          <w:lang w:val="zh-CN"/>
        </w:rPr>
        <w:t xml:space="preserve"> 定义</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pPr>
        <w:spacing w:line="360" w:lineRule="auto"/>
        <w:ind w:firstLine="435"/>
        <w:rPr>
          <w:rFonts w:ascii="宋体" w:hAnsi="宋体" w:eastAsia="宋体"/>
          <w:sz w:val="24"/>
        </w:rPr>
      </w:pPr>
      <w:r>
        <w:rPr>
          <w:rFonts w:ascii="宋体" w:hAnsi="宋体" w:eastAsia="宋体"/>
          <w:sz w:val="24"/>
        </w:rPr>
        <w:t>本合同中的下列</w:t>
      </w:r>
      <w:r>
        <w:rPr>
          <w:rFonts w:hint="eastAsia" w:ascii="宋体" w:hAnsi="宋体" w:eastAsia="宋体"/>
          <w:sz w:val="24"/>
        </w:rPr>
        <w:t>词</w:t>
      </w:r>
      <w:r>
        <w:rPr>
          <w:rFonts w:ascii="宋体" w:hAnsi="宋体" w:eastAsia="宋体"/>
          <w:sz w:val="24"/>
        </w:rPr>
        <w:t>语应</w:t>
      </w:r>
      <w:r>
        <w:rPr>
          <w:rFonts w:hint="eastAsia" w:ascii="宋体" w:hAnsi="宋体" w:eastAsia="宋体"/>
          <w:sz w:val="24"/>
        </w:rPr>
        <w:t>按以下内容进行</w:t>
      </w:r>
      <w:r>
        <w:rPr>
          <w:rFonts w:ascii="宋体" w:hAnsi="宋体" w:eastAsia="宋体"/>
          <w:sz w:val="24"/>
        </w:rPr>
        <w:t>解释：</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.1</w:t>
      </w:r>
      <w:r>
        <w:rPr>
          <w:rFonts w:ascii="宋体" w:hAnsi="宋体" w:eastAsia="宋体"/>
          <w:sz w:val="24"/>
        </w:rPr>
        <w:t>“合同”系指采购人和成交供应商签订的载明双方当事人所达成的协议，并包括所有的附件、附录和构成合同的其他文件。</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1.2“合同价”系指根据合同约定，成交供应商在完全履行合同义务后</w:t>
      </w:r>
      <w:r>
        <w:rPr>
          <w:rFonts w:hint="eastAsia" w:ascii="宋体" w:hAnsi="宋体" w:eastAsia="宋体"/>
          <w:sz w:val="24"/>
        </w:rPr>
        <w:t>，</w:t>
      </w:r>
      <w:r>
        <w:rPr>
          <w:rFonts w:ascii="宋体" w:hAnsi="宋体" w:eastAsia="宋体"/>
          <w:sz w:val="24"/>
        </w:rPr>
        <w:t>采购人应支付给成交供应商的价格。</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1.3“</w:t>
      </w:r>
      <w:r>
        <w:rPr>
          <w:rFonts w:hint="eastAsia" w:ascii="宋体" w:hAnsi="宋体" w:eastAsia="宋体"/>
          <w:sz w:val="24"/>
        </w:rPr>
        <w:t>服务</w:t>
      </w:r>
      <w:r>
        <w:rPr>
          <w:rFonts w:ascii="宋体" w:hAnsi="宋体" w:eastAsia="宋体"/>
          <w:sz w:val="24"/>
        </w:rPr>
        <w:t>”系指</w:t>
      </w:r>
      <w:r>
        <w:rPr>
          <w:rFonts w:hint="eastAsia" w:ascii="宋体" w:hAnsi="宋体" w:eastAsia="宋体"/>
          <w:sz w:val="24"/>
        </w:rPr>
        <w:t>成交供应商</w:t>
      </w:r>
      <w:r>
        <w:rPr>
          <w:rFonts w:ascii="宋体" w:hAnsi="宋体" w:eastAsia="宋体"/>
          <w:sz w:val="24"/>
        </w:rPr>
        <w:t>根据合同约定应向采购人</w:t>
      </w:r>
      <w:r>
        <w:rPr>
          <w:rFonts w:hint="eastAsia" w:ascii="宋体" w:hAnsi="宋体" w:eastAsia="宋体"/>
          <w:sz w:val="24"/>
        </w:rPr>
        <w:t>履行</w:t>
      </w:r>
      <w:r>
        <w:rPr>
          <w:rFonts w:ascii="宋体" w:hAnsi="宋体" w:eastAsia="宋体"/>
          <w:sz w:val="24"/>
        </w:rPr>
        <w:t>的</w:t>
      </w:r>
      <w:r>
        <w:rPr>
          <w:rFonts w:hint="eastAsia" w:ascii="宋体" w:hAnsi="宋体" w:eastAsia="宋体"/>
          <w:sz w:val="24"/>
        </w:rPr>
        <w:t>除货物和工程以外的其他政府采购对象，包括采购人自身需要的服务和向社会公众提供的公共服务。</w:t>
      </w:r>
    </w:p>
    <w:p>
      <w:pPr>
        <w:spacing w:line="360" w:lineRule="auto"/>
        <w:ind w:firstLine="435"/>
        <w:rPr>
          <w:rFonts w:ascii="宋体" w:hAnsi="宋体" w:eastAsia="宋体"/>
          <w:sz w:val="24"/>
        </w:rPr>
      </w:pPr>
      <w:bookmarkStart w:id="129" w:name="_Ref467378840"/>
      <w:r>
        <w:rPr>
          <w:rFonts w:hint="eastAsia" w:ascii="宋体" w:hAnsi="宋体" w:eastAsia="宋体"/>
          <w:sz w:val="24"/>
        </w:rPr>
        <w:t>2.</w:t>
      </w:r>
      <w:r>
        <w:rPr>
          <w:rFonts w:ascii="宋体" w:hAnsi="宋体" w:eastAsia="宋体"/>
          <w:sz w:val="24"/>
        </w:rPr>
        <w:t>1.</w:t>
      </w:r>
      <w:r>
        <w:rPr>
          <w:rFonts w:hint="eastAsia" w:ascii="宋体" w:hAnsi="宋体" w:eastAsia="宋体"/>
          <w:sz w:val="24"/>
        </w:rPr>
        <w:t>4</w:t>
      </w:r>
      <w:r>
        <w:rPr>
          <w:rFonts w:ascii="宋体" w:hAnsi="宋体" w:eastAsia="宋体"/>
          <w:sz w:val="24"/>
        </w:rPr>
        <w:t>“</w:t>
      </w:r>
      <w:r>
        <w:rPr>
          <w:rFonts w:hint="eastAsia" w:ascii="宋体" w:hAnsi="宋体" w:eastAsia="宋体"/>
          <w:sz w:val="24"/>
        </w:rPr>
        <w:t>甲方</w:t>
      </w:r>
      <w:r>
        <w:rPr>
          <w:rFonts w:ascii="宋体" w:hAnsi="宋体" w:eastAsia="宋体"/>
          <w:sz w:val="24"/>
        </w:rPr>
        <w:t>”系指与</w:t>
      </w:r>
      <w:r>
        <w:rPr>
          <w:rFonts w:hint="eastAsia" w:ascii="宋体" w:hAnsi="宋体" w:eastAsia="宋体"/>
          <w:sz w:val="24"/>
        </w:rPr>
        <w:t>成交供应商</w:t>
      </w:r>
      <w:r>
        <w:rPr>
          <w:rFonts w:ascii="宋体" w:hAnsi="宋体" w:eastAsia="宋体"/>
          <w:sz w:val="24"/>
        </w:rPr>
        <w:t>签署合同的采购人</w:t>
      </w:r>
      <w:bookmarkEnd w:id="129"/>
      <w:r>
        <w:rPr>
          <w:rFonts w:hint="eastAsia" w:ascii="宋体" w:hAnsi="宋体" w:eastAsia="宋体"/>
          <w:sz w:val="24"/>
        </w:rPr>
        <w:t>；采购人委托采购代理机构代表其与乙方签订合同的，采购人的授权委托书作为合同附件。</w:t>
      </w:r>
    </w:p>
    <w:p>
      <w:pPr>
        <w:spacing w:line="360" w:lineRule="auto"/>
        <w:ind w:firstLine="435"/>
        <w:rPr>
          <w:rFonts w:ascii="宋体" w:hAnsi="宋体" w:eastAsia="宋体"/>
          <w:sz w:val="24"/>
        </w:rPr>
      </w:pPr>
      <w:bookmarkStart w:id="130" w:name="_Ref467379400"/>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“乙方”系指根据合同约定</w:t>
      </w:r>
      <w:r>
        <w:rPr>
          <w:rFonts w:hint="eastAsia" w:ascii="宋体" w:hAnsi="宋体" w:eastAsia="宋体"/>
          <w:sz w:val="24"/>
        </w:rPr>
        <w:t>提供服务</w:t>
      </w:r>
      <w:r>
        <w:rPr>
          <w:rFonts w:ascii="宋体" w:hAnsi="宋体" w:eastAsia="宋体"/>
          <w:sz w:val="24"/>
        </w:rPr>
        <w:t>的成交供应商</w:t>
      </w:r>
      <w:bookmarkEnd w:id="130"/>
      <w:r>
        <w:rPr>
          <w:rFonts w:hint="eastAsia" w:ascii="宋体" w:hAnsi="宋体" w:eastAsia="宋体"/>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ascii="宋体" w:hAnsi="宋体" w:eastAsia="宋体"/>
          <w:sz w:val="24"/>
        </w:rPr>
      </w:pPr>
      <w:bookmarkStart w:id="131" w:name="_Ref467379436"/>
      <w:r>
        <w:rPr>
          <w:rFonts w:hint="eastAsia" w:ascii="宋体" w:hAnsi="宋体" w:eastAsia="宋体"/>
          <w:sz w:val="24"/>
        </w:rPr>
        <w:t>2.</w:t>
      </w:r>
      <w:r>
        <w:rPr>
          <w:rFonts w:ascii="宋体" w:hAnsi="宋体" w:eastAsia="宋体"/>
          <w:sz w:val="24"/>
        </w:rPr>
        <w:t>1.</w:t>
      </w:r>
      <w:r>
        <w:rPr>
          <w:rFonts w:hint="eastAsia" w:ascii="宋体" w:hAnsi="宋体" w:eastAsia="宋体"/>
          <w:sz w:val="24"/>
        </w:rPr>
        <w:t>6</w:t>
      </w:r>
      <w:r>
        <w:rPr>
          <w:rFonts w:ascii="宋体" w:hAnsi="宋体" w:eastAsia="宋体"/>
          <w:sz w:val="24"/>
        </w:rPr>
        <w:t>“现场”系指合同约定</w:t>
      </w:r>
      <w:r>
        <w:rPr>
          <w:rFonts w:hint="eastAsia" w:ascii="宋体" w:hAnsi="宋体" w:eastAsia="宋体"/>
          <w:sz w:val="24"/>
        </w:rPr>
        <w:t>提供服务</w:t>
      </w:r>
      <w:r>
        <w:rPr>
          <w:rFonts w:ascii="宋体" w:hAnsi="宋体" w:eastAsia="宋体"/>
          <w:sz w:val="24"/>
        </w:rPr>
        <w:t>的地点。</w:t>
      </w:r>
      <w:bookmarkEnd w:id="131"/>
    </w:p>
    <w:p>
      <w:pPr>
        <w:spacing w:line="360" w:lineRule="auto"/>
        <w:ind w:firstLine="437"/>
        <w:outlineLvl w:val="2"/>
        <w:rPr>
          <w:rFonts w:ascii="宋体" w:hAnsi="宋体" w:eastAsia="宋体"/>
          <w:b/>
          <w:bCs/>
          <w:sz w:val="24"/>
          <w:lang w:val="zh-CN"/>
        </w:rPr>
      </w:pPr>
      <w:bookmarkStart w:id="132" w:name="_Toc13336"/>
      <w:bookmarkStart w:id="133" w:name="_Toc259093670"/>
      <w:bookmarkStart w:id="134" w:name="_Toc32504"/>
      <w:bookmarkStart w:id="135" w:name="_Toc487900350"/>
      <w:bookmarkStart w:id="136" w:name="_Toc279701241"/>
      <w:bookmarkStart w:id="137" w:name="_Toc27635"/>
      <w:r>
        <w:rPr>
          <w:rFonts w:hint="eastAsia" w:ascii="宋体" w:hAnsi="宋体" w:eastAsia="宋体"/>
          <w:b/>
          <w:bCs/>
          <w:sz w:val="24"/>
          <w:lang w:val="zh-CN"/>
        </w:rPr>
        <w:t>2.</w:t>
      </w:r>
      <w:r>
        <w:rPr>
          <w:rFonts w:ascii="宋体" w:hAnsi="宋体" w:eastAsia="宋体"/>
          <w:b/>
          <w:bCs/>
          <w:sz w:val="24"/>
          <w:lang w:val="zh-CN"/>
        </w:rPr>
        <w:t>2 技术规范</w:t>
      </w:r>
      <w:bookmarkEnd w:id="132"/>
      <w:bookmarkEnd w:id="133"/>
      <w:bookmarkEnd w:id="134"/>
      <w:bookmarkEnd w:id="135"/>
      <w:bookmarkEnd w:id="136"/>
      <w:bookmarkEnd w:id="137"/>
    </w:p>
    <w:p>
      <w:pPr>
        <w:spacing w:line="360" w:lineRule="auto"/>
        <w:ind w:firstLine="435"/>
        <w:rPr>
          <w:rFonts w:ascii="宋体" w:hAnsi="宋体" w:eastAsia="宋体"/>
          <w:sz w:val="24"/>
        </w:rPr>
      </w:pPr>
      <w:r>
        <w:rPr>
          <w:rFonts w:ascii="宋体" w:hAnsi="宋体" w:eastAsia="宋体"/>
          <w:sz w:val="24"/>
        </w:rPr>
        <w:t>货物所应遵守的技术规范应与采购文件规定的技术规范和技术规范附件(如果有的话)及其技术规范偏差表(如果被甲方接受的话)相一致</w:t>
      </w:r>
      <w:r>
        <w:rPr>
          <w:rFonts w:hint="eastAsia" w:ascii="宋体" w:hAnsi="宋体" w:eastAsia="宋体"/>
          <w:sz w:val="24"/>
        </w:rPr>
        <w:t>；</w:t>
      </w:r>
      <w:r>
        <w:rPr>
          <w:rFonts w:ascii="宋体" w:hAnsi="宋体" w:eastAsia="宋体"/>
          <w:sz w:val="24"/>
        </w:rPr>
        <w:t>如果采购文件中没有技术规范的相应说明，那么应以国家有关部门最新颁布的相应标准</w:t>
      </w:r>
      <w:r>
        <w:rPr>
          <w:rFonts w:hint="eastAsia" w:ascii="宋体" w:hAnsi="宋体" w:eastAsia="宋体"/>
          <w:sz w:val="24"/>
        </w:rPr>
        <w:t>和</w:t>
      </w:r>
      <w:r>
        <w:rPr>
          <w:rFonts w:ascii="宋体" w:hAnsi="宋体" w:eastAsia="宋体"/>
          <w:sz w:val="24"/>
        </w:rPr>
        <w:t>规范为准。</w:t>
      </w:r>
    </w:p>
    <w:p>
      <w:pPr>
        <w:spacing w:line="360" w:lineRule="auto"/>
        <w:ind w:firstLine="437"/>
        <w:outlineLvl w:val="2"/>
        <w:rPr>
          <w:rFonts w:ascii="宋体" w:hAnsi="宋体" w:eastAsia="宋体"/>
          <w:b/>
          <w:bCs/>
          <w:sz w:val="24"/>
          <w:lang w:val="zh-CN"/>
        </w:rPr>
      </w:pPr>
      <w:bookmarkStart w:id="138" w:name="_Toc279701242"/>
      <w:bookmarkStart w:id="139" w:name="_Toc27853"/>
      <w:bookmarkStart w:id="140" w:name="_Toc259093671"/>
      <w:bookmarkStart w:id="141" w:name="_Toc31634"/>
      <w:bookmarkStart w:id="142" w:name="_Toc487900351"/>
      <w:bookmarkStart w:id="143" w:name="_Toc9829"/>
      <w:r>
        <w:rPr>
          <w:rFonts w:hint="eastAsia" w:ascii="宋体" w:hAnsi="宋体" w:eastAsia="宋体"/>
          <w:b/>
          <w:bCs/>
          <w:sz w:val="24"/>
          <w:lang w:val="zh-CN"/>
        </w:rPr>
        <w:t>2.</w:t>
      </w:r>
      <w:r>
        <w:rPr>
          <w:rFonts w:ascii="宋体" w:hAnsi="宋体" w:eastAsia="宋体"/>
          <w:b/>
          <w:bCs/>
          <w:sz w:val="24"/>
          <w:lang w:val="zh-CN"/>
        </w:rPr>
        <w:t>3 知识产权</w:t>
      </w:r>
      <w:bookmarkEnd w:id="138"/>
      <w:bookmarkEnd w:id="139"/>
      <w:bookmarkEnd w:id="140"/>
      <w:bookmarkEnd w:id="141"/>
      <w:bookmarkEnd w:id="142"/>
      <w:bookmarkEnd w:id="143"/>
    </w:p>
    <w:p>
      <w:pPr>
        <w:spacing w:line="360" w:lineRule="auto"/>
        <w:ind w:firstLine="435"/>
        <w:rPr>
          <w:rFonts w:ascii="宋体" w:hAnsi="宋体" w:eastAsia="宋体"/>
          <w:sz w:val="24"/>
        </w:rPr>
      </w:pPr>
      <w:r>
        <w:rPr>
          <w:rFonts w:hint="eastAsia" w:ascii="宋体" w:hAnsi="宋体" w:eastAsia="宋体"/>
          <w:sz w:val="24"/>
        </w:rPr>
        <w:t>2.3.1乙</w:t>
      </w:r>
      <w:r>
        <w:rPr>
          <w:rFonts w:ascii="宋体" w:hAnsi="宋体" w:eastAsia="宋体"/>
          <w:sz w:val="24"/>
        </w:rPr>
        <w:t>方应保证</w:t>
      </w:r>
      <w:r>
        <w:rPr>
          <w:rFonts w:hint="eastAsia" w:ascii="宋体" w:hAnsi="宋体" w:eastAsia="宋体"/>
          <w:sz w:val="24"/>
        </w:rPr>
        <w:t>其提供的服务</w:t>
      </w:r>
      <w:r>
        <w:rPr>
          <w:rFonts w:ascii="宋体" w:hAnsi="宋体" w:eastAsia="宋体"/>
          <w:sz w:val="24"/>
        </w:rPr>
        <w:t>不受任何第三方提出的侵犯其著作权、商标权、专利权等知识产权方面的起诉</w:t>
      </w:r>
      <w:r>
        <w:rPr>
          <w:rFonts w:hint="eastAsia" w:ascii="宋体" w:hAnsi="宋体" w:eastAsia="宋体"/>
          <w:sz w:val="24"/>
        </w:rPr>
        <w:t>；</w:t>
      </w:r>
      <w:r>
        <w:rPr>
          <w:rFonts w:ascii="宋体" w:hAnsi="宋体" w:eastAsia="宋体"/>
          <w:sz w:val="24"/>
        </w:rPr>
        <w:t>如果任何第三方提出侵权</w:t>
      </w:r>
      <w:r>
        <w:rPr>
          <w:rFonts w:hint="eastAsia" w:ascii="宋体" w:hAnsi="宋体" w:eastAsia="宋体"/>
          <w:sz w:val="24"/>
        </w:rPr>
        <w:t>指控</w:t>
      </w:r>
      <w:r>
        <w:rPr>
          <w:rFonts w:ascii="宋体" w:hAnsi="宋体" w:eastAsia="宋体"/>
          <w:sz w:val="24"/>
        </w:rPr>
        <w:t>，那么乙方须与该第三方交涉并承担由此发生的一切责任、费用和赔偿</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2.3.2具有知识产权的计算机软件等货物的知识产权归属，</w:t>
      </w: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44" w:name="_Ref467379536"/>
      <w:bookmarkStart w:id="145" w:name="_Ref467378591"/>
      <w:bookmarkStart w:id="146" w:name="_Ref467379527"/>
      <w:bookmarkStart w:id="147" w:name="_Ref467379542"/>
      <w:bookmarkStart w:id="148" w:name="_Toc279701245"/>
      <w:bookmarkStart w:id="149" w:name="_Ref467378541"/>
      <w:bookmarkStart w:id="150" w:name="_Toc487900354"/>
      <w:bookmarkStart w:id="151" w:name="_Toc259093674"/>
      <w:bookmarkStart w:id="152" w:name="_Toc30272"/>
      <w:bookmarkStart w:id="153" w:name="_Toc26182"/>
      <w:bookmarkStart w:id="154" w:name="_Toc19074"/>
      <w:r>
        <w:rPr>
          <w:rFonts w:hint="eastAsia" w:ascii="宋体" w:hAnsi="宋体" w:eastAsia="宋体"/>
          <w:b/>
          <w:bCs/>
          <w:sz w:val="24"/>
          <w:lang w:val="zh-CN"/>
        </w:rPr>
        <w:t>2.</w:t>
      </w:r>
      <w:bookmarkEnd w:id="144"/>
      <w:bookmarkEnd w:id="145"/>
      <w:bookmarkEnd w:id="146"/>
      <w:bookmarkEnd w:id="147"/>
      <w:bookmarkEnd w:id="148"/>
      <w:bookmarkEnd w:id="149"/>
      <w:bookmarkEnd w:id="150"/>
      <w:bookmarkEnd w:id="151"/>
      <w:r>
        <w:rPr>
          <w:rFonts w:ascii="宋体" w:hAnsi="宋体" w:eastAsia="宋体"/>
          <w:b/>
          <w:bCs/>
          <w:sz w:val="24"/>
          <w:lang w:val="zh-CN"/>
        </w:rPr>
        <w:t xml:space="preserve">4 </w:t>
      </w:r>
      <w:r>
        <w:rPr>
          <w:rFonts w:hint="eastAsia" w:ascii="宋体" w:hAnsi="宋体" w:eastAsia="宋体"/>
          <w:b/>
          <w:bCs/>
          <w:sz w:val="24"/>
          <w:lang w:val="zh-CN"/>
        </w:rPr>
        <w:t>履约检查和问题反馈</w:t>
      </w:r>
      <w:bookmarkEnd w:id="152"/>
      <w:bookmarkEnd w:id="153"/>
      <w:bookmarkEnd w:id="154"/>
    </w:p>
    <w:p>
      <w:pPr>
        <w:spacing w:line="360" w:lineRule="auto"/>
        <w:ind w:firstLine="435"/>
        <w:rPr>
          <w:rFonts w:ascii="宋体" w:hAnsi="宋体" w:eastAsia="宋体"/>
          <w:sz w:val="24"/>
        </w:rPr>
      </w:pPr>
      <w:bookmarkStart w:id="155" w:name="_Toc186431854"/>
      <w:bookmarkStart w:id="156" w:name="_Toc279701247"/>
      <w:bookmarkStart w:id="157" w:name="_Ref467379793"/>
      <w:bookmarkStart w:id="158" w:name="_Ref467379807"/>
      <w:bookmarkStart w:id="159" w:name="_Toc487900357"/>
      <w:bookmarkStart w:id="160" w:name="_Toc259093676"/>
      <w:r>
        <w:rPr>
          <w:rFonts w:hint="eastAsia" w:ascii="宋体" w:hAnsi="宋体" w:eastAsia="宋体"/>
          <w:sz w:val="24"/>
        </w:rPr>
        <w:t>2.4</w:t>
      </w:r>
      <w:r>
        <w:rPr>
          <w:rFonts w:ascii="宋体" w:hAnsi="宋体" w:eastAsia="宋体"/>
          <w:sz w:val="24"/>
        </w:rPr>
        <w:t>.1甲方</w:t>
      </w:r>
      <w:r>
        <w:rPr>
          <w:rFonts w:hint="eastAsia" w:ascii="宋体" w:hAnsi="宋体" w:eastAsia="宋体"/>
          <w:sz w:val="24"/>
        </w:rPr>
        <w:t>有权</w:t>
      </w:r>
      <w:r>
        <w:rPr>
          <w:rFonts w:ascii="宋体" w:hAnsi="宋体" w:eastAsia="宋体"/>
          <w:sz w:val="24"/>
        </w:rPr>
        <w:t>在其认为必要时</w:t>
      </w:r>
      <w:r>
        <w:rPr>
          <w:rFonts w:hint="eastAsia" w:ascii="宋体" w:hAnsi="宋体" w:eastAsia="宋体"/>
          <w:sz w:val="24"/>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4</w:t>
      </w:r>
      <w:r>
        <w:rPr>
          <w:rFonts w:hint="eastAsia" w:ascii="宋体" w:hAnsi="宋体" w:eastAsia="宋体"/>
          <w:sz w:val="24"/>
        </w:rPr>
        <w:t>.2合同履行期间，甲方有权将履行过程中出现的问题反馈给乙方，双方当事人应以书面形式约定需要完善和改进的内容</w:t>
      </w:r>
      <w:bookmarkEnd w:id="155"/>
      <w:bookmarkStart w:id="161" w:name="_Toc186431855"/>
      <w:r>
        <w:rPr>
          <w:rFonts w:hint="eastAsia" w:ascii="宋体" w:hAnsi="宋体" w:eastAsia="宋体"/>
          <w:sz w:val="24"/>
        </w:rPr>
        <w:t>。</w:t>
      </w:r>
    </w:p>
    <w:bookmarkEnd w:id="161"/>
    <w:p>
      <w:pPr>
        <w:spacing w:line="360" w:lineRule="auto"/>
        <w:ind w:firstLine="437"/>
        <w:outlineLvl w:val="2"/>
        <w:rPr>
          <w:rFonts w:ascii="宋体" w:hAnsi="宋体" w:eastAsia="宋体"/>
          <w:b/>
          <w:bCs/>
          <w:sz w:val="24"/>
          <w:lang w:val="zh-CN"/>
        </w:rPr>
      </w:pPr>
      <w:bookmarkStart w:id="162" w:name="_Toc7836"/>
      <w:bookmarkStart w:id="163" w:name="_Toc19219"/>
      <w:bookmarkStart w:id="164" w:name="_Toc28451"/>
      <w:r>
        <w:rPr>
          <w:rFonts w:hint="eastAsia" w:ascii="宋体" w:hAnsi="宋体" w:eastAsia="宋体"/>
          <w:b/>
          <w:bCs/>
          <w:sz w:val="24"/>
          <w:lang w:val="zh-CN"/>
        </w:rPr>
        <w:t>2.</w:t>
      </w:r>
      <w:r>
        <w:rPr>
          <w:rFonts w:ascii="宋体" w:hAnsi="宋体" w:eastAsia="宋体"/>
          <w:b/>
          <w:bCs/>
          <w:sz w:val="24"/>
          <w:lang w:val="zh-CN"/>
        </w:rPr>
        <w:t>5</w:t>
      </w:r>
      <w:r>
        <w:rPr>
          <w:rFonts w:hint="eastAsia" w:ascii="宋体" w:hAnsi="宋体" w:eastAsia="宋体"/>
          <w:b/>
          <w:bCs/>
          <w:sz w:val="24"/>
          <w:lang w:val="zh-CN"/>
        </w:rPr>
        <w:t xml:space="preserve"> </w:t>
      </w:r>
      <w:r>
        <w:rPr>
          <w:rFonts w:ascii="宋体" w:hAnsi="宋体" w:eastAsia="宋体"/>
          <w:b/>
          <w:bCs/>
          <w:sz w:val="24"/>
          <w:lang w:val="zh-CN"/>
        </w:rPr>
        <w:t>结算方式和付款条件</w:t>
      </w:r>
      <w:bookmarkEnd w:id="156"/>
      <w:bookmarkEnd w:id="157"/>
      <w:bookmarkEnd w:id="158"/>
      <w:bookmarkEnd w:id="159"/>
      <w:bookmarkEnd w:id="160"/>
      <w:bookmarkEnd w:id="162"/>
      <w:bookmarkEnd w:id="163"/>
      <w:bookmarkEnd w:id="164"/>
    </w:p>
    <w:p>
      <w:pPr>
        <w:spacing w:line="360" w:lineRule="auto"/>
        <w:ind w:firstLine="435"/>
        <w:rPr>
          <w:rFonts w:ascii="宋体" w:hAnsi="宋体" w:eastAsia="宋体"/>
          <w:sz w:val="24"/>
        </w:rPr>
      </w:pPr>
      <w:r>
        <w:rPr>
          <w:rFonts w:ascii="宋体" w:hAnsi="宋体" w:eastAsia="宋体"/>
          <w:sz w:val="24"/>
        </w:rPr>
        <w:t>详见</w:t>
      </w:r>
      <w:r>
        <w:rPr>
          <w:rFonts w:ascii="宋体" w:hAnsi="宋体" w:eastAsia="宋体"/>
          <w:b/>
          <w:i/>
          <w:sz w:val="24"/>
          <w:u w:val="single"/>
        </w:rPr>
        <w:t>合同专用条款</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65" w:name="_Ref467379852"/>
      <w:bookmarkStart w:id="166" w:name="_Ref467379863"/>
      <w:bookmarkStart w:id="167" w:name="_Ref467379923"/>
      <w:bookmarkStart w:id="168" w:name="_Toc487900358"/>
      <w:bookmarkStart w:id="169" w:name="_Toc259093677"/>
      <w:bookmarkStart w:id="170" w:name="_Toc279701248"/>
      <w:bookmarkStart w:id="171" w:name="_Toc16110"/>
      <w:bookmarkStart w:id="172" w:name="_Toc774"/>
      <w:bookmarkStart w:id="173" w:name="_Toc3225"/>
      <w:r>
        <w:rPr>
          <w:rFonts w:hint="eastAsia" w:ascii="宋体" w:hAnsi="宋体" w:eastAsia="宋体"/>
          <w:b/>
          <w:bCs/>
          <w:sz w:val="24"/>
          <w:lang w:val="zh-CN"/>
        </w:rPr>
        <w:t>2.</w:t>
      </w:r>
      <w:r>
        <w:rPr>
          <w:rFonts w:ascii="宋体" w:hAnsi="宋体" w:eastAsia="宋体"/>
          <w:b/>
          <w:bCs/>
          <w:sz w:val="24"/>
          <w:lang w:val="zh-CN"/>
        </w:rPr>
        <w:t>6</w:t>
      </w:r>
      <w:r>
        <w:rPr>
          <w:rFonts w:hint="eastAsia" w:ascii="宋体" w:hAnsi="宋体" w:eastAsia="宋体"/>
          <w:b/>
          <w:bCs/>
          <w:sz w:val="24"/>
          <w:lang w:val="zh-CN"/>
        </w:rPr>
        <w:t xml:space="preserve"> </w:t>
      </w:r>
      <w:r>
        <w:rPr>
          <w:rFonts w:ascii="宋体" w:hAnsi="宋体" w:eastAsia="宋体"/>
          <w:b/>
          <w:bCs/>
          <w:sz w:val="24"/>
          <w:lang w:val="zh-CN"/>
        </w:rPr>
        <w:t>技术资料</w:t>
      </w:r>
      <w:bookmarkEnd w:id="165"/>
      <w:bookmarkEnd w:id="166"/>
      <w:bookmarkEnd w:id="167"/>
      <w:bookmarkEnd w:id="168"/>
      <w:bookmarkEnd w:id="169"/>
      <w:bookmarkEnd w:id="170"/>
      <w:r>
        <w:rPr>
          <w:rFonts w:ascii="宋体" w:hAnsi="宋体" w:eastAsia="宋体"/>
          <w:b/>
          <w:bCs/>
          <w:sz w:val="24"/>
          <w:lang w:val="zh-CN"/>
        </w:rPr>
        <w:t>和保密义务</w:t>
      </w:r>
      <w:bookmarkEnd w:id="171"/>
      <w:bookmarkEnd w:id="172"/>
      <w:bookmarkEnd w:id="173"/>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6.1</w:t>
      </w:r>
      <w:r>
        <w:rPr>
          <w:rFonts w:hint="eastAsia" w:ascii="宋体" w:hAnsi="宋体" w:eastAsia="宋体"/>
          <w:sz w:val="24"/>
        </w:rPr>
        <w:t>乙方有权依据合同约定和项目需要，向甲方了解有关情况，调阅有关资料等，甲方应予积极配合；</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.2乙方有义务妥善保管和保护由甲方提供的前款信息和资料等；</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6.</w:t>
      </w:r>
      <w:r>
        <w:rPr>
          <w:rFonts w:hint="eastAsia" w:ascii="宋体" w:hAnsi="宋体" w:eastAsia="宋体"/>
          <w:sz w:val="24"/>
        </w:rPr>
        <w:t>3除非依照法律规定或者对方当事人的书面同意，任何一方均应保证不向任何第三方提供或披露有关合同的或者履行合同过程中知悉的对方当事人任何未公开的信息和资料，包括但不限于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eastAsia="宋体"/>
          <w:sz w:val="24"/>
        </w:rPr>
        <w:t>技术情报</w:t>
      </w:r>
      <w:r>
        <w:rPr>
          <w:rFonts w:hint="eastAsia" w:ascii="宋体" w:hAnsi="宋体" w:eastAsia="宋体"/>
          <w:sz w:val="24"/>
        </w:rPr>
        <w:t>、</w:t>
      </w:r>
      <w:r>
        <w:rPr>
          <w:rFonts w:ascii="宋体" w:hAnsi="宋体" w:eastAsia="宋体"/>
          <w:sz w:val="24"/>
        </w:rPr>
        <w:t>技术资料</w:t>
      </w:r>
      <w:r>
        <w:rPr>
          <w:rFonts w:hint="eastAsia" w:ascii="宋体" w:hAnsi="宋体" w:eastAsia="宋体"/>
          <w:sz w:val="24"/>
        </w:rPr>
        <w:t>、商业秘密和商业信息等，并采取一切合理和必要措施和方式防止任何第三方接触到对方当事人的上述保密信息和资料。</w:t>
      </w:r>
    </w:p>
    <w:p>
      <w:pPr>
        <w:spacing w:line="360" w:lineRule="auto"/>
        <w:ind w:firstLine="437"/>
        <w:outlineLvl w:val="2"/>
        <w:rPr>
          <w:rFonts w:ascii="宋体" w:hAnsi="宋体" w:eastAsia="宋体"/>
          <w:b/>
          <w:bCs/>
          <w:sz w:val="24"/>
          <w:lang w:val="zh-CN"/>
        </w:rPr>
      </w:pPr>
      <w:bookmarkStart w:id="174" w:name="_Toc7860"/>
      <w:r>
        <w:rPr>
          <w:rFonts w:ascii="宋体" w:hAnsi="宋体" w:eastAsia="宋体"/>
          <w:b/>
          <w:bCs/>
          <w:sz w:val="24"/>
          <w:lang w:val="zh-CN"/>
        </w:rPr>
        <w:t>2.7 质量保证</w:t>
      </w:r>
      <w:bookmarkEnd w:id="174"/>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.1乙方应建立和完善履行合同的内部质量保证体系，并提供相关内部规章制度给甲方，以便甲方进行监督检查；</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7</w:t>
      </w:r>
      <w:r>
        <w:rPr>
          <w:rFonts w:hint="eastAsia" w:ascii="宋体" w:hAnsi="宋体" w:eastAsia="宋体"/>
          <w:sz w:val="24"/>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ascii="宋体" w:hAnsi="宋体" w:eastAsia="宋体"/>
          <w:b/>
          <w:sz w:val="24"/>
        </w:rPr>
      </w:pPr>
      <w:bookmarkStart w:id="175" w:name="_Toc22267"/>
      <w:r>
        <w:rPr>
          <w:rFonts w:hint="eastAsia" w:ascii="宋体" w:hAnsi="宋体" w:eastAsia="宋体"/>
          <w:b/>
          <w:sz w:val="24"/>
        </w:rPr>
        <w:t>2.8 延迟履行</w:t>
      </w:r>
      <w:bookmarkEnd w:id="175"/>
    </w:p>
    <w:p>
      <w:pPr>
        <w:spacing w:line="360" w:lineRule="auto"/>
        <w:ind w:firstLine="435"/>
        <w:rPr>
          <w:rFonts w:ascii="宋体" w:hAnsi="宋体" w:eastAsia="宋体"/>
          <w:sz w:val="24"/>
        </w:rPr>
      </w:pPr>
      <w:r>
        <w:rPr>
          <w:rFonts w:ascii="宋体" w:hAnsi="宋体" w:eastAsia="宋体"/>
          <w:sz w:val="24"/>
        </w:rPr>
        <w:t>在合同履行过程中，如果乙方遇到不能按时</w:t>
      </w:r>
      <w:r>
        <w:rPr>
          <w:rFonts w:hint="eastAsia" w:ascii="宋体" w:hAnsi="宋体" w:eastAsia="宋体"/>
          <w:sz w:val="24"/>
        </w:rPr>
        <w:t>提供服务</w:t>
      </w:r>
      <w:r>
        <w:rPr>
          <w:rFonts w:ascii="宋体" w:hAnsi="宋体" w:eastAsia="宋体"/>
          <w:sz w:val="24"/>
        </w:rPr>
        <w:t>的情况，应及时以书面形式将不能按时</w:t>
      </w:r>
      <w:r>
        <w:rPr>
          <w:rFonts w:hint="eastAsia" w:ascii="宋体" w:hAnsi="宋体" w:eastAsia="宋体"/>
          <w:sz w:val="24"/>
        </w:rPr>
        <w:t>提供服务</w:t>
      </w:r>
      <w:r>
        <w:rPr>
          <w:rFonts w:ascii="宋体" w:hAnsi="宋体" w:eastAsia="宋体"/>
          <w:sz w:val="24"/>
        </w:rPr>
        <w:t>的理由、预期延误时间通知甲方</w:t>
      </w:r>
      <w:r>
        <w:rPr>
          <w:rFonts w:hint="eastAsia" w:ascii="宋体" w:hAnsi="宋体" w:eastAsia="宋体"/>
          <w:sz w:val="24"/>
        </w:rPr>
        <w:t>；甲</w:t>
      </w:r>
      <w:r>
        <w:rPr>
          <w:rFonts w:ascii="宋体" w:hAnsi="宋体" w:eastAsia="宋体"/>
          <w:sz w:val="24"/>
        </w:rPr>
        <w:t>方收到乙方通知后，认为其理由正当的，可以书面形式酌情同意乙方可以延长</w:t>
      </w:r>
      <w:r>
        <w:rPr>
          <w:rFonts w:hint="eastAsia" w:ascii="宋体" w:hAnsi="宋体" w:eastAsia="宋体"/>
          <w:sz w:val="24"/>
        </w:rPr>
        <w:t>履行</w:t>
      </w:r>
      <w:r>
        <w:rPr>
          <w:rFonts w:ascii="宋体" w:hAnsi="宋体" w:eastAsia="宋体"/>
          <w:sz w:val="24"/>
        </w:rPr>
        <w:t>的具体时间。</w:t>
      </w:r>
    </w:p>
    <w:p>
      <w:pPr>
        <w:spacing w:line="360" w:lineRule="auto"/>
        <w:ind w:firstLine="437"/>
        <w:outlineLvl w:val="2"/>
        <w:rPr>
          <w:rFonts w:ascii="宋体" w:hAnsi="宋体" w:eastAsia="宋体"/>
          <w:b/>
          <w:bCs/>
          <w:sz w:val="24"/>
          <w:lang w:val="zh-CN"/>
        </w:rPr>
      </w:pPr>
      <w:bookmarkStart w:id="176" w:name="_Toc7502"/>
      <w:bookmarkStart w:id="177" w:name="_Toc279701254"/>
      <w:bookmarkStart w:id="178" w:name="_Toc487900364"/>
      <w:bookmarkStart w:id="179" w:name="_Ref467378121"/>
      <w:bookmarkStart w:id="180" w:name="_Toc259093683"/>
      <w:r>
        <w:rPr>
          <w:rFonts w:ascii="宋体" w:hAnsi="宋体" w:eastAsia="宋体"/>
          <w:b/>
          <w:bCs/>
          <w:sz w:val="24"/>
          <w:lang w:val="zh-CN"/>
        </w:rPr>
        <w:t>2.9 合同变更</w:t>
      </w:r>
      <w:bookmarkEnd w:id="176"/>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.1双方当事人协商一致，可以签订书面补充合同的形式变更合同，但不得违背采购文件确定的事项；</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9</w:t>
      </w:r>
      <w:r>
        <w:rPr>
          <w:rFonts w:hint="eastAsia" w:ascii="宋体" w:hAnsi="宋体" w:eastAsia="宋体"/>
          <w:sz w:val="24"/>
        </w:rPr>
        <w:t>.2合同继续履行将损害国家利益和社会公共利益的，双方当事人应当以书面形式变更合同。有过错的一方应当承担赔偿责任，双方当事人都有过错的，各自承担相应的责任。</w:t>
      </w:r>
      <w:bookmarkStart w:id="181" w:name="_Toc279701259"/>
      <w:bookmarkStart w:id="182" w:name="_Toc259093688"/>
      <w:bookmarkStart w:id="183" w:name="_Toc487900369"/>
    </w:p>
    <w:p>
      <w:pPr>
        <w:spacing w:line="360" w:lineRule="auto"/>
        <w:ind w:firstLine="437"/>
        <w:outlineLvl w:val="2"/>
        <w:rPr>
          <w:rFonts w:ascii="宋体" w:hAnsi="宋体" w:eastAsia="宋体"/>
          <w:b/>
          <w:bCs/>
          <w:sz w:val="24"/>
          <w:lang w:val="zh-CN"/>
        </w:rPr>
      </w:pPr>
      <w:bookmarkStart w:id="184" w:name="_Toc10366"/>
      <w:bookmarkStart w:id="185" w:name="_Toc15237"/>
      <w:bookmarkStart w:id="186" w:name="_Toc22955"/>
      <w:r>
        <w:rPr>
          <w:rFonts w:hint="eastAsia" w:ascii="宋体" w:hAnsi="宋体" w:eastAsia="宋体"/>
          <w:b/>
          <w:bCs/>
          <w:sz w:val="24"/>
          <w:lang w:val="zh-CN"/>
        </w:rPr>
        <w:t>2.1</w:t>
      </w:r>
      <w:r>
        <w:rPr>
          <w:rFonts w:ascii="宋体" w:hAnsi="宋体" w:eastAsia="宋体"/>
          <w:b/>
          <w:bCs/>
          <w:sz w:val="24"/>
          <w:lang w:val="zh-CN"/>
        </w:rPr>
        <w:t>0</w:t>
      </w:r>
      <w:r>
        <w:rPr>
          <w:rFonts w:hint="eastAsia" w:ascii="宋体" w:hAnsi="宋体" w:eastAsia="宋体"/>
          <w:b/>
          <w:bCs/>
          <w:sz w:val="24"/>
          <w:lang w:val="zh-CN"/>
        </w:rPr>
        <w:t xml:space="preserve"> </w:t>
      </w:r>
      <w:r>
        <w:rPr>
          <w:rFonts w:ascii="宋体" w:hAnsi="宋体" w:eastAsia="宋体"/>
          <w:b/>
          <w:bCs/>
          <w:sz w:val="24"/>
          <w:lang w:val="zh-CN"/>
        </w:rPr>
        <w:t>合同转让</w:t>
      </w:r>
      <w:bookmarkEnd w:id="181"/>
      <w:bookmarkEnd w:id="182"/>
      <w:bookmarkEnd w:id="183"/>
      <w:r>
        <w:rPr>
          <w:rFonts w:ascii="宋体" w:hAnsi="宋体" w:eastAsia="宋体"/>
          <w:b/>
          <w:bCs/>
          <w:sz w:val="24"/>
          <w:lang w:val="zh-CN"/>
        </w:rPr>
        <w:t>和分包</w:t>
      </w:r>
      <w:bookmarkEnd w:id="184"/>
      <w:bookmarkEnd w:id="185"/>
      <w:bookmarkEnd w:id="186"/>
    </w:p>
    <w:p>
      <w:pPr>
        <w:spacing w:line="360" w:lineRule="auto"/>
        <w:ind w:firstLine="435"/>
        <w:rPr>
          <w:rFonts w:ascii="宋体" w:hAnsi="宋体" w:eastAsia="宋体"/>
          <w:sz w:val="24"/>
        </w:rPr>
      </w:pPr>
      <w:r>
        <w:rPr>
          <w:rFonts w:ascii="宋体" w:hAnsi="宋体" w:eastAsia="宋体"/>
          <w:sz w:val="24"/>
        </w:rPr>
        <w:t>合同的权利义务依法不</w:t>
      </w:r>
      <w:r>
        <w:rPr>
          <w:rFonts w:hint="eastAsia" w:ascii="宋体" w:hAnsi="宋体" w:eastAsia="宋体"/>
          <w:sz w:val="24"/>
        </w:rPr>
        <w:t>得</w:t>
      </w:r>
      <w:r>
        <w:rPr>
          <w:rFonts w:ascii="宋体" w:hAnsi="宋体" w:eastAsia="宋体"/>
          <w:sz w:val="24"/>
        </w:rPr>
        <w:t>转让</w:t>
      </w:r>
      <w:r>
        <w:rPr>
          <w:rFonts w:hint="eastAsia" w:ascii="宋体" w:hAnsi="宋体" w:eastAsia="宋体"/>
          <w:sz w:val="24"/>
        </w:rPr>
        <w:t>，</w:t>
      </w:r>
      <w:r>
        <w:rPr>
          <w:rFonts w:ascii="宋体" w:hAnsi="宋体" w:eastAsia="宋体"/>
          <w:sz w:val="24"/>
        </w:rPr>
        <w:t>但经甲方</w:t>
      </w:r>
      <w:r>
        <w:rPr>
          <w:rFonts w:hint="eastAsia" w:ascii="宋体" w:hAnsi="宋体" w:eastAsia="宋体"/>
          <w:sz w:val="24"/>
        </w:rPr>
        <w:t>同意，乙方可以依法采取分包方式履行合同，即：依法可以</w:t>
      </w:r>
      <w:r>
        <w:rPr>
          <w:rFonts w:ascii="宋体" w:hAnsi="宋体" w:eastAsia="宋体"/>
          <w:sz w:val="24"/>
        </w:rPr>
        <w:t>将合同项下的部分非主体、非关键性工作分包给他人完成</w:t>
      </w:r>
      <w:r>
        <w:rPr>
          <w:rFonts w:hint="eastAsia" w:ascii="宋体" w:hAnsi="宋体" w:eastAsia="宋体"/>
          <w:sz w:val="24"/>
        </w:rPr>
        <w:t>，</w:t>
      </w:r>
      <w:r>
        <w:rPr>
          <w:rFonts w:ascii="宋体" w:hAnsi="宋体" w:eastAsia="宋体"/>
          <w:sz w:val="24"/>
        </w:rPr>
        <w:t>接受分包的人应当具备相应的资格条件，并不得再次分包</w:t>
      </w:r>
      <w:r>
        <w:rPr>
          <w:rFonts w:hint="eastAsia" w:ascii="宋体" w:hAnsi="宋体" w:eastAsia="宋体"/>
          <w:sz w:val="24"/>
        </w:rPr>
        <w:t>，</w:t>
      </w:r>
      <w:r>
        <w:rPr>
          <w:rFonts w:ascii="宋体" w:hAnsi="宋体" w:eastAsia="宋体"/>
          <w:sz w:val="24"/>
        </w:rPr>
        <w:t>且乙方应就分包项目向甲方负责</w:t>
      </w:r>
      <w:r>
        <w:rPr>
          <w:rFonts w:hint="eastAsia" w:ascii="宋体" w:hAnsi="宋体" w:eastAsia="宋体"/>
          <w:sz w:val="24"/>
        </w:rPr>
        <w:t>，</w:t>
      </w:r>
      <w:r>
        <w:rPr>
          <w:rFonts w:ascii="宋体" w:hAnsi="宋体" w:eastAsia="宋体"/>
          <w:sz w:val="24"/>
        </w:rPr>
        <w:t>并</w:t>
      </w:r>
      <w:r>
        <w:rPr>
          <w:rFonts w:hint="eastAsia" w:ascii="宋体" w:hAnsi="宋体" w:eastAsia="宋体"/>
          <w:sz w:val="24"/>
        </w:rPr>
        <w:t>与分包供应商就分包项目向甲方承担连带责任。</w:t>
      </w:r>
    </w:p>
    <w:p>
      <w:pPr>
        <w:spacing w:line="360" w:lineRule="auto"/>
        <w:ind w:firstLine="437"/>
        <w:outlineLvl w:val="2"/>
        <w:rPr>
          <w:rFonts w:ascii="宋体" w:hAnsi="宋体" w:eastAsia="宋体"/>
          <w:b/>
          <w:bCs/>
          <w:sz w:val="24"/>
          <w:lang w:val="zh-CN"/>
        </w:rPr>
      </w:pPr>
      <w:bookmarkStart w:id="187" w:name="_Toc14066"/>
      <w:bookmarkStart w:id="188" w:name="_Toc16508"/>
      <w:bookmarkStart w:id="189" w:name="_Toc13566"/>
      <w:r>
        <w:rPr>
          <w:rFonts w:hint="eastAsia" w:ascii="宋体" w:hAnsi="宋体" w:eastAsia="宋体"/>
          <w:b/>
          <w:bCs/>
          <w:sz w:val="24"/>
          <w:lang w:val="zh-CN"/>
        </w:rPr>
        <w:t>2.1</w:t>
      </w:r>
      <w:r>
        <w:rPr>
          <w:rFonts w:ascii="宋体" w:hAnsi="宋体" w:eastAsia="宋体"/>
          <w:b/>
          <w:bCs/>
          <w:sz w:val="24"/>
          <w:lang w:val="zh-CN"/>
        </w:rPr>
        <w:t>1 不可抗力</w:t>
      </w:r>
      <w:bookmarkEnd w:id="187"/>
      <w:bookmarkEnd w:id="188"/>
      <w:bookmarkEnd w:id="189"/>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1.1如果任何一方遭遇法律规定的不可抗力，致使合同履行受阻时，履行合同的期限应予延长，延长的期限应相当于不可抗力所影响的时间</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.2因不可抗力致使不能实现合同目的的，当事人可以解除合同；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.3因</w:t>
      </w:r>
      <w:r>
        <w:rPr>
          <w:rFonts w:ascii="宋体" w:hAnsi="宋体" w:eastAsia="宋体"/>
          <w:sz w:val="24"/>
        </w:rPr>
        <w:t>不可抗力致使合同有变更必要的，双方当事人应在</w:t>
      </w:r>
      <w:r>
        <w:rPr>
          <w:rFonts w:ascii="宋体" w:hAnsi="宋体" w:eastAsia="宋体"/>
          <w:b/>
          <w:i/>
          <w:sz w:val="24"/>
          <w:u w:val="single"/>
        </w:rPr>
        <w:t>合同专用条款</w:t>
      </w:r>
      <w:r>
        <w:rPr>
          <w:rFonts w:ascii="宋体" w:hAnsi="宋体" w:eastAsia="宋体"/>
          <w:sz w:val="24"/>
        </w:rPr>
        <w:t>约定时间内以书面形式变更合同</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1.</w:t>
      </w:r>
      <w:r>
        <w:rPr>
          <w:rFonts w:hint="eastAsia" w:ascii="宋体" w:hAnsi="宋体" w:eastAsia="宋体"/>
          <w:sz w:val="24"/>
        </w:rPr>
        <w:t>4</w:t>
      </w:r>
      <w:r>
        <w:rPr>
          <w:rFonts w:ascii="宋体" w:hAnsi="宋体" w:eastAsia="宋体"/>
          <w:sz w:val="24"/>
        </w:rPr>
        <w:t>受</w:t>
      </w:r>
      <w:r>
        <w:rPr>
          <w:rFonts w:hint="eastAsia" w:ascii="宋体" w:hAnsi="宋体" w:eastAsia="宋体"/>
          <w:sz w:val="24"/>
        </w:rPr>
        <w:t>不可抗力</w:t>
      </w:r>
      <w:r>
        <w:rPr>
          <w:rFonts w:ascii="宋体" w:hAnsi="宋体" w:eastAsia="宋体"/>
          <w:sz w:val="24"/>
        </w:rPr>
        <w:t>影响的一方在不可抗力发生后</w:t>
      </w:r>
      <w:r>
        <w:rPr>
          <w:rFonts w:hint="eastAsia" w:ascii="宋体" w:hAnsi="宋体" w:eastAsia="宋体"/>
          <w:sz w:val="24"/>
        </w:rPr>
        <w:t>，</w:t>
      </w:r>
      <w:r>
        <w:rPr>
          <w:rFonts w:ascii="宋体" w:hAnsi="宋体" w:eastAsia="宋体"/>
          <w:sz w:val="24"/>
        </w:rPr>
        <w:t>应在</w:t>
      </w:r>
      <w:r>
        <w:rPr>
          <w:rFonts w:ascii="宋体" w:hAnsi="宋体" w:eastAsia="宋体"/>
          <w:b/>
          <w:i/>
          <w:sz w:val="24"/>
          <w:u w:val="single"/>
        </w:rPr>
        <w:t>合同专用条款</w:t>
      </w:r>
      <w:r>
        <w:rPr>
          <w:rFonts w:ascii="宋体" w:hAnsi="宋体" w:eastAsia="宋体"/>
          <w:sz w:val="24"/>
        </w:rPr>
        <w:t>约定时间内以书面形式通知</w:t>
      </w:r>
      <w:r>
        <w:rPr>
          <w:rFonts w:hint="eastAsia" w:ascii="宋体" w:hAnsi="宋体" w:eastAsia="宋体"/>
          <w:sz w:val="24"/>
        </w:rPr>
        <w:t>对</w:t>
      </w:r>
      <w:r>
        <w:rPr>
          <w:rFonts w:ascii="宋体" w:hAnsi="宋体" w:eastAsia="宋体"/>
          <w:sz w:val="24"/>
        </w:rPr>
        <w:t>方当事人，并在</w:t>
      </w:r>
      <w:r>
        <w:rPr>
          <w:rFonts w:ascii="宋体" w:hAnsi="宋体" w:eastAsia="宋体"/>
          <w:b/>
          <w:i/>
          <w:sz w:val="24"/>
          <w:u w:val="single"/>
        </w:rPr>
        <w:t>合同专用条款</w:t>
      </w:r>
      <w:r>
        <w:rPr>
          <w:rFonts w:ascii="宋体" w:hAnsi="宋体" w:eastAsia="宋体"/>
          <w:sz w:val="24"/>
        </w:rPr>
        <w:t>约定时间内，将有关部门出具的证明文件送达</w:t>
      </w:r>
      <w:r>
        <w:rPr>
          <w:rFonts w:hint="eastAsia" w:ascii="宋体" w:hAnsi="宋体" w:eastAsia="宋体"/>
          <w:sz w:val="24"/>
        </w:rPr>
        <w:t>对方当事人</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90" w:name="_Toc6969"/>
      <w:bookmarkStart w:id="191" w:name="_Toc487900365"/>
      <w:bookmarkStart w:id="192" w:name="_Toc259093684"/>
      <w:bookmarkStart w:id="193" w:name="_Toc689"/>
      <w:bookmarkStart w:id="194" w:name="_Toc30676"/>
      <w:bookmarkStart w:id="195" w:name="_Toc279701255"/>
      <w:r>
        <w:rPr>
          <w:rFonts w:hint="eastAsia" w:ascii="宋体" w:hAnsi="宋体" w:eastAsia="宋体"/>
          <w:b/>
          <w:bCs/>
          <w:sz w:val="24"/>
          <w:lang w:val="zh-CN"/>
        </w:rPr>
        <w:t>2.</w:t>
      </w:r>
      <w:r>
        <w:rPr>
          <w:rFonts w:ascii="宋体" w:hAnsi="宋体" w:eastAsia="宋体"/>
          <w:b/>
          <w:bCs/>
          <w:sz w:val="24"/>
          <w:lang w:val="zh-CN"/>
        </w:rPr>
        <w:t>12</w:t>
      </w:r>
      <w:r>
        <w:rPr>
          <w:rFonts w:hint="eastAsia" w:ascii="宋体" w:hAnsi="宋体" w:eastAsia="宋体"/>
          <w:b/>
          <w:bCs/>
          <w:sz w:val="24"/>
          <w:lang w:val="zh-CN"/>
        </w:rPr>
        <w:t xml:space="preserve"> </w:t>
      </w:r>
      <w:r>
        <w:rPr>
          <w:rFonts w:ascii="宋体" w:hAnsi="宋体" w:eastAsia="宋体"/>
          <w:b/>
          <w:bCs/>
          <w:sz w:val="24"/>
          <w:lang w:val="zh-CN"/>
        </w:rPr>
        <w:t>税费</w:t>
      </w:r>
      <w:bookmarkEnd w:id="190"/>
      <w:bookmarkEnd w:id="191"/>
      <w:bookmarkEnd w:id="192"/>
      <w:bookmarkEnd w:id="193"/>
      <w:bookmarkEnd w:id="194"/>
      <w:bookmarkEnd w:id="195"/>
    </w:p>
    <w:p>
      <w:pPr>
        <w:spacing w:line="360" w:lineRule="auto"/>
        <w:ind w:firstLine="435"/>
        <w:rPr>
          <w:rFonts w:ascii="宋体" w:hAnsi="宋体" w:eastAsia="宋体"/>
          <w:sz w:val="24"/>
        </w:rPr>
      </w:pPr>
      <w:r>
        <w:rPr>
          <w:rFonts w:ascii="宋体" w:hAnsi="宋体" w:eastAsia="宋体"/>
          <w:sz w:val="24"/>
        </w:rPr>
        <w:t>与合同有关的一切税费</w:t>
      </w:r>
      <w:r>
        <w:rPr>
          <w:rFonts w:hint="eastAsia" w:ascii="宋体" w:hAnsi="宋体" w:eastAsia="宋体"/>
          <w:sz w:val="24"/>
        </w:rPr>
        <w:t>，</w:t>
      </w:r>
      <w:r>
        <w:rPr>
          <w:rFonts w:ascii="宋体" w:hAnsi="宋体" w:eastAsia="宋体"/>
          <w:sz w:val="24"/>
        </w:rPr>
        <w:t>均按照中华人民共和国法律的相关规定</w:t>
      </w:r>
      <w:r>
        <w:rPr>
          <w:rFonts w:hint="eastAsia" w:ascii="宋体" w:hAnsi="宋体" w:eastAsia="宋体"/>
          <w:sz w:val="24"/>
        </w:rPr>
        <w:t>缴纳</w:t>
      </w:r>
      <w:r>
        <w:rPr>
          <w:rFonts w:ascii="宋体" w:hAnsi="宋体" w:eastAsia="宋体"/>
          <w:sz w:val="24"/>
        </w:rPr>
        <w:t>。</w:t>
      </w:r>
    </w:p>
    <w:p>
      <w:pPr>
        <w:spacing w:line="360" w:lineRule="auto"/>
        <w:ind w:firstLine="437"/>
        <w:outlineLvl w:val="2"/>
        <w:rPr>
          <w:rFonts w:ascii="宋体" w:hAnsi="宋体" w:eastAsia="宋体"/>
          <w:b/>
          <w:bCs/>
          <w:sz w:val="24"/>
          <w:lang w:val="zh-CN"/>
        </w:rPr>
      </w:pPr>
      <w:bookmarkStart w:id="196" w:name="_Toc487900368"/>
      <w:bookmarkStart w:id="197" w:name="_Toc16959"/>
      <w:bookmarkStart w:id="198" w:name="_Toc279701258"/>
      <w:bookmarkStart w:id="199" w:name="_Toc259093687"/>
      <w:bookmarkStart w:id="200" w:name="_Toc8298"/>
      <w:bookmarkStart w:id="201" w:name="_Toc7102"/>
      <w:r>
        <w:rPr>
          <w:rFonts w:hint="eastAsia" w:ascii="宋体" w:hAnsi="宋体" w:eastAsia="宋体"/>
          <w:b/>
          <w:bCs/>
          <w:sz w:val="24"/>
          <w:lang w:val="zh-CN"/>
        </w:rPr>
        <w:t>2.</w:t>
      </w:r>
      <w:r>
        <w:rPr>
          <w:rFonts w:ascii="宋体" w:hAnsi="宋体" w:eastAsia="宋体"/>
          <w:b/>
          <w:bCs/>
          <w:sz w:val="24"/>
          <w:lang w:val="zh-CN"/>
        </w:rPr>
        <w:t>13</w:t>
      </w:r>
      <w:r>
        <w:rPr>
          <w:rFonts w:hint="eastAsia" w:ascii="宋体" w:hAnsi="宋体" w:eastAsia="宋体"/>
          <w:b/>
          <w:bCs/>
          <w:sz w:val="24"/>
          <w:lang w:val="zh-CN"/>
        </w:rPr>
        <w:t xml:space="preserve"> </w:t>
      </w:r>
      <w:r>
        <w:rPr>
          <w:rFonts w:ascii="宋体" w:hAnsi="宋体" w:eastAsia="宋体"/>
          <w:b/>
          <w:bCs/>
          <w:sz w:val="24"/>
          <w:lang w:val="zh-CN"/>
        </w:rPr>
        <w:t>乙方破产</w:t>
      </w:r>
      <w:bookmarkEnd w:id="196"/>
      <w:bookmarkEnd w:id="197"/>
      <w:bookmarkEnd w:id="198"/>
      <w:bookmarkEnd w:id="199"/>
      <w:bookmarkEnd w:id="200"/>
      <w:bookmarkEnd w:id="201"/>
    </w:p>
    <w:p>
      <w:pPr>
        <w:spacing w:line="360" w:lineRule="auto"/>
        <w:ind w:firstLine="435"/>
        <w:rPr>
          <w:rFonts w:ascii="宋体" w:hAnsi="宋体" w:eastAsia="宋体"/>
          <w:sz w:val="24"/>
        </w:rPr>
      </w:pPr>
      <w:r>
        <w:rPr>
          <w:rFonts w:ascii="宋体" w:hAnsi="宋体" w:eastAsia="宋体"/>
          <w:sz w:val="24"/>
        </w:rPr>
        <w:t>如果乙方破产导致合同无法履行时，甲方可以书面形式通知乙方终止合同且不给予乙方任何补偿和赔偿</w:t>
      </w:r>
      <w:r>
        <w:rPr>
          <w:rFonts w:hint="eastAsia" w:ascii="宋体" w:hAnsi="宋体" w:eastAsia="宋体"/>
          <w:sz w:val="24"/>
        </w:rPr>
        <w:t>，但合同的</w:t>
      </w:r>
      <w:r>
        <w:rPr>
          <w:rFonts w:ascii="宋体" w:hAnsi="宋体" w:eastAsia="宋体"/>
          <w:sz w:val="24"/>
        </w:rPr>
        <w:t>终止不损害或不影响甲方已经采取或将要采取的任何要求乙方支付违约金</w:t>
      </w:r>
      <w:r>
        <w:rPr>
          <w:rFonts w:hint="eastAsia" w:ascii="宋体" w:hAnsi="宋体" w:eastAsia="宋体"/>
          <w:sz w:val="24"/>
        </w:rPr>
        <w:t>、</w:t>
      </w:r>
      <w:r>
        <w:rPr>
          <w:rFonts w:ascii="宋体" w:hAnsi="宋体" w:eastAsia="宋体"/>
          <w:sz w:val="24"/>
        </w:rPr>
        <w:t>赔偿损失等的行动或补救措施的权利</w:t>
      </w:r>
      <w:r>
        <w:rPr>
          <w:rFonts w:hint="eastAsia" w:ascii="宋体" w:hAnsi="宋体" w:eastAsia="宋体"/>
          <w:sz w:val="24"/>
        </w:rPr>
        <w:t>。</w:t>
      </w:r>
    </w:p>
    <w:p>
      <w:pPr>
        <w:spacing w:line="360" w:lineRule="auto"/>
        <w:ind w:firstLine="437"/>
        <w:outlineLvl w:val="2"/>
        <w:rPr>
          <w:rFonts w:ascii="宋体" w:hAnsi="宋体" w:eastAsia="宋体"/>
          <w:b/>
          <w:sz w:val="24"/>
        </w:rPr>
      </w:pPr>
      <w:bookmarkStart w:id="202" w:name="_Toc6134"/>
      <w:bookmarkStart w:id="203" w:name="_Toc29333"/>
      <w:bookmarkStart w:id="204" w:name="_Toc15387"/>
      <w:r>
        <w:rPr>
          <w:rFonts w:hint="eastAsia" w:ascii="宋体" w:hAnsi="宋体" w:eastAsia="宋体"/>
          <w:b/>
          <w:bCs/>
          <w:sz w:val="24"/>
          <w:lang w:val="zh-CN"/>
        </w:rPr>
        <w:t>2.1</w:t>
      </w:r>
      <w:r>
        <w:rPr>
          <w:rFonts w:ascii="宋体" w:hAnsi="宋体" w:eastAsia="宋体"/>
          <w:b/>
          <w:bCs/>
          <w:sz w:val="24"/>
          <w:lang w:val="zh-CN"/>
        </w:rPr>
        <w:t>4</w:t>
      </w:r>
      <w:r>
        <w:rPr>
          <w:rFonts w:hint="eastAsia" w:ascii="宋体" w:hAnsi="宋体" w:eastAsia="宋体"/>
          <w:b/>
          <w:bCs/>
          <w:sz w:val="24"/>
          <w:lang w:val="zh-CN"/>
        </w:rPr>
        <w:t xml:space="preserve"> 合同中止、终止</w:t>
      </w:r>
      <w:bookmarkEnd w:id="202"/>
      <w:bookmarkEnd w:id="203"/>
      <w:bookmarkEnd w:id="204"/>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.1双方当事人不得擅自中止或者终止合同；</w:t>
      </w:r>
    </w:p>
    <w:p>
      <w:pPr>
        <w:spacing w:line="360" w:lineRule="auto"/>
        <w:ind w:firstLine="435"/>
        <w:rPr>
          <w:rFonts w:ascii="宋体" w:hAnsi="宋体" w:eastAsia="宋体"/>
          <w:sz w:val="24"/>
        </w:rPr>
      </w:pPr>
      <w:r>
        <w:rPr>
          <w:rFonts w:hint="eastAsia" w:ascii="宋体" w:hAnsi="宋体" w:eastAsia="宋体"/>
          <w:sz w:val="24"/>
        </w:rPr>
        <w:t>2.1</w:t>
      </w:r>
      <w:r>
        <w:rPr>
          <w:rFonts w:ascii="宋体" w:hAnsi="宋体" w:eastAsia="宋体"/>
          <w:sz w:val="24"/>
        </w:rPr>
        <w:t>4</w:t>
      </w:r>
      <w:r>
        <w:rPr>
          <w:rFonts w:hint="eastAsia" w:ascii="宋体" w:hAnsi="宋体" w:eastAsia="宋体"/>
          <w:sz w:val="24"/>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ascii="宋体" w:hAnsi="宋体" w:eastAsia="宋体"/>
          <w:b/>
          <w:bCs/>
          <w:sz w:val="24"/>
          <w:lang w:val="zh-CN"/>
        </w:rPr>
      </w:pPr>
      <w:bookmarkStart w:id="205" w:name="_Toc1125"/>
      <w:bookmarkStart w:id="206" w:name="_Toc14563"/>
      <w:bookmarkStart w:id="207" w:name="_Toc6596"/>
      <w:r>
        <w:rPr>
          <w:rFonts w:hint="eastAsia" w:ascii="宋体" w:hAnsi="宋体" w:eastAsia="宋体"/>
          <w:b/>
          <w:bCs/>
          <w:sz w:val="24"/>
          <w:lang w:val="zh-CN"/>
        </w:rPr>
        <w:t>2.1</w:t>
      </w:r>
      <w:r>
        <w:rPr>
          <w:rFonts w:ascii="宋体" w:hAnsi="宋体" w:eastAsia="宋体"/>
          <w:b/>
          <w:bCs/>
          <w:sz w:val="24"/>
          <w:lang w:val="zh-CN"/>
        </w:rPr>
        <w:t>5</w:t>
      </w:r>
      <w:r>
        <w:rPr>
          <w:rFonts w:hint="eastAsia" w:ascii="宋体" w:hAnsi="宋体" w:eastAsia="宋体"/>
          <w:b/>
          <w:bCs/>
          <w:sz w:val="24"/>
          <w:lang w:val="zh-CN"/>
        </w:rPr>
        <w:t xml:space="preserve"> 检验和验收</w:t>
      </w:r>
      <w:bookmarkEnd w:id="205"/>
      <w:bookmarkEnd w:id="206"/>
      <w:bookmarkEnd w:id="207"/>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w:t>
      </w:r>
      <w:r>
        <w:rPr>
          <w:rFonts w:hint="eastAsia" w:ascii="宋体" w:hAnsi="宋体" w:eastAsia="宋体"/>
          <w:sz w:val="24"/>
        </w:rPr>
        <w:t>5</w:t>
      </w:r>
      <w:r>
        <w:rPr>
          <w:rFonts w:ascii="宋体" w:hAnsi="宋体" w:eastAsia="宋体"/>
          <w:sz w:val="24"/>
        </w:rPr>
        <w:t>.</w:t>
      </w:r>
      <w:r>
        <w:rPr>
          <w:rFonts w:hint="eastAsia" w:ascii="宋体" w:hAnsi="宋体" w:eastAsia="宋体"/>
          <w:sz w:val="24"/>
        </w:rPr>
        <w:t>1乙方按照</w:t>
      </w:r>
      <w:r>
        <w:rPr>
          <w:rFonts w:ascii="宋体" w:hAnsi="宋体" w:eastAsia="宋体"/>
          <w:b/>
          <w:i/>
          <w:sz w:val="24"/>
          <w:u w:val="single"/>
        </w:rPr>
        <w:t>合同专用条款</w:t>
      </w:r>
      <w:r>
        <w:rPr>
          <w:rFonts w:ascii="宋体" w:hAnsi="宋体" w:eastAsia="宋体"/>
          <w:sz w:val="24"/>
        </w:rPr>
        <w:t>的约定</w:t>
      </w:r>
      <w:r>
        <w:rPr>
          <w:rFonts w:hint="eastAsia" w:ascii="宋体" w:hAnsi="宋体" w:eastAsia="宋体"/>
          <w:sz w:val="24"/>
        </w:rPr>
        <w:t>，</w:t>
      </w:r>
      <w:r>
        <w:rPr>
          <w:rFonts w:ascii="宋体" w:hAnsi="宋体" w:eastAsia="宋体"/>
          <w:sz w:val="24"/>
        </w:rPr>
        <w:t>定期提交服务报告</w:t>
      </w:r>
      <w:r>
        <w:rPr>
          <w:rFonts w:hint="eastAsia" w:ascii="宋体" w:hAnsi="宋体" w:eastAsia="宋体"/>
          <w:sz w:val="24"/>
        </w:rPr>
        <w:t>，甲方按照</w:t>
      </w:r>
      <w:r>
        <w:rPr>
          <w:rFonts w:ascii="宋体" w:hAnsi="宋体" w:eastAsia="宋体"/>
          <w:b/>
          <w:i/>
          <w:sz w:val="24"/>
          <w:u w:val="single"/>
        </w:rPr>
        <w:t>合同专用条款</w:t>
      </w:r>
      <w:r>
        <w:rPr>
          <w:rFonts w:ascii="宋体" w:hAnsi="宋体" w:eastAsia="宋体"/>
          <w:sz w:val="24"/>
        </w:rPr>
        <w:t>的约定进行定期验收</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ascii="宋体" w:hAnsi="宋体" w:eastAsia="宋体"/>
          <w:sz w:val="24"/>
        </w:rPr>
      </w:pPr>
      <w:r>
        <w:rPr>
          <w:rFonts w:hint="eastAsia" w:ascii="宋体" w:hAnsi="宋体" w:eastAsia="宋体"/>
          <w:sz w:val="24"/>
        </w:rPr>
        <w:t>2.15.3检验和验收标准、程序等具体内容以及前述验收书的效力详见</w:t>
      </w:r>
      <w:r>
        <w:rPr>
          <w:rFonts w:ascii="宋体" w:hAnsi="宋体" w:eastAsia="宋体"/>
          <w:b/>
          <w:i/>
          <w:sz w:val="24"/>
          <w:u w:val="single"/>
        </w:rPr>
        <w:t>合同专用条款</w:t>
      </w:r>
      <w:r>
        <w:rPr>
          <w:rFonts w:hint="eastAsia" w:ascii="宋体" w:hAnsi="宋体" w:eastAsia="宋体"/>
          <w:i/>
          <w:sz w:val="24"/>
        </w:rPr>
        <w:t>。</w:t>
      </w:r>
    </w:p>
    <w:bookmarkEnd w:id="177"/>
    <w:bookmarkEnd w:id="178"/>
    <w:bookmarkEnd w:id="179"/>
    <w:bookmarkEnd w:id="180"/>
    <w:p>
      <w:pPr>
        <w:spacing w:line="360" w:lineRule="auto"/>
        <w:ind w:firstLine="437"/>
        <w:outlineLvl w:val="2"/>
        <w:rPr>
          <w:rFonts w:ascii="宋体" w:hAnsi="宋体" w:eastAsia="宋体"/>
          <w:b/>
          <w:bCs/>
          <w:sz w:val="24"/>
        </w:rPr>
      </w:pPr>
      <w:bookmarkStart w:id="208" w:name="_Toc259093692"/>
      <w:bookmarkStart w:id="209" w:name="_Toc18567"/>
      <w:bookmarkStart w:id="210" w:name="_Toc12773"/>
      <w:bookmarkStart w:id="211" w:name="_Toc10330"/>
      <w:bookmarkStart w:id="212" w:name="_Toc487900373"/>
      <w:bookmarkStart w:id="213" w:name="_Toc279701263"/>
      <w:r>
        <w:rPr>
          <w:rFonts w:hint="eastAsia" w:ascii="宋体" w:hAnsi="宋体" w:eastAsia="宋体"/>
          <w:b/>
          <w:bCs/>
          <w:sz w:val="24"/>
        </w:rPr>
        <w:t>2.</w:t>
      </w:r>
      <w:r>
        <w:rPr>
          <w:rFonts w:ascii="宋体" w:hAnsi="宋体" w:eastAsia="宋体"/>
          <w:b/>
          <w:bCs/>
          <w:sz w:val="24"/>
        </w:rPr>
        <w:t>16</w:t>
      </w:r>
      <w:r>
        <w:rPr>
          <w:rFonts w:hint="eastAsia" w:ascii="宋体" w:hAnsi="宋体" w:eastAsia="宋体"/>
          <w:b/>
          <w:bCs/>
          <w:sz w:val="24"/>
        </w:rPr>
        <w:t xml:space="preserve"> </w:t>
      </w:r>
      <w:r>
        <w:rPr>
          <w:rFonts w:hint="eastAsia" w:ascii="宋体" w:hAnsi="宋体" w:eastAsia="宋体"/>
          <w:b/>
          <w:bCs/>
          <w:sz w:val="24"/>
          <w:lang w:val="zh-CN"/>
        </w:rPr>
        <w:t>合同使用的文字和</w:t>
      </w:r>
      <w:r>
        <w:rPr>
          <w:rFonts w:ascii="宋体" w:hAnsi="宋体" w:eastAsia="宋体"/>
          <w:b/>
          <w:bCs/>
          <w:sz w:val="24"/>
          <w:lang w:val="zh-CN"/>
        </w:rPr>
        <w:t>适用的法律</w:t>
      </w:r>
      <w:bookmarkEnd w:id="208"/>
      <w:bookmarkEnd w:id="209"/>
      <w:bookmarkEnd w:id="210"/>
      <w:bookmarkEnd w:id="211"/>
      <w:bookmarkEnd w:id="212"/>
      <w:bookmarkEnd w:id="213"/>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16.1合同使用汉语书就</w:t>
      </w:r>
      <w:r>
        <w:rPr>
          <w:rFonts w:hint="eastAsia" w:ascii="宋体" w:hAnsi="宋体" w:eastAsia="宋体"/>
          <w:sz w:val="24"/>
        </w:rPr>
        <w:t>、</w:t>
      </w:r>
      <w:r>
        <w:rPr>
          <w:rFonts w:ascii="宋体" w:hAnsi="宋体" w:eastAsia="宋体"/>
          <w:sz w:val="24"/>
        </w:rPr>
        <w:t>变更和解释</w:t>
      </w:r>
      <w:r>
        <w:rPr>
          <w:rFonts w:hint="eastAsia" w:ascii="宋体" w:hAnsi="宋体" w:eastAsia="宋体"/>
          <w:sz w:val="24"/>
        </w:rPr>
        <w:t>；</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16</w:t>
      </w:r>
      <w:r>
        <w:rPr>
          <w:rFonts w:hint="eastAsia" w:ascii="宋体" w:hAnsi="宋体" w:eastAsia="宋体"/>
          <w:sz w:val="24"/>
        </w:rPr>
        <w:t>.2合同适用</w:t>
      </w:r>
      <w:r>
        <w:rPr>
          <w:rFonts w:ascii="宋体" w:hAnsi="宋体" w:eastAsia="宋体"/>
          <w:sz w:val="24"/>
        </w:rPr>
        <w:t>中华人民共和国法律。</w:t>
      </w:r>
    </w:p>
    <w:p>
      <w:pPr>
        <w:spacing w:line="360" w:lineRule="auto"/>
        <w:ind w:firstLine="437"/>
        <w:outlineLvl w:val="2"/>
        <w:rPr>
          <w:rFonts w:ascii="宋体" w:hAnsi="宋体" w:eastAsia="宋体"/>
          <w:b/>
          <w:sz w:val="24"/>
        </w:rPr>
      </w:pPr>
      <w:bookmarkStart w:id="214" w:name="_Toc3148"/>
      <w:bookmarkStart w:id="215" w:name="_Toc16673"/>
      <w:bookmarkStart w:id="216" w:name="_Toc12004"/>
      <w:bookmarkStart w:id="217" w:name="_Toc259093693"/>
      <w:bookmarkStart w:id="218" w:name="_Toc279701264"/>
      <w:bookmarkStart w:id="219" w:name="_Toc487900374"/>
      <w:r>
        <w:rPr>
          <w:rFonts w:hint="eastAsia" w:ascii="宋体" w:hAnsi="宋体" w:eastAsia="宋体"/>
          <w:b/>
          <w:bCs/>
          <w:sz w:val="24"/>
          <w:lang w:val="zh-CN"/>
        </w:rPr>
        <w:t>2.</w:t>
      </w:r>
      <w:r>
        <w:rPr>
          <w:rFonts w:ascii="宋体" w:hAnsi="宋体" w:eastAsia="宋体"/>
          <w:b/>
          <w:bCs/>
          <w:sz w:val="24"/>
          <w:lang w:val="zh-CN"/>
        </w:rPr>
        <w:t>17</w:t>
      </w:r>
      <w:r>
        <w:rPr>
          <w:rFonts w:hint="eastAsia" w:ascii="宋体" w:hAnsi="宋体" w:eastAsia="宋体"/>
          <w:b/>
          <w:bCs/>
          <w:sz w:val="24"/>
          <w:lang w:val="zh-CN"/>
        </w:rPr>
        <w:t xml:space="preserve"> </w:t>
      </w:r>
      <w:r>
        <w:rPr>
          <w:rFonts w:ascii="宋体" w:hAnsi="宋体" w:eastAsia="宋体"/>
          <w:b/>
          <w:bCs/>
          <w:sz w:val="24"/>
          <w:lang w:val="zh-CN"/>
        </w:rPr>
        <w:t>履约保证金</w:t>
      </w:r>
      <w:bookmarkEnd w:id="214"/>
      <w:bookmarkEnd w:id="215"/>
      <w:bookmarkEnd w:id="216"/>
      <w:bookmarkEnd w:id="217"/>
      <w:bookmarkEnd w:id="218"/>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.1采购文件要求乙方提交履约保证金的，乙方</w:t>
      </w:r>
      <w:r>
        <w:rPr>
          <w:rFonts w:ascii="宋体" w:hAnsi="宋体" w:eastAsia="宋体"/>
          <w:sz w:val="24"/>
        </w:rPr>
        <w:t>应按</w:t>
      </w:r>
      <w:r>
        <w:rPr>
          <w:rFonts w:ascii="宋体" w:hAnsi="宋体" w:eastAsia="宋体"/>
          <w:b/>
          <w:i/>
          <w:sz w:val="24"/>
          <w:u w:val="single"/>
        </w:rPr>
        <w:t>合同专用条款</w:t>
      </w:r>
      <w:r>
        <w:rPr>
          <w:rFonts w:ascii="宋体" w:hAnsi="宋体" w:eastAsia="宋体"/>
          <w:sz w:val="24"/>
        </w:rPr>
        <w:t>约定的方式</w:t>
      </w:r>
      <w:r>
        <w:rPr>
          <w:rFonts w:hint="eastAsia" w:ascii="宋体" w:hAnsi="宋体" w:eastAsia="宋体"/>
          <w:sz w:val="24"/>
        </w:rPr>
        <w:t>，以支票、汇票、本票或者金融机构、担保机构出具的保函等非现金形式提交；</w:t>
      </w:r>
    </w:p>
    <w:p>
      <w:pPr>
        <w:spacing w:line="360" w:lineRule="auto"/>
        <w:ind w:firstLine="435"/>
        <w:rPr>
          <w:rFonts w:hint="eastAsia" w:ascii="宋体" w:hAnsi="宋体" w:eastAsia="宋体"/>
          <w:sz w:val="24"/>
          <w:lang w:eastAsia="zh-CN"/>
        </w:rPr>
      </w:pPr>
      <w:r>
        <w:rPr>
          <w:rFonts w:hint="eastAsia" w:ascii="宋体" w:hAnsi="宋体" w:eastAsia="宋体"/>
          <w:sz w:val="24"/>
        </w:rPr>
        <w:t>2.</w:t>
      </w:r>
      <w:r>
        <w:rPr>
          <w:rFonts w:ascii="宋体" w:hAnsi="宋体" w:eastAsia="宋体"/>
          <w:sz w:val="24"/>
        </w:rPr>
        <w:t>17.2履约保证金在</w:t>
      </w:r>
      <w:r>
        <w:rPr>
          <w:rFonts w:ascii="宋体" w:hAnsi="宋体" w:eastAsia="宋体"/>
          <w:b/>
          <w:i/>
          <w:sz w:val="24"/>
          <w:u w:val="single"/>
        </w:rPr>
        <w:t>合同专用条款</w:t>
      </w:r>
      <w:r>
        <w:rPr>
          <w:rFonts w:ascii="宋体" w:hAnsi="宋体" w:eastAsia="宋体"/>
          <w:sz w:val="24"/>
        </w:rPr>
        <w:t>约定期间内不予退还或者应完全有效</w:t>
      </w:r>
      <w:r>
        <w:rPr>
          <w:rFonts w:hint="eastAsia" w:ascii="宋体" w:hAnsi="宋体" w:eastAsia="宋体"/>
          <w:sz w:val="24"/>
        </w:rPr>
        <w:t>，前述约定期间届满</w:t>
      </w:r>
      <w:r>
        <w:rPr>
          <w:rFonts w:ascii="宋体" w:hAnsi="宋体" w:eastAsia="宋体"/>
          <w:sz w:val="24"/>
        </w:rPr>
        <w:t>之日起</w:t>
      </w:r>
      <w:r>
        <w:rPr>
          <w:rFonts w:hint="eastAsia" w:ascii="宋体" w:hAnsi="宋体" w:eastAsia="宋体"/>
          <w:sz w:val="24"/>
          <w:u w:val="single"/>
        </w:rPr>
        <w:t xml:space="preserve"> </w:t>
      </w:r>
      <w:r>
        <w:rPr>
          <w:rFonts w:ascii="宋体" w:hAnsi="宋体" w:eastAsia="宋体"/>
          <w:sz w:val="24"/>
          <w:u w:val="single"/>
        </w:rPr>
        <w:t xml:space="preserve"> </w:t>
      </w:r>
      <w:r>
        <w:rPr>
          <w:rFonts w:hint="eastAsia" w:ascii="宋体" w:hAnsi="宋体" w:eastAsia="宋体"/>
          <w:sz w:val="24"/>
          <w:u w:val="single"/>
        </w:rPr>
        <w:t xml:space="preserve"> </w:t>
      </w:r>
      <w:r>
        <w:rPr>
          <w:rFonts w:hint="eastAsia" w:ascii="宋体" w:hAnsi="宋体" w:eastAsia="宋体"/>
          <w:sz w:val="24"/>
        </w:rPr>
        <w:t>个</w:t>
      </w:r>
      <w:r>
        <w:rPr>
          <w:rFonts w:ascii="宋体" w:hAnsi="宋体" w:eastAsia="宋体"/>
          <w:sz w:val="24"/>
        </w:rPr>
        <w:t>工作日内，甲方应将履约保证金退还乙方</w:t>
      </w:r>
      <w:r>
        <w:rPr>
          <w:rFonts w:hint="eastAsia" w:ascii="宋体" w:hAnsi="宋体" w:eastAsia="宋体"/>
          <w:sz w:val="24"/>
          <w:lang w:eastAsia="zh-CN"/>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ascii="宋体" w:hAnsi="宋体" w:eastAsia="宋体"/>
          <w:sz w:val="24"/>
        </w:rPr>
      </w:pPr>
      <w:r>
        <w:rPr>
          <w:rFonts w:hint="eastAsia" w:ascii="宋体" w:hAnsi="宋体" w:eastAsia="宋体"/>
          <w:sz w:val="24"/>
        </w:rPr>
        <w:t>2.</w:t>
      </w:r>
      <w:r>
        <w:rPr>
          <w:rFonts w:ascii="宋体" w:hAnsi="宋体" w:eastAsia="宋体"/>
          <w:sz w:val="24"/>
        </w:rPr>
        <w:t>17</w:t>
      </w:r>
      <w:r>
        <w:rPr>
          <w:rFonts w:hint="eastAsia" w:ascii="宋体" w:hAnsi="宋体" w:eastAsia="宋体"/>
          <w:sz w:val="24"/>
        </w:rPr>
        <w:t>.3</w:t>
      </w:r>
      <w:r>
        <w:rPr>
          <w:rFonts w:ascii="宋体" w:hAnsi="宋体" w:eastAsia="宋体"/>
          <w:sz w:val="24"/>
        </w:rPr>
        <w:t>如果乙方不履行合同</w:t>
      </w:r>
      <w:r>
        <w:rPr>
          <w:rFonts w:hint="eastAsia" w:ascii="宋体" w:hAnsi="宋体" w:eastAsia="宋体"/>
          <w:sz w:val="24"/>
        </w:rPr>
        <w:t>，履约保证金不予退还；如果乙方</w:t>
      </w:r>
      <w:r>
        <w:rPr>
          <w:rFonts w:ascii="宋体" w:hAnsi="宋体" w:eastAsia="宋体"/>
          <w:sz w:val="24"/>
        </w:rPr>
        <w:t>未能按合同</w:t>
      </w:r>
      <w:r>
        <w:rPr>
          <w:rFonts w:hint="eastAsia" w:ascii="宋体" w:hAnsi="宋体" w:eastAsia="宋体"/>
          <w:sz w:val="24"/>
        </w:rPr>
        <w:t>约</w:t>
      </w:r>
      <w:r>
        <w:rPr>
          <w:rFonts w:ascii="宋体" w:hAnsi="宋体" w:eastAsia="宋体"/>
          <w:sz w:val="24"/>
        </w:rPr>
        <w:t>定全面履行义务，那么甲方有权从履约保证金中取得补偿或赔偿</w:t>
      </w:r>
      <w:r>
        <w:rPr>
          <w:rFonts w:hint="eastAsia" w:ascii="宋体" w:hAnsi="宋体" w:eastAsia="宋体"/>
          <w:sz w:val="24"/>
        </w:rPr>
        <w:t>，同时不影响甲方要求乙方承担合同约定的超过履约保证金的违约责任的权利。</w:t>
      </w:r>
    </w:p>
    <w:bookmarkEnd w:id="219"/>
    <w:p>
      <w:pPr>
        <w:spacing w:line="360" w:lineRule="auto"/>
        <w:ind w:firstLine="437"/>
        <w:outlineLvl w:val="2"/>
        <w:rPr>
          <w:rFonts w:ascii="宋体" w:hAnsi="宋体" w:eastAsia="宋体"/>
          <w:b/>
          <w:sz w:val="24"/>
        </w:rPr>
      </w:pPr>
      <w:bookmarkStart w:id="220" w:name="_Toc14001"/>
      <w:bookmarkStart w:id="221" w:name="_Toc6885"/>
      <w:bookmarkStart w:id="222" w:name="_Toc19890"/>
      <w:r>
        <w:rPr>
          <w:rFonts w:hint="eastAsia" w:ascii="宋体" w:hAnsi="宋体" w:eastAsia="宋体"/>
          <w:b/>
          <w:bCs/>
          <w:sz w:val="24"/>
          <w:lang w:val="zh-CN"/>
        </w:rPr>
        <w:t>2.</w:t>
      </w:r>
      <w:r>
        <w:rPr>
          <w:rFonts w:ascii="宋体" w:hAnsi="宋体" w:eastAsia="宋体"/>
          <w:b/>
          <w:bCs/>
          <w:sz w:val="24"/>
          <w:lang w:val="zh-CN"/>
        </w:rPr>
        <w:t>18</w:t>
      </w:r>
      <w:r>
        <w:rPr>
          <w:rFonts w:hint="eastAsia" w:ascii="宋体" w:hAnsi="宋体" w:eastAsia="宋体"/>
          <w:b/>
          <w:bCs/>
          <w:sz w:val="24"/>
          <w:lang w:val="zh-CN"/>
        </w:rPr>
        <w:t xml:space="preserve"> 合同份数</w:t>
      </w:r>
      <w:bookmarkEnd w:id="220"/>
      <w:bookmarkEnd w:id="221"/>
      <w:bookmarkEnd w:id="222"/>
    </w:p>
    <w:p>
      <w:pPr>
        <w:spacing w:line="360" w:lineRule="auto"/>
        <w:ind w:firstLine="435"/>
        <w:rPr>
          <w:rFonts w:ascii="宋体" w:hAnsi="宋体" w:eastAsia="宋体"/>
          <w:sz w:val="24"/>
        </w:rPr>
      </w:pPr>
      <w:r>
        <w:rPr>
          <w:rFonts w:ascii="宋体" w:hAnsi="宋体" w:eastAsia="宋体"/>
          <w:sz w:val="24"/>
        </w:rPr>
        <w:t>合同份数按</w:t>
      </w:r>
      <w:r>
        <w:rPr>
          <w:rFonts w:ascii="宋体" w:hAnsi="宋体" w:eastAsia="宋体"/>
          <w:b/>
          <w:i/>
          <w:sz w:val="24"/>
          <w:u w:val="single"/>
        </w:rPr>
        <w:t>合同专用条款</w:t>
      </w:r>
      <w:r>
        <w:rPr>
          <w:rFonts w:ascii="宋体" w:hAnsi="宋体" w:eastAsia="宋体"/>
          <w:sz w:val="24"/>
        </w:rPr>
        <w:t>规定</w:t>
      </w:r>
      <w:r>
        <w:rPr>
          <w:rFonts w:hint="eastAsia" w:ascii="宋体" w:hAnsi="宋体" w:eastAsia="宋体"/>
          <w:sz w:val="24"/>
        </w:rPr>
        <w:t>，</w:t>
      </w:r>
      <w:r>
        <w:rPr>
          <w:rFonts w:ascii="宋体" w:hAnsi="宋体" w:eastAsia="宋体"/>
          <w:sz w:val="24"/>
        </w:rPr>
        <w:t>每份均具有同等法律效力</w:t>
      </w:r>
      <w:r>
        <w:rPr>
          <w:rFonts w:hint="eastAsia" w:ascii="宋体" w:hAnsi="宋体" w:eastAsia="宋体"/>
          <w:sz w:val="24"/>
        </w:rPr>
        <w:t>。</w:t>
      </w:r>
    </w:p>
    <w:p>
      <w:pPr>
        <w:spacing w:line="360" w:lineRule="auto"/>
        <w:jc w:val="center"/>
        <w:outlineLvl w:val="1"/>
        <w:rPr>
          <w:rFonts w:ascii="宋体" w:hAnsi="宋体" w:eastAsia="宋体"/>
          <w:b/>
          <w:sz w:val="24"/>
        </w:rPr>
      </w:pPr>
      <w:r>
        <w:rPr>
          <w:rFonts w:ascii="宋体" w:hAnsi="宋体" w:eastAsia="宋体"/>
          <w:sz w:val="24"/>
        </w:rPr>
        <w:br w:type="page"/>
      </w:r>
      <w:bookmarkStart w:id="223" w:name="_Toc331685784"/>
      <w:r>
        <w:rPr>
          <w:rFonts w:hint="eastAsia" w:ascii="宋体" w:hAnsi="宋体" w:eastAsia="宋体"/>
          <w:b/>
          <w:sz w:val="24"/>
        </w:rPr>
        <w:t>第三部分</w:t>
      </w:r>
      <w:r>
        <w:rPr>
          <w:rFonts w:ascii="宋体" w:hAnsi="宋体" w:eastAsia="宋体"/>
          <w:b/>
          <w:sz w:val="24"/>
        </w:rPr>
        <w:t xml:space="preserve"> </w:t>
      </w:r>
      <w:r>
        <w:rPr>
          <w:rFonts w:hint="eastAsia" w:ascii="宋体" w:hAnsi="宋体" w:eastAsia="宋体"/>
          <w:b/>
          <w:sz w:val="24"/>
        </w:rPr>
        <w:t>合同专用条款</w:t>
      </w:r>
      <w:bookmarkEnd w:id="223"/>
    </w:p>
    <w:p>
      <w:pPr>
        <w:spacing w:line="360" w:lineRule="auto"/>
        <w:ind w:firstLine="435"/>
        <w:rPr>
          <w:rFonts w:ascii="宋体" w:hAnsi="宋体" w:eastAsia="宋体"/>
          <w:sz w:val="24"/>
        </w:rPr>
      </w:pPr>
      <w:r>
        <w:rPr>
          <w:rFonts w:hint="eastAsia" w:ascii="宋体" w:hAnsi="宋体" w:eastAsia="宋体"/>
          <w:sz w:val="24"/>
        </w:rPr>
        <w:t>本部分</w:t>
      </w:r>
      <w:r>
        <w:rPr>
          <w:rFonts w:ascii="宋体" w:hAnsi="宋体" w:eastAsia="宋体"/>
          <w:sz w:val="24"/>
        </w:rPr>
        <w:t>是对</w:t>
      </w:r>
      <w:r>
        <w:rPr>
          <w:rFonts w:hint="eastAsia" w:ascii="宋体" w:hAnsi="宋体" w:eastAsia="宋体"/>
          <w:sz w:val="24"/>
        </w:rPr>
        <w:t>前两</w:t>
      </w:r>
      <w:r>
        <w:rPr>
          <w:rFonts w:ascii="宋体" w:hAnsi="宋体" w:eastAsia="宋体"/>
          <w:sz w:val="24"/>
        </w:rPr>
        <w:t>部分的补充和修改</w:t>
      </w:r>
      <w:r>
        <w:rPr>
          <w:rFonts w:hint="eastAsia" w:ascii="宋体" w:hAnsi="宋体" w:eastAsia="宋体"/>
          <w:sz w:val="24"/>
        </w:rPr>
        <w:t>，</w:t>
      </w:r>
      <w:r>
        <w:rPr>
          <w:rFonts w:ascii="宋体" w:hAnsi="宋体" w:eastAsia="宋体"/>
          <w:sz w:val="24"/>
        </w:rPr>
        <w:t>如果</w:t>
      </w:r>
      <w:r>
        <w:rPr>
          <w:rFonts w:hint="eastAsia" w:ascii="宋体" w:hAnsi="宋体" w:eastAsia="宋体"/>
          <w:sz w:val="24"/>
        </w:rPr>
        <w:t>前两</w:t>
      </w:r>
      <w:r>
        <w:rPr>
          <w:rFonts w:ascii="宋体" w:hAnsi="宋体" w:eastAsia="宋体"/>
          <w:sz w:val="24"/>
        </w:rPr>
        <w:t>部分和本部分的约定不一致</w:t>
      </w:r>
      <w:r>
        <w:rPr>
          <w:rFonts w:hint="eastAsia" w:ascii="宋体" w:hAnsi="宋体" w:eastAsia="宋体"/>
          <w:sz w:val="24"/>
        </w:rPr>
        <w:t>，</w:t>
      </w:r>
      <w:r>
        <w:rPr>
          <w:rFonts w:ascii="宋体" w:hAnsi="宋体" w:eastAsia="宋体"/>
          <w:sz w:val="24"/>
        </w:rPr>
        <w:t>应以本部分的约定为准</w:t>
      </w:r>
      <w:r>
        <w:rPr>
          <w:rFonts w:hint="eastAsia" w:ascii="宋体" w:hAnsi="宋体" w:eastAsia="宋体"/>
          <w:sz w:val="24"/>
        </w:rPr>
        <w:t>。</w:t>
      </w:r>
      <w:r>
        <w:rPr>
          <w:rFonts w:ascii="宋体" w:hAnsi="宋体" w:eastAsia="宋体"/>
          <w:sz w:val="24"/>
        </w:rPr>
        <w:t>本部分的条款号应与</w:t>
      </w:r>
      <w:r>
        <w:rPr>
          <w:rFonts w:hint="eastAsia" w:ascii="宋体" w:hAnsi="宋体" w:eastAsia="宋体"/>
          <w:sz w:val="24"/>
        </w:rPr>
        <w:t>前两部分</w:t>
      </w:r>
      <w:r>
        <w:rPr>
          <w:rFonts w:ascii="宋体" w:hAnsi="宋体" w:eastAsia="宋体"/>
          <w:sz w:val="24"/>
        </w:rPr>
        <w:t>的条款号保持对应</w:t>
      </w:r>
      <w:r>
        <w:rPr>
          <w:rFonts w:hint="eastAsia" w:ascii="宋体" w:hAnsi="宋体" w:eastAsia="宋体"/>
          <w:sz w:val="24"/>
        </w:rPr>
        <w:t>；与前两部分</w:t>
      </w:r>
      <w:r>
        <w:rPr>
          <w:rFonts w:ascii="宋体" w:hAnsi="宋体" w:eastAsia="宋体"/>
          <w:sz w:val="24"/>
        </w:rPr>
        <w:t>无对应关系的内容可另行编制条款号</w:t>
      </w:r>
      <w:r>
        <w:rPr>
          <w:rFonts w:hint="eastAsia" w:ascii="宋体" w:hAnsi="宋体" w:eastAsia="宋体"/>
          <w:sz w:val="24"/>
        </w:rPr>
        <w:t>。</w:t>
      </w:r>
    </w:p>
    <w:tbl>
      <w:tblPr>
        <w:tblStyle w:val="20"/>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73"/>
        <w:gridCol w:w="831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475" w:type="pct"/>
            <w:tcBorders>
              <w:left w:val="single" w:color="auto" w:sz="4" w:space="0"/>
            </w:tcBorders>
            <w:vAlign w:val="center"/>
          </w:tcPr>
          <w:p>
            <w:pPr>
              <w:jc w:val="center"/>
              <w:rPr>
                <w:rFonts w:ascii="宋体" w:hAnsi="宋体" w:eastAsia="宋体"/>
                <w:b/>
                <w:sz w:val="24"/>
              </w:rPr>
            </w:pPr>
            <w:r>
              <w:rPr>
                <w:rFonts w:ascii="宋体" w:hAnsi="宋体" w:eastAsia="宋体"/>
                <w:b/>
                <w:sz w:val="24"/>
              </w:rPr>
              <w:t>条款号</w:t>
            </w:r>
          </w:p>
        </w:tc>
        <w:tc>
          <w:tcPr>
            <w:tcW w:w="4525" w:type="pct"/>
            <w:vAlign w:val="center"/>
          </w:tcPr>
          <w:p>
            <w:pPr>
              <w:jc w:val="center"/>
              <w:rPr>
                <w:rFonts w:ascii="宋体" w:hAnsi="宋体" w:eastAsia="宋体"/>
                <w:b/>
                <w:sz w:val="24"/>
              </w:rPr>
            </w:pPr>
            <w:r>
              <w:rPr>
                <w:rFonts w:ascii="宋体" w:hAnsi="宋体" w:eastAsia="宋体"/>
                <w:b/>
                <w:sz w:val="24"/>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left w:val="single" w:color="auto" w:sz="4" w:space="0"/>
            </w:tcBorders>
            <w:vAlign w:val="center"/>
          </w:tcPr>
          <w:p>
            <w:pPr>
              <w:spacing w:line="560" w:lineRule="exact"/>
              <w:rPr>
                <w:rFonts w:ascii="宋体" w:hAnsi="宋体" w:eastAsia="宋体"/>
                <w:sz w:val="24"/>
              </w:rPr>
            </w:pPr>
          </w:p>
        </w:tc>
        <w:tc>
          <w:tcPr>
            <w:tcW w:w="4525" w:type="pct"/>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475" w:type="pct"/>
            <w:tcBorders>
              <w:top w:val="single" w:color="auto" w:sz="6" w:space="0"/>
              <w:left w:val="single" w:color="auto" w:sz="4" w:space="0"/>
              <w:bottom w:val="single" w:color="auto" w:sz="6" w:space="0"/>
              <w:right w:val="single" w:color="auto" w:sz="6" w:space="0"/>
            </w:tcBorders>
            <w:vAlign w:val="center"/>
          </w:tcPr>
          <w:p>
            <w:pPr>
              <w:spacing w:line="560" w:lineRule="exact"/>
              <w:rPr>
                <w:rFonts w:ascii="宋体" w:hAnsi="宋体" w:eastAsia="宋体"/>
                <w:sz w:val="24"/>
              </w:rPr>
            </w:pPr>
          </w:p>
        </w:tc>
        <w:tc>
          <w:tcPr>
            <w:tcW w:w="4525" w:type="pct"/>
            <w:tcBorders>
              <w:top w:val="single" w:color="auto" w:sz="6" w:space="0"/>
              <w:left w:val="single" w:color="auto" w:sz="6" w:space="0"/>
              <w:bottom w:val="single" w:color="auto" w:sz="6" w:space="0"/>
              <w:right w:val="single" w:color="auto" w:sz="6" w:space="0"/>
            </w:tcBorders>
            <w:vAlign w:val="center"/>
          </w:tcPr>
          <w:p>
            <w:pPr>
              <w:spacing w:line="560" w:lineRule="exact"/>
              <w:rPr>
                <w:rFonts w:ascii="宋体" w:hAnsi="宋体" w:eastAsia="宋体"/>
                <w:sz w:val="24"/>
              </w:rPr>
            </w:pPr>
          </w:p>
        </w:tc>
      </w:tr>
    </w:tbl>
    <w:p>
      <w:pPr>
        <w:spacing w:line="360" w:lineRule="auto"/>
        <w:rPr>
          <w:rFonts w:asciiTheme="minorEastAsia" w:hAnsiTheme="minorEastAsia" w:eastAsiaTheme="minorEastAsia" w:cstheme="minorEastAsia"/>
          <w:color w:val="auto"/>
          <w:sz w:val="28"/>
          <w:szCs w:val="27"/>
          <w:highlight w:val="none"/>
        </w:rPr>
      </w:pPr>
      <w:r>
        <w:rPr>
          <w:rFonts w:hint="eastAsia" w:asciiTheme="minorEastAsia" w:hAnsiTheme="minorEastAsia" w:eastAsiaTheme="minorEastAsia" w:cstheme="minorEastAsia"/>
          <w:color w:val="auto"/>
          <w:sz w:val="28"/>
          <w:szCs w:val="27"/>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24" w:name="_Toc25148"/>
      <w:bookmarkStart w:id="225" w:name="_Toc2430"/>
      <w:r>
        <w:rPr>
          <w:rFonts w:hint="eastAsia" w:asciiTheme="minorEastAsia" w:hAnsiTheme="minorEastAsia" w:eastAsiaTheme="minorEastAsia"/>
          <w:b/>
          <w:color w:val="auto"/>
          <w:sz w:val="28"/>
          <w:highlight w:val="none"/>
        </w:rPr>
        <w:t>第六章  响应文件格式</w:t>
      </w:r>
      <w:bookmarkEnd w:id="224"/>
      <w:bookmarkEnd w:id="225"/>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pPr>
        <w:spacing w:line="900" w:lineRule="exact"/>
        <w:jc w:val="center"/>
        <w:rPr>
          <w:rFonts w:asciiTheme="minorEastAsia" w:hAnsiTheme="minorEastAsia" w:eastAsiaTheme="minorEastAsia"/>
          <w:b/>
          <w:color w:val="auto"/>
          <w:sz w:val="72"/>
          <w:highlight w:val="none"/>
        </w:rPr>
      </w:pPr>
    </w:p>
    <w:p>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9"/>
        <w:rPr>
          <w:rFonts w:hint="default" w:ascii="宋体" w:hAnsi="宋体" w:eastAsia="宋体"/>
          <w:color w:val="auto"/>
          <w:sz w:val="24"/>
          <w:szCs w:val="18"/>
          <w:highlight w:val="none"/>
          <w:lang w:val="en-US" w:eastAsia="zh-CN"/>
        </w:rPr>
      </w:pPr>
      <w:bookmarkStart w:id="226" w:name="_Toc32506"/>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26"/>
      <w:r>
        <w:rPr>
          <w:rFonts w:hint="eastAsia" w:ascii="宋体" w:hAnsi="宋体" w:eastAsia="宋体" w:cs="@仿宋_GB2312"/>
          <w:b w:val="0"/>
          <w:bCs w:val="0"/>
          <w:i/>
          <w:iCs/>
          <w:color w:val="FF0000"/>
          <w:kern w:val="2"/>
          <w:sz w:val="24"/>
          <w:szCs w:val="18"/>
          <w:highlight w:val="none"/>
          <w:lang w:val="en-US" w:eastAsia="zh-CN" w:bidi="ar-SA"/>
        </w:rPr>
        <w:t>（如不分包，请删去本行）</w:t>
      </w:r>
    </w:p>
    <w:p>
      <w:pPr>
        <w:spacing w:after="156" w:afterLines="50" w:line="500" w:lineRule="exact"/>
        <w:jc w:val="both"/>
        <w:rPr>
          <w:rFonts w:asciiTheme="minorEastAsia" w:hAnsiTheme="minorEastAsia" w:eastAsiaTheme="minorEastAsia"/>
          <w:b/>
          <w:color w:val="auto"/>
          <w:sz w:val="72"/>
          <w:highlight w:val="yellow"/>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643" w:firstLineChars="2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643" w:firstLineChars="2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9"/>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27" w:name="_Toc803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27"/>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28" w:name="_Toc461056631"/>
      <w:bookmarkStart w:id="229" w:name="_Toc461053086"/>
      <w:bookmarkStart w:id="230" w:name="_Toc26791"/>
      <w:bookmarkStart w:id="231" w:name="_Toc5881"/>
      <w:bookmarkStart w:id="232" w:name="_Toc520983587"/>
      <w:r>
        <w:rPr>
          <w:rFonts w:hint="eastAsia" w:asciiTheme="minorEastAsia" w:hAnsiTheme="minorEastAsia" w:eastAsiaTheme="minorEastAsia"/>
          <w:b/>
          <w:color w:val="auto"/>
          <w:sz w:val="24"/>
          <w:highlight w:val="none"/>
        </w:rPr>
        <w:t>一</w:t>
      </w:r>
      <w:bookmarkEnd w:id="228"/>
      <w:bookmarkEnd w:id="229"/>
      <w:r>
        <w:rPr>
          <w:rFonts w:hint="eastAsia" w:asciiTheme="minorEastAsia" w:hAnsiTheme="minorEastAsia" w:eastAsiaTheme="minorEastAsia"/>
          <w:b/>
          <w:color w:val="auto"/>
          <w:sz w:val="24"/>
          <w:highlight w:val="none"/>
        </w:rPr>
        <w:t>、报价表格式</w:t>
      </w:r>
      <w:bookmarkEnd w:id="230"/>
      <w:bookmarkEnd w:id="231"/>
      <w:bookmarkEnd w:id="232"/>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1-1 报价表</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u w:val="singl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color w:val="auto"/>
                <w:sz w:val="24"/>
                <w:highlight w:val="none"/>
              </w:rPr>
              <w:t>磋商范围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pPr>
              <w:snapToGrid w:val="0"/>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p>
        </w:tc>
      </w:tr>
    </w:tbl>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注：</w:t>
      </w:r>
    </w:p>
    <w:p>
      <w:pPr>
        <w:adjustRightInd w:val="0"/>
        <w:snapToGrid w:val="0"/>
        <w:spacing w:line="360" w:lineRule="auto"/>
        <w:ind w:firstLine="482" w:firstLineChars="200"/>
        <w:rPr>
          <w:rFonts w:ascii="宋体" w:hAnsi="宋体" w:eastAsia="宋体"/>
          <w:color w:val="auto"/>
          <w:sz w:val="24"/>
          <w:highlight w:val="none"/>
        </w:rPr>
      </w:pPr>
      <w:r>
        <w:rPr>
          <w:rFonts w:hint="eastAsia" w:ascii="宋体" w:hAnsi="宋体" w:eastAsia="宋体"/>
          <w:b/>
          <w:bCs/>
          <w:color w:val="auto"/>
          <w:sz w:val="24"/>
          <w:szCs w:val="28"/>
          <w:highlight w:val="none"/>
        </w:rPr>
        <w:t>1.本表内容根据磋商文件要求包括了服务及其配套的设计、采购、制造、检测、试验、运输、保险、仓储、税费以及现场落地、安装及安装耗损、调试、培训、技术服务（包括技术资料、图纸的提供）质保期内的售后服务保障等所有费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2.特殊事项在备注中注明。</w:t>
      </w:r>
    </w:p>
    <w:p>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before="156" w:beforeLines="50" w:after="156" w:afterLines="50" w:line="360" w:lineRule="auto"/>
        <w:jc w:val="left"/>
        <w:outlineLvl w:val="2"/>
        <w:rPr>
          <w:rFonts w:ascii="宋体" w:hAnsi="宋体" w:eastAsia="宋体"/>
          <w:b/>
          <w:color w:val="auto"/>
          <w:sz w:val="24"/>
          <w:szCs w:val="28"/>
          <w:highlight w:val="none"/>
        </w:rPr>
      </w:pPr>
      <w:r>
        <w:rPr>
          <w:rFonts w:hint="eastAsia" w:ascii="宋体" w:hAnsi="宋体" w:eastAsia="宋体"/>
          <w:b/>
          <w:color w:val="auto"/>
          <w:sz w:val="24"/>
          <w:szCs w:val="28"/>
          <w:highlight w:val="none"/>
        </w:rPr>
        <w:t>1-2 分项报价明细表</w:t>
      </w:r>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（仅供参考，供应商可自行制作格式）</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序号</w:t>
            </w:r>
          </w:p>
        </w:tc>
        <w:tc>
          <w:tcPr>
            <w:tcW w:w="1824"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服务内容</w:t>
            </w:r>
          </w:p>
        </w:tc>
        <w:tc>
          <w:tcPr>
            <w:tcW w:w="7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项</w:t>
            </w:r>
          </w:p>
        </w:tc>
        <w:tc>
          <w:tcPr>
            <w:tcW w:w="996"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单价</w:t>
            </w:r>
          </w:p>
        </w:tc>
        <w:tc>
          <w:tcPr>
            <w:tcW w:w="920" w:type="pct"/>
            <w:vAlign w:val="center"/>
          </w:tcPr>
          <w:p>
            <w:pPr>
              <w:jc w:val="center"/>
              <w:rPr>
                <w:rFonts w:ascii="宋体" w:hAnsi="宋体" w:eastAsia="宋体"/>
                <w:b/>
                <w:color w:val="auto"/>
                <w:sz w:val="24"/>
                <w:highlight w:val="none"/>
              </w:rPr>
            </w:pPr>
            <w:r>
              <w:rPr>
                <w:rFonts w:hint="eastAsia" w:ascii="宋体" w:hAnsi="宋体" w:eastAsia="宋体"/>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1</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2</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3</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1824" w:type="pct"/>
            <w:vAlign w:val="center"/>
          </w:tcPr>
          <w:p>
            <w:pPr>
              <w:jc w:val="center"/>
              <w:rPr>
                <w:rFonts w:ascii="宋体" w:hAnsi="宋体" w:eastAsia="宋体"/>
                <w:color w:val="auto"/>
                <w:sz w:val="24"/>
                <w:highlight w:val="none"/>
              </w:rPr>
            </w:pP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pStyle w:val="45"/>
              <w:ind w:left="-108"/>
              <w:jc w:val="center"/>
              <w:rPr>
                <w:rFonts w:ascii="宋体" w:hAnsi="宋体"/>
                <w:color w:val="auto"/>
                <w:highlight w:val="none"/>
              </w:rPr>
            </w:pPr>
            <w:r>
              <w:rPr>
                <w:rFonts w:hint="eastAsia" w:ascii="宋体" w:hAnsi="宋体"/>
                <w:color w:val="auto"/>
                <w:highlight w:val="none"/>
              </w:rPr>
              <w:t>其他费用</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宋体" w:hAnsi="宋体" w:eastAsia="宋体"/>
                <w:color w:val="auto"/>
                <w:sz w:val="24"/>
                <w:highlight w:val="none"/>
              </w:rPr>
            </w:pPr>
          </w:p>
        </w:tc>
        <w:tc>
          <w:tcPr>
            <w:tcW w:w="1824" w:type="pct"/>
            <w:vAlign w:val="center"/>
          </w:tcPr>
          <w:p>
            <w:pPr>
              <w:jc w:val="center"/>
              <w:rPr>
                <w:rFonts w:ascii="宋体" w:hAnsi="宋体" w:eastAsia="宋体"/>
                <w:color w:val="auto"/>
                <w:sz w:val="24"/>
                <w:highlight w:val="none"/>
              </w:rPr>
            </w:pPr>
            <w:r>
              <w:rPr>
                <w:rFonts w:ascii="宋体" w:hAnsi="宋体" w:eastAsia="宋体"/>
                <w:color w:val="auto"/>
                <w:sz w:val="24"/>
                <w:highlight w:val="none"/>
              </w:rPr>
              <w:t>……</w:t>
            </w:r>
          </w:p>
        </w:tc>
        <w:tc>
          <w:tcPr>
            <w:tcW w:w="796" w:type="pct"/>
            <w:vAlign w:val="center"/>
          </w:tcPr>
          <w:p>
            <w:pPr>
              <w:jc w:val="center"/>
              <w:rPr>
                <w:rFonts w:ascii="宋体" w:hAnsi="宋体" w:eastAsia="宋体"/>
                <w:color w:val="auto"/>
                <w:sz w:val="24"/>
                <w:highlight w:val="none"/>
              </w:rPr>
            </w:pPr>
          </w:p>
        </w:tc>
        <w:tc>
          <w:tcPr>
            <w:tcW w:w="996" w:type="pct"/>
            <w:vAlign w:val="center"/>
          </w:tcPr>
          <w:p>
            <w:pPr>
              <w:jc w:val="center"/>
              <w:rPr>
                <w:rFonts w:ascii="宋体" w:hAnsi="宋体" w:eastAsia="宋体"/>
                <w:color w:val="auto"/>
                <w:sz w:val="24"/>
                <w:highlight w:val="none"/>
              </w:rPr>
            </w:pPr>
          </w:p>
        </w:tc>
        <w:tc>
          <w:tcPr>
            <w:tcW w:w="920" w:type="pct"/>
            <w:vAlign w:val="center"/>
          </w:tcPr>
          <w:p>
            <w:pPr>
              <w:jc w:val="center"/>
              <w:rPr>
                <w:rFonts w:ascii="宋体" w:hAnsi="宋体" w:eastAsia="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宋体" w:hAnsi="宋体" w:eastAsia="宋体"/>
                <w:color w:val="auto"/>
                <w:sz w:val="24"/>
                <w:highlight w:val="none"/>
              </w:rPr>
            </w:pPr>
            <w:r>
              <w:rPr>
                <w:rFonts w:hint="eastAsia" w:ascii="宋体" w:hAnsi="宋体" w:eastAsia="宋体"/>
                <w:b/>
                <w:color w:val="auto"/>
                <w:sz w:val="24"/>
                <w:highlight w:val="none"/>
              </w:rPr>
              <w:t>合计金额（元）</w:t>
            </w:r>
          </w:p>
        </w:tc>
        <w:tc>
          <w:tcPr>
            <w:tcW w:w="920" w:type="pct"/>
            <w:vAlign w:val="center"/>
          </w:tcPr>
          <w:p>
            <w:pPr>
              <w:jc w:val="center"/>
              <w:rPr>
                <w:rFonts w:ascii="宋体" w:hAnsi="宋体" w:eastAsia="宋体"/>
                <w:color w:val="auto"/>
                <w:sz w:val="24"/>
                <w:highlight w:val="none"/>
              </w:rPr>
            </w:pPr>
          </w:p>
        </w:tc>
      </w:tr>
    </w:tbl>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宋体" w:hAnsi="宋体" w:eastAsia="宋体"/>
          <w:b/>
          <w:bCs/>
          <w:color w:val="auto"/>
          <w:sz w:val="24"/>
          <w:szCs w:val="28"/>
          <w:highlight w:val="none"/>
          <w:lang w:eastAsia="zh-CN"/>
        </w:rPr>
      </w:pPr>
      <w:r>
        <w:rPr>
          <w:rFonts w:hint="eastAsia" w:ascii="宋体" w:hAnsi="宋体" w:eastAsia="宋体"/>
          <w:b/>
          <w:bCs/>
          <w:color w:val="auto"/>
          <w:sz w:val="24"/>
          <w:szCs w:val="28"/>
          <w:highlight w:val="none"/>
          <w:lang w:eastAsia="zh-CN"/>
        </w:rPr>
        <w:t>注：</w:t>
      </w:r>
    </w:p>
    <w:p>
      <w:pPr>
        <w:adjustRightInd w:val="0"/>
        <w:snapToGrid w:val="0"/>
        <w:spacing w:line="360" w:lineRule="auto"/>
        <w:ind w:firstLine="482" w:firstLineChars="200"/>
        <w:rPr>
          <w:rFonts w:ascii="宋体" w:hAnsi="宋体" w:eastAsia="宋体"/>
          <w:b/>
          <w:bCs/>
          <w:color w:val="auto"/>
          <w:sz w:val="24"/>
          <w:szCs w:val="28"/>
          <w:highlight w:val="none"/>
        </w:rPr>
      </w:pPr>
      <w:r>
        <w:rPr>
          <w:rFonts w:hint="eastAsia" w:ascii="宋体" w:hAnsi="宋体" w:eastAsia="宋体"/>
          <w:b/>
          <w:bCs/>
          <w:color w:val="auto"/>
          <w:sz w:val="24"/>
          <w:szCs w:val="28"/>
          <w:highlight w:val="none"/>
        </w:rPr>
        <w:t>表中所列服务为对应本项目需求的全部服务内容。如有漏项或缺项，供应商承担全部责任。</w:t>
      </w:r>
    </w:p>
    <w:p>
      <w:pPr>
        <w:widowControl/>
        <w:jc w:val="left"/>
        <w:rPr>
          <w:rFonts w:ascii="宋体" w:hAnsi="宋体" w:eastAsia="宋体"/>
          <w:b/>
          <w:bCs/>
          <w:color w:val="auto"/>
          <w:sz w:val="24"/>
          <w:szCs w:val="28"/>
          <w:highlight w:val="none"/>
        </w:rPr>
      </w:pPr>
      <w:r>
        <w:rPr>
          <w:rFonts w:ascii="宋体" w:hAnsi="宋体" w:eastAsia="宋体"/>
          <w:b/>
          <w:bCs/>
          <w:color w:val="auto"/>
          <w:sz w:val="24"/>
          <w:szCs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3" w:name="_Toc461056632"/>
      <w:bookmarkStart w:id="234" w:name="_Toc461053087"/>
      <w:bookmarkStart w:id="235" w:name="_Toc28695"/>
      <w:bookmarkStart w:id="236" w:name="_Toc520983588"/>
      <w:bookmarkStart w:id="237" w:name="_Toc32436"/>
      <w:r>
        <w:rPr>
          <w:rFonts w:hint="eastAsia" w:asciiTheme="minorEastAsia" w:hAnsiTheme="minorEastAsia" w:eastAsiaTheme="minorEastAsia"/>
          <w:b/>
          <w:color w:val="auto"/>
          <w:sz w:val="24"/>
          <w:highlight w:val="none"/>
        </w:rPr>
        <w:t>二</w:t>
      </w:r>
      <w:bookmarkEnd w:id="233"/>
      <w:bookmarkEnd w:id="234"/>
      <w:r>
        <w:rPr>
          <w:rFonts w:hint="eastAsia" w:asciiTheme="minorEastAsia" w:hAnsiTheme="minorEastAsia" w:eastAsiaTheme="minorEastAsia"/>
          <w:b/>
          <w:color w:val="auto"/>
          <w:sz w:val="24"/>
          <w:highlight w:val="none"/>
        </w:rPr>
        <w:t>、最后承诺报价表</w:t>
      </w:r>
      <w:bookmarkEnd w:id="235"/>
      <w:bookmarkEnd w:id="236"/>
      <w:bookmarkEnd w:id="237"/>
    </w:p>
    <w:p>
      <w:pPr>
        <w:spacing w:before="156" w:beforeLines="50" w:after="156" w:afterLines="50" w:line="360" w:lineRule="auto"/>
        <w:ind w:firstLine="236" w:firstLineChars="98"/>
        <w:jc w:val="center"/>
        <w:rPr>
          <w:rFonts w:ascii="宋体" w:hAnsi="宋体" w:eastAsia="宋体"/>
          <w:b/>
          <w:color w:val="auto"/>
          <w:sz w:val="24"/>
          <w:szCs w:val="28"/>
          <w:highlight w:val="none"/>
        </w:rPr>
      </w:pPr>
      <w:r>
        <w:rPr>
          <w:rFonts w:hint="eastAsia" w:ascii="宋体" w:hAnsi="宋体" w:eastAsia="宋体"/>
          <w:b/>
          <w:color w:val="auto"/>
          <w:sz w:val="24"/>
          <w:szCs w:val="28"/>
          <w:highlight w:val="none"/>
        </w:rPr>
        <w:t>（第</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rPr>
        <w:t>次报价书）</w:t>
      </w:r>
    </w:p>
    <w:p>
      <w:pPr>
        <w:snapToGrid w:val="0"/>
        <w:spacing w:line="360" w:lineRule="auto"/>
        <w:jc w:val="left"/>
        <w:rPr>
          <w:rFonts w:ascii="宋体" w:hAnsi="宋体" w:eastAsia="宋体"/>
          <w:b/>
          <w:color w:val="auto"/>
          <w:sz w:val="24"/>
          <w:szCs w:val="28"/>
          <w:highlight w:val="none"/>
        </w:rPr>
      </w:pPr>
      <w:r>
        <w:rPr>
          <w:rFonts w:hint="eastAsia" w:ascii="宋体" w:hAnsi="宋体" w:eastAsia="宋体"/>
          <w:b/>
          <w:color w:val="auto"/>
          <w:sz w:val="24"/>
          <w:szCs w:val="28"/>
          <w:highlight w:val="none"/>
        </w:rPr>
        <w:t>项目名称：</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p>
      <w:pPr>
        <w:snapToGrid w:val="0"/>
        <w:spacing w:after="156" w:afterLines="50" w:line="360" w:lineRule="auto"/>
        <w:jc w:val="left"/>
        <w:rPr>
          <w:rFonts w:ascii="宋体" w:hAnsi="宋体" w:eastAsia="宋体"/>
          <w:b/>
          <w:bCs/>
          <w:color w:val="auto"/>
          <w:sz w:val="24"/>
          <w:szCs w:val="28"/>
          <w:highlight w:val="none"/>
        </w:rPr>
      </w:pPr>
      <w:r>
        <w:rPr>
          <w:rFonts w:hint="eastAsia" w:ascii="宋体" w:hAnsi="宋体" w:eastAsia="宋体"/>
          <w:b/>
          <w:color w:val="auto"/>
          <w:sz w:val="24"/>
          <w:szCs w:val="28"/>
          <w:highlight w:val="none"/>
        </w:rPr>
        <w:t>项目编号：</w:t>
      </w:r>
      <w:r>
        <w:rPr>
          <w:rFonts w:hint="eastAsia" w:ascii="宋体" w:hAnsi="宋体" w:eastAsia="宋体"/>
          <w:b/>
          <w:color w:val="auto"/>
          <w:sz w:val="24"/>
          <w:szCs w:val="28"/>
          <w:highlight w:val="none"/>
          <w:u w:val="single"/>
        </w:rPr>
        <w:t xml:space="preserve">       </w:t>
      </w:r>
      <w:r>
        <w:rPr>
          <w:rFonts w:hint="eastAsia" w:ascii="宋体" w:hAnsi="宋体" w:eastAsia="宋体"/>
          <w:b/>
          <w:color w:val="auto"/>
          <w:sz w:val="24"/>
          <w:szCs w:val="28"/>
          <w:highlight w:val="none"/>
          <w:u w:val="single"/>
          <w:lang w:val="en-US" w:eastAsia="zh-CN"/>
        </w:rPr>
        <w:t xml:space="preserve">   </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7"/>
        <w:gridCol w:w="6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供应商名称</w:t>
            </w:r>
          </w:p>
        </w:tc>
        <w:tc>
          <w:tcPr>
            <w:tcW w:w="3557" w:type="pct"/>
            <w:tcBorders>
              <w:left w:val="single" w:color="auto" w:sz="4" w:space="0"/>
            </w:tcBorders>
          </w:tcPr>
          <w:p>
            <w:pPr>
              <w:spacing w:line="360" w:lineRule="auto"/>
              <w:rPr>
                <w:rFonts w:ascii="宋体" w:hAnsi="宋体" w:eastAsia="宋体"/>
                <w:b/>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w:t>
            </w:r>
            <w:r>
              <w:rPr>
                <w:rFonts w:hint="eastAsia" w:ascii="宋体" w:hAnsi="宋体" w:eastAsia="宋体"/>
                <w:b/>
                <w:color w:val="auto"/>
                <w:sz w:val="24"/>
                <w:highlight w:val="none"/>
              </w:rPr>
              <w:t>范围</w:t>
            </w:r>
          </w:p>
        </w:tc>
        <w:tc>
          <w:tcPr>
            <w:tcW w:w="3557" w:type="pct"/>
            <w:tcBorders>
              <w:left w:val="single" w:color="auto" w:sz="4" w:space="0"/>
            </w:tcBorders>
            <w:vAlign w:val="center"/>
          </w:tcPr>
          <w:p>
            <w:pPr>
              <w:widowControl/>
              <w:spacing w:line="360" w:lineRule="exact"/>
              <w:rPr>
                <w:rFonts w:ascii="宋体" w:hAnsi="宋体" w:eastAsia="宋体"/>
                <w:b/>
                <w:color w:val="auto"/>
                <w:sz w:val="24"/>
                <w:highlight w:val="none"/>
              </w:rPr>
            </w:pPr>
            <w:r>
              <w:rPr>
                <w:rFonts w:hint="eastAsia" w:asciiTheme="minorEastAsia" w:hAnsiTheme="minorEastAsia" w:eastAsiaTheme="minorEastAsia"/>
                <w:color w:val="auto"/>
                <w:sz w:val="24"/>
                <w:szCs w:val="28"/>
                <w:highlight w:val="none"/>
              </w:rPr>
              <w:t>全部 / 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最后报价</w:t>
            </w:r>
          </w:p>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（详见备注说明）</w:t>
            </w:r>
          </w:p>
        </w:tc>
        <w:tc>
          <w:tcPr>
            <w:tcW w:w="3557" w:type="pct"/>
            <w:vAlign w:val="center"/>
          </w:tcPr>
          <w:p>
            <w:pPr>
              <w:snapToGrid w:val="0"/>
              <w:spacing w:line="360" w:lineRule="auto"/>
              <w:rPr>
                <w:rFonts w:ascii="宋体" w:hAnsi="宋体" w:eastAsia="宋体"/>
                <w:color w:val="auto"/>
                <w:sz w:val="24"/>
                <w:szCs w:val="28"/>
                <w:highlight w:val="none"/>
              </w:rPr>
            </w:pPr>
          </w:p>
          <w:p>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人民币大写：</w:t>
            </w:r>
            <w:r>
              <w:rPr>
                <w:rFonts w:hint="eastAsia" w:ascii="宋体" w:hAnsi="宋体" w:eastAsia="宋体" w:cs="宋体"/>
                <w:bCs/>
                <w:color w:val="auto"/>
                <w:sz w:val="24"/>
                <w:szCs w:val="24"/>
                <w:highlight w:val="none"/>
                <w:u w:val="single"/>
              </w:rPr>
              <w:t xml:space="preserve">                     </w:t>
            </w:r>
          </w:p>
          <w:p>
            <w:pPr>
              <w:spacing w:line="360" w:lineRule="auto"/>
              <w:ind w:right="-670"/>
              <w:rPr>
                <w:rFonts w:ascii="宋体" w:hAnsi="宋体" w:eastAsia="宋体"/>
                <w:b/>
                <w:color w:val="auto"/>
                <w:sz w:val="24"/>
                <w:highlight w:val="none"/>
              </w:rPr>
            </w:pPr>
            <w:r>
              <w:rPr>
                <w:rFonts w:hint="eastAsia" w:ascii="宋体" w:hAnsi="宋体" w:eastAsia="宋体" w:cs="宋体"/>
                <w:bCs/>
                <w:color w:val="auto"/>
                <w:sz w:val="24"/>
                <w:szCs w:val="24"/>
                <w:highlight w:val="none"/>
              </w:rPr>
              <w:t>人民币小写：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color w:val="auto"/>
                <w:sz w:val="24"/>
                <w:highlight w:val="none"/>
              </w:rPr>
              <w:t>备注说明</w:t>
            </w:r>
          </w:p>
        </w:tc>
        <w:tc>
          <w:tcPr>
            <w:tcW w:w="3557" w:type="pct"/>
          </w:tcPr>
          <w:p>
            <w:pPr>
              <w:spacing w:line="360" w:lineRule="auto"/>
              <w:rPr>
                <w:rFonts w:ascii="宋体" w:hAnsi="宋体" w:eastAsia="宋体"/>
                <w:b/>
                <w:color w:val="auto"/>
                <w:sz w:val="24"/>
                <w:highlight w:val="none"/>
              </w:rPr>
            </w:pPr>
            <w:r>
              <w:rPr>
                <w:rFonts w:hint="eastAsia" w:ascii="宋体" w:hAnsi="宋体" w:eastAsia="宋体"/>
                <w:b/>
                <w:i/>
                <w:color w:val="auto"/>
                <w:sz w:val="24"/>
                <w:highlight w:val="none"/>
              </w:rPr>
              <w:t>（此处可补充磋商小组根据与供应商磋商情况变动的磋商文件的内容，包括采购需求中的技术、服务要求以及合同草案条款。）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jc w:val="center"/>
        </w:trPr>
        <w:tc>
          <w:tcPr>
            <w:tcW w:w="1443" w:type="pct"/>
            <w:vAlign w:val="center"/>
          </w:tcPr>
          <w:p>
            <w:pPr>
              <w:spacing w:line="360" w:lineRule="auto"/>
              <w:jc w:val="center"/>
              <w:rPr>
                <w:rFonts w:ascii="宋体" w:hAnsi="宋体" w:eastAsia="宋体"/>
                <w:b/>
                <w:color w:val="auto"/>
                <w:sz w:val="24"/>
                <w:highlight w:val="none"/>
              </w:rPr>
            </w:pPr>
            <w:r>
              <w:rPr>
                <w:rFonts w:hint="eastAsia" w:ascii="宋体" w:hAnsi="宋体" w:eastAsia="宋体"/>
                <w:b/>
                <w:bCs/>
                <w:color w:val="auto"/>
                <w:sz w:val="24"/>
                <w:szCs w:val="28"/>
                <w:highlight w:val="none"/>
              </w:rPr>
              <w:t>磋商小组</w:t>
            </w:r>
            <w:r>
              <w:rPr>
                <w:rFonts w:ascii="宋体" w:hAnsi="宋体" w:eastAsia="宋体"/>
                <w:b/>
                <w:bCs/>
                <w:color w:val="auto"/>
                <w:sz w:val="24"/>
                <w:szCs w:val="28"/>
                <w:highlight w:val="none"/>
              </w:rPr>
              <w:t>签字</w:t>
            </w:r>
          </w:p>
        </w:tc>
        <w:tc>
          <w:tcPr>
            <w:tcW w:w="3557" w:type="pct"/>
          </w:tcPr>
          <w:p>
            <w:pPr>
              <w:spacing w:line="360" w:lineRule="auto"/>
              <w:rPr>
                <w:rFonts w:ascii="宋体" w:hAnsi="宋体" w:eastAsia="宋体"/>
                <w:b/>
                <w:color w:val="auto"/>
                <w:sz w:val="24"/>
                <w:highlight w:val="none"/>
              </w:rPr>
            </w:pPr>
          </w:p>
        </w:tc>
      </w:tr>
    </w:tbl>
    <w:p>
      <w:pPr>
        <w:spacing w:line="360" w:lineRule="auto"/>
        <w:ind w:firstLine="3600" w:firstLineChars="1500"/>
        <w:jc w:val="left"/>
        <w:rPr>
          <w:rFonts w:ascii="宋体" w:hAnsi="宋体" w:eastAsia="宋体"/>
          <w:color w:val="auto"/>
          <w:sz w:val="24"/>
          <w:highlight w:val="none"/>
        </w:rPr>
      </w:pPr>
      <w:r>
        <w:rPr>
          <w:rFonts w:hint="eastAsia" w:ascii="宋体" w:hAnsi="宋体" w:eastAsia="宋体"/>
          <w:color w:val="auto"/>
          <w:sz w:val="24"/>
          <w:highlight w:val="none"/>
        </w:rPr>
        <w:t>供应商公章或授权代表签字：</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spacing w:line="360" w:lineRule="auto"/>
        <w:jc w:val="left"/>
        <w:rPr>
          <w:rFonts w:hint="eastAsia" w:ascii="宋体" w:hAnsi="宋体" w:eastAsia="宋体"/>
          <w:b/>
          <w:bCs/>
          <w:color w:val="auto"/>
          <w:sz w:val="24"/>
          <w:highlight w:val="none"/>
        </w:rPr>
      </w:pPr>
      <w:r>
        <w:rPr>
          <w:rFonts w:hint="eastAsia" w:ascii="宋体" w:hAnsi="宋体" w:eastAsia="宋体"/>
          <w:b/>
          <w:bCs/>
          <w:color w:val="auto"/>
          <w:sz w:val="24"/>
          <w:highlight w:val="none"/>
        </w:rPr>
        <w:t>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ascii="宋体" w:hAnsi="宋体" w:eastAsia="宋体"/>
          <w:bCs/>
          <w:color w:val="auto"/>
          <w:sz w:val="24"/>
          <w:highlight w:val="none"/>
        </w:rPr>
      </w:pPr>
      <w:r>
        <w:rPr>
          <w:rFonts w:hint="eastAsia" w:ascii="宋体" w:hAnsi="宋体" w:eastAsia="宋体"/>
          <w:b/>
          <w:bCs/>
          <w:color w:val="auto"/>
          <w:sz w:val="24"/>
          <w:highlight w:val="none"/>
          <w:lang w:val="en-US" w:eastAsia="zh-CN"/>
        </w:rPr>
        <w:t>1.</w:t>
      </w:r>
      <w:r>
        <w:rPr>
          <w:rFonts w:hint="eastAsia" w:ascii="宋体" w:hAnsi="宋体" w:eastAsia="宋体"/>
          <w:b/>
          <w:bCs/>
          <w:color w:val="auto"/>
          <w:sz w:val="24"/>
          <w:highlight w:val="none"/>
        </w:rPr>
        <w:t>本页《报价表》由供应商在接到报价通知后依据磋商情况填写,并在规定时间内提交。</w:t>
      </w:r>
      <w:r>
        <w:rPr>
          <w:rFonts w:hint="eastAsia" w:ascii="宋体" w:hAnsi="宋体" w:eastAsia="宋体"/>
          <w:color w:val="auto"/>
          <w:sz w:val="24"/>
          <w:highlight w:val="none"/>
        </w:rPr>
        <w:t>考虑磋商报价的方便，供应商在填写最后承诺报价后，（第一次报价-最后承诺报价）除以第一次报价后得出的优惠率视同为需求表中全部分项设备、工程量或服务的优惠浮动值（特定分项优惠除外），而不考虑措施项目清单和规费税金清单的金额改变。</w:t>
      </w:r>
      <w:r>
        <w:rPr>
          <w:rFonts w:hint="eastAsia" w:ascii="宋体" w:hAnsi="宋体" w:eastAsia="宋体"/>
          <w:bCs/>
          <w:color w:val="auto"/>
          <w:sz w:val="24"/>
          <w:highlight w:val="none"/>
        </w:rPr>
        <w:t>此优惠率调整原则适用于合同内价格的计算及项目增减、变更时价格的计算。</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bCs/>
          <w:color w:val="auto"/>
          <w:sz w:val="24"/>
          <w:highlight w:val="none"/>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38" w:name="_Toc520983591"/>
      <w:bookmarkStart w:id="239" w:name="_Toc32385"/>
      <w:bookmarkStart w:id="240" w:name="_Toc11500"/>
      <w:r>
        <w:rPr>
          <w:rFonts w:hint="eastAsia" w:asciiTheme="minorEastAsia" w:hAnsiTheme="minorEastAsia" w:eastAsiaTheme="minorEastAsia"/>
          <w:b/>
          <w:color w:val="auto"/>
          <w:sz w:val="24"/>
          <w:highlight w:val="none"/>
        </w:rPr>
        <w:t>三、磋商响应函</w:t>
      </w:r>
      <w:bookmarkEnd w:id="238"/>
      <w:bookmarkEnd w:id="239"/>
      <w:bookmarkEnd w:id="240"/>
    </w:p>
    <w:p>
      <w:pPr>
        <w:pStyle w:val="11"/>
        <w:spacing w:line="360" w:lineRule="auto"/>
        <w:rPr>
          <w:rFonts w:hint="eastAsia" w:ascii="宋体" w:hAnsi="宋体" w:eastAsia="宋体"/>
          <w:color w:val="auto"/>
          <w:sz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采购人</w:t>
      </w:r>
    </w:p>
    <w:p>
      <w:pPr>
        <w:spacing w:line="360" w:lineRule="auto"/>
        <w:ind w:firstLine="480" w:firstLineChars="200"/>
        <w:rPr>
          <w:rFonts w:ascii="宋体" w:hAnsi="宋体" w:eastAsia="宋体"/>
          <w:dstrike/>
          <w:color w:val="auto"/>
          <w:sz w:val="24"/>
          <w:highlight w:val="yellow"/>
        </w:rPr>
      </w:pPr>
      <w:r>
        <w:rPr>
          <w:rFonts w:hint="eastAsia" w:ascii="宋体" w:hAnsi="宋体" w:eastAsia="宋体"/>
          <w:color w:val="auto"/>
          <w:sz w:val="24"/>
          <w:highlight w:val="none"/>
        </w:rPr>
        <w:t>根据贵方的</w:t>
      </w:r>
      <w:bookmarkStart w:id="241" w:name="_Hlk44287543"/>
      <w:r>
        <w:rPr>
          <w:rFonts w:hint="eastAsia" w:ascii="宋体" w:hAnsi="宋体" w:eastAsia="宋体"/>
          <w:color w:val="auto"/>
          <w:sz w:val="24"/>
          <w:highlight w:val="none"/>
        </w:rPr>
        <w:t>竞争性磋商公告和磋商邀请</w:t>
      </w:r>
      <w:bookmarkEnd w:id="241"/>
      <w:r>
        <w:rPr>
          <w:rFonts w:hint="eastAsia" w:ascii="宋体" w:hAnsi="宋体" w:eastAsia="宋体"/>
          <w:color w:val="auto"/>
          <w:sz w:val="24"/>
          <w:highlight w:val="none"/>
        </w:rPr>
        <w:t>，我方兹宣布同意如下：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文件，包括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lang w:val="en-US" w:eastAsia="zh-CN"/>
        </w:rPr>
        <w:t>附件及更正公告</w:t>
      </w:r>
      <w:r>
        <w:rPr>
          <w:rFonts w:hint="eastAsia" w:asciiTheme="minorEastAsia" w:hAnsiTheme="minorEastAsia" w:eastAsiaTheme="minorEastAsia"/>
          <w:color w:val="auto"/>
          <w:sz w:val="24"/>
          <w:highlight w:val="none"/>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我方正式认可并遵守本次</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日期起遵循本</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文件，并在</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文件规定的</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w:t>
      </w:r>
      <w:r>
        <w:rPr>
          <w:rFonts w:hint="eastAsia" w:asciiTheme="minorEastAsia" w:hAnsiTheme="minorEastAsia" w:eastAsiaTheme="minorEastAsia"/>
          <w:color w:val="auto"/>
          <w:sz w:val="24"/>
          <w:highlight w:val="none"/>
          <w:lang w:val="en-US" w:eastAsia="zh-CN"/>
        </w:rPr>
        <w:t>响应</w:t>
      </w:r>
      <w:r>
        <w:rPr>
          <w:rFonts w:hint="eastAsia" w:asciiTheme="minorEastAsia" w:hAnsiTheme="minorEastAsia" w:eastAsiaTheme="minorEastAsia"/>
          <w:color w:val="auto"/>
          <w:sz w:val="24"/>
          <w:highlight w:val="none"/>
        </w:rPr>
        <w:t>文件所提供的一切资料均真实无误、及时、有效，企业运营正常。由于我方提供资料不实而造成的责任和后果由我方承担。我方同意按照贵方提出的要求，提供与</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有关的任何证据、数据或资料。</w:t>
      </w:r>
    </w:p>
    <w:p>
      <w:pPr>
        <w:spacing w:line="360" w:lineRule="auto"/>
        <w:ind w:firstLine="480" w:firstLineChars="2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rPr>
      </w:pPr>
      <w:r>
        <w:rPr>
          <w:rFonts w:hint="eastAsia" w:ascii="宋体" w:hAnsi="宋体" w:eastAsia="宋体"/>
          <w:color w:val="auto"/>
          <w:sz w:val="24"/>
          <w:highlight w:val="none"/>
        </w:rPr>
        <w:t>供应商电子签章：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42" w:name="_Toc21328"/>
      <w:r>
        <w:rPr>
          <w:rFonts w:hint="eastAsia" w:asciiTheme="minorEastAsia" w:hAnsiTheme="minorEastAsia" w:eastAsiaTheme="minorEastAsia"/>
          <w:b/>
          <w:color w:val="auto"/>
          <w:sz w:val="24"/>
          <w:highlight w:val="none"/>
          <w:lang w:val="en-US" w:eastAsia="zh-CN"/>
        </w:rPr>
        <w:t>四、供应商资格声明书</w:t>
      </w:r>
      <w:bookmarkEnd w:id="242"/>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（五）我单位不存在为采购项目提供整体设计、规范编制或者项目管理、监理、检测等服务后，再参加该采购项目的其他采购活动的情形（单一来源采购项目除外）；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（六）与我单位存在单位负责人为同一人或者存在直接控股、管理关系的其他法人单位信息如下（如有，不论其是否参加同一合同项下的政府采购活动均须填写）：</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4501"/>
        <w:gridCol w:w="2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4" w:type="dxa"/>
          </w:tcPr>
          <w:p>
            <w:pPr>
              <w:pStyle w:val="2"/>
              <w:jc w:val="center"/>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450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681" w:type="dxa"/>
          </w:tcPr>
          <w:p>
            <w:pPr>
              <w:pStyle w:val="2"/>
              <w:jc w:val="center"/>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440" w:lineRule="exact"/>
        <w:ind w:firstLine="4800" w:firstLineChars="2000"/>
        <w:rPr>
          <w:rFonts w:ascii="宋体" w:hAnsi="宋体" w:eastAsia="宋体"/>
          <w:color w:val="auto"/>
          <w:sz w:val="24"/>
          <w:szCs w:val="24"/>
          <w:highlight w:val="none"/>
          <w:u w:val="single"/>
        </w:rPr>
      </w:pP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3" w:name="_Toc26922"/>
      <w:bookmarkStart w:id="244" w:name="_Toc204594911"/>
      <w:bookmarkStart w:id="245" w:name="_Toc516969106"/>
      <w:bookmarkStart w:id="246" w:name="_Toc31518"/>
      <w:bookmarkStart w:id="247" w:name="_Toc121626298"/>
      <w:bookmarkStart w:id="248" w:name="_Toc520983594"/>
      <w:r>
        <w:rPr>
          <w:rFonts w:hint="eastAsia" w:asciiTheme="minorEastAsia" w:hAnsiTheme="minorEastAsia" w:eastAsiaTheme="minorEastAsia"/>
          <w:b/>
          <w:color w:val="auto"/>
          <w:sz w:val="24"/>
          <w:highlight w:val="none"/>
        </w:rPr>
        <w:t>五、授权书</w:t>
      </w:r>
      <w:bookmarkEnd w:id="243"/>
      <w:bookmarkEnd w:id="244"/>
      <w:bookmarkEnd w:id="245"/>
      <w:bookmarkEnd w:id="246"/>
      <w:bookmarkEnd w:id="247"/>
      <w:bookmarkEnd w:id="248"/>
    </w:p>
    <w:p>
      <w:pPr>
        <w:spacing w:line="360" w:lineRule="auto"/>
        <w:jc w:val="center"/>
        <w:rPr>
          <w:rFonts w:asciiTheme="minorEastAsia" w:hAnsiTheme="minorEastAsia" w:eastAsiaTheme="minorEastAsia"/>
          <w:b/>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pPr>
        <w:pStyle w:val="10"/>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pStyle w:val="10"/>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highlight w:val="none"/>
        </w:rPr>
      </w:pPr>
    </w:p>
    <w:p>
      <w:pPr>
        <w:pStyle w:val="10"/>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360" w:firstLineChars="150"/>
        <w:rPr>
          <w:rFonts w:ascii="宋体" w:hAnsi="宋体" w:eastAsia="宋体"/>
          <w:color w:val="auto"/>
          <w:sz w:val="24"/>
          <w:szCs w:val="28"/>
          <w:highlight w:val="none"/>
        </w:rPr>
      </w:pPr>
      <w:r>
        <w:rPr>
          <w:rFonts w:hint="eastAsia" w:ascii="宋体" w:hAnsi="宋体" w:eastAsia="宋体"/>
          <w:color w:val="auto"/>
          <w:sz w:val="24"/>
          <w:szCs w:val="28"/>
          <w:highlight w:val="none"/>
        </w:rPr>
        <w:t>特此声明。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宋体" w:hAnsi="宋体" w:eastAsia="宋体"/>
          <w:color w:val="auto"/>
          <w:sz w:val="24"/>
          <w:szCs w:val="28"/>
          <w:highlight w:val="none"/>
        </w:rPr>
      </w:pPr>
    </w:p>
    <w:p>
      <w:pPr>
        <w:spacing w:line="360" w:lineRule="auto"/>
        <w:rPr>
          <w:rFonts w:ascii="宋体" w:hAnsi="宋体" w:eastAsia="宋体"/>
          <w:color w:val="auto"/>
          <w:sz w:val="24"/>
          <w:szCs w:val="28"/>
          <w:highlight w:val="none"/>
        </w:rPr>
      </w:pP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pPr>
        <w:pStyle w:val="10"/>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pPr>
        <w:spacing w:line="360" w:lineRule="auto"/>
        <w:jc w:val="left"/>
        <w:rPr>
          <w:rFonts w:ascii="宋体" w:hAnsi="宋体" w:eastAsia="宋体"/>
          <w:color w:val="auto"/>
          <w:sz w:val="24"/>
          <w:highlight w:val="none"/>
        </w:rPr>
      </w:pPr>
      <w:r>
        <w:rPr>
          <w:rFonts w:hint="eastAsia" w:ascii="宋体" w:hAnsi="宋体" w:eastAsia="宋体"/>
          <w:color w:val="auto"/>
          <w:sz w:val="24"/>
          <w:highlight w:val="none"/>
        </w:rPr>
        <w:t>2.法定代表人参加磋商的无需提供授权书，仅提供身份证明扫描件。</w:t>
      </w:r>
    </w:p>
    <w:p>
      <w:pPr>
        <w:widowControl/>
        <w:jc w:val="left"/>
        <w:rPr>
          <w:rFonts w:ascii="宋体" w:hAnsi="宋体" w:eastAsia="宋体"/>
          <w:color w:val="auto"/>
          <w:sz w:val="24"/>
          <w:highlight w:val="none"/>
        </w:rPr>
      </w:pPr>
      <w:r>
        <w:rPr>
          <w:rFonts w:ascii="宋体" w:hAnsi="宋体" w:eastAsia="宋体"/>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49" w:name="_Toc28033"/>
      <w:bookmarkStart w:id="250" w:name="_Toc22233"/>
      <w:r>
        <w:rPr>
          <w:rFonts w:hint="eastAsia" w:asciiTheme="minorEastAsia" w:hAnsiTheme="minorEastAsia" w:eastAsiaTheme="minorEastAsia"/>
          <w:b/>
          <w:color w:val="auto"/>
          <w:sz w:val="24"/>
          <w:highlight w:val="none"/>
        </w:rPr>
        <w:t>六、</w:t>
      </w:r>
      <w:r>
        <w:rPr>
          <w:rFonts w:hint="eastAsia" w:asciiTheme="minorEastAsia" w:hAnsiTheme="minorEastAsia" w:eastAsiaTheme="minorEastAsia"/>
          <w:b/>
          <w:color w:val="auto"/>
          <w:sz w:val="24"/>
          <w:highlight w:val="none"/>
          <w:lang w:val="en-US" w:eastAsia="zh-CN"/>
        </w:rPr>
        <w:t>磋商</w:t>
      </w:r>
      <w:r>
        <w:rPr>
          <w:rFonts w:hint="eastAsia" w:asciiTheme="minorEastAsia" w:hAnsiTheme="minorEastAsia" w:eastAsiaTheme="minorEastAsia"/>
          <w:b/>
          <w:color w:val="auto"/>
          <w:sz w:val="24"/>
          <w:highlight w:val="none"/>
        </w:rPr>
        <w:t>响应表</w:t>
      </w:r>
      <w:bookmarkEnd w:id="249"/>
      <w:bookmarkEnd w:id="250"/>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磋商文件</w:t>
            </w:r>
            <w:r>
              <w:rPr>
                <w:rFonts w:hint="eastAsia" w:cs="Wingdings" w:asciiTheme="minorEastAsia" w:hAnsiTheme="minorEastAsia"/>
                <w:b/>
                <w:color w:val="auto"/>
                <w:sz w:val="24"/>
                <w:highlight w:val="none"/>
              </w:rPr>
              <w:t>要求</w:t>
            </w:r>
          </w:p>
        </w:tc>
        <w:tc>
          <w:tcPr>
            <w:tcW w:w="151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供应商</w:t>
            </w:r>
            <w:r>
              <w:rPr>
                <w:rFonts w:hint="eastAsia" w:cs="Wingdings" w:asciiTheme="minorEastAsia" w:hAnsiTheme="minorEastAsia"/>
                <w:b/>
                <w:color w:val="auto"/>
                <w:sz w:val="24"/>
                <w:highlight w:val="none"/>
              </w:rPr>
              <w:t>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45"/>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Cs/>
          <w:i/>
          <w:iCs/>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bookmarkStart w:id="251"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51"/>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lang w:val="en-US" w:eastAsia="zh-CN"/>
              </w:rPr>
              <w:t>磋商文件</w:t>
            </w:r>
            <w:r>
              <w:rPr>
                <w:rFonts w:hint="eastAsia" w:cs="Wingdings" w:asciiTheme="minorEastAsia" w:hAnsiTheme="minorEastAsia"/>
                <w:b/>
                <w:color w:val="auto"/>
                <w:sz w:val="24"/>
                <w:highlight w:val="none"/>
              </w:rPr>
              <w:t>规定的技术参数要求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4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45"/>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color w:val="auto"/>
          <w:sz w:val="24"/>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1"/>
        <w:spacing w:line="360" w:lineRule="auto"/>
        <w:rPr>
          <w:rFonts w:asciiTheme="minorEastAsia" w:hAnsiTheme="minorEastAsia" w:eastAsiaTheme="minorEastAsia"/>
          <w:b/>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2" w:name="_Toc11260"/>
      <w:bookmarkStart w:id="253" w:name="_Toc29455"/>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52"/>
      <w:bookmarkEnd w:id="253"/>
    </w:p>
    <w:p>
      <w:pPr>
        <w:pStyle w:val="18"/>
        <w:spacing w:line="360" w:lineRule="auto"/>
        <w:jc w:val="center"/>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或未组成联合体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，不需此件</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请删去“联合协议”</w:t>
      </w:r>
      <w:r>
        <w:rPr>
          <w:rFonts w:hint="eastAsia" w:ascii="宋体" w:hAnsi="宋体" w:eastAsia="宋体"/>
          <w:b w:val="0"/>
          <w:i/>
          <w:color w:val="FF0000"/>
          <w:sz w:val="24"/>
          <w:highlight w:val="none"/>
        </w:rPr>
        <w:t>；允许联合体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且</w:t>
      </w:r>
      <w:r>
        <w:rPr>
          <w:rFonts w:hint="eastAsia" w:ascii="宋体" w:hAnsi="宋体" w:eastAsia="宋体"/>
          <w:b w:val="0"/>
          <w:i/>
          <w:color w:val="FF0000"/>
          <w:sz w:val="24"/>
          <w:highlight w:val="none"/>
          <w:lang w:val="en-US" w:eastAsia="zh-CN"/>
        </w:rPr>
        <w:t>供应商</w:t>
      </w:r>
      <w:r>
        <w:rPr>
          <w:rFonts w:hint="eastAsia" w:ascii="宋体" w:hAnsi="宋体" w:eastAsia="宋体"/>
          <w:b w:val="0"/>
          <w:i/>
          <w:color w:val="FF0000"/>
          <w:sz w:val="24"/>
          <w:highlight w:val="none"/>
        </w:rPr>
        <w:t>为联合体</w:t>
      </w:r>
      <w:r>
        <w:rPr>
          <w:rFonts w:hint="eastAsia" w:ascii="宋体" w:hAnsi="宋体" w:eastAsia="宋体"/>
          <w:b w:val="0"/>
          <w:i/>
          <w:color w:val="FF0000"/>
          <w:sz w:val="24"/>
          <w:highlight w:val="none"/>
          <w:lang w:val="en-US" w:eastAsia="zh-CN"/>
        </w:rPr>
        <w:t>磋商</w:t>
      </w:r>
      <w:r>
        <w:rPr>
          <w:rFonts w:hint="eastAsia" w:ascii="宋体" w:hAnsi="宋体" w:eastAsia="宋体"/>
          <w:b w:val="0"/>
          <w:i/>
          <w:color w:val="FF0000"/>
          <w:sz w:val="24"/>
          <w:highlight w:val="none"/>
        </w:rPr>
        <w:t>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pStyle w:val="18"/>
        <w:spacing w:line="360" w:lineRule="auto"/>
        <w:rPr>
          <w:rFonts w:asciiTheme="minorEastAsia" w:hAnsiTheme="minorEastAsia" w:eastAsiaTheme="minorEastAsia"/>
          <w:color w:val="auto"/>
          <w:sz w:val="24"/>
          <w:highlight w:val="none"/>
        </w:rPr>
      </w:pPr>
    </w:p>
    <w:p>
      <w:pPr>
        <w:spacing w:line="360" w:lineRule="auto"/>
        <w:ind w:right="480" w:firstLine="4680" w:firstLineChars="1950"/>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54" w:name="_Toc30332"/>
      <w:bookmarkStart w:id="255" w:name="_Hlk44283017"/>
      <w:r>
        <w:rPr>
          <w:rFonts w:hint="eastAsia" w:asciiTheme="minorEastAsia" w:hAnsiTheme="minorEastAsia" w:eastAsiaTheme="minorEastAsia"/>
          <w:b/>
          <w:color w:val="auto"/>
          <w:sz w:val="24"/>
          <w:highlight w:val="none"/>
          <w:lang w:val="en-US" w:eastAsia="zh-CN"/>
        </w:rPr>
        <w:t>八、拟分包情况说明及分包意向协议</w:t>
      </w:r>
      <w:bookmarkEnd w:id="254"/>
    </w:p>
    <w:p>
      <w:pPr>
        <w:pStyle w:val="2"/>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允许合同分包且供应商采用合同分包的，请将此件制成扫描件上传，同时删去本提示内容）</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val="en-US"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磋商，拟签订分包合同的单位情况如下表所示，我单位承诺一旦在该项目中获得采购合同将按下表所列情况进行分包，同时承诺分包承担主体不再次分包。</w:t>
      </w:r>
    </w:p>
    <w:tbl>
      <w:tblPr>
        <w:tblStyle w:val="63"/>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64"/>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64"/>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64"/>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64"/>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64"/>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64"/>
              <w:jc w:val="both"/>
              <w:rPr>
                <w:rFonts w:hint="eastAsia" w:ascii="宋体" w:hAnsi="宋体" w:eastAsia="宋体" w:cs="宋体"/>
              </w:rPr>
            </w:pPr>
          </w:p>
        </w:tc>
        <w:tc>
          <w:tcPr>
            <w:tcW w:w="1684" w:type="dxa"/>
            <w:vAlign w:val="center"/>
          </w:tcPr>
          <w:p>
            <w:pPr>
              <w:pStyle w:val="64"/>
              <w:jc w:val="both"/>
              <w:rPr>
                <w:rFonts w:hint="eastAsia" w:ascii="宋体" w:hAnsi="宋体" w:eastAsia="宋体" w:cs="宋体"/>
              </w:rPr>
            </w:pPr>
          </w:p>
        </w:tc>
        <w:tc>
          <w:tcPr>
            <w:tcW w:w="1122" w:type="dxa"/>
            <w:vAlign w:val="center"/>
          </w:tcPr>
          <w:p>
            <w:pPr>
              <w:pStyle w:val="64"/>
              <w:jc w:val="both"/>
              <w:rPr>
                <w:rFonts w:hint="eastAsia" w:ascii="宋体" w:hAnsi="宋体" w:eastAsia="宋体" w:cs="宋体"/>
              </w:rPr>
            </w:pPr>
          </w:p>
        </w:tc>
        <w:tc>
          <w:tcPr>
            <w:tcW w:w="1390" w:type="dxa"/>
            <w:vAlign w:val="center"/>
          </w:tcPr>
          <w:p>
            <w:pPr>
              <w:pStyle w:val="64"/>
              <w:jc w:val="both"/>
              <w:rPr>
                <w:rFonts w:hint="eastAsia" w:ascii="宋体" w:hAnsi="宋体" w:eastAsia="宋体" w:cs="宋体"/>
              </w:rPr>
            </w:pP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64"/>
              <w:jc w:val="both"/>
              <w:rPr>
                <w:rFonts w:hint="eastAsia" w:ascii="宋体" w:hAnsi="宋体" w:eastAsia="宋体" w:cs="宋体"/>
              </w:rPr>
            </w:pPr>
          </w:p>
        </w:tc>
        <w:tc>
          <w:tcPr>
            <w:tcW w:w="1569" w:type="dxa"/>
            <w:vAlign w:val="center"/>
          </w:tcPr>
          <w:p>
            <w:pPr>
              <w:pStyle w:val="64"/>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1.拟分包情况说明仅需加盖供应商电子签章。</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宋体" w:hAnsi="宋体" w:eastAsia="宋体"/>
          <w:color w:val="auto"/>
          <w:sz w:val="24"/>
          <w:highlight w:val="none"/>
        </w:rPr>
        <w:t>表中</w:t>
      </w:r>
      <w:r>
        <w:rPr>
          <w:rFonts w:hint="eastAsia" w:ascii="宋体" w:hAnsi="宋体" w:eastAsia="宋体" w:cs="宋体"/>
          <w:spacing w:val="-4"/>
          <w:sz w:val="24"/>
          <w:szCs w:val="24"/>
        </w:rPr>
        <w:t>拟分包合同金额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如</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文件载明本项目分包承担主体应具备的相应资质条件，则</w:t>
      </w: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lang w:val="en-US" w:eastAsia="zh-CN"/>
        </w:rPr>
        <w:t>响应</w:t>
      </w:r>
      <w:r>
        <w:rPr>
          <w:rFonts w:hint="eastAsia" w:asciiTheme="minorEastAsia" w:hAnsiTheme="minorEastAsia" w:eastAsiaTheme="minorEastAsia"/>
          <w:b/>
          <w:bCs/>
          <w:color w:val="auto"/>
          <w:sz w:val="24"/>
          <w:highlight w:val="none"/>
        </w:rPr>
        <w:t>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9"/>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1.本项目供应商</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项目的一切组织、协调工作，并授权代理人参加项目的</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w:t>
      </w:r>
      <w:r>
        <w:rPr>
          <w:rFonts w:hint="eastAsia" w:asciiTheme="minorEastAsia" w:hAnsiTheme="minorEastAsia" w:eastAsiaTheme="minorEastAsia"/>
          <w:sz w:val="24"/>
          <w:highlight w:val="none"/>
        </w:rPr>
        <w:t>代理人在</w:t>
      </w:r>
      <w:r>
        <w:rPr>
          <w:rFonts w:hint="eastAsia" w:asciiTheme="minorEastAsia" w:hAnsiTheme="minorEastAsia" w:eastAsiaTheme="minorEastAsia"/>
          <w:sz w:val="24"/>
          <w:highlight w:val="none"/>
          <w:lang w:val="en-US" w:eastAsia="zh-CN"/>
        </w:rPr>
        <w:t>项目采购过程</w:t>
      </w:r>
      <w:r>
        <w:rPr>
          <w:rFonts w:hint="eastAsia" w:asciiTheme="minorEastAsia" w:hAnsiTheme="minorEastAsia" w:eastAsiaTheme="minorEastAsia"/>
          <w:sz w:val="24"/>
          <w:highlight w:val="none"/>
        </w:rPr>
        <w:t>中所签</w:t>
      </w:r>
      <w:r>
        <w:rPr>
          <w:rFonts w:hint="eastAsia" w:asciiTheme="minorEastAsia" w:hAnsiTheme="minorEastAsia" w:eastAsiaTheme="minorEastAsia"/>
          <w:sz w:val="24"/>
        </w:rPr>
        <w:t>署的一切文件和处理与本次</w:t>
      </w:r>
      <w:r>
        <w:rPr>
          <w:rFonts w:hint="eastAsia" w:asciiTheme="minorEastAsia" w:hAnsiTheme="minorEastAsia" w:eastAsiaTheme="minorEastAsia"/>
          <w:sz w:val="24"/>
          <w:lang w:val="en-US" w:eastAsia="zh-CN"/>
        </w:rPr>
        <w:t>磋商</w:t>
      </w:r>
      <w:r>
        <w:rPr>
          <w:rFonts w:hint="eastAsia" w:asciiTheme="minorEastAsia" w:hAnsiTheme="minorEastAsia" w:eastAsiaTheme="minorEastAsia"/>
          <w:sz w:val="24"/>
        </w:rPr>
        <w:t>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w:t>
      </w:r>
      <w:r>
        <w:rPr>
          <w:rFonts w:hint="eastAsia" w:asciiTheme="minorEastAsia" w:hAnsiTheme="minorEastAsia" w:eastAsiaTheme="minorEastAsia"/>
          <w:sz w:val="24"/>
          <w:lang w:val="en-US" w:eastAsia="zh-CN"/>
        </w:rPr>
        <w:t>成交</w:t>
      </w:r>
      <w:r>
        <w:rPr>
          <w:rFonts w:asciiTheme="minorEastAsia" w:hAnsiTheme="minorEastAsia" w:eastAsiaTheme="minorEastAsia"/>
          <w:sz w:val="24"/>
        </w:rPr>
        <w:t>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供应商</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1.分包意向协议中须约定向中小企业分包的项目内容及分包内容占合同金额比例。</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考虑</w:t>
      </w:r>
      <w:r>
        <w:rPr>
          <w:rFonts w:hint="eastAsia" w:ascii="宋体" w:hAnsi="宋体" w:eastAsia="宋体"/>
          <w:color w:val="auto"/>
          <w:sz w:val="24"/>
          <w:highlight w:val="none"/>
          <w:lang w:val="en-US" w:eastAsia="zh-CN"/>
        </w:rPr>
        <w:t>上述</w:t>
      </w:r>
      <w:r>
        <w:rPr>
          <w:rFonts w:hint="eastAsia" w:asciiTheme="minorEastAsia" w:hAnsiTheme="minorEastAsia" w:eastAsiaTheme="minorEastAsia"/>
          <w:sz w:val="24"/>
        </w:rPr>
        <w:t>负责内容合同金额的</w:t>
      </w:r>
      <w:r>
        <w:rPr>
          <w:rFonts w:hint="eastAsia" w:ascii="宋体" w:hAnsi="宋体" w:eastAsia="宋体"/>
          <w:color w:val="auto"/>
          <w:sz w:val="24"/>
          <w:highlight w:val="none"/>
        </w:rPr>
        <w:t>方便，供应商在填写最后承诺报价后，（第一次报价-最后承诺报价）除以第一次报价后得出的优惠率视同为</w:t>
      </w:r>
      <w:r>
        <w:rPr>
          <w:rFonts w:hint="eastAsia" w:ascii="宋体" w:hAnsi="宋体" w:eastAsia="宋体"/>
          <w:color w:val="auto"/>
          <w:sz w:val="24"/>
          <w:highlight w:val="none"/>
          <w:lang w:val="en-US" w:eastAsia="zh-CN"/>
        </w:rPr>
        <w:t>上述</w:t>
      </w:r>
      <w:r>
        <w:rPr>
          <w:rFonts w:hint="eastAsia" w:asciiTheme="minorEastAsia" w:hAnsiTheme="minorEastAsia" w:eastAsiaTheme="minorEastAsia"/>
          <w:sz w:val="24"/>
        </w:rPr>
        <w:t>负责内容合同金额</w:t>
      </w:r>
      <w:r>
        <w:rPr>
          <w:rFonts w:hint="eastAsia" w:ascii="宋体" w:hAnsi="宋体" w:eastAsia="宋体"/>
          <w:color w:val="auto"/>
          <w:sz w:val="24"/>
          <w:highlight w:val="none"/>
        </w:rPr>
        <w:t>的优惠浮动值（特定分项优惠除外），而不考虑措施项目清单和规费税金清单的金额改变</w:t>
      </w:r>
      <w:r>
        <w:rPr>
          <w:rFonts w:hint="eastAsia" w:ascii="宋体" w:hAnsi="宋体" w:eastAsia="宋体"/>
          <w:bCs/>
          <w:color w:val="auto"/>
          <w:sz w:val="24"/>
          <w:highlight w:val="none"/>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bookmarkEnd w:id="255"/>
    <w:p>
      <w:pPr>
        <w:widowControl/>
        <w:jc w:val="left"/>
        <w:rPr>
          <w:rFonts w:asciiTheme="minorEastAsia" w:hAnsiTheme="minorEastAsia" w:eastAsiaTheme="minorEastAsia"/>
          <w:color w:val="auto"/>
          <w:sz w:val="24"/>
          <w:highlight w:val="none"/>
        </w:rPr>
      </w:pPr>
    </w:p>
    <w:p>
      <w:pPr>
        <w:spacing w:line="360" w:lineRule="auto"/>
        <w:jc w:val="center"/>
        <w:outlineLvl w:val="1"/>
        <w:rPr>
          <w:rFonts w:asciiTheme="minorEastAsia" w:hAnsiTheme="minorEastAsia" w:eastAsiaTheme="minorEastAsia"/>
          <w:b/>
          <w:color w:val="auto"/>
          <w:sz w:val="24"/>
          <w:highlight w:val="none"/>
        </w:rPr>
      </w:pPr>
      <w:bookmarkStart w:id="256" w:name="_Toc6445"/>
      <w:bookmarkStart w:id="257" w:name="_Toc17888"/>
      <w:bookmarkStart w:id="258" w:name="_Hlk60608597"/>
      <w:r>
        <w:rPr>
          <w:rFonts w:hint="eastAsia" w:asciiTheme="minorEastAsia" w:hAnsiTheme="minorEastAsia" w:eastAsiaTheme="minorEastAsia"/>
          <w:b/>
          <w:color w:val="auto"/>
          <w:sz w:val="24"/>
          <w:highlight w:val="none"/>
          <w:lang w:val="en-US" w:eastAsia="zh-CN"/>
        </w:rPr>
        <w:t>九</w:t>
      </w:r>
      <w:r>
        <w:rPr>
          <w:rFonts w:hint="eastAsia" w:asciiTheme="minorEastAsia" w:hAnsiTheme="minorEastAsia" w:eastAsiaTheme="minorEastAsia"/>
          <w:b/>
          <w:color w:val="auto"/>
          <w:sz w:val="24"/>
          <w:highlight w:val="none"/>
        </w:rPr>
        <w:t>、中小企业声明函</w:t>
      </w:r>
      <w:bookmarkEnd w:id="256"/>
      <w:bookmarkEnd w:id="257"/>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u w:val="single"/>
          <w:lang w:val="zh-CN"/>
        </w:rPr>
        <w:t>）</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bookmarkEnd w:id="258"/>
    <w:p>
      <w:pPr>
        <w:tabs>
          <w:tab w:val="left" w:pos="4620"/>
        </w:tabs>
        <w:spacing w:line="360" w:lineRule="auto"/>
        <w:jc w:val="left"/>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jc w:val="left"/>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2.供应商应根据《政府采购促进中小企业发展管理办法》（财库﹝2020﹞46号）和《关于印发中小企业划型标准规定的通知》(工信部联企业〔2011〕300号)相关规定，如实填写中小企业声明函。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供应商自行登录工业和信息化部官网进行中小企业规模类型自测（查询网址https://www.miit.gov.cn/）。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[供应商自行登录工业和信息化部官网进行中小企业规模类型自测（查询网址https://www.miit.gov.cn/）]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tabs>
          <w:tab w:val="left" w:pos="4620"/>
        </w:tabs>
        <w:spacing w:line="360" w:lineRule="auto"/>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59" w:name="_Toc17713"/>
      <w:bookmarkStart w:id="260" w:name="_Toc5908"/>
      <w:bookmarkStart w:id="261" w:name="_Hlk60608725"/>
      <w:r>
        <w:rPr>
          <w:rFonts w:hint="eastAsia" w:asciiTheme="minorEastAsia" w:hAnsiTheme="minorEastAsia" w:eastAsiaTheme="minorEastAsia"/>
          <w:b/>
          <w:color w:val="auto"/>
          <w:sz w:val="24"/>
          <w:highlight w:val="none"/>
        </w:rPr>
        <w:t>十、残疾人福利性单位声明函</w:t>
      </w:r>
      <w:bookmarkEnd w:id="259"/>
      <w:bookmarkEnd w:id="260"/>
    </w:p>
    <w:p>
      <w:pPr>
        <w:pStyle w:val="2"/>
        <w:jc w:val="center"/>
        <w:rPr>
          <w:rFonts w:asciiTheme="minorEastAsia" w:hAnsiTheme="minorEastAsia" w:eastAsiaTheme="minorEastAsia"/>
          <w:color w:val="auto"/>
          <w:spacing w:val="6"/>
          <w:sz w:val="24"/>
          <w:szCs w:val="24"/>
          <w:highlight w:val="none"/>
        </w:rPr>
      </w:pPr>
      <w:r>
        <w:rPr>
          <w:rFonts w:hint="eastAsia" w:ascii="宋体" w:hAnsi="宋体" w:eastAsia="宋体"/>
          <w:b w:val="0"/>
          <w:i/>
          <w:color w:val="auto"/>
          <w:sz w:val="24"/>
          <w:highlight w:val="none"/>
          <w:lang w:val="en-US" w:eastAsia="zh-CN"/>
        </w:rPr>
        <w:t>（非残疾人福利性单位磋商，请删去“残疾人福利性单位声明函”）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供应商</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bookmarkEnd w:id="261"/>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62" w:name="_Toc20592"/>
      <w:bookmarkStart w:id="263" w:name="_Toc2278"/>
      <w:bookmarkStart w:id="264"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、诚信履约承诺函</w:t>
      </w:r>
      <w:bookmarkEnd w:id="262"/>
      <w:bookmarkEnd w:id="26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val="en-US"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lang w:val="en-US"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供应商电子签章：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264"/>
    <w:p>
      <w:pPr>
        <w:spacing w:line="360" w:lineRule="auto"/>
        <w:jc w:val="center"/>
        <w:outlineLvl w:val="1"/>
        <w:rPr>
          <w:rFonts w:asciiTheme="minorEastAsia" w:hAnsiTheme="minorEastAsia" w:eastAsiaTheme="minorEastAsia"/>
          <w:b/>
          <w:color w:val="auto"/>
          <w:sz w:val="24"/>
          <w:highlight w:val="none"/>
        </w:rPr>
      </w:pPr>
      <w:bookmarkStart w:id="265" w:name="_Toc3826"/>
      <w:bookmarkStart w:id="266" w:name="_Toc7807"/>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、其他相关证明材料</w:t>
      </w:r>
      <w:bookmarkEnd w:id="265"/>
      <w:bookmarkEnd w:id="266"/>
    </w:p>
    <w:p>
      <w:pPr>
        <w:tabs>
          <w:tab w:val="left" w:pos="4620"/>
        </w:tabs>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rPr>
        <w:t>提供符合磋商邀请、采购需求及评审方法和标准规定的相关证明文件。</w:t>
      </w:r>
    </w:p>
    <w:p>
      <w:pPr>
        <w:spacing w:line="360" w:lineRule="auto"/>
        <w:ind w:firstLine="435"/>
        <w:rPr>
          <w:rFonts w:asciiTheme="minorEastAsia" w:hAnsiTheme="minorEastAsia" w:eastAsiaTheme="minorEastAsia"/>
          <w:color w:val="auto"/>
          <w:sz w:val="24"/>
          <w:highlight w:val="none"/>
        </w:rPr>
      </w:pP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供应商在响应文件制作时可在此栏内上传磋商文件要求上传的证明资料，如营业执照</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证书等，应将上述证明材料制作成扫描件上传。</w:t>
      </w:r>
    </w:p>
    <w:p>
      <w:pPr>
        <w:spacing w:line="360" w:lineRule="auto"/>
        <w:jc w:val="center"/>
        <w:rPr>
          <w:rFonts w:asciiTheme="minorEastAsia" w:hAnsiTheme="minorEastAsia" w:eastAsiaTheme="minorEastAsia"/>
          <w:b/>
          <w:color w:val="auto"/>
          <w:sz w:val="24"/>
          <w:highlight w:val="none"/>
        </w:rPr>
      </w:pPr>
    </w:p>
    <w:p>
      <w:pPr>
        <w:widowControl/>
        <w:jc w:val="left"/>
        <w:rPr>
          <w:rFonts w:ascii="宋体" w:hAnsi="宋体" w:eastAsia="宋体"/>
          <w:bCs/>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67" w:name="_Toc63440924"/>
      <w:bookmarkStart w:id="268" w:name="_Toc19418"/>
      <w:r>
        <w:rPr>
          <w:rFonts w:hint="eastAsia" w:ascii="宋体" w:hAnsi="宋体" w:eastAsia="宋体"/>
          <w:b/>
          <w:bCs/>
          <w:color w:val="auto"/>
          <w:sz w:val="28"/>
          <w:highlight w:val="none"/>
        </w:rPr>
        <w:t>第</w:t>
      </w:r>
      <w:r>
        <w:rPr>
          <w:rFonts w:hint="eastAsia" w:ascii="宋体" w:hAnsi="宋体" w:eastAsia="宋体"/>
          <w:b/>
          <w:bCs/>
          <w:color w:val="auto"/>
          <w:sz w:val="28"/>
          <w:highlight w:val="none"/>
          <w:lang w:val="en-US" w:eastAsia="zh-CN"/>
        </w:rPr>
        <w:t>七</w:t>
      </w:r>
      <w:r>
        <w:rPr>
          <w:rFonts w:hint="eastAsia" w:ascii="宋体" w:hAnsi="宋体" w:eastAsia="宋体"/>
          <w:b/>
          <w:bCs/>
          <w:color w:val="auto"/>
          <w:sz w:val="28"/>
          <w:highlight w:val="none"/>
        </w:rPr>
        <w:t>章  政府采购</w:t>
      </w:r>
      <w:bookmarkEnd w:id="267"/>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68"/>
    </w:p>
    <w:p>
      <w:pPr>
        <w:spacing w:line="360" w:lineRule="auto"/>
        <w:jc w:val="center"/>
        <w:outlineLvl w:val="1"/>
        <w:rPr>
          <w:rFonts w:ascii="仿宋" w:hAnsi="仿宋" w:eastAsia="仿宋" w:cs="仿宋"/>
          <w:b/>
          <w:bCs/>
          <w:color w:val="auto"/>
          <w:sz w:val="32"/>
          <w:szCs w:val="44"/>
          <w:highlight w:val="none"/>
        </w:rPr>
      </w:pPr>
      <w:bookmarkStart w:id="269" w:name="_Toc8735"/>
      <w:bookmarkStart w:id="270" w:name="_Toc2142"/>
      <w:r>
        <w:rPr>
          <w:rFonts w:hint="eastAsia" w:ascii="仿宋" w:hAnsi="仿宋" w:eastAsia="仿宋" w:cs="仿宋"/>
          <w:b/>
          <w:bCs/>
          <w:color w:val="auto"/>
          <w:sz w:val="32"/>
          <w:szCs w:val="44"/>
          <w:highlight w:val="none"/>
        </w:rPr>
        <w:t>询问函范本</w:t>
      </w:r>
      <w:bookmarkEnd w:id="269"/>
      <w:bookmarkEnd w:id="27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val="en-US"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i/>
          <w:iCs/>
          <w:color w:val="auto"/>
          <w:sz w:val="24"/>
          <w:szCs w:val="24"/>
          <w:u w:val="none"/>
          <w:lang w:val="en-US" w:eastAsia="zh-CN"/>
        </w:rPr>
        <w:t>（</w:t>
      </w:r>
      <w:r>
        <w:rPr>
          <w:rFonts w:hint="eastAsia" w:cs="仿宋" w:asciiTheme="minorEastAsia" w:hAnsiTheme="minorEastAsia" w:eastAsiaTheme="minorEastAsia"/>
          <w:i/>
          <w:iCs/>
          <w:color w:val="auto"/>
          <w:sz w:val="24"/>
          <w:szCs w:val="24"/>
          <w:u w:val="none"/>
        </w:rPr>
        <w:t>项目</w:t>
      </w:r>
      <w:r>
        <w:rPr>
          <w:rFonts w:hint="eastAsia" w:cs="仿宋" w:asciiTheme="minorEastAsia" w:hAnsiTheme="minorEastAsia" w:eastAsiaTheme="minorEastAsia"/>
          <w:i/>
          <w:iCs/>
          <w:color w:val="auto"/>
          <w:sz w:val="24"/>
          <w:szCs w:val="24"/>
          <w:u w:val="none"/>
          <w:lang w:val="en-US" w:eastAsia="zh-CN"/>
        </w:rPr>
        <w:t>名称、</w:t>
      </w:r>
      <w:r>
        <w:rPr>
          <w:rFonts w:hint="eastAsia" w:cs="仿宋" w:asciiTheme="minorEastAsia" w:hAnsiTheme="minorEastAsia" w:eastAsiaTheme="minorEastAsia"/>
          <w:i/>
          <w:iCs/>
          <w:color w:val="auto"/>
          <w:sz w:val="24"/>
          <w:szCs w:val="24"/>
          <w:u w:val="none"/>
        </w:rPr>
        <w:t>编号)</w:t>
      </w:r>
      <w:r>
        <w:rPr>
          <w:rFonts w:hint="eastAsia" w:cs="仿宋" w:asciiTheme="minorEastAsia" w:hAnsiTheme="minorEastAsia" w:eastAsiaTheme="minorEastAsia"/>
          <w:color w:val="auto"/>
          <w:sz w:val="24"/>
          <w:szCs w:val="24"/>
        </w:rPr>
        <w:t>的采购活动，现有以下内容(或条款)存在疑问(或无法理解)，</w:t>
      </w:r>
      <w:r>
        <w:rPr>
          <w:rFonts w:hint="eastAsia" w:cs="仿宋" w:asciiTheme="minorEastAsia" w:hAnsiTheme="minorEastAsia" w:eastAsiaTheme="minorEastAsia"/>
          <w:color w:val="auto"/>
          <w:sz w:val="24"/>
          <w:szCs w:val="24"/>
          <w:highlight w:val="none"/>
        </w:rPr>
        <w:t>特提出询问。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71" w:name="_Toc26386"/>
      <w:bookmarkStart w:id="272" w:name="_Toc9092"/>
      <w:r>
        <w:rPr>
          <w:rFonts w:hint="eastAsia" w:cs="仿宋" w:asciiTheme="minorEastAsia" w:hAnsiTheme="minorEastAsia" w:eastAsiaTheme="minorEastAsia"/>
          <w:color w:val="auto"/>
          <w:sz w:val="24"/>
          <w:szCs w:val="24"/>
          <w:highlight w:val="none"/>
        </w:rPr>
        <w:t>一、(事项一)</w:t>
      </w:r>
      <w:bookmarkEnd w:id="271"/>
      <w:bookmarkEnd w:id="27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273" w:name="_Toc17582"/>
      <w:bookmarkStart w:id="274" w:name="_Toc9273"/>
      <w:r>
        <w:rPr>
          <w:rFonts w:hint="eastAsia" w:cs="仿宋" w:asciiTheme="minorEastAsia" w:hAnsiTheme="minorEastAsia" w:eastAsiaTheme="minorEastAsia"/>
          <w:color w:val="auto"/>
          <w:sz w:val="24"/>
          <w:szCs w:val="24"/>
          <w:highlight w:val="none"/>
        </w:rPr>
        <w:t>二、(事项二)</w:t>
      </w:r>
      <w:bookmarkEnd w:id="273"/>
      <w:bookmarkEnd w:id="274"/>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75" w:name="_Toc26673"/>
      <w:bookmarkStart w:id="276" w:name="_Toc6990"/>
      <w:r>
        <w:rPr>
          <w:rFonts w:hint="eastAsia" w:ascii="仿宋" w:hAnsi="仿宋" w:eastAsia="仿宋" w:cs="仿宋"/>
          <w:b/>
          <w:bCs/>
          <w:color w:val="auto"/>
          <w:sz w:val="32"/>
          <w:szCs w:val="44"/>
          <w:highlight w:val="none"/>
        </w:rPr>
        <w:t>质疑函范本</w:t>
      </w:r>
      <w:bookmarkEnd w:id="275"/>
      <w:bookmarkEnd w:id="276"/>
    </w:p>
    <w:p>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277" w:name="_Toc2994"/>
      <w:bookmarkStart w:id="278" w:name="_Toc29510"/>
      <w:r>
        <w:rPr>
          <w:rFonts w:hint="eastAsia" w:cs="仿宋" w:asciiTheme="minorEastAsia" w:hAnsiTheme="minorEastAsia" w:eastAsiaTheme="minorEastAsia"/>
          <w:b/>
          <w:bCs/>
          <w:color w:val="auto"/>
          <w:sz w:val="24"/>
          <w:szCs w:val="24"/>
          <w:highlight w:val="none"/>
        </w:rPr>
        <w:t>一、质疑供应商基本信息</w:t>
      </w:r>
      <w:bookmarkEnd w:id="277"/>
      <w:bookmarkEnd w:id="27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79" w:name="_Toc31042"/>
      <w:bookmarkStart w:id="280" w:name="_Toc28130"/>
      <w:r>
        <w:rPr>
          <w:rFonts w:hint="eastAsia" w:cs="仿宋" w:asciiTheme="minorEastAsia" w:hAnsiTheme="minorEastAsia" w:eastAsiaTheme="minorEastAsia"/>
          <w:b/>
          <w:bCs/>
          <w:color w:val="auto"/>
          <w:sz w:val="24"/>
          <w:szCs w:val="24"/>
          <w:highlight w:val="none"/>
        </w:rPr>
        <w:t>二、质疑项目基本情况</w:t>
      </w:r>
      <w:bookmarkEnd w:id="279"/>
      <w:bookmarkEnd w:id="280"/>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81" w:name="_Toc20587"/>
      <w:bookmarkStart w:id="282" w:name="_Toc6486"/>
      <w:r>
        <w:rPr>
          <w:rFonts w:hint="eastAsia" w:cs="仿宋" w:asciiTheme="minorEastAsia" w:hAnsiTheme="minorEastAsia" w:eastAsiaTheme="minorEastAsia"/>
          <w:b/>
          <w:bCs/>
          <w:color w:val="auto"/>
          <w:sz w:val="24"/>
          <w:szCs w:val="24"/>
          <w:highlight w:val="none"/>
        </w:rPr>
        <w:t>三、质疑事项具体内容</w:t>
      </w:r>
      <w:bookmarkEnd w:id="281"/>
      <w:bookmarkEnd w:id="282"/>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283" w:name="_Toc20470"/>
      <w:bookmarkStart w:id="284" w:name="_Toc32755"/>
      <w:r>
        <w:rPr>
          <w:rFonts w:hint="eastAsia" w:cs="仿宋" w:asciiTheme="minorEastAsia" w:hAnsiTheme="minorEastAsia" w:eastAsiaTheme="minorEastAsia"/>
          <w:b/>
          <w:bCs/>
          <w:color w:val="auto"/>
          <w:sz w:val="24"/>
          <w:szCs w:val="24"/>
          <w:highlight w:val="none"/>
        </w:rPr>
        <w:t>四、与质疑事项相关的质疑请求</w:t>
      </w:r>
      <w:bookmarkEnd w:id="283"/>
      <w:bookmarkEnd w:id="284"/>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85" w:name="_Toc21667"/>
      <w:bookmarkStart w:id="286" w:name="_Toc8368"/>
      <w:r>
        <w:rPr>
          <w:rFonts w:hint="eastAsia" w:asciiTheme="minorEastAsia" w:hAnsiTheme="minorEastAsia" w:eastAsiaTheme="minorEastAsia"/>
          <w:b/>
          <w:color w:val="auto"/>
          <w:sz w:val="28"/>
          <w:szCs w:val="32"/>
          <w:highlight w:val="none"/>
        </w:rPr>
        <w:t>质疑函制作说明：</w:t>
      </w:r>
      <w:bookmarkEnd w:id="285"/>
      <w:bookmarkEnd w:id="28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Microsoft YaHei UI">
    <w:panose1 w:val="020B0503020204020204"/>
    <w:charset w:val="86"/>
    <w:family w:val="auto"/>
    <w:pitch w:val="default"/>
    <w:sig w:usb0="80000287" w:usb1="2ACF3C5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Theme="minorEastAsia" w:hAnsiTheme="minorEastAsia" w:eastAsiaTheme="minorEastAsia"/>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posOffset>2157730</wp:posOffset>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9.9pt;margin-top:0pt;height:144pt;width:144pt;mso-position-horizontal-relative:margin;mso-wrap-style:none;z-index:251660288;mso-width-relative:page;mso-height-relative:page;" filled="f" stroked="f" coordsize="21600,21600" o:gfxdata="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FcAboDVAAAACAEAAA8AAAAAAAAAAQAgAAAAIgAAAGRycy9kb3ducmV2LnhtbFBL&#10;AQIUABQAAAAIAIdO4kC6jDgrMgIAAGEEAAAOAAAAAAAAAAEAIAAAACQBAABkcnMvZTJvRG9jLnht&#10;bFBLBQYAAAAABgAGAFkBAADIBQAAAAA=&#10;">
              <v:fill on="f" focussize="0,0"/>
              <v:stroke on="f" weight="0.5pt"/>
              <v:imagedata o:title=""/>
              <o:lock v:ext="edit" aspectratio="f"/>
              <v:textbox inset="0mm,0mm,0mm,0mm" style="mso-fit-shape-to-text:t;">
                <w:txbxContent>
                  <w:p>
                    <w:pPr>
                      <w:pStyle w:val="13"/>
                      <w:rPr>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54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服务类</w:t>
    </w:r>
    <w:r>
      <w:rPr>
        <w:rFonts w:hint="eastAsia" w:asciiTheme="minorEastAsia" w:hAnsiTheme="minorEastAsia" w:eastAsiaTheme="minorEastAsia"/>
        <w:lang w:eastAsia="zh-CN"/>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1MDdmYTBjM2ViZGYxM2E0NGE5ZWVlZjI5ZjI1ZTgifQ=="/>
  </w:docVars>
  <w:rsids>
    <w:rsidRoot w:val="00276BA1"/>
    <w:rsid w:val="0000043F"/>
    <w:rsid w:val="000037F9"/>
    <w:rsid w:val="000049DA"/>
    <w:rsid w:val="00005403"/>
    <w:rsid w:val="000056B7"/>
    <w:rsid w:val="00007D87"/>
    <w:rsid w:val="000131F7"/>
    <w:rsid w:val="00014039"/>
    <w:rsid w:val="00016B6C"/>
    <w:rsid w:val="00020B57"/>
    <w:rsid w:val="00020B6D"/>
    <w:rsid w:val="000323E2"/>
    <w:rsid w:val="00040C25"/>
    <w:rsid w:val="00042139"/>
    <w:rsid w:val="00042B14"/>
    <w:rsid w:val="00044F49"/>
    <w:rsid w:val="000450C3"/>
    <w:rsid w:val="00050A3F"/>
    <w:rsid w:val="00052F95"/>
    <w:rsid w:val="00054AA3"/>
    <w:rsid w:val="00056ECB"/>
    <w:rsid w:val="00057B40"/>
    <w:rsid w:val="000648D2"/>
    <w:rsid w:val="00070E0E"/>
    <w:rsid w:val="0007146E"/>
    <w:rsid w:val="00076DB7"/>
    <w:rsid w:val="00080FEB"/>
    <w:rsid w:val="00094D41"/>
    <w:rsid w:val="00097CB9"/>
    <w:rsid w:val="000A0161"/>
    <w:rsid w:val="000A10A9"/>
    <w:rsid w:val="000A6693"/>
    <w:rsid w:val="000A7970"/>
    <w:rsid w:val="000A7D94"/>
    <w:rsid w:val="000B1511"/>
    <w:rsid w:val="000B6249"/>
    <w:rsid w:val="000C1DB1"/>
    <w:rsid w:val="000D19EC"/>
    <w:rsid w:val="000D3F37"/>
    <w:rsid w:val="000E3C74"/>
    <w:rsid w:val="000E3F9B"/>
    <w:rsid w:val="000E478E"/>
    <w:rsid w:val="000E6689"/>
    <w:rsid w:val="000F0EBF"/>
    <w:rsid w:val="000F172B"/>
    <w:rsid w:val="000F2198"/>
    <w:rsid w:val="000F39B6"/>
    <w:rsid w:val="000F3A94"/>
    <w:rsid w:val="000F6B7B"/>
    <w:rsid w:val="000F6F95"/>
    <w:rsid w:val="0010021F"/>
    <w:rsid w:val="00100B0F"/>
    <w:rsid w:val="0010187C"/>
    <w:rsid w:val="0010219C"/>
    <w:rsid w:val="001037E3"/>
    <w:rsid w:val="00107022"/>
    <w:rsid w:val="0011660B"/>
    <w:rsid w:val="0012143A"/>
    <w:rsid w:val="0012203E"/>
    <w:rsid w:val="001258BA"/>
    <w:rsid w:val="00130601"/>
    <w:rsid w:val="00132F4D"/>
    <w:rsid w:val="00133EA0"/>
    <w:rsid w:val="00137249"/>
    <w:rsid w:val="00140687"/>
    <w:rsid w:val="00146421"/>
    <w:rsid w:val="00153B20"/>
    <w:rsid w:val="00155F64"/>
    <w:rsid w:val="00157856"/>
    <w:rsid w:val="00160729"/>
    <w:rsid w:val="0016455F"/>
    <w:rsid w:val="00165398"/>
    <w:rsid w:val="00166794"/>
    <w:rsid w:val="00166ED8"/>
    <w:rsid w:val="001714C9"/>
    <w:rsid w:val="00171515"/>
    <w:rsid w:val="00172B93"/>
    <w:rsid w:val="001768BC"/>
    <w:rsid w:val="0018119B"/>
    <w:rsid w:val="001844AB"/>
    <w:rsid w:val="001853C7"/>
    <w:rsid w:val="00192879"/>
    <w:rsid w:val="001944B8"/>
    <w:rsid w:val="001967D2"/>
    <w:rsid w:val="00196DA3"/>
    <w:rsid w:val="001970C3"/>
    <w:rsid w:val="001971E5"/>
    <w:rsid w:val="001A0C0F"/>
    <w:rsid w:val="001A68E5"/>
    <w:rsid w:val="001B2A54"/>
    <w:rsid w:val="001B2BA4"/>
    <w:rsid w:val="001B5014"/>
    <w:rsid w:val="001B7327"/>
    <w:rsid w:val="001C2A15"/>
    <w:rsid w:val="001D22EA"/>
    <w:rsid w:val="001D53B4"/>
    <w:rsid w:val="001E1835"/>
    <w:rsid w:val="001F28D2"/>
    <w:rsid w:val="001F2F45"/>
    <w:rsid w:val="001F3023"/>
    <w:rsid w:val="001F35F6"/>
    <w:rsid w:val="001F4AAF"/>
    <w:rsid w:val="001F74CA"/>
    <w:rsid w:val="001F7590"/>
    <w:rsid w:val="002003B6"/>
    <w:rsid w:val="0020244A"/>
    <w:rsid w:val="002049B4"/>
    <w:rsid w:val="0020520B"/>
    <w:rsid w:val="002076AD"/>
    <w:rsid w:val="00213C55"/>
    <w:rsid w:val="00223CF4"/>
    <w:rsid w:val="00224B69"/>
    <w:rsid w:val="00224C4A"/>
    <w:rsid w:val="00231187"/>
    <w:rsid w:val="0023407E"/>
    <w:rsid w:val="00240B40"/>
    <w:rsid w:val="00244182"/>
    <w:rsid w:val="002544A1"/>
    <w:rsid w:val="00257ECE"/>
    <w:rsid w:val="00260382"/>
    <w:rsid w:val="00260B94"/>
    <w:rsid w:val="00264F2E"/>
    <w:rsid w:val="00271245"/>
    <w:rsid w:val="00272BD6"/>
    <w:rsid w:val="00273F66"/>
    <w:rsid w:val="00274A9E"/>
    <w:rsid w:val="00276BA1"/>
    <w:rsid w:val="00280984"/>
    <w:rsid w:val="002832CF"/>
    <w:rsid w:val="00283599"/>
    <w:rsid w:val="002835E3"/>
    <w:rsid w:val="00284542"/>
    <w:rsid w:val="002A14D1"/>
    <w:rsid w:val="002A1A1D"/>
    <w:rsid w:val="002A28AD"/>
    <w:rsid w:val="002B04FD"/>
    <w:rsid w:val="002B5318"/>
    <w:rsid w:val="002B6D27"/>
    <w:rsid w:val="002B7A09"/>
    <w:rsid w:val="002C060C"/>
    <w:rsid w:val="002C078A"/>
    <w:rsid w:val="002D05DD"/>
    <w:rsid w:val="002D0E4D"/>
    <w:rsid w:val="002D2965"/>
    <w:rsid w:val="002D3D02"/>
    <w:rsid w:val="002D4CB5"/>
    <w:rsid w:val="002D5900"/>
    <w:rsid w:val="002D684B"/>
    <w:rsid w:val="002E2D3A"/>
    <w:rsid w:val="002E3B26"/>
    <w:rsid w:val="002E4AB8"/>
    <w:rsid w:val="002E7FC4"/>
    <w:rsid w:val="00310070"/>
    <w:rsid w:val="0031081B"/>
    <w:rsid w:val="003110EC"/>
    <w:rsid w:val="00314289"/>
    <w:rsid w:val="003206A6"/>
    <w:rsid w:val="0032560D"/>
    <w:rsid w:val="00327C92"/>
    <w:rsid w:val="00333292"/>
    <w:rsid w:val="003344E7"/>
    <w:rsid w:val="0033580B"/>
    <w:rsid w:val="003365E7"/>
    <w:rsid w:val="003378D5"/>
    <w:rsid w:val="003473D7"/>
    <w:rsid w:val="00351995"/>
    <w:rsid w:val="00351AC8"/>
    <w:rsid w:val="00353075"/>
    <w:rsid w:val="00363E02"/>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B25A5"/>
    <w:rsid w:val="003B4130"/>
    <w:rsid w:val="003B6FA1"/>
    <w:rsid w:val="003B715B"/>
    <w:rsid w:val="003C2C62"/>
    <w:rsid w:val="003C5566"/>
    <w:rsid w:val="003C577A"/>
    <w:rsid w:val="003C7C74"/>
    <w:rsid w:val="003D1D14"/>
    <w:rsid w:val="003D6C7C"/>
    <w:rsid w:val="003D6EFB"/>
    <w:rsid w:val="003D7E52"/>
    <w:rsid w:val="003E25C6"/>
    <w:rsid w:val="003F7528"/>
    <w:rsid w:val="004011AA"/>
    <w:rsid w:val="0040202C"/>
    <w:rsid w:val="00404A8F"/>
    <w:rsid w:val="00406508"/>
    <w:rsid w:val="004110F6"/>
    <w:rsid w:val="004134F8"/>
    <w:rsid w:val="0041456E"/>
    <w:rsid w:val="004148E3"/>
    <w:rsid w:val="00414F7E"/>
    <w:rsid w:val="004164F8"/>
    <w:rsid w:val="00422224"/>
    <w:rsid w:val="00426F05"/>
    <w:rsid w:val="004328E1"/>
    <w:rsid w:val="004427B7"/>
    <w:rsid w:val="0044349F"/>
    <w:rsid w:val="00445F1F"/>
    <w:rsid w:val="00447862"/>
    <w:rsid w:val="00451F60"/>
    <w:rsid w:val="00452BB2"/>
    <w:rsid w:val="00456054"/>
    <w:rsid w:val="0045656D"/>
    <w:rsid w:val="00462D98"/>
    <w:rsid w:val="00463E7D"/>
    <w:rsid w:val="00472A44"/>
    <w:rsid w:val="00473A89"/>
    <w:rsid w:val="00475899"/>
    <w:rsid w:val="00482C78"/>
    <w:rsid w:val="00483ABC"/>
    <w:rsid w:val="0048634A"/>
    <w:rsid w:val="004874AE"/>
    <w:rsid w:val="0049056F"/>
    <w:rsid w:val="00492217"/>
    <w:rsid w:val="00494D24"/>
    <w:rsid w:val="004951D1"/>
    <w:rsid w:val="004960BB"/>
    <w:rsid w:val="004A1BA3"/>
    <w:rsid w:val="004A27D0"/>
    <w:rsid w:val="004A4D67"/>
    <w:rsid w:val="004B7E79"/>
    <w:rsid w:val="004C13CB"/>
    <w:rsid w:val="004C1AAB"/>
    <w:rsid w:val="004C5B90"/>
    <w:rsid w:val="004D3D4B"/>
    <w:rsid w:val="004D5498"/>
    <w:rsid w:val="004D66A5"/>
    <w:rsid w:val="004D6B00"/>
    <w:rsid w:val="004E1D50"/>
    <w:rsid w:val="004E3266"/>
    <w:rsid w:val="004E38BA"/>
    <w:rsid w:val="004E50CA"/>
    <w:rsid w:val="004F27A0"/>
    <w:rsid w:val="0050027D"/>
    <w:rsid w:val="00501382"/>
    <w:rsid w:val="005048FB"/>
    <w:rsid w:val="00510563"/>
    <w:rsid w:val="00510798"/>
    <w:rsid w:val="005119B5"/>
    <w:rsid w:val="005125F1"/>
    <w:rsid w:val="00524A11"/>
    <w:rsid w:val="00527768"/>
    <w:rsid w:val="00530EA4"/>
    <w:rsid w:val="005327FB"/>
    <w:rsid w:val="00533251"/>
    <w:rsid w:val="00533FCA"/>
    <w:rsid w:val="005346EF"/>
    <w:rsid w:val="00542F0C"/>
    <w:rsid w:val="005470D4"/>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571E"/>
    <w:rsid w:val="005C1D52"/>
    <w:rsid w:val="005C46AC"/>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3DE2"/>
    <w:rsid w:val="00627601"/>
    <w:rsid w:val="006300D0"/>
    <w:rsid w:val="00632012"/>
    <w:rsid w:val="00634694"/>
    <w:rsid w:val="00636517"/>
    <w:rsid w:val="00636EE7"/>
    <w:rsid w:val="00637690"/>
    <w:rsid w:val="00640E1E"/>
    <w:rsid w:val="0064389A"/>
    <w:rsid w:val="00645442"/>
    <w:rsid w:val="006525CD"/>
    <w:rsid w:val="00653F7F"/>
    <w:rsid w:val="00662DCD"/>
    <w:rsid w:val="00662EE8"/>
    <w:rsid w:val="00663813"/>
    <w:rsid w:val="00664AFD"/>
    <w:rsid w:val="00667567"/>
    <w:rsid w:val="0067391A"/>
    <w:rsid w:val="00674173"/>
    <w:rsid w:val="0067534F"/>
    <w:rsid w:val="00677D87"/>
    <w:rsid w:val="006834FA"/>
    <w:rsid w:val="00690DB1"/>
    <w:rsid w:val="00693404"/>
    <w:rsid w:val="006953D9"/>
    <w:rsid w:val="006A1269"/>
    <w:rsid w:val="006A5803"/>
    <w:rsid w:val="006A69C3"/>
    <w:rsid w:val="006A7C15"/>
    <w:rsid w:val="006B1242"/>
    <w:rsid w:val="006B1DBC"/>
    <w:rsid w:val="006B3712"/>
    <w:rsid w:val="006B7D9A"/>
    <w:rsid w:val="006C06D9"/>
    <w:rsid w:val="006C3E22"/>
    <w:rsid w:val="006C5716"/>
    <w:rsid w:val="006C64B2"/>
    <w:rsid w:val="006C74A9"/>
    <w:rsid w:val="006D07DE"/>
    <w:rsid w:val="006D361A"/>
    <w:rsid w:val="006D6A81"/>
    <w:rsid w:val="006E06D9"/>
    <w:rsid w:val="006E1D40"/>
    <w:rsid w:val="006E2E1F"/>
    <w:rsid w:val="006E5059"/>
    <w:rsid w:val="006F5F03"/>
    <w:rsid w:val="006F5FFF"/>
    <w:rsid w:val="00710804"/>
    <w:rsid w:val="00711FC6"/>
    <w:rsid w:val="00712952"/>
    <w:rsid w:val="007130B1"/>
    <w:rsid w:val="00713487"/>
    <w:rsid w:val="00715071"/>
    <w:rsid w:val="007231E9"/>
    <w:rsid w:val="00724F0E"/>
    <w:rsid w:val="007270A6"/>
    <w:rsid w:val="00727C59"/>
    <w:rsid w:val="00733730"/>
    <w:rsid w:val="00734E5D"/>
    <w:rsid w:val="00736013"/>
    <w:rsid w:val="00737BF8"/>
    <w:rsid w:val="0074339B"/>
    <w:rsid w:val="0074478E"/>
    <w:rsid w:val="00750B60"/>
    <w:rsid w:val="00756245"/>
    <w:rsid w:val="00761662"/>
    <w:rsid w:val="00764043"/>
    <w:rsid w:val="00766A36"/>
    <w:rsid w:val="007757CF"/>
    <w:rsid w:val="007769F6"/>
    <w:rsid w:val="00780F9D"/>
    <w:rsid w:val="0078128F"/>
    <w:rsid w:val="007819D9"/>
    <w:rsid w:val="0078683C"/>
    <w:rsid w:val="00790EDB"/>
    <w:rsid w:val="00791538"/>
    <w:rsid w:val="0079326E"/>
    <w:rsid w:val="00796EDE"/>
    <w:rsid w:val="007A5A58"/>
    <w:rsid w:val="007B1C56"/>
    <w:rsid w:val="007B2EDC"/>
    <w:rsid w:val="007C1DD7"/>
    <w:rsid w:val="007C3CD5"/>
    <w:rsid w:val="007C4756"/>
    <w:rsid w:val="007C5E88"/>
    <w:rsid w:val="007C61EF"/>
    <w:rsid w:val="007C6783"/>
    <w:rsid w:val="007D03DE"/>
    <w:rsid w:val="007D1C0D"/>
    <w:rsid w:val="007D2D23"/>
    <w:rsid w:val="007E1AE9"/>
    <w:rsid w:val="007E27D6"/>
    <w:rsid w:val="007E3921"/>
    <w:rsid w:val="00801028"/>
    <w:rsid w:val="00803793"/>
    <w:rsid w:val="00804000"/>
    <w:rsid w:val="008101A2"/>
    <w:rsid w:val="00817A01"/>
    <w:rsid w:val="00820937"/>
    <w:rsid w:val="00825E35"/>
    <w:rsid w:val="00830A4E"/>
    <w:rsid w:val="008334F8"/>
    <w:rsid w:val="00835FFD"/>
    <w:rsid w:val="0084381F"/>
    <w:rsid w:val="00843E35"/>
    <w:rsid w:val="008524CE"/>
    <w:rsid w:val="00857633"/>
    <w:rsid w:val="0086440C"/>
    <w:rsid w:val="008674ED"/>
    <w:rsid w:val="00874EE6"/>
    <w:rsid w:val="00876659"/>
    <w:rsid w:val="0087734C"/>
    <w:rsid w:val="00882141"/>
    <w:rsid w:val="00886BD4"/>
    <w:rsid w:val="008876EC"/>
    <w:rsid w:val="008922A8"/>
    <w:rsid w:val="00895BD5"/>
    <w:rsid w:val="008A16C4"/>
    <w:rsid w:val="008A4A27"/>
    <w:rsid w:val="008A649F"/>
    <w:rsid w:val="008A6FED"/>
    <w:rsid w:val="008B39C5"/>
    <w:rsid w:val="008B51AA"/>
    <w:rsid w:val="008C67F2"/>
    <w:rsid w:val="008D064A"/>
    <w:rsid w:val="008D2537"/>
    <w:rsid w:val="008D2B0F"/>
    <w:rsid w:val="008D633C"/>
    <w:rsid w:val="008E449E"/>
    <w:rsid w:val="008E4BDD"/>
    <w:rsid w:val="008E770C"/>
    <w:rsid w:val="008F187F"/>
    <w:rsid w:val="008F402F"/>
    <w:rsid w:val="008F76E8"/>
    <w:rsid w:val="00904508"/>
    <w:rsid w:val="009078A1"/>
    <w:rsid w:val="00911E9C"/>
    <w:rsid w:val="00917405"/>
    <w:rsid w:val="00920C1F"/>
    <w:rsid w:val="00920F7C"/>
    <w:rsid w:val="00922718"/>
    <w:rsid w:val="00924743"/>
    <w:rsid w:val="00932A87"/>
    <w:rsid w:val="00934CAE"/>
    <w:rsid w:val="0093560E"/>
    <w:rsid w:val="0094257D"/>
    <w:rsid w:val="009443B6"/>
    <w:rsid w:val="00946F68"/>
    <w:rsid w:val="0095467C"/>
    <w:rsid w:val="00954A61"/>
    <w:rsid w:val="00955C6F"/>
    <w:rsid w:val="00966C7B"/>
    <w:rsid w:val="009701DC"/>
    <w:rsid w:val="009715D8"/>
    <w:rsid w:val="009811A8"/>
    <w:rsid w:val="00991460"/>
    <w:rsid w:val="00995BF9"/>
    <w:rsid w:val="009975CC"/>
    <w:rsid w:val="009A0CAF"/>
    <w:rsid w:val="009A2207"/>
    <w:rsid w:val="009A2D34"/>
    <w:rsid w:val="009A6565"/>
    <w:rsid w:val="009B0EDA"/>
    <w:rsid w:val="009B6C42"/>
    <w:rsid w:val="009D2998"/>
    <w:rsid w:val="009D31F7"/>
    <w:rsid w:val="009D32C2"/>
    <w:rsid w:val="009D50DB"/>
    <w:rsid w:val="009E2932"/>
    <w:rsid w:val="009E3A0A"/>
    <w:rsid w:val="009F1936"/>
    <w:rsid w:val="009F3E91"/>
    <w:rsid w:val="00A008DA"/>
    <w:rsid w:val="00A00C93"/>
    <w:rsid w:val="00A0571E"/>
    <w:rsid w:val="00A13A27"/>
    <w:rsid w:val="00A1499B"/>
    <w:rsid w:val="00A170D8"/>
    <w:rsid w:val="00A30A1B"/>
    <w:rsid w:val="00A311AD"/>
    <w:rsid w:val="00A314C2"/>
    <w:rsid w:val="00A501BF"/>
    <w:rsid w:val="00A519A0"/>
    <w:rsid w:val="00A5274A"/>
    <w:rsid w:val="00A62A2E"/>
    <w:rsid w:val="00A63A4D"/>
    <w:rsid w:val="00A63E86"/>
    <w:rsid w:val="00A67AF7"/>
    <w:rsid w:val="00A75185"/>
    <w:rsid w:val="00A754A0"/>
    <w:rsid w:val="00A757C3"/>
    <w:rsid w:val="00A75E5B"/>
    <w:rsid w:val="00A75F4B"/>
    <w:rsid w:val="00A7684A"/>
    <w:rsid w:val="00A83B69"/>
    <w:rsid w:val="00A86533"/>
    <w:rsid w:val="00A91CA2"/>
    <w:rsid w:val="00A92FB8"/>
    <w:rsid w:val="00A948F1"/>
    <w:rsid w:val="00AA0BE3"/>
    <w:rsid w:val="00AA18F9"/>
    <w:rsid w:val="00AA1D7D"/>
    <w:rsid w:val="00AA2790"/>
    <w:rsid w:val="00AA3806"/>
    <w:rsid w:val="00AB139D"/>
    <w:rsid w:val="00AB2A35"/>
    <w:rsid w:val="00AB2D05"/>
    <w:rsid w:val="00AB3EFB"/>
    <w:rsid w:val="00AC0B05"/>
    <w:rsid w:val="00AC1962"/>
    <w:rsid w:val="00AC7F9D"/>
    <w:rsid w:val="00AD079A"/>
    <w:rsid w:val="00AD1890"/>
    <w:rsid w:val="00AE2149"/>
    <w:rsid w:val="00AE2BF3"/>
    <w:rsid w:val="00AE33AE"/>
    <w:rsid w:val="00AE3986"/>
    <w:rsid w:val="00AE3F91"/>
    <w:rsid w:val="00AF5B63"/>
    <w:rsid w:val="00B0053D"/>
    <w:rsid w:val="00B01176"/>
    <w:rsid w:val="00B039E3"/>
    <w:rsid w:val="00B06D36"/>
    <w:rsid w:val="00B12BC4"/>
    <w:rsid w:val="00B22838"/>
    <w:rsid w:val="00B33E8F"/>
    <w:rsid w:val="00B33E95"/>
    <w:rsid w:val="00B3720B"/>
    <w:rsid w:val="00B45D0B"/>
    <w:rsid w:val="00B52FA0"/>
    <w:rsid w:val="00B5558A"/>
    <w:rsid w:val="00B56513"/>
    <w:rsid w:val="00B61B64"/>
    <w:rsid w:val="00B631E4"/>
    <w:rsid w:val="00B64376"/>
    <w:rsid w:val="00B6570C"/>
    <w:rsid w:val="00B6790B"/>
    <w:rsid w:val="00B7401F"/>
    <w:rsid w:val="00B769CF"/>
    <w:rsid w:val="00B806C3"/>
    <w:rsid w:val="00B80D6F"/>
    <w:rsid w:val="00B84FCA"/>
    <w:rsid w:val="00B9089F"/>
    <w:rsid w:val="00B91826"/>
    <w:rsid w:val="00B91AEE"/>
    <w:rsid w:val="00B95F5A"/>
    <w:rsid w:val="00B96EAD"/>
    <w:rsid w:val="00BA4962"/>
    <w:rsid w:val="00BA4B7C"/>
    <w:rsid w:val="00BA79F5"/>
    <w:rsid w:val="00BA7EA7"/>
    <w:rsid w:val="00BB2E28"/>
    <w:rsid w:val="00BB3AB6"/>
    <w:rsid w:val="00BB766D"/>
    <w:rsid w:val="00BC007B"/>
    <w:rsid w:val="00BC1715"/>
    <w:rsid w:val="00BC26BA"/>
    <w:rsid w:val="00BC35F8"/>
    <w:rsid w:val="00BC481B"/>
    <w:rsid w:val="00BD08DF"/>
    <w:rsid w:val="00BD2D29"/>
    <w:rsid w:val="00BD617C"/>
    <w:rsid w:val="00BE782C"/>
    <w:rsid w:val="00BF376F"/>
    <w:rsid w:val="00BF46A6"/>
    <w:rsid w:val="00BF6CAD"/>
    <w:rsid w:val="00BF71FB"/>
    <w:rsid w:val="00C04DBF"/>
    <w:rsid w:val="00C05E4C"/>
    <w:rsid w:val="00C06545"/>
    <w:rsid w:val="00C134AF"/>
    <w:rsid w:val="00C220FC"/>
    <w:rsid w:val="00C24DFA"/>
    <w:rsid w:val="00C24F9D"/>
    <w:rsid w:val="00C30182"/>
    <w:rsid w:val="00C31FC9"/>
    <w:rsid w:val="00C37A63"/>
    <w:rsid w:val="00C42248"/>
    <w:rsid w:val="00C46A36"/>
    <w:rsid w:val="00C47037"/>
    <w:rsid w:val="00C50235"/>
    <w:rsid w:val="00C509E3"/>
    <w:rsid w:val="00C53625"/>
    <w:rsid w:val="00C548BA"/>
    <w:rsid w:val="00C5679D"/>
    <w:rsid w:val="00C57784"/>
    <w:rsid w:val="00C602C1"/>
    <w:rsid w:val="00C63FC0"/>
    <w:rsid w:val="00C66392"/>
    <w:rsid w:val="00C7075D"/>
    <w:rsid w:val="00C73D09"/>
    <w:rsid w:val="00C74895"/>
    <w:rsid w:val="00C74C5E"/>
    <w:rsid w:val="00C82558"/>
    <w:rsid w:val="00C827A2"/>
    <w:rsid w:val="00C82B69"/>
    <w:rsid w:val="00C82C8E"/>
    <w:rsid w:val="00C82CB3"/>
    <w:rsid w:val="00C91B28"/>
    <w:rsid w:val="00C91F3A"/>
    <w:rsid w:val="00C93590"/>
    <w:rsid w:val="00CA31EA"/>
    <w:rsid w:val="00CA5446"/>
    <w:rsid w:val="00CB14E5"/>
    <w:rsid w:val="00CB218D"/>
    <w:rsid w:val="00CB5625"/>
    <w:rsid w:val="00CB5797"/>
    <w:rsid w:val="00CC1C17"/>
    <w:rsid w:val="00CC4F7F"/>
    <w:rsid w:val="00CC5D70"/>
    <w:rsid w:val="00CD09E1"/>
    <w:rsid w:val="00CE1780"/>
    <w:rsid w:val="00CE4913"/>
    <w:rsid w:val="00CE66BD"/>
    <w:rsid w:val="00CF0671"/>
    <w:rsid w:val="00CF247A"/>
    <w:rsid w:val="00CF44AD"/>
    <w:rsid w:val="00CF4D7C"/>
    <w:rsid w:val="00CF4FC0"/>
    <w:rsid w:val="00CF7486"/>
    <w:rsid w:val="00D00637"/>
    <w:rsid w:val="00D1072F"/>
    <w:rsid w:val="00D108A5"/>
    <w:rsid w:val="00D14585"/>
    <w:rsid w:val="00D153C8"/>
    <w:rsid w:val="00D17F98"/>
    <w:rsid w:val="00D20EFF"/>
    <w:rsid w:val="00D215B9"/>
    <w:rsid w:val="00D31324"/>
    <w:rsid w:val="00D4386E"/>
    <w:rsid w:val="00D51432"/>
    <w:rsid w:val="00D53ED8"/>
    <w:rsid w:val="00D541A0"/>
    <w:rsid w:val="00D64857"/>
    <w:rsid w:val="00D6493A"/>
    <w:rsid w:val="00D649A5"/>
    <w:rsid w:val="00D66833"/>
    <w:rsid w:val="00D67875"/>
    <w:rsid w:val="00D71E86"/>
    <w:rsid w:val="00D731C6"/>
    <w:rsid w:val="00D745C5"/>
    <w:rsid w:val="00D75327"/>
    <w:rsid w:val="00D77D6B"/>
    <w:rsid w:val="00D80C36"/>
    <w:rsid w:val="00D81A32"/>
    <w:rsid w:val="00D86EE1"/>
    <w:rsid w:val="00D95E90"/>
    <w:rsid w:val="00D96126"/>
    <w:rsid w:val="00DA2FD5"/>
    <w:rsid w:val="00DB4B1C"/>
    <w:rsid w:val="00DB5085"/>
    <w:rsid w:val="00DB619F"/>
    <w:rsid w:val="00DB7211"/>
    <w:rsid w:val="00DC1062"/>
    <w:rsid w:val="00DC132C"/>
    <w:rsid w:val="00DC181A"/>
    <w:rsid w:val="00DC5727"/>
    <w:rsid w:val="00DD43F0"/>
    <w:rsid w:val="00DD44DE"/>
    <w:rsid w:val="00DE09AB"/>
    <w:rsid w:val="00DE1DCC"/>
    <w:rsid w:val="00DE352F"/>
    <w:rsid w:val="00DE4A3F"/>
    <w:rsid w:val="00DE5A99"/>
    <w:rsid w:val="00DF4367"/>
    <w:rsid w:val="00DF7291"/>
    <w:rsid w:val="00E0574A"/>
    <w:rsid w:val="00E1243D"/>
    <w:rsid w:val="00E12742"/>
    <w:rsid w:val="00E146D4"/>
    <w:rsid w:val="00E14815"/>
    <w:rsid w:val="00E21D37"/>
    <w:rsid w:val="00E220ED"/>
    <w:rsid w:val="00E22B44"/>
    <w:rsid w:val="00E30ACD"/>
    <w:rsid w:val="00E32735"/>
    <w:rsid w:val="00E34236"/>
    <w:rsid w:val="00E44B88"/>
    <w:rsid w:val="00E60DDB"/>
    <w:rsid w:val="00E65AD9"/>
    <w:rsid w:val="00E66E36"/>
    <w:rsid w:val="00E67F21"/>
    <w:rsid w:val="00E702ED"/>
    <w:rsid w:val="00E709A4"/>
    <w:rsid w:val="00E75917"/>
    <w:rsid w:val="00E772DB"/>
    <w:rsid w:val="00E86012"/>
    <w:rsid w:val="00E860CA"/>
    <w:rsid w:val="00E86BAB"/>
    <w:rsid w:val="00E92962"/>
    <w:rsid w:val="00E94E10"/>
    <w:rsid w:val="00E96743"/>
    <w:rsid w:val="00E96A42"/>
    <w:rsid w:val="00E97497"/>
    <w:rsid w:val="00EA16D5"/>
    <w:rsid w:val="00EA49C5"/>
    <w:rsid w:val="00EA6279"/>
    <w:rsid w:val="00EB5027"/>
    <w:rsid w:val="00EB6C87"/>
    <w:rsid w:val="00EC1836"/>
    <w:rsid w:val="00EC2F6E"/>
    <w:rsid w:val="00EC3990"/>
    <w:rsid w:val="00EC484B"/>
    <w:rsid w:val="00EC7E58"/>
    <w:rsid w:val="00ED15FA"/>
    <w:rsid w:val="00ED5C9F"/>
    <w:rsid w:val="00EE050C"/>
    <w:rsid w:val="00EE2113"/>
    <w:rsid w:val="00EE5730"/>
    <w:rsid w:val="00EE6E9A"/>
    <w:rsid w:val="00EF2AC4"/>
    <w:rsid w:val="00EF397E"/>
    <w:rsid w:val="00F0340C"/>
    <w:rsid w:val="00F06F68"/>
    <w:rsid w:val="00F11241"/>
    <w:rsid w:val="00F15E9D"/>
    <w:rsid w:val="00F23FA7"/>
    <w:rsid w:val="00F24C2D"/>
    <w:rsid w:val="00F27BEC"/>
    <w:rsid w:val="00F27D59"/>
    <w:rsid w:val="00F316E1"/>
    <w:rsid w:val="00F32155"/>
    <w:rsid w:val="00F32A81"/>
    <w:rsid w:val="00F40C82"/>
    <w:rsid w:val="00F4197F"/>
    <w:rsid w:val="00F46998"/>
    <w:rsid w:val="00F5382D"/>
    <w:rsid w:val="00F53D9C"/>
    <w:rsid w:val="00F54195"/>
    <w:rsid w:val="00F5462B"/>
    <w:rsid w:val="00F54653"/>
    <w:rsid w:val="00F54FAC"/>
    <w:rsid w:val="00F569DE"/>
    <w:rsid w:val="00F57205"/>
    <w:rsid w:val="00F634AD"/>
    <w:rsid w:val="00F63677"/>
    <w:rsid w:val="00F70658"/>
    <w:rsid w:val="00F7417E"/>
    <w:rsid w:val="00F75B81"/>
    <w:rsid w:val="00F761CA"/>
    <w:rsid w:val="00F804C4"/>
    <w:rsid w:val="00F80C7E"/>
    <w:rsid w:val="00F82F83"/>
    <w:rsid w:val="00F86097"/>
    <w:rsid w:val="00F90C64"/>
    <w:rsid w:val="00F9210C"/>
    <w:rsid w:val="00F92B30"/>
    <w:rsid w:val="00F933B9"/>
    <w:rsid w:val="00F94674"/>
    <w:rsid w:val="00F94919"/>
    <w:rsid w:val="00F94A59"/>
    <w:rsid w:val="00FA25B6"/>
    <w:rsid w:val="00FA2FAF"/>
    <w:rsid w:val="00FA54F6"/>
    <w:rsid w:val="00FA64B1"/>
    <w:rsid w:val="00FA70F3"/>
    <w:rsid w:val="00FA71CD"/>
    <w:rsid w:val="00FB0453"/>
    <w:rsid w:val="00FB0C07"/>
    <w:rsid w:val="00FB205F"/>
    <w:rsid w:val="00FB298D"/>
    <w:rsid w:val="00FB3171"/>
    <w:rsid w:val="00FB444E"/>
    <w:rsid w:val="00FC1439"/>
    <w:rsid w:val="00FC3F65"/>
    <w:rsid w:val="00FC5007"/>
    <w:rsid w:val="00FC70AD"/>
    <w:rsid w:val="00FC724B"/>
    <w:rsid w:val="00FC7910"/>
    <w:rsid w:val="00FD01E0"/>
    <w:rsid w:val="00FD50FC"/>
    <w:rsid w:val="00FE1627"/>
    <w:rsid w:val="00FE2D4E"/>
    <w:rsid w:val="00FE3F22"/>
    <w:rsid w:val="00FF092F"/>
    <w:rsid w:val="00FF0DA7"/>
    <w:rsid w:val="00FF2B09"/>
    <w:rsid w:val="00FF44E0"/>
    <w:rsid w:val="00FF6C72"/>
    <w:rsid w:val="01722E9F"/>
    <w:rsid w:val="01915CC2"/>
    <w:rsid w:val="02EB0203"/>
    <w:rsid w:val="06AE129F"/>
    <w:rsid w:val="072D20A4"/>
    <w:rsid w:val="073B420D"/>
    <w:rsid w:val="09A909AA"/>
    <w:rsid w:val="0A3D35AB"/>
    <w:rsid w:val="0A542106"/>
    <w:rsid w:val="0A6C4667"/>
    <w:rsid w:val="0BBE711B"/>
    <w:rsid w:val="0BD47173"/>
    <w:rsid w:val="0C1B47F2"/>
    <w:rsid w:val="0C4264AA"/>
    <w:rsid w:val="0C6157E5"/>
    <w:rsid w:val="0DB63633"/>
    <w:rsid w:val="10607C4F"/>
    <w:rsid w:val="106E6418"/>
    <w:rsid w:val="11323C4E"/>
    <w:rsid w:val="12D71D5F"/>
    <w:rsid w:val="151B7FB7"/>
    <w:rsid w:val="167B6427"/>
    <w:rsid w:val="16B27D38"/>
    <w:rsid w:val="1930691F"/>
    <w:rsid w:val="1A6528FE"/>
    <w:rsid w:val="1A835004"/>
    <w:rsid w:val="1BA61F6F"/>
    <w:rsid w:val="1C63029E"/>
    <w:rsid w:val="1C715A71"/>
    <w:rsid w:val="1CC921E7"/>
    <w:rsid w:val="1D1C4205"/>
    <w:rsid w:val="1D444EB6"/>
    <w:rsid w:val="1DA840EB"/>
    <w:rsid w:val="20C16461"/>
    <w:rsid w:val="20FF5536"/>
    <w:rsid w:val="226F2197"/>
    <w:rsid w:val="23146520"/>
    <w:rsid w:val="23585502"/>
    <w:rsid w:val="23596C26"/>
    <w:rsid w:val="24577437"/>
    <w:rsid w:val="262D78EB"/>
    <w:rsid w:val="27CA60F4"/>
    <w:rsid w:val="27E85AF1"/>
    <w:rsid w:val="27F460A8"/>
    <w:rsid w:val="28C929C1"/>
    <w:rsid w:val="295220BC"/>
    <w:rsid w:val="29DA6B0B"/>
    <w:rsid w:val="2A093B18"/>
    <w:rsid w:val="2A8D7B4E"/>
    <w:rsid w:val="2ABD245A"/>
    <w:rsid w:val="2B412386"/>
    <w:rsid w:val="2BB34FD2"/>
    <w:rsid w:val="2CEA687B"/>
    <w:rsid w:val="2D1633EB"/>
    <w:rsid w:val="2DE16C1F"/>
    <w:rsid w:val="2E1B2EA1"/>
    <w:rsid w:val="2E63511A"/>
    <w:rsid w:val="2EB35320"/>
    <w:rsid w:val="2F111D48"/>
    <w:rsid w:val="2F317872"/>
    <w:rsid w:val="2F3F0C54"/>
    <w:rsid w:val="2F4615DA"/>
    <w:rsid w:val="30ED2B9B"/>
    <w:rsid w:val="31197749"/>
    <w:rsid w:val="32691053"/>
    <w:rsid w:val="32A538A5"/>
    <w:rsid w:val="330E360D"/>
    <w:rsid w:val="33B37D2E"/>
    <w:rsid w:val="352620DC"/>
    <w:rsid w:val="35E5310F"/>
    <w:rsid w:val="3661430F"/>
    <w:rsid w:val="369D587E"/>
    <w:rsid w:val="36CF1D5D"/>
    <w:rsid w:val="370F3BF6"/>
    <w:rsid w:val="38AD0855"/>
    <w:rsid w:val="39293004"/>
    <w:rsid w:val="39882115"/>
    <w:rsid w:val="39E10D60"/>
    <w:rsid w:val="3BFC5E74"/>
    <w:rsid w:val="3C0059BB"/>
    <w:rsid w:val="3C5F3E33"/>
    <w:rsid w:val="3F5E4365"/>
    <w:rsid w:val="415470E2"/>
    <w:rsid w:val="41AF5742"/>
    <w:rsid w:val="41BB759E"/>
    <w:rsid w:val="42B740A7"/>
    <w:rsid w:val="4353477A"/>
    <w:rsid w:val="43783307"/>
    <w:rsid w:val="43C05511"/>
    <w:rsid w:val="446B6021"/>
    <w:rsid w:val="45FC7108"/>
    <w:rsid w:val="473A7BED"/>
    <w:rsid w:val="47863A67"/>
    <w:rsid w:val="478F71C4"/>
    <w:rsid w:val="4821786A"/>
    <w:rsid w:val="4825146D"/>
    <w:rsid w:val="4A6169D0"/>
    <w:rsid w:val="4B014864"/>
    <w:rsid w:val="4B954E7C"/>
    <w:rsid w:val="4E6B046C"/>
    <w:rsid w:val="4E707289"/>
    <w:rsid w:val="4E9E4717"/>
    <w:rsid w:val="4EEA3D40"/>
    <w:rsid w:val="4F00728A"/>
    <w:rsid w:val="4F3F6AB1"/>
    <w:rsid w:val="4F5D071B"/>
    <w:rsid w:val="4F9B688F"/>
    <w:rsid w:val="54087D99"/>
    <w:rsid w:val="54A72003"/>
    <w:rsid w:val="56023921"/>
    <w:rsid w:val="5809250B"/>
    <w:rsid w:val="5A3617D9"/>
    <w:rsid w:val="5A7F6B6C"/>
    <w:rsid w:val="5AFB613D"/>
    <w:rsid w:val="5B884B20"/>
    <w:rsid w:val="5BC0556E"/>
    <w:rsid w:val="5BC81C40"/>
    <w:rsid w:val="5DA327CA"/>
    <w:rsid w:val="5FD74633"/>
    <w:rsid w:val="60E412C0"/>
    <w:rsid w:val="61E323AE"/>
    <w:rsid w:val="623331AC"/>
    <w:rsid w:val="625772C4"/>
    <w:rsid w:val="636F3034"/>
    <w:rsid w:val="650516A8"/>
    <w:rsid w:val="65330581"/>
    <w:rsid w:val="65830E72"/>
    <w:rsid w:val="66E81280"/>
    <w:rsid w:val="69110DD3"/>
    <w:rsid w:val="691D526F"/>
    <w:rsid w:val="69676D3F"/>
    <w:rsid w:val="6A2E3597"/>
    <w:rsid w:val="6C8D150C"/>
    <w:rsid w:val="6CE35249"/>
    <w:rsid w:val="6E39711A"/>
    <w:rsid w:val="6E997D6C"/>
    <w:rsid w:val="6EF616F6"/>
    <w:rsid w:val="6F5D575B"/>
    <w:rsid w:val="71467526"/>
    <w:rsid w:val="74FC2405"/>
    <w:rsid w:val="754058DD"/>
    <w:rsid w:val="771A04F8"/>
    <w:rsid w:val="784A4B73"/>
    <w:rsid w:val="786924FD"/>
    <w:rsid w:val="799B26EC"/>
    <w:rsid w:val="7A5B3FA8"/>
    <w:rsid w:val="7BA174E1"/>
    <w:rsid w:val="7BC04FC3"/>
    <w:rsid w:val="7CA72746"/>
    <w:rsid w:val="7DC33C3F"/>
    <w:rsid w:val="7EA81A90"/>
    <w:rsid w:val="7F2B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5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55"/>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60"/>
    <w:autoRedefine/>
    <w:qFormat/>
    <w:uiPriority w:val="0"/>
    <w:pPr>
      <w:keepNext/>
      <w:keepLines/>
      <w:spacing w:before="280" w:after="290" w:line="376" w:lineRule="auto"/>
      <w:outlineLvl w:val="3"/>
    </w:pPr>
    <w:rPr>
      <w:b/>
      <w:bCs/>
      <w:sz w:val="28"/>
      <w:szCs w:val="28"/>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6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52"/>
    <w:autoRedefine/>
    <w:qFormat/>
    <w:uiPriority w:val="0"/>
    <w:pPr>
      <w:jc w:val="left"/>
    </w:pPr>
    <w:rPr>
      <w:rFonts w:ascii="Arial" w:hAnsi="Arial" w:eastAsia="黑体" w:cs="Arial"/>
    </w:rPr>
  </w:style>
  <w:style w:type="paragraph" w:styleId="9">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41"/>
    <w:autoRedefine/>
    <w:qFormat/>
    <w:uiPriority w:val="99"/>
    <w:rPr>
      <w:rFonts w:ascii="宋体" w:hAnsi="Courier New" w:eastAsiaTheme="minorEastAsia" w:cstheme="minorBidi"/>
      <w:szCs w:val="22"/>
    </w:rPr>
  </w:style>
  <w:style w:type="paragraph" w:styleId="11">
    <w:name w:val="Date"/>
    <w:basedOn w:val="1"/>
    <w:next w:val="1"/>
    <w:link w:val="48"/>
    <w:autoRedefine/>
    <w:qFormat/>
    <w:uiPriority w:val="0"/>
    <w:rPr>
      <w:rFonts w:ascii="Arial" w:hAnsi="Arial" w:eastAsia="宋体" w:cs="Arial"/>
      <w:b/>
      <w:sz w:val="28"/>
    </w:rPr>
  </w:style>
  <w:style w:type="paragraph" w:styleId="12">
    <w:name w:val="Balloon Text"/>
    <w:basedOn w:val="1"/>
    <w:link w:val="35"/>
    <w:autoRedefine/>
    <w:semiHidden/>
    <w:unhideWhenUsed/>
    <w:qFormat/>
    <w:uiPriority w:val="99"/>
    <w:rPr>
      <w:sz w:val="18"/>
      <w:szCs w:val="18"/>
    </w:rPr>
  </w:style>
  <w:style w:type="paragraph" w:styleId="13">
    <w:name w:val="footer"/>
    <w:basedOn w:val="1"/>
    <w:link w:val="40"/>
    <w:autoRedefine/>
    <w:unhideWhenUsed/>
    <w:qFormat/>
    <w:uiPriority w:val="99"/>
    <w:pPr>
      <w:tabs>
        <w:tab w:val="center" w:pos="4153"/>
        <w:tab w:val="right" w:pos="8306"/>
      </w:tabs>
      <w:snapToGrid w:val="0"/>
      <w:jc w:val="left"/>
    </w:pPr>
    <w:rPr>
      <w:sz w:val="18"/>
      <w:szCs w:val="18"/>
    </w:rPr>
  </w:style>
  <w:style w:type="paragraph" w:styleId="14">
    <w:name w:val="header"/>
    <w:basedOn w:val="1"/>
    <w:link w:val="39"/>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autoRedefine/>
    <w:qFormat/>
    <w:uiPriority w:val="0"/>
    <w:pPr>
      <w:spacing w:before="100" w:beforeAutospacing="1" w:after="100" w:afterAutospacing="1"/>
      <w:jc w:val="left"/>
    </w:pPr>
    <w:rPr>
      <w:rFonts w:cs="Times New Roman"/>
      <w:kern w:val="0"/>
      <w:sz w:val="24"/>
    </w:rPr>
  </w:style>
  <w:style w:type="paragraph" w:styleId="18">
    <w:name w:val="index 1"/>
    <w:basedOn w:val="1"/>
    <w:next w:val="1"/>
    <w:autoRedefine/>
    <w:qFormat/>
    <w:uiPriority w:val="0"/>
    <w:pPr>
      <w:jc w:val="center"/>
    </w:pPr>
    <w:rPr>
      <w:rFonts w:ascii="Arial" w:hAnsi="Arial" w:eastAsia="Arial" w:cs="Arial"/>
      <w:b/>
      <w:bCs/>
      <w:sz w:val="28"/>
    </w:rPr>
  </w:style>
  <w:style w:type="paragraph" w:styleId="19">
    <w:name w:val="Body Text First Indent"/>
    <w:basedOn w:val="2"/>
    <w:autoRedefine/>
    <w:unhideWhenUsed/>
    <w:qFormat/>
    <w:uiPriority w:val="99"/>
    <w:pPr>
      <w:ind w:firstLine="420" w:firstLineChars="100"/>
    </w:pPr>
  </w:style>
  <w:style w:type="table" w:styleId="21">
    <w:name w:val="Table Grid"/>
    <w:basedOn w:val="20"/>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autoRedefine/>
    <w:qFormat/>
    <w:uiPriority w:val="0"/>
    <w:rPr>
      <w:b/>
      <w:bCs/>
    </w:rPr>
  </w:style>
  <w:style w:type="character" w:styleId="24">
    <w:name w:val="FollowedHyperlink"/>
    <w:basedOn w:val="22"/>
    <w:autoRedefine/>
    <w:semiHidden/>
    <w:unhideWhenUsed/>
    <w:qFormat/>
    <w:uiPriority w:val="99"/>
    <w:rPr>
      <w:color w:val="800080"/>
      <w:u w:val="none"/>
    </w:rPr>
  </w:style>
  <w:style w:type="character" w:styleId="25">
    <w:name w:val="Emphasis"/>
    <w:basedOn w:val="22"/>
    <w:autoRedefine/>
    <w:qFormat/>
    <w:uiPriority w:val="20"/>
    <w:rPr>
      <w:b/>
      <w:bCs/>
    </w:rPr>
  </w:style>
  <w:style w:type="character" w:styleId="26">
    <w:name w:val="HTML Definition"/>
    <w:basedOn w:val="22"/>
    <w:autoRedefine/>
    <w:semiHidden/>
    <w:unhideWhenUsed/>
    <w:qFormat/>
    <w:uiPriority w:val="99"/>
  </w:style>
  <w:style w:type="character" w:styleId="27">
    <w:name w:val="HTML Typewriter"/>
    <w:basedOn w:val="22"/>
    <w:autoRedefine/>
    <w:semiHidden/>
    <w:unhideWhenUsed/>
    <w:qFormat/>
    <w:uiPriority w:val="99"/>
    <w:rPr>
      <w:rFonts w:hint="default" w:ascii="monospace" w:hAnsi="monospace" w:eastAsia="monospace" w:cs="monospace"/>
      <w:sz w:val="20"/>
    </w:rPr>
  </w:style>
  <w:style w:type="character" w:styleId="28">
    <w:name w:val="HTML Acronym"/>
    <w:basedOn w:val="22"/>
    <w:autoRedefine/>
    <w:semiHidden/>
    <w:unhideWhenUsed/>
    <w:qFormat/>
    <w:uiPriority w:val="99"/>
  </w:style>
  <w:style w:type="character" w:styleId="29">
    <w:name w:val="HTML Variable"/>
    <w:basedOn w:val="22"/>
    <w:autoRedefine/>
    <w:semiHidden/>
    <w:unhideWhenUsed/>
    <w:qFormat/>
    <w:uiPriority w:val="99"/>
  </w:style>
  <w:style w:type="character" w:styleId="30">
    <w:name w:val="Hyperlink"/>
    <w:basedOn w:val="22"/>
    <w:autoRedefine/>
    <w:unhideWhenUsed/>
    <w:qFormat/>
    <w:uiPriority w:val="99"/>
    <w:rPr>
      <w:color w:val="0000FF" w:themeColor="hyperlink"/>
      <w:u w:val="single"/>
      <w14:textFill>
        <w14:solidFill>
          <w14:schemeClr w14:val="hlink"/>
        </w14:solidFill>
      </w14:textFill>
    </w:rPr>
  </w:style>
  <w:style w:type="character" w:styleId="31">
    <w:name w:val="HTML Code"/>
    <w:basedOn w:val="22"/>
    <w:autoRedefine/>
    <w:semiHidden/>
    <w:unhideWhenUsed/>
    <w:qFormat/>
    <w:uiPriority w:val="99"/>
    <w:rPr>
      <w:rFonts w:ascii="monospace" w:hAnsi="monospace" w:eastAsia="monospace" w:cs="monospace"/>
      <w:sz w:val="20"/>
    </w:rPr>
  </w:style>
  <w:style w:type="character" w:styleId="32">
    <w:name w:val="HTML Cite"/>
    <w:basedOn w:val="22"/>
    <w:autoRedefine/>
    <w:semiHidden/>
    <w:unhideWhenUsed/>
    <w:qFormat/>
    <w:uiPriority w:val="99"/>
  </w:style>
  <w:style w:type="character" w:styleId="33">
    <w:name w:val="HTML Keyboard"/>
    <w:basedOn w:val="22"/>
    <w:autoRedefine/>
    <w:semiHidden/>
    <w:unhideWhenUsed/>
    <w:qFormat/>
    <w:uiPriority w:val="99"/>
    <w:rPr>
      <w:rFonts w:hint="default" w:ascii="monospace" w:hAnsi="monospace" w:eastAsia="monospace" w:cs="monospace"/>
      <w:sz w:val="20"/>
    </w:rPr>
  </w:style>
  <w:style w:type="character" w:styleId="34">
    <w:name w:val="HTML Sample"/>
    <w:basedOn w:val="22"/>
    <w:autoRedefine/>
    <w:semiHidden/>
    <w:unhideWhenUsed/>
    <w:qFormat/>
    <w:uiPriority w:val="99"/>
    <w:rPr>
      <w:rFonts w:hint="default" w:ascii="monospace" w:hAnsi="monospace" w:eastAsia="monospace" w:cs="monospace"/>
    </w:rPr>
  </w:style>
  <w:style w:type="character" w:customStyle="1" w:styleId="35">
    <w:name w:val="批注框文本 Char"/>
    <w:basedOn w:val="22"/>
    <w:link w:val="12"/>
    <w:autoRedefine/>
    <w:semiHidden/>
    <w:qFormat/>
    <w:uiPriority w:val="99"/>
    <w:rPr>
      <w:rFonts w:ascii="@仿宋_GB2312" w:hAnsi="@仿宋_GB2312" w:eastAsia="@仿宋_GB2312" w:cs="@仿宋_GB2312"/>
      <w:sz w:val="18"/>
      <w:szCs w:val="18"/>
    </w:rPr>
  </w:style>
  <w:style w:type="paragraph" w:customStyle="1" w:styleId="36">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37">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8">
    <w:name w:val="D&amp;L"/>
    <w:basedOn w:val="14"/>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9">
    <w:name w:val="页眉 Char"/>
    <w:basedOn w:val="22"/>
    <w:link w:val="14"/>
    <w:autoRedefine/>
    <w:qFormat/>
    <w:uiPriority w:val="0"/>
    <w:rPr>
      <w:rFonts w:ascii="@仿宋_GB2312" w:hAnsi="@仿宋_GB2312" w:eastAsia="@仿宋_GB2312" w:cs="@仿宋_GB2312"/>
      <w:sz w:val="18"/>
      <w:szCs w:val="18"/>
    </w:rPr>
  </w:style>
  <w:style w:type="character" w:customStyle="1" w:styleId="40">
    <w:name w:val="页脚 Char"/>
    <w:basedOn w:val="22"/>
    <w:link w:val="13"/>
    <w:autoRedefine/>
    <w:qFormat/>
    <w:uiPriority w:val="99"/>
    <w:rPr>
      <w:rFonts w:ascii="@仿宋_GB2312" w:hAnsi="@仿宋_GB2312" w:eastAsia="@仿宋_GB2312" w:cs="@仿宋_GB2312"/>
      <w:sz w:val="18"/>
      <w:szCs w:val="18"/>
    </w:rPr>
  </w:style>
  <w:style w:type="character" w:customStyle="1" w:styleId="41">
    <w:name w:val="纯文本 Char"/>
    <w:link w:val="10"/>
    <w:autoRedefine/>
    <w:qFormat/>
    <w:uiPriority w:val="0"/>
    <w:rPr>
      <w:rFonts w:ascii="宋体" w:hAnsi="Courier New"/>
    </w:rPr>
  </w:style>
  <w:style w:type="character" w:customStyle="1" w:styleId="42">
    <w:name w:val="纯文本 字符1"/>
    <w:basedOn w:val="22"/>
    <w:autoRedefine/>
    <w:semiHidden/>
    <w:qFormat/>
    <w:uiPriority w:val="99"/>
    <w:rPr>
      <w:rFonts w:hAnsi="Courier New" w:cs="Courier New" w:asciiTheme="minorEastAsia"/>
      <w:szCs w:val="20"/>
    </w:rPr>
  </w:style>
  <w:style w:type="character" w:customStyle="1" w:styleId="43">
    <w:name w:val="未处理的提及1"/>
    <w:basedOn w:val="22"/>
    <w:autoRedefine/>
    <w:semiHidden/>
    <w:unhideWhenUsed/>
    <w:qFormat/>
    <w:uiPriority w:val="99"/>
    <w:rPr>
      <w:color w:val="605E5C"/>
      <w:shd w:val="clear" w:color="auto" w:fill="E1DFDD"/>
    </w:rPr>
  </w:style>
  <w:style w:type="paragraph" w:styleId="44">
    <w:name w:val="List Paragraph"/>
    <w:basedOn w:val="1"/>
    <w:autoRedefine/>
    <w:qFormat/>
    <w:uiPriority w:val="34"/>
    <w:pPr>
      <w:ind w:firstLine="420" w:firstLineChars="200"/>
    </w:pPr>
  </w:style>
  <w:style w:type="paragraph" w:customStyle="1" w:styleId="45">
    <w:name w:val="Char Char Char Char Char Char Char1 Char"/>
    <w:basedOn w:val="1"/>
    <w:autoRedefine/>
    <w:qFormat/>
    <w:uiPriority w:val="0"/>
    <w:rPr>
      <w:rFonts w:ascii="Arial" w:hAnsi="Arial" w:eastAsia="宋体" w:cs="Arial"/>
      <w:sz w:val="24"/>
    </w:rPr>
  </w:style>
  <w:style w:type="table" w:customStyle="1" w:styleId="46">
    <w:name w:val="网格表 1 浅色1"/>
    <w:basedOn w:val="20"/>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47">
    <w:name w:val="日期 字符"/>
    <w:basedOn w:val="22"/>
    <w:autoRedefine/>
    <w:semiHidden/>
    <w:qFormat/>
    <w:uiPriority w:val="99"/>
    <w:rPr>
      <w:rFonts w:ascii="@仿宋_GB2312" w:hAnsi="@仿宋_GB2312" w:eastAsia="@仿宋_GB2312" w:cs="@仿宋_GB2312"/>
      <w:szCs w:val="20"/>
    </w:rPr>
  </w:style>
  <w:style w:type="character" w:customStyle="1" w:styleId="48">
    <w:name w:val="日期 Char"/>
    <w:link w:val="11"/>
    <w:autoRedefine/>
    <w:qFormat/>
    <w:uiPriority w:val="0"/>
    <w:rPr>
      <w:rFonts w:ascii="Arial" w:hAnsi="Arial" w:eastAsia="宋体" w:cs="Arial"/>
      <w:b/>
      <w:sz w:val="28"/>
      <w:szCs w:val="20"/>
    </w:rPr>
  </w:style>
  <w:style w:type="character" w:customStyle="1" w:styleId="49">
    <w:name w:val="纯文本 Char1"/>
    <w:link w:val="50"/>
    <w:autoRedefine/>
    <w:qFormat/>
    <w:locked/>
    <w:uiPriority w:val="0"/>
    <w:rPr>
      <w:rFonts w:ascii="Arial" w:hAnsi="Arial" w:eastAsia="Arial"/>
      <w:kern w:val="2"/>
      <w:sz w:val="21"/>
      <w:lang w:val="en-US" w:eastAsia="zh-CN" w:bidi="ar-SA"/>
    </w:rPr>
  </w:style>
  <w:style w:type="paragraph" w:customStyle="1" w:styleId="50">
    <w:name w:val="纯文本1"/>
    <w:basedOn w:val="1"/>
    <w:link w:val="49"/>
    <w:autoRedefine/>
    <w:qFormat/>
    <w:uiPriority w:val="0"/>
    <w:rPr>
      <w:rFonts w:ascii="Arial" w:hAnsi="Arial" w:eastAsia="Arial" w:cstheme="minorBidi"/>
    </w:rPr>
  </w:style>
  <w:style w:type="character" w:customStyle="1" w:styleId="51">
    <w:name w:val="批注文字 Char"/>
    <w:basedOn w:val="22"/>
    <w:autoRedefine/>
    <w:semiHidden/>
    <w:qFormat/>
    <w:uiPriority w:val="99"/>
    <w:rPr>
      <w:rFonts w:ascii="@仿宋_GB2312" w:hAnsi="@仿宋_GB2312" w:eastAsia="@仿宋_GB2312" w:cs="@仿宋_GB2312"/>
      <w:szCs w:val="20"/>
    </w:rPr>
  </w:style>
  <w:style w:type="character" w:customStyle="1" w:styleId="52">
    <w:name w:val="批注文字 Char1"/>
    <w:link w:val="8"/>
    <w:autoRedefine/>
    <w:qFormat/>
    <w:uiPriority w:val="0"/>
    <w:rPr>
      <w:rFonts w:ascii="Arial" w:hAnsi="Arial" w:eastAsia="黑体" w:cs="Arial"/>
      <w:szCs w:val="20"/>
    </w:rPr>
  </w:style>
  <w:style w:type="character" w:customStyle="1" w:styleId="53">
    <w:name w:val="标题 1 Char"/>
    <w:basedOn w:val="22"/>
    <w:link w:val="3"/>
    <w:autoRedefine/>
    <w:qFormat/>
    <w:uiPriority w:val="9"/>
    <w:rPr>
      <w:rFonts w:ascii="@仿宋_GB2312" w:hAnsi="@仿宋_GB2312" w:eastAsia="@仿宋_GB2312" w:cs="@仿宋_GB2312"/>
      <w:b/>
      <w:bCs/>
      <w:kern w:val="44"/>
      <w:sz w:val="44"/>
      <w:szCs w:val="44"/>
    </w:rPr>
  </w:style>
  <w:style w:type="paragraph" w:customStyle="1" w:styleId="54">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55">
    <w:name w:val="标题 3 Char"/>
    <w:basedOn w:val="22"/>
    <w:link w:val="5"/>
    <w:autoRedefine/>
    <w:semiHidden/>
    <w:qFormat/>
    <w:uiPriority w:val="9"/>
    <w:rPr>
      <w:rFonts w:ascii="@仿宋_GB2312" w:hAnsi="@仿宋_GB2312" w:eastAsia="@仿宋_GB2312" w:cs="@仿宋_GB2312"/>
      <w:b/>
      <w:bCs/>
      <w:sz w:val="32"/>
      <w:szCs w:val="32"/>
    </w:rPr>
  </w:style>
  <w:style w:type="character" w:customStyle="1" w:styleId="56">
    <w:name w:val="fontstyle01"/>
    <w:basedOn w:val="22"/>
    <w:autoRedefine/>
    <w:qFormat/>
    <w:uiPriority w:val="0"/>
    <w:rPr>
      <w:rFonts w:hint="eastAsia" w:ascii="宋体" w:hAnsi="宋体" w:eastAsia="宋体"/>
      <w:color w:val="000000"/>
      <w:sz w:val="22"/>
      <w:szCs w:val="22"/>
    </w:rPr>
  </w:style>
  <w:style w:type="character" w:customStyle="1" w:styleId="57">
    <w:name w:val="fontstyle21"/>
    <w:basedOn w:val="22"/>
    <w:autoRedefine/>
    <w:qFormat/>
    <w:uiPriority w:val="0"/>
    <w:rPr>
      <w:rFonts w:hint="default" w:ascii="TimesNewRomanPSMT" w:hAnsi="TimesNewRomanPSMT"/>
      <w:color w:val="000000"/>
      <w:sz w:val="22"/>
      <w:szCs w:val="22"/>
    </w:rPr>
  </w:style>
  <w:style w:type="character" w:customStyle="1" w:styleId="58">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9">
    <w:name w:val="标题 4 字符"/>
    <w:basedOn w:val="22"/>
    <w:autoRedefine/>
    <w:semiHidden/>
    <w:qFormat/>
    <w:uiPriority w:val="9"/>
    <w:rPr>
      <w:rFonts w:asciiTheme="majorHAnsi" w:hAnsiTheme="majorHAnsi" w:eastAsiaTheme="majorEastAsia" w:cstheme="majorBidi"/>
      <w:b/>
      <w:bCs/>
      <w:sz w:val="28"/>
      <w:szCs w:val="28"/>
    </w:rPr>
  </w:style>
  <w:style w:type="character" w:customStyle="1" w:styleId="60">
    <w:name w:val="标题 4 Char"/>
    <w:link w:val="6"/>
    <w:autoRedefine/>
    <w:qFormat/>
    <w:uiPriority w:val="0"/>
    <w:rPr>
      <w:rFonts w:ascii="@仿宋_GB2312" w:hAnsi="@仿宋_GB2312" w:eastAsia="@仿宋_GB2312" w:cs="@仿宋_GB2312"/>
      <w:b/>
      <w:bCs/>
      <w:sz w:val="28"/>
      <w:szCs w:val="28"/>
    </w:rPr>
  </w:style>
  <w:style w:type="character" w:customStyle="1" w:styleId="61">
    <w:name w:val="正文文本 Char"/>
    <w:basedOn w:val="22"/>
    <w:link w:val="2"/>
    <w:autoRedefine/>
    <w:qFormat/>
    <w:uiPriority w:val="0"/>
    <w:rPr>
      <w:rFonts w:ascii="@微软简标宋" w:hAnsi="@微软简标宋" w:eastAsia="@微软简标宋" w:cs="@微软简标宋"/>
      <w:szCs w:val="24"/>
      <w:lang w:val="zh-CN" w:eastAsia="zh-CN"/>
    </w:rPr>
  </w:style>
  <w:style w:type="table" w:customStyle="1" w:styleId="62">
    <w:name w:val="网格型1"/>
    <w:basedOn w:val="20"/>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3">
    <w:name w:val="Table Normal"/>
    <w:autoRedefine/>
    <w:semiHidden/>
    <w:unhideWhenUsed/>
    <w:qFormat/>
    <w:uiPriority w:val="0"/>
    <w:tblPr>
      <w:tblCellMar>
        <w:top w:w="0" w:type="dxa"/>
        <w:left w:w="0" w:type="dxa"/>
        <w:bottom w:w="0" w:type="dxa"/>
        <w:right w:w="0" w:type="dxa"/>
      </w:tblCellMar>
    </w:tblPr>
  </w:style>
  <w:style w:type="paragraph" w:customStyle="1" w:styleId="64">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5351A8-48F5-4B18-AF42-26053916CB99}">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60</Pages>
  <Words>24412</Words>
  <Characters>25400</Characters>
  <Lines>208</Lines>
  <Paragraphs>58</Paragraphs>
  <TotalTime>0</TotalTime>
  <ScaleCrop>false</ScaleCrop>
  <LinksUpToDate>false</LinksUpToDate>
  <CharactersWithSpaces>27742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徐怡宁</cp:lastModifiedBy>
  <cp:lastPrinted>2019-12-07T15:20:00Z</cp:lastPrinted>
  <dcterms:modified xsi:type="dcterms:W3CDTF">2024-05-31T09:04:59Z</dcterms:modified>
  <cp:revision>443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24F906A48D1243F8B80EB73AD427CEB1_13</vt:lpwstr>
  </property>
</Properties>
</file>