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66E82">
      <w:pPr>
        <w:adjustRightInd w:val="0"/>
        <w:snapToGrid w:val="0"/>
        <w:spacing w:line="600" w:lineRule="exact"/>
        <w:rPr>
          <w:rFonts w:ascii="Times New Roman" w:hAnsi="Times New Roman" w:eastAsia="方正仿宋简体"/>
          <w:sz w:val="34"/>
          <w:szCs w:val="34"/>
        </w:rPr>
      </w:pPr>
    </w:p>
    <w:p w14:paraId="64F2AFCC">
      <w:pPr>
        <w:jc w:val="center"/>
        <w:rPr>
          <w:rFonts w:ascii="宋体" w:hAnsi="宋体" w:cs="宋体"/>
          <w:b/>
          <w:sz w:val="44"/>
          <w:szCs w:val="44"/>
        </w:rPr>
      </w:pPr>
      <w:r>
        <w:rPr>
          <w:rFonts w:hint="eastAsia" w:ascii="宋体" w:hAnsi="宋体" w:cs="宋体"/>
          <w:b/>
          <w:sz w:val="44"/>
          <w:szCs w:val="44"/>
        </w:rPr>
        <w:t>关于《霍山县殡葬管理实施办法（草案）》</w:t>
      </w:r>
      <w:r>
        <w:rPr>
          <w:rFonts w:hint="eastAsia" w:ascii="宋体" w:hAnsi="宋体" w:cs="宋体"/>
          <w:b/>
          <w:sz w:val="44"/>
          <w:szCs w:val="44"/>
        </w:rPr>
        <w:tab/>
      </w:r>
      <w:r>
        <w:rPr>
          <w:rFonts w:hint="eastAsia" w:ascii="宋体" w:hAnsi="宋体" w:cs="宋体"/>
          <w:b/>
          <w:sz w:val="44"/>
          <w:szCs w:val="44"/>
        </w:rPr>
        <w:t>起草说明</w:t>
      </w:r>
    </w:p>
    <w:p w14:paraId="448A4AF6">
      <w:pPr>
        <w:spacing w:line="560" w:lineRule="exact"/>
        <w:jc w:val="center"/>
        <w:rPr>
          <w:rFonts w:ascii="方正楷体简体" w:hAnsi="仿宋" w:eastAsia="方正楷体简体" w:cs="仿宋"/>
          <w:sz w:val="34"/>
          <w:szCs w:val="34"/>
        </w:rPr>
      </w:pPr>
    </w:p>
    <w:p w14:paraId="59CD421A">
      <w:pPr>
        <w:adjustRightInd w:val="0"/>
        <w:snapToGrid w:val="0"/>
        <w:spacing w:line="600" w:lineRule="exact"/>
        <w:ind w:firstLine="680" w:firstLineChars="200"/>
        <w:rPr>
          <w:rFonts w:hint="eastAsia" w:ascii="黑体" w:hAnsi="黑体" w:eastAsia="黑体" w:cs="黑体"/>
          <w:bCs/>
          <w:sz w:val="34"/>
          <w:szCs w:val="34"/>
          <w:lang w:eastAsia="zh-CN"/>
        </w:rPr>
      </w:pPr>
      <w:r>
        <w:rPr>
          <w:rFonts w:hint="eastAsia" w:ascii="黑体" w:hAnsi="黑体" w:eastAsia="黑体" w:cs="黑体"/>
          <w:bCs/>
          <w:sz w:val="34"/>
          <w:szCs w:val="34"/>
        </w:rPr>
        <w:t>一、</w:t>
      </w:r>
      <w:r>
        <w:rPr>
          <w:rFonts w:hint="eastAsia" w:ascii="黑体" w:hAnsi="黑体" w:eastAsia="黑体" w:cs="黑体"/>
          <w:bCs/>
          <w:sz w:val="34"/>
          <w:szCs w:val="34"/>
          <w:lang w:val="en-US" w:eastAsia="zh-CN"/>
        </w:rPr>
        <w:t>出台背景</w:t>
      </w:r>
    </w:p>
    <w:p w14:paraId="1DBFA661">
      <w:pPr>
        <w:adjustRightInd w:val="0"/>
        <w:snapToGrid w:val="0"/>
        <w:spacing w:line="600" w:lineRule="exact"/>
        <w:ind w:firstLine="640" w:firstLineChars="200"/>
        <w:rPr>
          <w:rFonts w:ascii="仿宋" w:hAnsi="仿宋" w:eastAsia="仿宋_GB2312"/>
          <w:b/>
          <w:sz w:val="34"/>
          <w:szCs w:val="34"/>
        </w:rPr>
      </w:pPr>
      <w:r>
        <w:rPr>
          <w:rFonts w:hint="eastAsia" w:ascii="仿宋_GB2312" w:eastAsia="仿宋_GB2312"/>
          <w:sz w:val="32"/>
          <w:szCs w:val="32"/>
        </w:rPr>
        <w:t>坚持以习近平新时代中国特色社会主义思想为指导，认真落实上级工作要求，践行以人民为中心的发展思想，大力推进我县殡葬改革工作。</w:t>
      </w:r>
      <w:r>
        <w:rPr>
          <w:rFonts w:hint="eastAsia" w:ascii="仿宋" w:hAnsi="仿宋" w:eastAsia="仿宋" w:cs="仿宋"/>
          <w:sz w:val="32"/>
          <w:szCs w:val="32"/>
        </w:rPr>
        <w:t>2022年5月30日，市殡葬领域突出问题专项整治领导小组办公室向县政府下达整改工作督办函指出：“你县全域均为实行火葬的地区。</w:t>
      </w:r>
      <w:bookmarkStart w:id="0" w:name="_GoBack"/>
      <w:bookmarkEnd w:id="0"/>
      <w:r>
        <w:rPr>
          <w:rFonts w:hint="eastAsia" w:ascii="仿宋" w:hAnsi="仿宋" w:eastAsia="仿宋" w:cs="仿宋"/>
          <w:sz w:val="32"/>
          <w:szCs w:val="32"/>
        </w:rPr>
        <w:t>你县大化坪、漫水河等8个乡镇未实行火葬，违反了《安徽省殡葬管理办法》关于推行火葬的有关规定”，要求“立即纠正部分乡镇土葬问题，加大整改力度，有序推进殡葬改革”。</w:t>
      </w:r>
      <w:r>
        <w:rPr>
          <w:rFonts w:hint="eastAsia" w:ascii="仿宋_GB2312" w:eastAsia="仿宋_GB2312"/>
          <w:sz w:val="32"/>
          <w:szCs w:val="32"/>
        </w:rPr>
        <w:t>通过对霍山县殡葬管理实施办法修订，明确全域实行火葬，强化相关部门职责，落实监管执法责任，倡导移风易俗，推动殡葬改革长效机制建设，促进殡葬改革持续健康发展。</w:t>
      </w:r>
    </w:p>
    <w:p w14:paraId="22C3DF6A">
      <w:pPr>
        <w:adjustRightInd w:val="0"/>
        <w:snapToGrid w:val="0"/>
        <w:spacing w:line="600" w:lineRule="exact"/>
        <w:ind w:firstLine="680" w:firstLineChars="200"/>
        <w:rPr>
          <w:rFonts w:ascii="黑体" w:hAnsi="黑体" w:eastAsia="黑体" w:cs="黑体"/>
          <w:bCs/>
          <w:sz w:val="34"/>
          <w:szCs w:val="34"/>
        </w:rPr>
      </w:pPr>
      <w:r>
        <w:rPr>
          <w:rFonts w:hint="eastAsia" w:ascii="黑体" w:hAnsi="黑体" w:eastAsia="黑体" w:cs="黑体"/>
          <w:bCs/>
          <w:sz w:val="34"/>
          <w:szCs w:val="34"/>
        </w:rPr>
        <w:t>二、</w:t>
      </w:r>
      <w:r>
        <w:rPr>
          <w:rFonts w:hint="eastAsia" w:ascii="黑体" w:hAnsi="黑体" w:eastAsia="黑体" w:cs="黑体"/>
          <w:bCs/>
          <w:sz w:val="34"/>
          <w:szCs w:val="34"/>
          <w:lang w:eastAsia="zh-CN"/>
        </w:rPr>
        <w:t>主要依据</w:t>
      </w:r>
    </w:p>
    <w:p w14:paraId="4317ECAD">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color w:val="333333"/>
          <w:sz w:val="32"/>
          <w:szCs w:val="32"/>
        </w:rPr>
        <w:t>根据国务院《殡葬管理条例》和《安徽省殡葬管理办法》等文件精神，</w:t>
      </w:r>
      <w:r>
        <w:rPr>
          <w:rFonts w:hint="eastAsia" w:ascii="仿宋_GB2312" w:hAnsi="仿宋" w:eastAsia="仿宋_GB2312"/>
          <w:sz w:val="32"/>
          <w:szCs w:val="32"/>
        </w:rPr>
        <w:t>结合我县实际修订《霍山县殡葬管理实施办法（草案）》（以下简称《实施办法（草案）》）。根据县政府要求，县民政局草拟了《实施办法（草案）》并在县政府网站上进行公示、召开座谈会广泛征求人民群众意见，</w:t>
      </w:r>
      <w:r>
        <w:rPr>
          <w:rFonts w:hint="eastAsia" w:ascii="仿宋_GB2312" w:hAnsi="Times New Roman" w:eastAsia="仿宋_GB2312"/>
          <w:sz w:val="32"/>
          <w:szCs w:val="32"/>
        </w:rPr>
        <w:t>通过政府OA办公平台向有关部门和乡镇发放《规范</w:t>
      </w:r>
      <w:r>
        <w:rPr>
          <w:rFonts w:hint="eastAsia" w:ascii="Times New Roman" w:hAnsi="Times New Roman" w:eastAsia="仿宋_GB2312"/>
          <w:sz w:val="32"/>
          <w:szCs w:val="32"/>
        </w:rPr>
        <w:t>性文件征求意见书》书面征求意见建议，以及召开专家评审会评估风险。</w:t>
      </w:r>
    </w:p>
    <w:p w14:paraId="5B4BA973">
      <w:pPr>
        <w:adjustRightInd w:val="0"/>
        <w:snapToGrid w:val="0"/>
        <w:spacing w:line="600" w:lineRule="exact"/>
        <w:ind w:firstLine="680" w:firstLineChars="200"/>
        <w:rPr>
          <w:rFonts w:ascii="仿宋" w:hAnsi="仿宋" w:eastAsia="仿宋"/>
          <w:b/>
          <w:sz w:val="34"/>
          <w:szCs w:val="34"/>
        </w:rPr>
      </w:pPr>
      <w:r>
        <w:rPr>
          <w:rFonts w:hint="eastAsia" w:ascii="黑体" w:hAnsi="黑体" w:eastAsia="黑体" w:cs="黑体"/>
          <w:bCs/>
          <w:sz w:val="34"/>
          <w:szCs w:val="34"/>
        </w:rPr>
        <w:t>三、主要内容</w:t>
      </w:r>
    </w:p>
    <w:p w14:paraId="164F17F2">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（一）《实施办法（草案）》共计十七条，主要是规定火化范围，延伸扩大到全县各乡镇村。</w:t>
      </w:r>
    </w:p>
    <w:p w14:paraId="2532C07A">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（二）《实施方案（草案）》主要内容</w:t>
      </w:r>
    </w:p>
    <w:p w14:paraId="71F0A90D">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1.“推行火葬不到位”范围及要求：</w:t>
      </w:r>
      <w:r>
        <w:rPr>
          <w:rFonts w:hint="eastAsia" w:ascii="仿宋" w:hAnsi="仿宋" w:eastAsia="仿宋" w:cs="仿宋"/>
          <w:sz w:val="32"/>
          <w:szCs w:val="32"/>
        </w:rPr>
        <w:t>原土葬区漫水河镇11个村、上土市镇8个村、太平畈乡8个村、太阳乡5个村、大化坪镇14个村、磨子潭镇7个村、东西溪乡7个村、单龙寺镇7个村、与儿街镇真龙地村、佛子岭镇（高岭、汪家冲、留驾园、长岭4个村、佛子岭社区1个村民组）、落儿岭镇（白云庵、烂泥坳、太子庙三村）、诸佛庵镇（桃源河村5个村民组、三河村4个村民组）按照《安徽省殡葬管理办法》规定应为火化区，其境内居民死亡后一律实行火化。加大骨灰安葬管理力度，倡导节地生态葬和进公益性公墓安葬，坚决打击棺木制作和销售，杜绝骨灰二次装棺安葬。</w:t>
      </w:r>
    </w:p>
    <w:p w14:paraId="4B526C1A">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2.“公益性公墓建设未实现全覆盖”范围及要求：</w:t>
      </w:r>
      <w:r>
        <w:rPr>
          <w:rFonts w:hint="eastAsia" w:ascii="仿宋" w:hAnsi="仿宋" w:eastAsia="仿宋" w:cs="仿宋"/>
          <w:sz w:val="32"/>
          <w:szCs w:val="32"/>
        </w:rPr>
        <w:t>全县公益性公墓安葬区建设已完成，祭扫区、办公区、服务区建设务必在2023年12月底前完成建设任务，实现城乡公益性公墓全覆盖。</w:t>
      </w:r>
    </w:p>
    <w:p w14:paraId="65EF0264">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3.“公益性公墓用地手续不齐全”范围及要求：</w:t>
      </w:r>
      <w:r>
        <w:rPr>
          <w:rFonts w:hint="eastAsia" w:ascii="仿宋" w:hAnsi="仿宋" w:eastAsia="仿宋" w:cs="仿宋"/>
          <w:sz w:val="32"/>
          <w:szCs w:val="32"/>
        </w:rPr>
        <w:t>全县公益性公墓立项、可研、初设规划已经完成，林业局正在进行林地审批，</w:t>
      </w:r>
      <w:r>
        <w:rPr>
          <w:rFonts w:hint="eastAsia" w:ascii="仿宋" w:hAnsi="仿宋" w:eastAsia="仿宋" w:cs="仿宋"/>
          <w:kern w:val="0"/>
          <w:sz w:val="32"/>
          <w:szCs w:val="32"/>
        </w:rPr>
        <w:t>县自然资源后续进行土地审批，</w:t>
      </w:r>
      <w:r>
        <w:rPr>
          <w:rFonts w:hint="eastAsia" w:ascii="仿宋" w:hAnsi="仿宋" w:eastAsia="仿宋" w:cs="仿宋"/>
          <w:sz w:val="32"/>
          <w:szCs w:val="32"/>
        </w:rPr>
        <w:t>于年底前办结相关手续，确保我县公益性公墓建设运营顺利开展。</w:t>
      </w:r>
    </w:p>
    <w:p w14:paraId="547DF3D2">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4.职责分工：</w:t>
      </w:r>
      <w:r>
        <w:rPr>
          <w:rFonts w:hint="eastAsia" w:ascii="仿宋" w:hAnsi="仿宋" w:eastAsia="仿宋" w:cs="仿宋"/>
          <w:sz w:val="32"/>
          <w:szCs w:val="32"/>
        </w:rPr>
        <w:t>由县政府牵头，及时调整殡葬改革领导组成员，各职能部门参与配合。相关乡镇、村负责具体实施，成立相应的工作专班，确保人员到位、职责明确、任务落实，形成一个完整的殡葬信息管理网络。</w:t>
      </w:r>
    </w:p>
    <w:p w14:paraId="3F5EB604">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5.工作保障方面：</w:t>
      </w:r>
      <w:r>
        <w:rPr>
          <w:rFonts w:hint="eastAsia" w:ascii="仿宋" w:hAnsi="仿宋" w:eastAsia="仿宋" w:cs="仿宋"/>
          <w:sz w:val="32"/>
          <w:szCs w:val="32"/>
        </w:rPr>
        <w:t>县政府成立工作专班、同意遗体接运车辆购买第三方服务、给予乡镇特殊恶劣天气遗体接运适当补助；县纪委监委、县委组织部成立执纪问责工作专班；县发改委对遗体接运实行中心点分段定价；县编办同意殡仪馆增加一名聘用人员充实财务；县财政局同意增加普惠殡改预算据实保障。</w:t>
      </w:r>
    </w:p>
    <w:p w14:paraId="3974CFBF">
      <w:pPr>
        <w:adjustRightInd w:val="0"/>
        <w:snapToGrid w:val="0"/>
        <w:spacing w:line="600" w:lineRule="exact"/>
        <w:ind w:firstLine="640" w:firstLineChars="200"/>
        <w:rPr>
          <w:rFonts w:ascii="仿宋" w:hAnsi="仿宋" w:eastAsia="仿宋" w:cs="仿宋"/>
          <w:sz w:val="32"/>
          <w:szCs w:val="32"/>
        </w:rPr>
      </w:pPr>
    </w:p>
    <w:sectPr>
      <w:headerReference r:id="rId3" w:type="default"/>
      <w:footerReference r:id="rId4" w:type="default"/>
      <w:footerReference r:id="rId5" w:type="even"/>
      <w:pgSz w:w="11906" w:h="16838"/>
      <w:pgMar w:top="1418" w:right="1588" w:bottom="1418"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FA6DB">
    <w:pPr>
      <w:pStyle w:val="3"/>
      <w:framePr w:wrap="around" w:vAnchor="text" w:hAnchor="margin" w:xAlign="outside" w:y="1"/>
      <w:rPr>
        <w:rStyle w:val="8"/>
        <w:rFonts w:ascii="Times New Roman" w:hAnsi="Times New Roman"/>
        <w:sz w:val="28"/>
        <w:szCs w:val="28"/>
      </w:rPr>
    </w:pPr>
    <w:r>
      <w:rPr>
        <w:rStyle w:val="8"/>
        <w:rFonts w:ascii="Times New Roman" w:hAnsi="Times New Roman"/>
        <w:sz w:val="28"/>
        <w:szCs w:val="28"/>
      </w:rPr>
      <w:t>—</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3</w:t>
    </w:r>
    <w:r>
      <w:rPr>
        <w:rStyle w:val="8"/>
        <w:rFonts w:ascii="Times New Roman" w:hAnsi="Times New Roman"/>
        <w:sz w:val="28"/>
        <w:szCs w:val="28"/>
      </w:rPr>
      <w:fldChar w:fldCharType="end"/>
    </w:r>
    <w:r>
      <w:rPr>
        <w:rStyle w:val="8"/>
        <w:rFonts w:ascii="Times New Roman" w:hAnsi="Times New Roman"/>
        <w:sz w:val="28"/>
        <w:szCs w:val="28"/>
      </w:rPr>
      <w:t>—</w:t>
    </w:r>
  </w:p>
  <w:p w14:paraId="41CB24B6">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2177">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76B9E98C">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3D8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ODIyOTYwZjM0MjM5NmE5MTUyMDUyNWExY2EwYjEifQ=="/>
  </w:docVars>
  <w:rsids>
    <w:rsidRoot w:val="006B309A"/>
    <w:rsid w:val="00083079"/>
    <w:rsid w:val="000E6157"/>
    <w:rsid w:val="00231188"/>
    <w:rsid w:val="002A671C"/>
    <w:rsid w:val="002D1FAF"/>
    <w:rsid w:val="002E407A"/>
    <w:rsid w:val="002F3DEA"/>
    <w:rsid w:val="00304936"/>
    <w:rsid w:val="00304B5D"/>
    <w:rsid w:val="0032194C"/>
    <w:rsid w:val="00330A67"/>
    <w:rsid w:val="00357AC0"/>
    <w:rsid w:val="00375155"/>
    <w:rsid w:val="00377F77"/>
    <w:rsid w:val="0039350A"/>
    <w:rsid w:val="003A39F3"/>
    <w:rsid w:val="003F1348"/>
    <w:rsid w:val="004547C3"/>
    <w:rsid w:val="00473957"/>
    <w:rsid w:val="004A5935"/>
    <w:rsid w:val="004E48D9"/>
    <w:rsid w:val="005828CA"/>
    <w:rsid w:val="005A7618"/>
    <w:rsid w:val="0060002A"/>
    <w:rsid w:val="0062049F"/>
    <w:rsid w:val="00681E96"/>
    <w:rsid w:val="00685BCF"/>
    <w:rsid w:val="0069012D"/>
    <w:rsid w:val="006B309A"/>
    <w:rsid w:val="006B73CA"/>
    <w:rsid w:val="006D0529"/>
    <w:rsid w:val="006D1D1E"/>
    <w:rsid w:val="006F6640"/>
    <w:rsid w:val="007312E3"/>
    <w:rsid w:val="007329A8"/>
    <w:rsid w:val="007A4B09"/>
    <w:rsid w:val="007FE205"/>
    <w:rsid w:val="008D1C2C"/>
    <w:rsid w:val="008D704B"/>
    <w:rsid w:val="00903087"/>
    <w:rsid w:val="00921E1E"/>
    <w:rsid w:val="00972F9D"/>
    <w:rsid w:val="009D481D"/>
    <w:rsid w:val="00A0068A"/>
    <w:rsid w:val="00A0170A"/>
    <w:rsid w:val="00A233D7"/>
    <w:rsid w:val="00A32D18"/>
    <w:rsid w:val="00A350DD"/>
    <w:rsid w:val="00A4618F"/>
    <w:rsid w:val="00A65C1F"/>
    <w:rsid w:val="00A90838"/>
    <w:rsid w:val="00AD18F8"/>
    <w:rsid w:val="00AE674B"/>
    <w:rsid w:val="00AF26A3"/>
    <w:rsid w:val="00B0391E"/>
    <w:rsid w:val="00B1573B"/>
    <w:rsid w:val="00BC5922"/>
    <w:rsid w:val="00BD7667"/>
    <w:rsid w:val="00BF11E6"/>
    <w:rsid w:val="00C20A71"/>
    <w:rsid w:val="00C402F9"/>
    <w:rsid w:val="00C644C9"/>
    <w:rsid w:val="00CE0403"/>
    <w:rsid w:val="00D06BAD"/>
    <w:rsid w:val="00D13072"/>
    <w:rsid w:val="00D345AE"/>
    <w:rsid w:val="00D7754A"/>
    <w:rsid w:val="00DD2613"/>
    <w:rsid w:val="00DE6A99"/>
    <w:rsid w:val="00DF20C3"/>
    <w:rsid w:val="00E46660"/>
    <w:rsid w:val="00E85664"/>
    <w:rsid w:val="00ED7064"/>
    <w:rsid w:val="00F00299"/>
    <w:rsid w:val="00F17B85"/>
    <w:rsid w:val="00F7373C"/>
    <w:rsid w:val="00F75DD9"/>
    <w:rsid w:val="00F856E2"/>
    <w:rsid w:val="00FE52D1"/>
    <w:rsid w:val="05927421"/>
    <w:rsid w:val="0DAF59F1"/>
    <w:rsid w:val="11BB10D2"/>
    <w:rsid w:val="13745416"/>
    <w:rsid w:val="24BC5C38"/>
    <w:rsid w:val="26497DE6"/>
    <w:rsid w:val="2B857CF0"/>
    <w:rsid w:val="66632914"/>
    <w:rsid w:val="6C4B2ED6"/>
    <w:rsid w:val="6EE62BFE"/>
    <w:rsid w:val="6F807DCC"/>
    <w:rsid w:val="6F854231"/>
    <w:rsid w:val="7FA0755D"/>
    <w:rsid w:val="E9F65A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b/>
      <w:kern w:val="0"/>
      <w:sz w:val="24"/>
      <w:szCs w:val="40"/>
    </w:rPr>
  </w:style>
  <w:style w:type="character" w:styleId="8">
    <w:name w:val="page number"/>
    <w:basedOn w:val="7"/>
    <w:qFormat/>
    <w:uiPriority w:val="99"/>
    <w:rPr>
      <w:rFonts w:cs="Times New Roman"/>
    </w:rPr>
  </w:style>
  <w:style w:type="character" w:styleId="9">
    <w:name w:val="Hyperlink"/>
    <w:basedOn w:val="7"/>
    <w:qFormat/>
    <w:uiPriority w:val="0"/>
    <w:rPr>
      <w:rFonts w:cs="Times New Roman"/>
      <w:color w:val="0000FF"/>
      <w:u w:val="single"/>
    </w:rPr>
  </w:style>
  <w:style w:type="character" w:customStyle="1" w:styleId="10">
    <w:name w:val="页脚 Char"/>
    <w:basedOn w:val="7"/>
    <w:link w:val="3"/>
    <w:semiHidden/>
    <w:qFormat/>
    <w:locked/>
    <w:uiPriority w:val="99"/>
    <w:rPr>
      <w:rFonts w:cs="Times New Roman"/>
      <w:sz w:val="18"/>
      <w:szCs w:val="18"/>
    </w:rPr>
  </w:style>
  <w:style w:type="character" w:customStyle="1" w:styleId="11">
    <w:name w:val="页眉 Char"/>
    <w:basedOn w:val="7"/>
    <w:link w:val="4"/>
    <w:semiHidden/>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1223</Words>
  <Characters>1239</Characters>
  <Lines>11</Lines>
  <Paragraphs>3</Paragraphs>
  <TotalTime>0</TotalTime>
  <ScaleCrop>false</ScaleCrop>
  <LinksUpToDate>false</LinksUpToDate>
  <CharactersWithSpaces>1240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2020-05-28T11:18:00Z</dcterms:created>
  <dc:creator>微软用户</dc:creator>
  <cp:lastModifiedBy>薄荷棉花糖</cp:lastModifiedBy>
  <cp:lastPrinted>2020-04-19T11:45:00Z</cp:lastPrinted>
  <dcterms:modified xsi:type="dcterms:W3CDTF">2024-08-20T08:56:52Z</dcterms:modified>
  <dc:title>关于实施《霍山县经济开发区代管村（居）划转移交实施方案》的情况汇报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7C2CA6C8CDD340F191B049CBA3975C8D_13</vt:lpwstr>
  </property>
</Properties>
</file>