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13F5AC">
      <w:pPr>
        <w:keepNext w:val="0"/>
        <w:keepLines w:val="0"/>
        <w:pageBreakBefore w:val="0"/>
        <w:widowControl w:val="0"/>
        <w:kinsoku/>
        <w:wordWrap/>
        <w:overflowPunct/>
        <w:topLinePunct w:val="0"/>
        <w:autoSpaceDE/>
        <w:autoSpaceDN/>
        <w:bidi w:val="0"/>
        <w:adjustRightInd/>
        <w:snapToGrid/>
        <w:jc w:val="center"/>
        <w:textAlignment w:val="auto"/>
        <w:rPr>
          <w:rFonts w:hint="eastAsia"/>
          <w:b/>
          <w:bCs/>
          <w:sz w:val="32"/>
          <w:szCs w:val="40"/>
          <w:lang w:val="en-US" w:eastAsia="zh-CN"/>
        </w:rPr>
      </w:pPr>
    </w:p>
    <w:p w14:paraId="5E367FFC">
      <w:pPr>
        <w:keepNext w:val="0"/>
        <w:keepLines w:val="0"/>
        <w:pageBreakBefore w:val="0"/>
        <w:widowControl w:val="0"/>
        <w:kinsoku/>
        <w:wordWrap/>
        <w:overflowPunct/>
        <w:topLinePunct w:val="0"/>
        <w:autoSpaceDE/>
        <w:autoSpaceDN/>
        <w:bidi w:val="0"/>
        <w:adjustRightInd/>
        <w:snapToGrid/>
        <w:jc w:val="center"/>
        <w:textAlignment w:val="auto"/>
        <w:rPr>
          <w:rFonts w:hint="eastAsia"/>
          <w:b/>
          <w:bCs/>
          <w:sz w:val="32"/>
          <w:szCs w:val="40"/>
          <w:lang w:val="en-US" w:eastAsia="zh-CN"/>
        </w:rPr>
      </w:pPr>
    </w:p>
    <w:p w14:paraId="2D58D7AE">
      <w:pPr>
        <w:keepNext w:val="0"/>
        <w:keepLines w:val="0"/>
        <w:pageBreakBefore w:val="0"/>
        <w:widowControl w:val="0"/>
        <w:kinsoku/>
        <w:wordWrap/>
        <w:overflowPunct/>
        <w:topLinePunct w:val="0"/>
        <w:autoSpaceDE/>
        <w:autoSpaceDN/>
        <w:bidi w:val="0"/>
        <w:adjustRightInd/>
        <w:snapToGrid/>
        <w:jc w:val="center"/>
        <w:textAlignment w:val="auto"/>
        <w:rPr>
          <w:rFonts w:hint="eastAsia"/>
          <w:b/>
          <w:bCs/>
          <w:sz w:val="32"/>
          <w:szCs w:val="40"/>
          <w:lang w:val="en-US" w:eastAsia="zh-CN"/>
        </w:rPr>
      </w:pPr>
    </w:p>
    <w:p w14:paraId="33EC0D8C">
      <w:pPr>
        <w:keepNext w:val="0"/>
        <w:keepLines w:val="0"/>
        <w:pageBreakBefore w:val="0"/>
        <w:widowControl w:val="0"/>
        <w:kinsoku/>
        <w:wordWrap/>
        <w:overflowPunct/>
        <w:topLinePunct w:val="0"/>
        <w:autoSpaceDE/>
        <w:autoSpaceDN/>
        <w:bidi w:val="0"/>
        <w:adjustRightInd/>
        <w:snapToGrid/>
        <w:jc w:val="center"/>
        <w:textAlignment w:val="auto"/>
        <w:rPr>
          <w:rFonts w:hint="eastAsia"/>
          <w:b/>
          <w:bCs/>
          <w:sz w:val="32"/>
          <w:szCs w:val="40"/>
          <w:lang w:val="en-US" w:eastAsia="zh-CN"/>
        </w:rPr>
      </w:pPr>
    </w:p>
    <w:p w14:paraId="5C08B8D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黑体" w:hAnsi="黑体" w:eastAsia="黑体" w:cs="黑体"/>
          <w:sz w:val="36"/>
          <w:szCs w:val="44"/>
          <w:lang w:val="en-US" w:eastAsia="zh-CN"/>
        </w:rPr>
      </w:pPr>
      <w:bookmarkStart w:id="0" w:name="_Toc30050"/>
      <w:r>
        <w:rPr>
          <w:rFonts w:hint="eastAsia" w:ascii="黑体" w:hAnsi="黑体" w:eastAsia="黑体" w:cs="黑体"/>
          <w:sz w:val="36"/>
          <w:szCs w:val="44"/>
          <w:lang w:val="en-US" w:eastAsia="zh-CN"/>
        </w:rPr>
        <w:t>霍山县建筑垃圾污染环境防治工作规划</w:t>
      </w:r>
    </w:p>
    <w:p w14:paraId="5C1BDAA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黑体" w:hAnsi="黑体" w:eastAsia="黑体" w:cs="黑体"/>
          <w:sz w:val="36"/>
          <w:szCs w:val="44"/>
          <w:lang w:val="en-US" w:eastAsia="zh-CN"/>
        </w:rPr>
      </w:pPr>
      <w:r>
        <w:rPr>
          <w:rFonts w:hint="eastAsia" w:ascii="黑体" w:hAnsi="黑体" w:eastAsia="黑体" w:cs="黑体"/>
          <w:sz w:val="36"/>
          <w:szCs w:val="44"/>
          <w:lang w:val="en-US" w:eastAsia="zh-CN"/>
        </w:rPr>
        <w:t>（2024-2035年）</w:t>
      </w:r>
      <w:bookmarkEnd w:id="0"/>
    </w:p>
    <w:p w14:paraId="5967B9A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黑体" w:hAnsi="黑体" w:eastAsia="黑体" w:cs="黑体"/>
          <w:sz w:val="36"/>
          <w:szCs w:val="44"/>
          <w:lang w:val="en-US" w:eastAsia="zh-CN"/>
        </w:rPr>
      </w:pPr>
      <w:r>
        <w:rPr>
          <w:rFonts w:hint="eastAsia" w:ascii="黑体" w:hAnsi="黑体" w:eastAsia="黑体" w:cs="黑体"/>
          <w:sz w:val="36"/>
          <w:szCs w:val="44"/>
          <w:lang w:val="en-US" w:eastAsia="zh-CN"/>
        </w:rPr>
        <w:t>说明书</w:t>
      </w:r>
    </w:p>
    <w:p w14:paraId="5F1F3CED">
      <w:pPr>
        <w:bidi w:val="0"/>
        <w:rPr>
          <w:rFonts w:hint="eastAsia"/>
          <w:sz w:val="24"/>
          <w:szCs w:val="32"/>
          <w:lang w:val="en-US" w:eastAsia="zh-CN"/>
        </w:rPr>
      </w:pPr>
    </w:p>
    <w:p w14:paraId="36E4AE04">
      <w:pPr>
        <w:bidi w:val="0"/>
        <w:rPr>
          <w:rFonts w:hint="eastAsia"/>
          <w:sz w:val="24"/>
          <w:szCs w:val="32"/>
          <w:lang w:val="en-US" w:eastAsia="zh-CN"/>
        </w:rPr>
      </w:pPr>
    </w:p>
    <w:p w14:paraId="34B6C197">
      <w:pPr>
        <w:bidi w:val="0"/>
        <w:rPr>
          <w:rFonts w:hint="eastAsia"/>
          <w:sz w:val="24"/>
          <w:szCs w:val="32"/>
          <w:lang w:val="en-US" w:eastAsia="zh-CN"/>
        </w:rPr>
      </w:pPr>
    </w:p>
    <w:p w14:paraId="2FDBE6C6">
      <w:pPr>
        <w:bidi w:val="0"/>
        <w:rPr>
          <w:rFonts w:hint="eastAsia"/>
          <w:sz w:val="24"/>
          <w:szCs w:val="32"/>
          <w:lang w:val="en-US" w:eastAsia="zh-CN"/>
        </w:rPr>
      </w:pPr>
    </w:p>
    <w:p w14:paraId="76525CF8">
      <w:pPr>
        <w:bidi w:val="0"/>
        <w:rPr>
          <w:rFonts w:hint="eastAsia"/>
          <w:sz w:val="24"/>
          <w:szCs w:val="32"/>
          <w:lang w:val="en-US" w:eastAsia="zh-CN"/>
        </w:rPr>
      </w:pPr>
    </w:p>
    <w:p w14:paraId="01AA1483">
      <w:pPr>
        <w:bidi w:val="0"/>
        <w:rPr>
          <w:rFonts w:hint="eastAsia"/>
          <w:sz w:val="24"/>
          <w:szCs w:val="32"/>
          <w:lang w:val="en-US" w:eastAsia="zh-CN"/>
        </w:rPr>
      </w:pPr>
    </w:p>
    <w:p w14:paraId="4990EF55">
      <w:pPr>
        <w:bidi w:val="0"/>
        <w:rPr>
          <w:rFonts w:hint="eastAsia"/>
          <w:sz w:val="24"/>
          <w:szCs w:val="32"/>
          <w:lang w:val="en-US" w:eastAsia="zh-CN"/>
        </w:rPr>
      </w:pPr>
    </w:p>
    <w:p w14:paraId="0CC8E884">
      <w:pPr>
        <w:bidi w:val="0"/>
        <w:rPr>
          <w:rFonts w:hint="eastAsia"/>
          <w:sz w:val="24"/>
          <w:szCs w:val="32"/>
          <w:lang w:val="en-US" w:eastAsia="zh-CN"/>
        </w:rPr>
      </w:pPr>
    </w:p>
    <w:p w14:paraId="20D6CC01">
      <w:pPr>
        <w:bidi w:val="0"/>
        <w:rPr>
          <w:rFonts w:hint="eastAsia"/>
          <w:sz w:val="24"/>
          <w:szCs w:val="32"/>
          <w:lang w:val="en-US" w:eastAsia="zh-CN"/>
        </w:rPr>
      </w:pPr>
    </w:p>
    <w:p w14:paraId="1B9F7430">
      <w:pPr>
        <w:bidi w:val="0"/>
        <w:rPr>
          <w:rFonts w:hint="eastAsia"/>
          <w:sz w:val="24"/>
          <w:szCs w:val="32"/>
          <w:lang w:val="en-US" w:eastAsia="zh-CN"/>
        </w:rPr>
      </w:pPr>
    </w:p>
    <w:p w14:paraId="7098F3D0">
      <w:pPr>
        <w:bidi w:val="0"/>
        <w:rPr>
          <w:rFonts w:hint="eastAsia"/>
          <w:sz w:val="24"/>
          <w:szCs w:val="32"/>
          <w:lang w:val="en-US" w:eastAsia="zh-CN"/>
        </w:rPr>
      </w:pPr>
    </w:p>
    <w:p w14:paraId="67C73CE2">
      <w:pPr>
        <w:bidi w:val="0"/>
        <w:rPr>
          <w:rFonts w:hint="eastAsia"/>
          <w:sz w:val="24"/>
          <w:szCs w:val="32"/>
          <w:lang w:val="en-US" w:eastAsia="zh-CN"/>
        </w:rPr>
      </w:pPr>
    </w:p>
    <w:p w14:paraId="27159BB6">
      <w:pPr>
        <w:bidi w:val="0"/>
        <w:rPr>
          <w:rFonts w:hint="eastAsia"/>
          <w:sz w:val="24"/>
          <w:szCs w:val="32"/>
          <w:lang w:val="en-US" w:eastAsia="zh-CN"/>
        </w:rPr>
      </w:pPr>
    </w:p>
    <w:p w14:paraId="2F75260E">
      <w:pPr>
        <w:bidi w:val="0"/>
        <w:rPr>
          <w:rFonts w:hint="eastAsia"/>
          <w:sz w:val="24"/>
          <w:szCs w:val="32"/>
          <w:lang w:val="en-US" w:eastAsia="zh-CN"/>
        </w:rPr>
      </w:pPr>
    </w:p>
    <w:p w14:paraId="5D4F9281">
      <w:pPr>
        <w:bidi w:val="0"/>
        <w:rPr>
          <w:rFonts w:hint="eastAsia"/>
          <w:sz w:val="24"/>
          <w:szCs w:val="32"/>
          <w:lang w:val="en-US" w:eastAsia="zh-CN"/>
        </w:rPr>
      </w:pPr>
    </w:p>
    <w:p w14:paraId="2E6DAD5A">
      <w:pPr>
        <w:bidi w:val="0"/>
        <w:rPr>
          <w:rFonts w:hint="eastAsia"/>
          <w:sz w:val="24"/>
          <w:szCs w:val="32"/>
          <w:lang w:val="en-US" w:eastAsia="zh-CN"/>
        </w:rPr>
      </w:pPr>
    </w:p>
    <w:p w14:paraId="6F8E8426">
      <w:pPr>
        <w:bidi w:val="0"/>
        <w:rPr>
          <w:rFonts w:hint="eastAsia"/>
          <w:sz w:val="24"/>
          <w:szCs w:val="32"/>
          <w:lang w:val="en-US" w:eastAsia="zh-CN"/>
        </w:rPr>
      </w:pPr>
    </w:p>
    <w:p w14:paraId="71AC18C8">
      <w:pPr>
        <w:bidi w:val="0"/>
        <w:rPr>
          <w:rFonts w:hint="eastAsia"/>
          <w:sz w:val="24"/>
          <w:szCs w:val="32"/>
          <w:lang w:val="en-US" w:eastAsia="zh-CN"/>
        </w:rPr>
      </w:pPr>
    </w:p>
    <w:p w14:paraId="4A293260">
      <w:pPr>
        <w:bidi w:val="0"/>
        <w:rPr>
          <w:rFonts w:hint="eastAsia"/>
          <w:sz w:val="24"/>
          <w:szCs w:val="32"/>
          <w:lang w:val="en-US" w:eastAsia="zh-CN"/>
        </w:rPr>
      </w:pPr>
    </w:p>
    <w:p w14:paraId="169E3E10">
      <w:pPr>
        <w:bidi w:val="0"/>
        <w:rPr>
          <w:rFonts w:hint="eastAsia"/>
          <w:sz w:val="24"/>
          <w:szCs w:val="32"/>
          <w:lang w:val="en-US" w:eastAsia="zh-CN"/>
        </w:rPr>
      </w:pPr>
    </w:p>
    <w:p w14:paraId="46DF2497">
      <w:pPr>
        <w:bidi w:val="0"/>
        <w:rPr>
          <w:rFonts w:hint="eastAsia"/>
          <w:sz w:val="24"/>
          <w:szCs w:val="32"/>
          <w:lang w:val="en-US" w:eastAsia="zh-CN"/>
        </w:rPr>
      </w:pPr>
    </w:p>
    <w:p w14:paraId="08C46FD5">
      <w:pPr>
        <w:bidi w:val="0"/>
        <w:rPr>
          <w:rFonts w:hint="eastAsia"/>
          <w:sz w:val="24"/>
          <w:szCs w:val="32"/>
          <w:lang w:val="en-US" w:eastAsia="zh-CN"/>
        </w:rPr>
      </w:pPr>
    </w:p>
    <w:p w14:paraId="1E2B87F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sz w:val="32"/>
          <w:szCs w:val="32"/>
          <w:lang w:val="en-US" w:eastAsia="zh-CN"/>
        </w:rPr>
      </w:pPr>
      <w:bookmarkStart w:id="1" w:name="_Toc22127"/>
      <w:r>
        <w:rPr>
          <w:rFonts w:hint="eastAsia" w:ascii="黑体" w:hAnsi="黑体" w:eastAsia="黑体" w:cs="黑体"/>
          <w:sz w:val="32"/>
          <w:szCs w:val="32"/>
          <w:lang w:val="en-US" w:eastAsia="zh-CN"/>
        </w:rPr>
        <w:t>思城设计集团有限公司</w:t>
      </w:r>
      <w:bookmarkEnd w:id="1"/>
    </w:p>
    <w:p w14:paraId="1E936C9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2024年9月</w:t>
      </w:r>
    </w:p>
    <w:p w14:paraId="06AC7ABF">
      <w:pPr>
        <w:bidi w:val="0"/>
        <w:rPr>
          <w:rFonts w:hint="eastAsia"/>
          <w:sz w:val="24"/>
          <w:szCs w:val="32"/>
          <w:lang w:val="en-US" w:eastAsia="zh-CN"/>
        </w:rPr>
        <w:sectPr>
          <w:pgSz w:w="11906" w:h="16838"/>
          <w:pgMar w:top="1440" w:right="1800" w:bottom="1440" w:left="1800" w:header="851" w:footer="992" w:gutter="0"/>
          <w:pgNumType w:fmt="decimal"/>
          <w:cols w:space="425" w:num="1"/>
          <w:docGrid w:type="lines" w:linePitch="312" w:charSpace="0"/>
        </w:sectPr>
      </w:pPr>
    </w:p>
    <w:sdt>
      <w:sdtPr>
        <w:rPr>
          <w:rFonts w:ascii="宋体" w:hAnsi="宋体" w:eastAsia="宋体" w:cstheme="minorBidi"/>
          <w:b/>
          <w:bCs/>
          <w:kern w:val="2"/>
          <w:sz w:val="28"/>
          <w:szCs w:val="36"/>
          <w:lang w:val="en-US" w:eastAsia="zh-CN" w:bidi="ar-SA"/>
        </w:rPr>
        <w:id w:val="147482278"/>
        <w15:color w:val="DBDBDB"/>
        <w:docPartObj>
          <w:docPartGallery w:val="Table of Contents"/>
          <w:docPartUnique/>
        </w:docPartObj>
      </w:sdtPr>
      <w:sdtEndPr>
        <w:rPr>
          <w:rFonts w:hint="eastAsia" w:asciiTheme="minorHAnsi" w:hAnsiTheme="minorHAnsi" w:eastAsiaTheme="minorEastAsia" w:cstheme="minorBidi"/>
          <w:b/>
          <w:bCs/>
          <w:kern w:val="2"/>
          <w:sz w:val="21"/>
          <w:szCs w:val="40"/>
          <w:lang w:val="en-US" w:eastAsia="zh-CN" w:bidi="ar-SA"/>
        </w:rPr>
      </w:sdtEndPr>
      <w:sdtContent>
        <w:p w14:paraId="104FBCA6">
          <w:pPr>
            <w:spacing w:before="0" w:beforeLines="0" w:after="0" w:afterLines="0" w:line="240" w:lineRule="auto"/>
            <w:ind w:left="0" w:leftChars="0" w:right="0" w:rightChars="0" w:firstLine="0" w:firstLineChars="0"/>
            <w:jc w:val="center"/>
            <w:rPr>
              <w:b/>
              <w:bCs/>
              <w:sz w:val="28"/>
              <w:szCs w:val="36"/>
            </w:rPr>
          </w:pPr>
          <w:r>
            <w:rPr>
              <w:rFonts w:ascii="宋体" w:hAnsi="宋体" w:eastAsia="宋体"/>
              <w:b/>
              <w:bCs/>
              <w:sz w:val="28"/>
              <w:szCs w:val="36"/>
            </w:rPr>
            <w:t>目录</w:t>
          </w:r>
        </w:p>
        <w:p w14:paraId="798D4F6A">
          <w:pPr>
            <w:pStyle w:val="9"/>
            <w:tabs>
              <w:tab w:val="right" w:leader="dot" w:pos="8306"/>
            </w:tabs>
          </w:pPr>
          <w:r>
            <w:rPr>
              <w:rFonts w:hint="eastAsia"/>
              <w:b/>
              <w:bCs/>
              <w:sz w:val="144"/>
              <w:szCs w:val="180"/>
              <w:lang w:val="en-US" w:eastAsia="zh-CN"/>
            </w:rPr>
            <w:fldChar w:fldCharType="begin"/>
          </w:r>
          <w:r>
            <w:rPr>
              <w:rFonts w:hint="eastAsia"/>
              <w:b/>
              <w:bCs/>
              <w:sz w:val="144"/>
              <w:szCs w:val="180"/>
              <w:lang w:val="en-US" w:eastAsia="zh-CN"/>
            </w:rPr>
            <w:instrText xml:space="preserve">TOC\o"1-2"\h\u</w:instrText>
          </w:r>
          <w:r>
            <w:rPr>
              <w:rFonts w:hint="eastAsia"/>
              <w:b/>
              <w:bCs/>
              <w:sz w:val="144"/>
              <w:szCs w:val="180"/>
              <w:lang w:val="en-US" w:eastAsia="zh-CN"/>
            </w:rPr>
            <w:fldChar w:fldCharType="separate"/>
          </w:r>
          <w:r>
            <w:rPr>
              <w:rFonts w:hint="eastAsia"/>
              <w:bCs/>
              <w:szCs w:val="180"/>
              <w:lang w:val="en-US" w:eastAsia="zh-CN"/>
            </w:rPr>
            <w:fldChar w:fldCharType="begin"/>
          </w:r>
          <w:r>
            <w:rPr>
              <w:rFonts w:hint="eastAsia"/>
              <w:bCs/>
              <w:szCs w:val="180"/>
              <w:lang w:val="en-US" w:eastAsia="zh-CN"/>
            </w:rPr>
            <w:instrText xml:space="preserve"> HYPERLINK \l _Toc25046 </w:instrText>
          </w:r>
          <w:r>
            <w:rPr>
              <w:rFonts w:hint="eastAsia"/>
              <w:bCs/>
              <w:szCs w:val="180"/>
              <w:lang w:val="en-US" w:eastAsia="zh-CN"/>
            </w:rPr>
            <w:fldChar w:fldCharType="separate"/>
          </w:r>
          <w:r>
            <w:rPr>
              <w:rFonts w:hint="eastAsia"/>
              <w:lang w:val="en-US" w:eastAsia="zh-CN"/>
            </w:rPr>
            <w:t>第一章 总则</w:t>
          </w:r>
          <w:r>
            <w:tab/>
          </w:r>
          <w:r>
            <w:fldChar w:fldCharType="begin"/>
          </w:r>
          <w:r>
            <w:instrText xml:space="preserve"> PAGEREF _Toc25046 \h </w:instrText>
          </w:r>
          <w:r>
            <w:fldChar w:fldCharType="separate"/>
          </w:r>
          <w:r>
            <w:t>4</w:t>
          </w:r>
          <w:r>
            <w:fldChar w:fldCharType="end"/>
          </w:r>
          <w:r>
            <w:rPr>
              <w:rFonts w:hint="eastAsia"/>
              <w:bCs/>
              <w:szCs w:val="180"/>
              <w:lang w:val="en-US" w:eastAsia="zh-CN"/>
            </w:rPr>
            <w:fldChar w:fldCharType="end"/>
          </w:r>
        </w:p>
        <w:p w14:paraId="71F77718">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_Toc2504 </w:instrText>
          </w:r>
          <w:r>
            <w:rPr>
              <w:rFonts w:hint="eastAsia"/>
              <w:bCs/>
              <w:szCs w:val="180"/>
              <w:lang w:val="en-US" w:eastAsia="zh-CN"/>
            </w:rPr>
            <w:fldChar w:fldCharType="separate"/>
          </w:r>
          <w:r>
            <w:rPr>
              <w:rFonts w:hint="eastAsia"/>
              <w:lang w:val="en-US" w:eastAsia="zh-CN"/>
            </w:rPr>
            <w:t>一、 规划背景</w:t>
          </w:r>
          <w:r>
            <w:tab/>
          </w:r>
          <w:r>
            <w:fldChar w:fldCharType="begin"/>
          </w:r>
          <w:r>
            <w:instrText xml:space="preserve"> PAGEREF _Toc2504 \h </w:instrText>
          </w:r>
          <w:r>
            <w:fldChar w:fldCharType="separate"/>
          </w:r>
          <w:r>
            <w:t>4</w:t>
          </w:r>
          <w:r>
            <w:fldChar w:fldCharType="end"/>
          </w:r>
          <w:r>
            <w:rPr>
              <w:rFonts w:hint="eastAsia"/>
              <w:bCs/>
              <w:szCs w:val="180"/>
              <w:lang w:val="en-US" w:eastAsia="zh-CN"/>
            </w:rPr>
            <w:fldChar w:fldCharType="end"/>
          </w:r>
        </w:p>
        <w:p w14:paraId="4A45F701">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_Toc19729 </w:instrText>
          </w:r>
          <w:r>
            <w:rPr>
              <w:rFonts w:hint="eastAsia"/>
              <w:bCs/>
              <w:szCs w:val="180"/>
              <w:lang w:val="en-US" w:eastAsia="zh-CN"/>
            </w:rPr>
            <w:fldChar w:fldCharType="separate"/>
          </w:r>
          <w:r>
            <w:rPr>
              <w:rFonts w:hint="eastAsia"/>
              <w:lang w:val="en-US" w:eastAsia="zh-CN"/>
            </w:rPr>
            <w:t>二、 规划范围</w:t>
          </w:r>
          <w:r>
            <w:tab/>
          </w:r>
          <w:r>
            <w:fldChar w:fldCharType="begin"/>
          </w:r>
          <w:r>
            <w:instrText xml:space="preserve"> PAGEREF _Toc19729 \h </w:instrText>
          </w:r>
          <w:r>
            <w:fldChar w:fldCharType="separate"/>
          </w:r>
          <w:r>
            <w:t>6</w:t>
          </w:r>
          <w:r>
            <w:fldChar w:fldCharType="end"/>
          </w:r>
          <w:r>
            <w:rPr>
              <w:rFonts w:hint="eastAsia"/>
              <w:bCs/>
              <w:szCs w:val="180"/>
              <w:lang w:val="en-US" w:eastAsia="zh-CN"/>
            </w:rPr>
            <w:fldChar w:fldCharType="end"/>
          </w:r>
        </w:p>
        <w:p w14:paraId="4D381345">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_Toc22280 </w:instrText>
          </w:r>
          <w:r>
            <w:rPr>
              <w:rFonts w:hint="eastAsia"/>
              <w:bCs/>
              <w:szCs w:val="180"/>
              <w:lang w:val="en-US" w:eastAsia="zh-CN"/>
            </w:rPr>
            <w:fldChar w:fldCharType="separate"/>
          </w:r>
          <w:r>
            <w:rPr>
              <w:rFonts w:hint="eastAsia"/>
              <w:lang w:val="en-US" w:eastAsia="zh-CN"/>
            </w:rPr>
            <w:t>三、 规划期限</w:t>
          </w:r>
          <w:r>
            <w:tab/>
          </w:r>
          <w:r>
            <w:fldChar w:fldCharType="begin"/>
          </w:r>
          <w:r>
            <w:instrText xml:space="preserve"> PAGEREF _Toc22280 \h </w:instrText>
          </w:r>
          <w:r>
            <w:fldChar w:fldCharType="separate"/>
          </w:r>
          <w:r>
            <w:t>6</w:t>
          </w:r>
          <w:r>
            <w:fldChar w:fldCharType="end"/>
          </w:r>
          <w:r>
            <w:rPr>
              <w:rFonts w:hint="eastAsia"/>
              <w:bCs/>
              <w:szCs w:val="180"/>
              <w:lang w:val="en-US" w:eastAsia="zh-CN"/>
            </w:rPr>
            <w:fldChar w:fldCharType="end"/>
          </w:r>
        </w:p>
        <w:p w14:paraId="69BAA5A0">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_Toc28190 </w:instrText>
          </w:r>
          <w:r>
            <w:rPr>
              <w:rFonts w:hint="eastAsia"/>
              <w:bCs/>
              <w:szCs w:val="180"/>
              <w:lang w:val="en-US" w:eastAsia="zh-CN"/>
            </w:rPr>
            <w:fldChar w:fldCharType="separate"/>
          </w:r>
          <w:r>
            <w:rPr>
              <w:rFonts w:hint="eastAsia"/>
              <w:szCs w:val="22"/>
              <w:lang w:val="en-US" w:eastAsia="zh-CN"/>
            </w:rPr>
            <w:t>四、 规划依据</w:t>
          </w:r>
          <w:r>
            <w:tab/>
          </w:r>
          <w:r>
            <w:fldChar w:fldCharType="begin"/>
          </w:r>
          <w:r>
            <w:instrText xml:space="preserve"> PAGEREF _Toc28190 \h </w:instrText>
          </w:r>
          <w:r>
            <w:fldChar w:fldCharType="separate"/>
          </w:r>
          <w:r>
            <w:t>7</w:t>
          </w:r>
          <w:r>
            <w:fldChar w:fldCharType="end"/>
          </w:r>
          <w:r>
            <w:rPr>
              <w:rFonts w:hint="eastAsia"/>
              <w:bCs/>
              <w:szCs w:val="180"/>
              <w:lang w:val="en-US" w:eastAsia="zh-CN"/>
            </w:rPr>
            <w:fldChar w:fldCharType="end"/>
          </w:r>
        </w:p>
        <w:p w14:paraId="159EF25F">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_Toc14489 </w:instrText>
          </w:r>
          <w:r>
            <w:rPr>
              <w:rFonts w:hint="eastAsia"/>
              <w:bCs/>
              <w:szCs w:val="180"/>
              <w:lang w:val="en-US" w:eastAsia="zh-CN"/>
            </w:rPr>
            <w:fldChar w:fldCharType="separate"/>
          </w:r>
          <w:r>
            <w:rPr>
              <w:rFonts w:hint="eastAsia"/>
              <w:szCs w:val="22"/>
              <w:lang w:val="en-US" w:eastAsia="zh-CN"/>
            </w:rPr>
            <w:t>五、 规划对象</w:t>
          </w:r>
          <w:r>
            <w:tab/>
          </w:r>
          <w:r>
            <w:fldChar w:fldCharType="begin"/>
          </w:r>
          <w:r>
            <w:instrText xml:space="preserve"> PAGEREF _Toc14489 \h </w:instrText>
          </w:r>
          <w:r>
            <w:fldChar w:fldCharType="separate"/>
          </w:r>
          <w:r>
            <w:t>8</w:t>
          </w:r>
          <w:r>
            <w:fldChar w:fldCharType="end"/>
          </w:r>
          <w:r>
            <w:rPr>
              <w:rFonts w:hint="eastAsia"/>
              <w:bCs/>
              <w:szCs w:val="180"/>
              <w:lang w:val="en-US" w:eastAsia="zh-CN"/>
            </w:rPr>
            <w:fldChar w:fldCharType="end"/>
          </w:r>
        </w:p>
        <w:p w14:paraId="46736CC0">
          <w:pPr>
            <w:pStyle w:val="9"/>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_Toc24036 </w:instrText>
          </w:r>
          <w:r>
            <w:rPr>
              <w:rFonts w:hint="eastAsia"/>
              <w:bCs/>
              <w:szCs w:val="180"/>
              <w:lang w:val="en-US" w:eastAsia="zh-CN"/>
            </w:rPr>
            <w:fldChar w:fldCharType="separate"/>
          </w:r>
          <w:r>
            <w:rPr>
              <w:rFonts w:hint="eastAsia"/>
              <w:lang w:val="en-US" w:eastAsia="zh-CN"/>
            </w:rPr>
            <w:t>第二章 现状分析</w:t>
          </w:r>
          <w:r>
            <w:tab/>
          </w:r>
          <w:r>
            <w:fldChar w:fldCharType="begin"/>
          </w:r>
          <w:r>
            <w:instrText xml:space="preserve"> PAGEREF _Toc24036 \h </w:instrText>
          </w:r>
          <w:r>
            <w:fldChar w:fldCharType="separate"/>
          </w:r>
          <w:r>
            <w:t>10</w:t>
          </w:r>
          <w:r>
            <w:fldChar w:fldCharType="end"/>
          </w:r>
          <w:r>
            <w:rPr>
              <w:rFonts w:hint="eastAsia"/>
              <w:bCs/>
              <w:szCs w:val="180"/>
              <w:lang w:val="en-US" w:eastAsia="zh-CN"/>
            </w:rPr>
            <w:fldChar w:fldCharType="end"/>
          </w:r>
        </w:p>
        <w:p w14:paraId="113DE067">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_Toc1023 </w:instrText>
          </w:r>
          <w:r>
            <w:rPr>
              <w:rFonts w:hint="eastAsia"/>
              <w:bCs/>
              <w:szCs w:val="180"/>
              <w:lang w:val="en-US" w:eastAsia="zh-CN"/>
            </w:rPr>
            <w:fldChar w:fldCharType="separate"/>
          </w:r>
          <w:r>
            <w:rPr>
              <w:rFonts w:hint="eastAsia"/>
              <w:lang w:val="en-US" w:eastAsia="zh-CN"/>
            </w:rPr>
            <w:t>一、 区域概况</w:t>
          </w:r>
          <w:r>
            <w:tab/>
          </w:r>
          <w:r>
            <w:fldChar w:fldCharType="begin"/>
          </w:r>
          <w:r>
            <w:instrText xml:space="preserve"> PAGEREF _Toc1023 \h </w:instrText>
          </w:r>
          <w:r>
            <w:fldChar w:fldCharType="separate"/>
          </w:r>
          <w:r>
            <w:t>10</w:t>
          </w:r>
          <w:r>
            <w:fldChar w:fldCharType="end"/>
          </w:r>
          <w:r>
            <w:rPr>
              <w:rFonts w:hint="eastAsia"/>
              <w:bCs/>
              <w:szCs w:val="180"/>
              <w:lang w:val="en-US" w:eastAsia="zh-CN"/>
            </w:rPr>
            <w:fldChar w:fldCharType="end"/>
          </w:r>
        </w:p>
        <w:p w14:paraId="47564E1C">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_Toc8997 </w:instrText>
          </w:r>
          <w:r>
            <w:rPr>
              <w:rFonts w:hint="eastAsia"/>
              <w:bCs/>
              <w:szCs w:val="180"/>
              <w:lang w:val="en-US" w:eastAsia="zh-CN"/>
            </w:rPr>
            <w:fldChar w:fldCharType="separate"/>
          </w:r>
          <w:r>
            <w:rPr>
              <w:rFonts w:hint="eastAsia"/>
              <w:lang w:val="en-US" w:eastAsia="zh-CN"/>
            </w:rPr>
            <w:t>二、 建筑垃圾产生现状</w:t>
          </w:r>
          <w:r>
            <w:tab/>
          </w:r>
          <w:r>
            <w:fldChar w:fldCharType="begin"/>
          </w:r>
          <w:r>
            <w:instrText xml:space="preserve"> PAGEREF _Toc8997 \h </w:instrText>
          </w:r>
          <w:r>
            <w:fldChar w:fldCharType="separate"/>
          </w:r>
          <w:r>
            <w:t>15</w:t>
          </w:r>
          <w:r>
            <w:fldChar w:fldCharType="end"/>
          </w:r>
          <w:r>
            <w:rPr>
              <w:rFonts w:hint="eastAsia"/>
              <w:bCs/>
              <w:szCs w:val="180"/>
              <w:lang w:val="en-US" w:eastAsia="zh-CN"/>
            </w:rPr>
            <w:fldChar w:fldCharType="end"/>
          </w:r>
        </w:p>
        <w:p w14:paraId="49257876">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_Toc22275 </w:instrText>
          </w:r>
          <w:r>
            <w:rPr>
              <w:rFonts w:hint="eastAsia"/>
              <w:bCs/>
              <w:szCs w:val="180"/>
              <w:lang w:val="en-US" w:eastAsia="zh-CN"/>
            </w:rPr>
            <w:fldChar w:fldCharType="separate"/>
          </w:r>
          <w:r>
            <w:rPr>
              <w:rFonts w:hint="eastAsia"/>
              <w:lang w:val="en-US" w:eastAsia="zh-CN"/>
            </w:rPr>
            <w:t>三、 问题分析</w:t>
          </w:r>
          <w:r>
            <w:tab/>
          </w:r>
          <w:r>
            <w:fldChar w:fldCharType="begin"/>
          </w:r>
          <w:r>
            <w:instrText xml:space="preserve"> PAGEREF _Toc22275 \h </w:instrText>
          </w:r>
          <w:r>
            <w:fldChar w:fldCharType="separate"/>
          </w:r>
          <w:r>
            <w:t>16</w:t>
          </w:r>
          <w:r>
            <w:fldChar w:fldCharType="end"/>
          </w:r>
          <w:r>
            <w:rPr>
              <w:rFonts w:hint="eastAsia"/>
              <w:bCs/>
              <w:szCs w:val="180"/>
              <w:lang w:val="en-US" w:eastAsia="zh-CN"/>
            </w:rPr>
            <w:fldChar w:fldCharType="end"/>
          </w:r>
        </w:p>
        <w:p w14:paraId="34F2A653">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_Toc30316 </w:instrText>
          </w:r>
          <w:r>
            <w:rPr>
              <w:rFonts w:hint="eastAsia"/>
              <w:bCs/>
              <w:szCs w:val="180"/>
              <w:lang w:val="en-US" w:eastAsia="zh-CN"/>
            </w:rPr>
            <w:fldChar w:fldCharType="separate"/>
          </w:r>
          <w:r>
            <w:rPr>
              <w:rFonts w:hint="eastAsia"/>
              <w:lang w:val="en-US" w:eastAsia="zh-CN"/>
            </w:rPr>
            <w:t>四、 相关规划衔接</w:t>
          </w:r>
          <w:r>
            <w:tab/>
          </w:r>
          <w:r>
            <w:fldChar w:fldCharType="begin"/>
          </w:r>
          <w:r>
            <w:instrText xml:space="preserve"> PAGEREF _Toc30316 \h </w:instrText>
          </w:r>
          <w:r>
            <w:fldChar w:fldCharType="separate"/>
          </w:r>
          <w:r>
            <w:t>18</w:t>
          </w:r>
          <w:r>
            <w:fldChar w:fldCharType="end"/>
          </w:r>
          <w:r>
            <w:rPr>
              <w:rFonts w:hint="eastAsia"/>
              <w:bCs/>
              <w:szCs w:val="180"/>
              <w:lang w:val="en-US" w:eastAsia="zh-CN"/>
            </w:rPr>
            <w:fldChar w:fldCharType="end"/>
          </w:r>
        </w:p>
        <w:p w14:paraId="5E90A28B">
          <w:pPr>
            <w:pStyle w:val="9"/>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_Toc23127 </w:instrText>
          </w:r>
          <w:r>
            <w:rPr>
              <w:rFonts w:hint="eastAsia"/>
              <w:bCs/>
              <w:szCs w:val="180"/>
              <w:lang w:val="en-US" w:eastAsia="zh-CN"/>
            </w:rPr>
            <w:fldChar w:fldCharType="separate"/>
          </w:r>
          <w:r>
            <w:rPr>
              <w:rFonts w:hint="eastAsia"/>
              <w:lang w:val="en-US" w:eastAsia="zh-CN"/>
            </w:rPr>
            <w:t>第三章 总体要求</w:t>
          </w:r>
          <w:r>
            <w:tab/>
          </w:r>
          <w:r>
            <w:fldChar w:fldCharType="begin"/>
          </w:r>
          <w:r>
            <w:instrText xml:space="preserve"> PAGEREF _Toc23127 \h </w:instrText>
          </w:r>
          <w:r>
            <w:fldChar w:fldCharType="separate"/>
          </w:r>
          <w:r>
            <w:t>26</w:t>
          </w:r>
          <w:r>
            <w:fldChar w:fldCharType="end"/>
          </w:r>
          <w:r>
            <w:rPr>
              <w:rFonts w:hint="eastAsia"/>
              <w:bCs/>
              <w:szCs w:val="180"/>
              <w:lang w:val="en-US" w:eastAsia="zh-CN"/>
            </w:rPr>
            <w:fldChar w:fldCharType="end"/>
          </w:r>
        </w:p>
        <w:p w14:paraId="41D68512">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_Toc20113 </w:instrText>
          </w:r>
          <w:r>
            <w:rPr>
              <w:rFonts w:hint="eastAsia"/>
              <w:bCs/>
              <w:szCs w:val="180"/>
              <w:lang w:val="en-US" w:eastAsia="zh-CN"/>
            </w:rPr>
            <w:fldChar w:fldCharType="separate"/>
          </w:r>
          <w:r>
            <w:rPr>
              <w:rFonts w:hint="eastAsia"/>
              <w:lang w:val="en-US" w:eastAsia="zh-CN"/>
            </w:rPr>
            <w:t>一、 指导思想</w:t>
          </w:r>
          <w:r>
            <w:tab/>
          </w:r>
          <w:r>
            <w:fldChar w:fldCharType="begin"/>
          </w:r>
          <w:r>
            <w:instrText xml:space="preserve"> PAGEREF _Toc20113 \h </w:instrText>
          </w:r>
          <w:r>
            <w:fldChar w:fldCharType="separate"/>
          </w:r>
          <w:r>
            <w:t>26</w:t>
          </w:r>
          <w:r>
            <w:fldChar w:fldCharType="end"/>
          </w:r>
          <w:r>
            <w:rPr>
              <w:rFonts w:hint="eastAsia"/>
              <w:bCs/>
              <w:szCs w:val="180"/>
              <w:lang w:val="en-US" w:eastAsia="zh-CN"/>
            </w:rPr>
            <w:fldChar w:fldCharType="end"/>
          </w:r>
        </w:p>
        <w:p w14:paraId="34A69A50">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_Toc7840 </w:instrText>
          </w:r>
          <w:r>
            <w:rPr>
              <w:rFonts w:hint="eastAsia"/>
              <w:bCs/>
              <w:szCs w:val="180"/>
              <w:lang w:val="en-US" w:eastAsia="zh-CN"/>
            </w:rPr>
            <w:fldChar w:fldCharType="separate"/>
          </w:r>
          <w:r>
            <w:rPr>
              <w:rFonts w:hint="eastAsia"/>
              <w:lang w:val="en-US" w:eastAsia="zh-CN"/>
            </w:rPr>
            <w:t>二、 基本原则</w:t>
          </w:r>
          <w:r>
            <w:tab/>
          </w:r>
          <w:r>
            <w:fldChar w:fldCharType="begin"/>
          </w:r>
          <w:r>
            <w:instrText xml:space="preserve"> PAGEREF _Toc7840 \h </w:instrText>
          </w:r>
          <w:r>
            <w:fldChar w:fldCharType="separate"/>
          </w:r>
          <w:r>
            <w:t>27</w:t>
          </w:r>
          <w:r>
            <w:fldChar w:fldCharType="end"/>
          </w:r>
          <w:r>
            <w:rPr>
              <w:rFonts w:hint="eastAsia"/>
              <w:bCs/>
              <w:szCs w:val="180"/>
              <w:lang w:val="en-US" w:eastAsia="zh-CN"/>
            </w:rPr>
            <w:fldChar w:fldCharType="end"/>
          </w:r>
        </w:p>
        <w:p w14:paraId="52FE042D">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_Toc16938 </w:instrText>
          </w:r>
          <w:r>
            <w:rPr>
              <w:rFonts w:hint="eastAsia"/>
              <w:bCs/>
              <w:szCs w:val="180"/>
              <w:lang w:val="en-US" w:eastAsia="zh-CN"/>
            </w:rPr>
            <w:fldChar w:fldCharType="separate"/>
          </w:r>
          <w:r>
            <w:rPr>
              <w:rFonts w:hint="eastAsia"/>
              <w:lang w:val="en-US" w:eastAsia="zh-CN"/>
            </w:rPr>
            <w:t>三、 规划目标</w:t>
          </w:r>
          <w:r>
            <w:tab/>
          </w:r>
          <w:r>
            <w:fldChar w:fldCharType="begin"/>
          </w:r>
          <w:r>
            <w:instrText xml:space="preserve"> PAGEREF _Toc16938 \h </w:instrText>
          </w:r>
          <w:r>
            <w:fldChar w:fldCharType="separate"/>
          </w:r>
          <w:r>
            <w:t>28</w:t>
          </w:r>
          <w:r>
            <w:fldChar w:fldCharType="end"/>
          </w:r>
          <w:r>
            <w:rPr>
              <w:rFonts w:hint="eastAsia"/>
              <w:bCs/>
              <w:szCs w:val="180"/>
              <w:lang w:val="en-US" w:eastAsia="zh-CN"/>
            </w:rPr>
            <w:fldChar w:fldCharType="end"/>
          </w:r>
        </w:p>
        <w:p w14:paraId="0B026897">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_Toc3736 </w:instrText>
          </w:r>
          <w:r>
            <w:rPr>
              <w:rFonts w:hint="eastAsia"/>
              <w:bCs/>
              <w:szCs w:val="180"/>
              <w:lang w:val="en-US" w:eastAsia="zh-CN"/>
            </w:rPr>
            <w:fldChar w:fldCharType="separate"/>
          </w:r>
          <w:r>
            <w:rPr>
              <w:rFonts w:hint="eastAsia"/>
              <w:lang w:val="en-US" w:eastAsia="zh-CN"/>
            </w:rPr>
            <w:t>四、 规模预测</w:t>
          </w:r>
          <w:r>
            <w:tab/>
          </w:r>
          <w:r>
            <w:fldChar w:fldCharType="begin"/>
          </w:r>
          <w:r>
            <w:instrText xml:space="preserve"> PAGEREF _Toc3736 \h </w:instrText>
          </w:r>
          <w:r>
            <w:fldChar w:fldCharType="separate"/>
          </w:r>
          <w:r>
            <w:t>30</w:t>
          </w:r>
          <w:r>
            <w:fldChar w:fldCharType="end"/>
          </w:r>
          <w:r>
            <w:rPr>
              <w:rFonts w:hint="eastAsia"/>
              <w:bCs/>
              <w:szCs w:val="180"/>
              <w:lang w:val="en-US" w:eastAsia="zh-CN"/>
            </w:rPr>
            <w:fldChar w:fldCharType="end"/>
          </w:r>
        </w:p>
        <w:p w14:paraId="0E6CAC8F">
          <w:pPr>
            <w:pStyle w:val="9"/>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_Toc28058 </w:instrText>
          </w:r>
          <w:r>
            <w:rPr>
              <w:rFonts w:hint="eastAsia"/>
              <w:bCs/>
              <w:szCs w:val="180"/>
              <w:lang w:val="en-US" w:eastAsia="zh-CN"/>
            </w:rPr>
            <w:fldChar w:fldCharType="separate"/>
          </w:r>
          <w:r>
            <w:rPr>
              <w:rFonts w:hint="eastAsia"/>
              <w:lang w:val="en-US" w:eastAsia="zh-CN"/>
            </w:rPr>
            <w:t>第四章 建筑垃圾源头减量规划</w:t>
          </w:r>
          <w:r>
            <w:tab/>
          </w:r>
          <w:r>
            <w:fldChar w:fldCharType="begin"/>
          </w:r>
          <w:r>
            <w:instrText xml:space="preserve"> PAGEREF _Toc28058 \h </w:instrText>
          </w:r>
          <w:r>
            <w:fldChar w:fldCharType="separate"/>
          </w:r>
          <w:r>
            <w:t>34</w:t>
          </w:r>
          <w:r>
            <w:fldChar w:fldCharType="end"/>
          </w:r>
          <w:r>
            <w:rPr>
              <w:rFonts w:hint="eastAsia"/>
              <w:bCs/>
              <w:szCs w:val="180"/>
              <w:lang w:val="en-US" w:eastAsia="zh-CN"/>
            </w:rPr>
            <w:fldChar w:fldCharType="end"/>
          </w:r>
        </w:p>
        <w:p w14:paraId="3A65EEDC">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_Toc1885 </w:instrText>
          </w:r>
          <w:r>
            <w:rPr>
              <w:rFonts w:hint="eastAsia"/>
              <w:bCs/>
              <w:szCs w:val="180"/>
              <w:lang w:val="en-US" w:eastAsia="zh-CN"/>
            </w:rPr>
            <w:fldChar w:fldCharType="separate"/>
          </w:r>
          <w:r>
            <w:rPr>
              <w:rFonts w:hint="eastAsia"/>
              <w:lang w:val="en-US" w:eastAsia="zh-CN"/>
            </w:rPr>
            <w:t>一、 源头减量要求</w:t>
          </w:r>
          <w:r>
            <w:tab/>
          </w:r>
          <w:r>
            <w:fldChar w:fldCharType="begin"/>
          </w:r>
          <w:r>
            <w:instrText xml:space="preserve"> PAGEREF _Toc1885 \h </w:instrText>
          </w:r>
          <w:r>
            <w:fldChar w:fldCharType="separate"/>
          </w:r>
          <w:r>
            <w:t>34</w:t>
          </w:r>
          <w:r>
            <w:fldChar w:fldCharType="end"/>
          </w:r>
          <w:r>
            <w:rPr>
              <w:rFonts w:hint="eastAsia"/>
              <w:bCs/>
              <w:szCs w:val="180"/>
              <w:lang w:val="en-US" w:eastAsia="zh-CN"/>
            </w:rPr>
            <w:fldChar w:fldCharType="end"/>
          </w:r>
        </w:p>
        <w:p w14:paraId="16E6228B">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_Toc19114 </w:instrText>
          </w:r>
          <w:r>
            <w:rPr>
              <w:rFonts w:hint="eastAsia"/>
              <w:bCs/>
              <w:szCs w:val="180"/>
              <w:lang w:val="en-US" w:eastAsia="zh-CN"/>
            </w:rPr>
            <w:fldChar w:fldCharType="separate"/>
          </w:r>
          <w:r>
            <w:rPr>
              <w:rFonts w:hint="eastAsia"/>
              <w:lang w:val="en-US" w:eastAsia="zh-CN"/>
            </w:rPr>
            <w:t>二、 源头减量总体措施</w:t>
          </w:r>
          <w:r>
            <w:tab/>
          </w:r>
          <w:r>
            <w:fldChar w:fldCharType="begin"/>
          </w:r>
          <w:r>
            <w:instrText xml:space="preserve"> PAGEREF _Toc19114 \h </w:instrText>
          </w:r>
          <w:r>
            <w:fldChar w:fldCharType="separate"/>
          </w:r>
          <w:r>
            <w:t>34</w:t>
          </w:r>
          <w:r>
            <w:fldChar w:fldCharType="end"/>
          </w:r>
          <w:r>
            <w:rPr>
              <w:rFonts w:hint="eastAsia"/>
              <w:bCs/>
              <w:szCs w:val="180"/>
              <w:lang w:val="en-US" w:eastAsia="zh-CN"/>
            </w:rPr>
            <w:fldChar w:fldCharType="end"/>
          </w:r>
        </w:p>
        <w:p w14:paraId="2A1EBF8C">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_Toc28720 </w:instrText>
          </w:r>
          <w:r>
            <w:rPr>
              <w:rFonts w:hint="eastAsia"/>
              <w:bCs/>
              <w:szCs w:val="180"/>
              <w:lang w:val="en-US" w:eastAsia="zh-CN"/>
            </w:rPr>
            <w:fldChar w:fldCharType="separate"/>
          </w:r>
          <w:r>
            <w:rPr>
              <w:rFonts w:hint="eastAsia"/>
              <w:lang w:val="en-US" w:eastAsia="zh-CN"/>
            </w:rPr>
            <w:t>三、 源头分类减量措施</w:t>
          </w:r>
          <w:r>
            <w:tab/>
          </w:r>
          <w:r>
            <w:fldChar w:fldCharType="begin"/>
          </w:r>
          <w:r>
            <w:instrText xml:space="preserve"> PAGEREF _Toc28720 \h </w:instrText>
          </w:r>
          <w:r>
            <w:fldChar w:fldCharType="separate"/>
          </w:r>
          <w:r>
            <w:t>37</w:t>
          </w:r>
          <w:r>
            <w:fldChar w:fldCharType="end"/>
          </w:r>
          <w:r>
            <w:rPr>
              <w:rFonts w:hint="eastAsia"/>
              <w:bCs/>
              <w:szCs w:val="180"/>
              <w:lang w:val="en-US" w:eastAsia="zh-CN"/>
            </w:rPr>
            <w:fldChar w:fldCharType="end"/>
          </w:r>
        </w:p>
        <w:p w14:paraId="776A8FC5">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_Toc3530 </w:instrText>
          </w:r>
          <w:r>
            <w:rPr>
              <w:rFonts w:hint="eastAsia"/>
              <w:bCs/>
              <w:szCs w:val="180"/>
              <w:lang w:val="en-US" w:eastAsia="zh-CN"/>
            </w:rPr>
            <w:fldChar w:fldCharType="separate"/>
          </w:r>
          <w:r>
            <w:rPr>
              <w:rFonts w:hint="eastAsia"/>
              <w:lang w:val="en-US" w:eastAsia="zh-CN"/>
            </w:rPr>
            <w:t>四、 源头污染环境防治要求</w:t>
          </w:r>
          <w:r>
            <w:tab/>
          </w:r>
          <w:r>
            <w:fldChar w:fldCharType="begin"/>
          </w:r>
          <w:r>
            <w:instrText xml:space="preserve"> PAGEREF _Toc3530 \h </w:instrText>
          </w:r>
          <w:r>
            <w:fldChar w:fldCharType="separate"/>
          </w:r>
          <w:r>
            <w:t>40</w:t>
          </w:r>
          <w:r>
            <w:fldChar w:fldCharType="end"/>
          </w:r>
          <w:r>
            <w:rPr>
              <w:rFonts w:hint="eastAsia"/>
              <w:bCs/>
              <w:szCs w:val="180"/>
              <w:lang w:val="en-US" w:eastAsia="zh-CN"/>
            </w:rPr>
            <w:fldChar w:fldCharType="end"/>
          </w:r>
        </w:p>
        <w:p w14:paraId="7AACD875">
          <w:pPr>
            <w:pStyle w:val="9"/>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_Toc13613 </w:instrText>
          </w:r>
          <w:r>
            <w:rPr>
              <w:rFonts w:hint="eastAsia"/>
              <w:bCs/>
              <w:szCs w:val="180"/>
              <w:lang w:val="en-US" w:eastAsia="zh-CN"/>
            </w:rPr>
            <w:fldChar w:fldCharType="separate"/>
          </w:r>
          <w:r>
            <w:rPr>
              <w:rFonts w:hint="eastAsia"/>
              <w:lang w:val="en-US" w:eastAsia="zh-CN"/>
            </w:rPr>
            <w:t>第五章 建筑垃圾收集运输规划</w:t>
          </w:r>
          <w:r>
            <w:tab/>
          </w:r>
          <w:r>
            <w:fldChar w:fldCharType="begin"/>
          </w:r>
          <w:r>
            <w:instrText xml:space="preserve"> PAGEREF _Toc13613 \h </w:instrText>
          </w:r>
          <w:r>
            <w:fldChar w:fldCharType="separate"/>
          </w:r>
          <w:r>
            <w:t>41</w:t>
          </w:r>
          <w:r>
            <w:fldChar w:fldCharType="end"/>
          </w:r>
          <w:r>
            <w:rPr>
              <w:rFonts w:hint="eastAsia"/>
              <w:bCs/>
              <w:szCs w:val="180"/>
              <w:lang w:val="en-US" w:eastAsia="zh-CN"/>
            </w:rPr>
            <w:fldChar w:fldCharType="end"/>
          </w:r>
        </w:p>
        <w:p w14:paraId="786E1CAA">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_Toc32358 </w:instrText>
          </w:r>
          <w:r>
            <w:rPr>
              <w:rFonts w:hint="eastAsia"/>
              <w:bCs/>
              <w:szCs w:val="180"/>
              <w:lang w:val="en-US" w:eastAsia="zh-CN"/>
            </w:rPr>
            <w:fldChar w:fldCharType="separate"/>
          </w:r>
          <w:r>
            <w:rPr>
              <w:rFonts w:hint="eastAsia"/>
              <w:lang w:val="en-US" w:eastAsia="zh-CN"/>
            </w:rPr>
            <w:t>一、 收运体系</w:t>
          </w:r>
          <w:r>
            <w:tab/>
          </w:r>
          <w:r>
            <w:fldChar w:fldCharType="begin"/>
          </w:r>
          <w:r>
            <w:instrText xml:space="preserve"> PAGEREF _Toc32358 \h </w:instrText>
          </w:r>
          <w:r>
            <w:fldChar w:fldCharType="separate"/>
          </w:r>
          <w:r>
            <w:t>41</w:t>
          </w:r>
          <w:r>
            <w:fldChar w:fldCharType="end"/>
          </w:r>
          <w:r>
            <w:rPr>
              <w:rFonts w:hint="eastAsia"/>
              <w:bCs/>
              <w:szCs w:val="180"/>
              <w:lang w:val="en-US" w:eastAsia="zh-CN"/>
            </w:rPr>
            <w:fldChar w:fldCharType="end"/>
          </w:r>
        </w:p>
        <w:p w14:paraId="7EDDA17E">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_Toc25795 </w:instrText>
          </w:r>
          <w:r>
            <w:rPr>
              <w:rFonts w:hint="eastAsia"/>
              <w:bCs/>
              <w:szCs w:val="180"/>
              <w:lang w:val="en-US" w:eastAsia="zh-CN"/>
            </w:rPr>
            <w:fldChar w:fldCharType="separate"/>
          </w:r>
          <w:r>
            <w:rPr>
              <w:rFonts w:hint="eastAsia"/>
              <w:lang w:val="en-US" w:eastAsia="zh-CN"/>
            </w:rPr>
            <w:t>二、 收运模式</w:t>
          </w:r>
          <w:r>
            <w:tab/>
          </w:r>
          <w:r>
            <w:fldChar w:fldCharType="begin"/>
          </w:r>
          <w:r>
            <w:instrText xml:space="preserve"> PAGEREF _Toc25795 \h </w:instrText>
          </w:r>
          <w:r>
            <w:fldChar w:fldCharType="separate"/>
          </w:r>
          <w:r>
            <w:t>41</w:t>
          </w:r>
          <w:r>
            <w:fldChar w:fldCharType="end"/>
          </w:r>
          <w:r>
            <w:rPr>
              <w:rFonts w:hint="eastAsia"/>
              <w:bCs/>
              <w:szCs w:val="180"/>
              <w:lang w:val="en-US" w:eastAsia="zh-CN"/>
            </w:rPr>
            <w:fldChar w:fldCharType="end"/>
          </w:r>
        </w:p>
        <w:p w14:paraId="1FA70395">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_Toc11008 </w:instrText>
          </w:r>
          <w:r>
            <w:rPr>
              <w:rFonts w:hint="eastAsia"/>
              <w:bCs/>
              <w:szCs w:val="180"/>
              <w:lang w:val="en-US" w:eastAsia="zh-CN"/>
            </w:rPr>
            <w:fldChar w:fldCharType="separate"/>
          </w:r>
          <w:r>
            <w:rPr>
              <w:rFonts w:hint="eastAsia"/>
              <w:lang w:val="en-US" w:eastAsia="zh-CN"/>
            </w:rPr>
            <w:t>三、 分类收集</w:t>
          </w:r>
          <w:r>
            <w:tab/>
          </w:r>
          <w:r>
            <w:fldChar w:fldCharType="begin"/>
          </w:r>
          <w:r>
            <w:instrText xml:space="preserve"> PAGEREF _Toc11008 \h </w:instrText>
          </w:r>
          <w:r>
            <w:fldChar w:fldCharType="separate"/>
          </w:r>
          <w:r>
            <w:t>41</w:t>
          </w:r>
          <w:r>
            <w:fldChar w:fldCharType="end"/>
          </w:r>
          <w:r>
            <w:rPr>
              <w:rFonts w:hint="eastAsia"/>
              <w:bCs/>
              <w:szCs w:val="180"/>
              <w:lang w:val="en-US" w:eastAsia="zh-CN"/>
            </w:rPr>
            <w:fldChar w:fldCharType="end"/>
          </w:r>
        </w:p>
        <w:p w14:paraId="05B91A20">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_Toc28154 </w:instrText>
          </w:r>
          <w:r>
            <w:rPr>
              <w:rFonts w:hint="eastAsia"/>
              <w:bCs/>
              <w:szCs w:val="180"/>
              <w:lang w:val="en-US" w:eastAsia="zh-CN"/>
            </w:rPr>
            <w:fldChar w:fldCharType="separate"/>
          </w:r>
          <w:r>
            <w:rPr>
              <w:rFonts w:hint="eastAsia"/>
              <w:lang w:val="en-US" w:eastAsia="zh-CN"/>
            </w:rPr>
            <w:t>四、 收运流程</w:t>
          </w:r>
          <w:r>
            <w:tab/>
          </w:r>
          <w:r>
            <w:fldChar w:fldCharType="begin"/>
          </w:r>
          <w:r>
            <w:instrText xml:space="preserve"> PAGEREF _Toc28154 \h </w:instrText>
          </w:r>
          <w:r>
            <w:fldChar w:fldCharType="separate"/>
          </w:r>
          <w:r>
            <w:t>43</w:t>
          </w:r>
          <w:r>
            <w:fldChar w:fldCharType="end"/>
          </w:r>
          <w:r>
            <w:rPr>
              <w:rFonts w:hint="eastAsia"/>
              <w:bCs/>
              <w:szCs w:val="180"/>
              <w:lang w:val="en-US" w:eastAsia="zh-CN"/>
            </w:rPr>
            <w:fldChar w:fldCharType="end"/>
          </w:r>
        </w:p>
        <w:p w14:paraId="54F69C95">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_Toc7911 </w:instrText>
          </w:r>
          <w:r>
            <w:rPr>
              <w:rFonts w:hint="eastAsia"/>
              <w:bCs/>
              <w:szCs w:val="180"/>
              <w:lang w:val="en-US" w:eastAsia="zh-CN"/>
            </w:rPr>
            <w:fldChar w:fldCharType="separate"/>
          </w:r>
          <w:r>
            <w:rPr>
              <w:rFonts w:hint="eastAsia"/>
              <w:lang w:val="en-US" w:eastAsia="zh-CN"/>
            </w:rPr>
            <w:t>五、 收运要求</w:t>
          </w:r>
          <w:r>
            <w:tab/>
          </w:r>
          <w:r>
            <w:fldChar w:fldCharType="begin"/>
          </w:r>
          <w:r>
            <w:instrText xml:space="preserve"> PAGEREF _Toc7911 \h </w:instrText>
          </w:r>
          <w:r>
            <w:fldChar w:fldCharType="separate"/>
          </w:r>
          <w:r>
            <w:t>46</w:t>
          </w:r>
          <w:r>
            <w:fldChar w:fldCharType="end"/>
          </w:r>
          <w:r>
            <w:rPr>
              <w:rFonts w:hint="eastAsia"/>
              <w:bCs/>
              <w:szCs w:val="180"/>
              <w:lang w:val="en-US" w:eastAsia="zh-CN"/>
            </w:rPr>
            <w:fldChar w:fldCharType="end"/>
          </w:r>
        </w:p>
        <w:p w14:paraId="7310BB27">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_Toc11714 </w:instrText>
          </w:r>
          <w:r>
            <w:rPr>
              <w:rFonts w:hint="eastAsia"/>
              <w:bCs/>
              <w:szCs w:val="180"/>
              <w:lang w:val="en-US" w:eastAsia="zh-CN"/>
            </w:rPr>
            <w:fldChar w:fldCharType="separate"/>
          </w:r>
          <w:r>
            <w:rPr>
              <w:rFonts w:hint="eastAsia"/>
              <w:lang w:val="en-US" w:eastAsia="zh-CN"/>
            </w:rPr>
            <w:t>六、 收运队伍建设</w:t>
          </w:r>
          <w:r>
            <w:tab/>
          </w:r>
          <w:r>
            <w:fldChar w:fldCharType="begin"/>
          </w:r>
          <w:r>
            <w:instrText xml:space="preserve"> PAGEREF _Toc11714 \h </w:instrText>
          </w:r>
          <w:r>
            <w:fldChar w:fldCharType="separate"/>
          </w:r>
          <w:r>
            <w:t>48</w:t>
          </w:r>
          <w:r>
            <w:fldChar w:fldCharType="end"/>
          </w:r>
          <w:r>
            <w:rPr>
              <w:rFonts w:hint="eastAsia"/>
              <w:bCs/>
              <w:szCs w:val="180"/>
              <w:lang w:val="en-US" w:eastAsia="zh-CN"/>
            </w:rPr>
            <w:fldChar w:fldCharType="end"/>
          </w:r>
        </w:p>
        <w:p w14:paraId="38E137D0">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_Toc11963 </w:instrText>
          </w:r>
          <w:r>
            <w:rPr>
              <w:rFonts w:hint="eastAsia"/>
              <w:bCs/>
              <w:szCs w:val="180"/>
              <w:lang w:val="en-US" w:eastAsia="zh-CN"/>
            </w:rPr>
            <w:fldChar w:fldCharType="separate"/>
          </w:r>
          <w:r>
            <w:rPr>
              <w:rFonts w:hint="eastAsia"/>
              <w:lang w:val="en-US" w:eastAsia="zh-CN"/>
            </w:rPr>
            <w:t>七、 收运交通安全管制</w:t>
          </w:r>
          <w:r>
            <w:tab/>
          </w:r>
          <w:r>
            <w:fldChar w:fldCharType="begin"/>
          </w:r>
          <w:r>
            <w:instrText xml:space="preserve"> PAGEREF _Toc11963 \h </w:instrText>
          </w:r>
          <w:r>
            <w:fldChar w:fldCharType="separate"/>
          </w:r>
          <w:r>
            <w:t>50</w:t>
          </w:r>
          <w:r>
            <w:fldChar w:fldCharType="end"/>
          </w:r>
          <w:r>
            <w:rPr>
              <w:rFonts w:hint="eastAsia"/>
              <w:bCs/>
              <w:szCs w:val="180"/>
              <w:lang w:val="en-US" w:eastAsia="zh-CN"/>
            </w:rPr>
            <w:fldChar w:fldCharType="end"/>
          </w:r>
        </w:p>
        <w:p w14:paraId="205ECACF">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_Toc11233 </w:instrText>
          </w:r>
          <w:r>
            <w:rPr>
              <w:rFonts w:hint="eastAsia"/>
              <w:bCs/>
              <w:szCs w:val="180"/>
              <w:lang w:val="en-US" w:eastAsia="zh-CN"/>
            </w:rPr>
            <w:fldChar w:fldCharType="separate"/>
          </w:r>
          <w:r>
            <w:rPr>
              <w:rFonts w:hint="eastAsia"/>
              <w:lang w:val="en-US" w:eastAsia="zh-CN"/>
            </w:rPr>
            <w:t>八、 收运信息化管理</w:t>
          </w:r>
          <w:r>
            <w:tab/>
          </w:r>
          <w:r>
            <w:fldChar w:fldCharType="begin"/>
          </w:r>
          <w:r>
            <w:instrText xml:space="preserve"> PAGEREF _Toc11233 \h </w:instrText>
          </w:r>
          <w:r>
            <w:fldChar w:fldCharType="separate"/>
          </w:r>
          <w:r>
            <w:t>51</w:t>
          </w:r>
          <w:r>
            <w:fldChar w:fldCharType="end"/>
          </w:r>
          <w:r>
            <w:rPr>
              <w:rFonts w:hint="eastAsia"/>
              <w:bCs/>
              <w:szCs w:val="180"/>
              <w:lang w:val="en-US" w:eastAsia="zh-CN"/>
            </w:rPr>
            <w:fldChar w:fldCharType="end"/>
          </w:r>
        </w:p>
        <w:p w14:paraId="2815D0FF">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_Toc23085 </w:instrText>
          </w:r>
          <w:r>
            <w:rPr>
              <w:rFonts w:hint="eastAsia"/>
              <w:bCs/>
              <w:szCs w:val="180"/>
              <w:lang w:val="en-US" w:eastAsia="zh-CN"/>
            </w:rPr>
            <w:fldChar w:fldCharType="separate"/>
          </w:r>
          <w:r>
            <w:rPr>
              <w:rFonts w:hint="eastAsia"/>
              <w:lang w:val="en-US" w:eastAsia="zh-CN"/>
            </w:rPr>
            <w:t>九、 收运线路</w:t>
          </w:r>
          <w:r>
            <w:tab/>
          </w:r>
          <w:r>
            <w:fldChar w:fldCharType="begin"/>
          </w:r>
          <w:r>
            <w:instrText xml:space="preserve"> PAGEREF _Toc23085 \h </w:instrText>
          </w:r>
          <w:r>
            <w:fldChar w:fldCharType="separate"/>
          </w:r>
          <w:r>
            <w:t>52</w:t>
          </w:r>
          <w:r>
            <w:fldChar w:fldCharType="end"/>
          </w:r>
          <w:r>
            <w:rPr>
              <w:rFonts w:hint="eastAsia"/>
              <w:bCs/>
              <w:szCs w:val="180"/>
              <w:lang w:val="en-US" w:eastAsia="zh-CN"/>
            </w:rPr>
            <w:fldChar w:fldCharType="end"/>
          </w:r>
        </w:p>
        <w:p w14:paraId="018802A3">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_Toc11327 </w:instrText>
          </w:r>
          <w:r>
            <w:rPr>
              <w:rFonts w:hint="eastAsia"/>
              <w:bCs/>
              <w:szCs w:val="180"/>
              <w:lang w:val="en-US" w:eastAsia="zh-CN"/>
            </w:rPr>
            <w:fldChar w:fldCharType="separate"/>
          </w:r>
          <w:r>
            <w:rPr>
              <w:rFonts w:hint="eastAsia"/>
              <w:lang w:val="en-US" w:eastAsia="zh-CN"/>
            </w:rPr>
            <w:t>十、 收运设施规划</w:t>
          </w:r>
          <w:r>
            <w:tab/>
          </w:r>
          <w:r>
            <w:fldChar w:fldCharType="begin"/>
          </w:r>
          <w:r>
            <w:instrText xml:space="preserve"> PAGEREF _Toc11327 \h </w:instrText>
          </w:r>
          <w:r>
            <w:fldChar w:fldCharType="separate"/>
          </w:r>
          <w:r>
            <w:t>52</w:t>
          </w:r>
          <w:r>
            <w:fldChar w:fldCharType="end"/>
          </w:r>
          <w:r>
            <w:rPr>
              <w:rFonts w:hint="eastAsia"/>
              <w:bCs/>
              <w:szCs w:val="180"/>
              <w:lang w:val="en-US" w:eastAsia="zh-CN"/>
            </w:rPr>
            <w:fldChar w:fldCharType="end"/>
          </w:r>
        </w:p>
        <w:p w14:paraId="73FC61EA">
          <w:pPr>
            <w:pStyle w:val="9"/>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_Toc29845 </w:instrText>
          </w:r>
          <w:r>
            <w:rPr>
              <w:rFonts w:hint="eastAsia"/>
              <w:bCs/>
              <w:szCs w:val="180"/>
              <w:lang w:val="en-US" w:eastAsia="zh-CN"/>
            </w:rPr>
            <w:fldChar w:fldCharType="separate"/>
          </w:r>
          <w:r>
            <w:rPr>
              <w:rFonts w:hint="eastAsia"/>
              <w:lang w:val="en-US" w:eastAsia="zh-CN"/>
            </w:rPr>
            <w:t>第六章 建筑垃圾利用及处置规划</w:t>
          </w:r>
          <w:r>
            <w:tab/>
          </w:r>
          <w:r>
            <w:fldChar w:fldCharType="begin"/>
          </w:r>
          <w:r>
            <w:instrText xml:space="preserve"> PAGEREF _Toc29845 \h </w:instrText>
          </w:r>
          <w:r>
            <w:fldChar w:fldCharType="separate"/>
          </w:r>
          <w:r>
            <w:t>1</w:t>
          </w:r>
          <w:r>
            <w:fldChar w:fldCharType="end"/>
          </w:r>
          <w:r>
            <w:rPr>
              <w:rFonts w:hint="eastAsia"/>
              <w:bCs/>
              <w:szCs w:val="180"/>
              <w:lang w:val="en-US" w:eastAsia="zh-CN"/>
            </w:rPr>
            <w:fldChar w:fldCharType="end"/>
          </w:r>
        </w:p>
        <w:p w14:paraId="2616CA03">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_Toc8094 </w:instrText>
          </w:r>
          <w:r>
            <w:rPr>
              <w:rFonts w:hint="eastAsia"/>
              <w:bCs/>
              <w:szCs w:val="180"/>
              <w:lang w:val="en-US" w:eastAsia="zh-CN"/>
            </w:rPr>
            <w:fldChar w:fldCharType="separate"/>
          </w:r>
          <w:r>
            <w:rPr>
              <w:rFonts w:hint="eastAsia"/>
              <w:lang w:val="en-US" w:eastAsia="zh-CN"/>
            </w:rPr>
            <w:t>一、 处置方式</w:t>
          </w:r>
          <w:r>
            <w:tab/>
          </w:r>
          <w:r>
            <w:fldChar w:fldCharType="begin"/>
          </w:r>
          <w:r>
            <w:instrText xml:space="preserve"> PAGEREF _Toc8094 \h </w:instrText>
          </w:r>
          <w:r>
            <w:fldChar w:fldCharType="separate"/>
          </w:r>
          <w:r>
            <w:t>1</w:t>
          </w:r>
          <w:r>
            <w:fldChar w:fldCharType="end"/>
          </w:r>
          <w:r>
            <w:rPr>
              <w:rFonts w:hint="eastAsia"/>
              <w:bCs/>
              <w:szCs w:val="180"/>
              <w:lang w:val="en-US" w:eastAsia="zh-CN"/>
            </w:rPr>
            <w:fldChar w:fldCharType="end"/>
          </w:r>
        </w:p>
        <w:p w14:paraId="24844367">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_Toc4945 </w:instrText>
          </w:r>
          <w:r>
            <w:rPr>
              <w:rFonts w:hint="eastAsia"/>
              <w:bCs/>
              <w:szCs w:val="180"/>
              <w:lang w:val="en-US" w:eastAsia="zh-CN"/>
            </w:rPr>
            <w:fldChar w:fldCharType="separate"/>
          </w:r>
          <w:r>
            <w:rPr>
              <w:rFonts w:hint="eastAsia"/>
              <w:lang w:val="en-US" w:eastAsia="zh-CN"/>
            </w:rPr>
            <w:t>二、 处置策略和方案</w:t>
          </w:r>
          <w:r>
            <w:tab/>
          </w:r>
          <w:r>
            <w:fldChar w:fldCharType="begin"/>
          </w:r>
          <w:r>
            <w:instrText xml:space="preserve"> PAGEREF _Toc4945 \h </w:instrText>
          </w:r>
          <w:r>
            <w:fldChar w:fldCharType="separate"/>
          </w:r>
          <w:r>
            <w:t>3</w:t>
          </w:r>
          <w:r>
            <w:fldChar w:fldCharType="end"/>
          </w:r>
          <w:r>
            <w:rPr>
              <w:rFonts w:hint="eastAsia"/>
              <w:bCs/>
              <w:szCs w:val="180"/>
              <w:lang w:val="en-US" w:eastAsia="zh-CN"/>
            </w:rPr>
            <w:fldChar w:fldCharType="end"/>
          </w:r>
        </w:p>
        <w:p w14:paraId="79B469CC">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_Toc5888 </w:instrText>
          </w:r>
          <w:r>
            <w:rPr>
              <w:rFonts w:hint="eastAsia"/>
              <w:bCs/>
              <w:szCs w:val="180"/>
              <w:lang w:val="en-US" w:eastAsia="zh-CN"/>
            </w:rPr>
            <w:fldChar w:fldCharType="separate"/>
          </w:r>
          <w:r>
            <w:rPr>
              <w:rFonts w:hint="eastAsia"/>
              <w:lang w:val="en-US" w:eastAsia="zh-CN"/>
            </w:rPr>
            <w:t>三、 处置规划</w:t>
          </w:r>
          <w:r>
            <w:tab/>
          </w:r>
          <w:r>
            <w:fldChar w:fldCharType="begin"/>
          </w:r>
          <w:r>
            <w:instrText xml:space="preserve"> PAGEREF _Toc5888 \h </w:instrText>
          </w:r>
          <w:r>
            <w:fldChar w:fldCharType="separate"/>
          </w:r>
          <w:r>
            <w:t>6</w:t>
          </w:r>
          <w:r>
            <w:fldChar w:fldCharType="end"/>
          </w:r>
          <w:r>
            <w:rPr>
              <w:rFonts w:hint="eastAsia"/>
              <w:bCs/>
              <w:szCs w:val="180"/>
              <w:lang w:val="en-US" w:eastAsia="zh-CN"/>
            </w:rPr>
            <w:fldChar w:fldCharType="end"/>
          </w:r>
        </w:p>
        <w:p w14:paraId="595784A3">
          <w:pPr>
            <w:pStyle w:val="9"/>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_Toc30734 </w:instrText>
          </w:r>
          <w:r>
            <w:rPr>
              <w:rFonts w:hint="eastAsia"/>
              <w:bCs/>
              <w:szCs w:val="180"/>
              <w:lang w:val="en-US" w:eastAsia="zh-CN"/>
            </w:rPr>
            <w:fldChar w:fldCharType="separate"/>
          </w:r>
          <w:r>
            <w:rPr>
              <w:rFonts w:hint="eastAsia"/>
              <w:lang w:val="en-US" w:eastAsia="zh-CN"/>
            </w:rPr>
            <w:t>第七章 建筑垃圾存量治理规划</w:t>
          </w:r>
          <w:r>
            <w:tab/>
          </w:r>
          <w:r>
            <w:fldChar w:fldCharType="begin"/>
          </w:r>
          <w:r>
            <w:instrText xml:space="preserve"> PAGEREF _Toc30734 \h </w:instrText>
          </w:r>
          <w:r>
            <w:fldChar w:fldCharType="separate"/>
          </w:r>
          <w:r>
            <w:t>11</w:t>
          </w:r>
          <w:r>
            <w:fldChar w:fldCharType="end"/>
          </w:r>
          <w:r>
            <w:rPr>
              <w:rFonts w:hint="eastAsia"/>
              <w:bCs/>
              <w:szCs w:val="180"/>
              <w:lang w:val="en-US" w:eastAsia="zh-CN"/>
            </w:rPr>
            <w:fldChar w:fldCharType="end"/>
          </w:r>
        </w:p>
        <w:p w14:paraId="333866C5">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_Toc14149 </w:instrText>
          </w:r>
          <w:r>
            <w:rPr>
              <w:rFonts w:hint="eastAsia"/>
              <w:bCs/>
              <w:szCs w:val="180"/>
              <w:lang w:val="en-US" w:eastAsia="zh-CN"/>
            </w:rPr>
            <w:fldChar w:fldCharType="separate"/>
          </w:r>
          <w:r>
            <w:rPr>
              <w:rFonts w:hint="eastAsia"/>
              <w:lang w:val="en-US" w:eastAsia="zh-CN"/>
            </w:rPr>
            <w:t>一、 建立健全顶层制度设计</w:t>
          </w:r>
          <w:r>
            <w:tab/>
          </w:r>
          <w:r>
            <w:fldChar w:fldCharType="begin"/>
          </w:r>
          <w:r>
            <w:instrText xml:space="preserve"> PAGEREF _Toc14149 \h </w:instrText>
          </w:r>
          <w:r>
            <w:fldChar w:fldCharType="separate"/>
          </w:r>
          <w:r>
            <w:t>11</w:t>
          </w:r>
          <w:r>
            <w:fldChar w:fldCharType="end"/>
          </w:r>
          <w:r>
            <w:rPr>
              <w:rFonts w:hint="eastAsia"/>
              <w:bCs/>
              <w:szCs w:val="180"/>
              <w:lang w:val="en-US" w:eastAsia="zh-CN"/>
            </w:rPr>
            <w:fldChar w:fldCharType="end"/>
          </w:r>
        </w:p>
        <w:p w14:paraId="594F02D9">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_Toc7785 </w:instrText>
          </w:r>
          <w:r>
            <w:rPr>
              <w:rFonts w:hint="eastAsia"/>
              <w:bCs/>
              <w:szCs w:val="180"/>
              <w:lang w:val="en-US" w:eastAsia="zh-CN"/>
            </w:rPr>
            <w:fldChar w:fldCharType="separate"/>
          </w:r>
          <w:r>
            <w:rPr>
              <w:rFonts w:hint="eastAsia"/>
              <w:lang w:val="en-US" w:eastAsia="zh-CN"/>
            </w:rPr>
            <w:t>二、 制定完善治理工作机制</w:t>
          </w:r>
          <w:r>
            <w:tab/>
          </w:r>
          <w:r>
            <w:fldChar w:fldCharType="begin"/>
          </w:r>
          <w:r>
            <w:instrText xml:space="preserve"> PAGEREF _Toc7785 \h </w:instrText>
          </w:r>
          <w:r>
            <w:fldChar w:fldCharType="separate"/>
          </w:r>
          <w:r>
            <w:t>12</w:t>
          </w:r>
          <w:r>
            <w:fldChar w:fldCharType="end"/>
          </w:r>
          <w:r>
            <w:rPr>
              <w:rFonts w:hint="eastAsia"/>
              <w:bCs/>
              <w:szCs w:val="180"/>
              <w:lang w:val="en-US" w:eastAsia="zh-CN"/>
            </w:rPr>
            <w:fldChar w:fldCharType="end"/>
          </w:r>
        </w:p>
        <w:p w14:paraId="668ED7CB">
          <w:pPr>
            <w:pStyle w:val="9"/>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_Toc22226 </w:instrText>
          </w:r>
          <w:r>
            <w:rPr>
              <w:rFonts w:hint="eastAsia"/>
              <w:bCs/>
              <w:szCs w:val="180"/>
              <w:lang w:val="en-US" w:eastAsia="zh-CN"/>
            </w:rPr>
            <w:fldChar w:fldCharType="separate"/>
          </w:r>
          <w:r>
            <w:rPr>
              <w:rFonts w:hint="eastAsia"/>
              <w:lang w:val="en-US" w:eastAsia="zh-CN"/>
            </w:rPr>
            <w:t>第八章 建筑垃圾监督管理规划</w:t>
          </w:r>
          <w:r>
            <w:tab/>
          </w:r>
          <w:r>
            <w:fldChar w:fldCharType="begin"/>
          </w:r>
          <w:r>
            <w:instrText xml:space="preserve"> PAGEREF _Toc22226 \h </w:instrText>
          </w:r>
          <w:r>
            <w:fldChar w:fldCharType="separate"/>
          </w:r>
          <w:r>
            <w:t>13</w:t>
          </w:r>
          <w:r>
            <w:fldChar w:fldCharType="end"/>
          </w:r>
          <w:r>
            <w:rPr>
              <w:rFonts w:hint="eastAsia"/>
              <w:bCs/>
              <w:szCs w:val="180"/>
              <w:lang w:val="en-US" w:eastAsia="zh-CN"/>
            </w:rPr>
            <w:fldChar w:fldCharType="end"/>
          </w:r>
        </w:p>
        <w:p w14:paraId="587A49C2">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_Toc3979 </w:instrText>
          </w:r>
          <w:r>
            <w:rPr>
              <w:rFonts w:hint="eastAsia"/>
              <w:bCs/>
              <w:szCs w:val="180"/>
              <w:lang w:val="en-US" w:eastAsia="zh-CN"/>
            </w:rPr>
            <w:fldChar w:fldCharType="separate"/>
          </w:r>
          <w:r>
            <w:rPr>
              <w:rFonts w:hint="eastAsia"/>
              <w:lang w:val="en-US" w:eastAsia="zh-CN"/>
            </w:rPr>
            <w:t>一、 部门职责</w:t>
          </w:r>
          <w:r>
            <w:tab/>
          </w:r>
          <w:r>
            <w:fldChar w:fldCharType="begin"/>
          </w:r>
          <w:r>
            <w:instrText xml:space="preserve"> PAGEREF _Toc3979 \h </w:instrText>
          </w:r>
          <w:r>
            <w:fldChar w:fldCharType="separate"/>
          </w:r>
          <w:r>
            <w:t>13</w:t>
          </w:r>
          <w:r>
            <w:fldChar w:fldCharType="end"/>
          </w:r>
          <w:r>
            <w:rPr>
              <w:rFonts w:hint="eastAsia"/>
              <w:bCs/>
              <w:szCs w:val="180"/>
              <w:lang w:val="en-US" w:eastAsia="zh-CN"/>
            </w:rPr>
            <w:fldChar w:fldCharType="end"/>
          </w:r>
        </w:p>
        <w:p w14:paraId="1B7E3CFC">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_Toc32052 </w:instrText>
          </w:r>
          <w:r>
            <w:rPr>
              <w:rFonts w:hint="eastAsia"/>
              <w:bCs/>
              <w:szCs w:val="180"/>
              <w:lang w:val="en-US" w:eastAsia="zh-CN"/>
            </w:rPr>
            <w:fldChar w:fldCharType="separate"/>
          </w:r>
          <w:r>
            <w:rPr>
              <w:rFonts w:hint="eastAsia"/>
              <w:lang w:val="en-US" w:eastAsia="zh-CN"/>
            </w:rPr>
            <w:t>二、 制度落实与建设</w:t>
          </w:r>
          <w:r>
            <w:tab/>
          </w:r>
          <w:r>
            <w:fldChar w:fldCharType="begin"/>
          </w:r>
          <w:r>
            <w:instrText xml:space="preserve"> PAGEREF _Toc32052 \h </w:instrText>
          </w:r>
          <w:r>
            <w:fldChar w:fldCharType="separate"/>
          </w:r>
          <w:r>
            <w:t>14</w:t>
          </w:r>
          <w:r>
            <w:fldChar w:fldCharType="end"/>
          </w:r>
          <w:r>
            <w:rPr>
              <w:rFonts w:hint="eastAsia"/>
              <w:bCs/>
              <w:szCs w:val="180"/>
              <w:lang w:val="en-US" w:eastAsia="zh-CN"/>
            </w:rPr>
            <w:fldChar w:fldCharType="end"/>
          </w:r>
        </w:p>
        <w:p w14:paraId="32928821">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_Toc29612 </w:instrText>
          </w:r>
          <w:r>
            <w:rPr>
              <w:rFonts w:hint="eastAsia"/>
              <w:bCs/>
              <w:szCs w:val="180"/>
              <w:lang w:val="en-US" w:eastAsia="zh-CN"/>
            </w:rPr>
            <w:fldChar w:fldCharType="separate"/>
          </w:r>
          <w:r>
            <w:rPr>
              <w:rFonts w:hint="eastAsia"/>
              <w:lang w:val="en-US" w:eastAsia="zh-CN"/>
            </w:rPr>
            <w:t>三、 智能管理信息系统规划</w:t>
          </w:r>
          <w:r>
            <w:tab/>
          </w:r>
          <w:r>
            <w:fldChar w:fldCharType="begin"/>
          </w:r>
          <w:r>
            <w:instrText xml:space="preserve"> PAGEREF _Toc29612 \h </w:instrText>
          </w:r>
          <w:r>
            <w:fldChar w:fldCharType="separate"/>
          </w:r>
          <w:r>
            <w:t>16</w:t>
          </w:r>
          <w:r>
            <w:fldChar w:fldCharType="end"/>
          </w:r>
          <w:r>
            <w:rPr>
              <w:rFonts w:hint="eastAsia"/>
              <w:bCs/>
              <w:szCs w:val="180"/>
              <w:lang w:val="en-US" w:eastAsia="zh-CN"/>
            </w:rPr>
            <w:fldChar w:fldCharType="end"/>
          </w:r>
        </w:p>
        <w:p w14:paraId="45341AB6">
          <w:pPr>
            <w:pStyle w:val="9"/>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_Toc32031 </w:instrText>
          </w:r>
          <w:r>
            <w:rPr>
              <w:rFonts w:hint="eastAsia"/>
              <w:bCs/>
              <w:szCs w:val="180"/>
              <w:lang w:val="en-US" w:eastAsia="zh-CN"/>
            </w:rPr>
            <w:fldChar w:fldCharType="separate"/>
          </w:r>
          <w:r>
            <w:rPr>
              <w:rFonts w:hint="eastAsia"/>
              <w:lang w:val="en-US" w:eastAsia="zh-CN"/>
            </w:rPr>
            <w:t>第九章 建筑垃圾资源化利用产业发展规划</w:t>
          </w:r>
          <w:r>
            <w:tab/>
          </w:r>
          <w:r>
            <w:fldChar w:fldCharType="begin"/>
          </w:r>
          <w:r>
            <w:instrText xml:space="preserve"> PAGEREF _Toc32031 \h </w:instrText>
          </w:r>
          <w:r>
            <w:fldChar w:fldCharType="separate"/>
          </w:r>
          <w:r>
            <w:t>19</w:t>
          </w:r>
          <w:r>
            <w:fldChar w:fldCharType="end"/>
          </w:r>
          <w:r>
            <w:rPr>
              <w:rFonts w:hint="eastAsia"/>
              <w:bCs/>
              <w:szCs w:val="180"/>
              <w:lang w:val="en-US" w:eastAsia="zh-CN"/>
            </w:rPr>
            <w:fldChar w:fldCharType="end"/>
          </w:r>
        </w:p>
        <w:p w14:paraId="3FDEE765">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_Toc22687 </w:instrText>
          </w:r>
          <w:r>
            <w:rPr>
              <w:rFonts w:hint="eastAsia"/>
              <w:bCs/>
              <w:szCs w:val="180"/>
              <w:lang w:val="en-US" w:eastAsia="zh-CN"/>
            </w:rPr>
            <w:fldChar w:fldCharType="separate"/>
          </w:r>
          <w:r>
            <w:rPr>
              <w:rFonts w:hint="eastAsia"/>
              <w:lang w:val="en-US" w:eastAsia="zh-CN"/>
            </w:rPr>
            <w:t>一、 建筑垃圾产业体系</w:t>
          </w:r>
          <w:r>
            <w:tab/>
          </w:r>
          <w:r>
            <w:fldChar w:fldCharType="begin"/>
          </w:r>
          <w:r>
            <w:instrText xml:space="preserve"> PAGEREF _Toc22687 \h </w:instrText>
          </w:r>
          <w:r>
            <w:fldChar w:fldCharType="separate"/>
          </w:r>
          <w:r>
            <w:t>19</w:t>
          </w:r>
          <w:r>
            <w:fldChar w:fldCharType="end"/>
          </w:r>
          <w:r>
            <w:rPr>
              <w:rFonts w:hint="eastAsia"/>
              <w:bCs/>
              <w:szCs w:val="180"/>
              <w:lang w:val="en-US" w:eastAsia="zh-CN"/>
            </w:rPr>
            <w:fldChar w:fldCharType="end"/>
          </w:r>
        </w:p>
        <w:p w14:paraId="03D8B6DF">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_Toc25413 </w:instrText>
          </w:r>
          <w:r>
            <w:rPr>
              <w:rFonts w:hint="eastAsia"/>
              <w:bCs/>
              <w:szCs w:val="180"/>
              <w:lang w:val="en-US" w:eastAsia="zh-CN"/>
            </w:rPr>
            <w:fldChar w:fldCharType="separate"/>
          </w:r>
          <w:r>
            <w:rPr>
              <w:rFonts w:hint="eastAsia"/>
              <w:lang w:val="en-US" w:eastAsia="zh-CN"/>
            </w:rPr>
            <w:t>二、 建筑垃圾资源利用规划</w:t>
          </w:r>
          <w:r>
            <w:tab/>
          </w:r>
          <w:r>
            <w:fldChar w:fldCharType="begin"/>
          </w:r>
          <w:r>
            <w:instrText xml:space="preserve"> PAGEREF _Toc25413 \h </w:instrText>
          </w:r>
          <w:r>
            <w:fldChar w:fldCharType="separate"/>
          </w:r>
          <w:r>
            <w:t>20</w:t>
          </w:r>
          <w:r>
            <w:fldChar w:fldCharType="end"/>
          </w:r>
          <w:r>
            <w:rPr>
              <w:rFonts w:hint="eastAsia"/>
              <w:bCs/>
              <w:szCs w:val="180"/>
              <w:lang w:val="en-US" w:eastAsia="zh-CN"/>
            </w:rPr>
            <w:fldChar w:fldCharType="end"/>
          </w:r>
        </w:p>
        <w:p w14:paraId="53A50BCD">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_Toc7639 </w:instrText>
          </w:r>
          <w:r>
            <w:rPr>
              <w:rFonts w:hint="eastAsia"/>
              <w:bCs/>
              <w:szCs w:val="180"/>
              <w:lang w:val="en-US" w:eastAsia="zh-CN"/>
            </w:rPr>
            <w:fldChar w:fldCharType="separate"/>
          </w:r>
          <w:r>
            <w:rPr>
              <w:rFonts w:hint="eastAsia"/>
              <w:lang w:val="en-US" w:eastAsia="zh-CN"/>
            </w:rPr>
            <w:t>三、 建筑垃圾产业化运营与管理</w:t>
          </w:r>
          <w:r>
            <w:tab/>
          </w:r>
          <w:r>
            <w:fldChar w:fldCharType="begin"/>
          </w:r>
          <w:r>
            <w:instrText xml:space="preserve"> PAGEREF _Toc7639 \h </w:instrText>
          </w:r>
          <w:r>
            <w:fldChar w:fldCharType="separate"/>
          </w:r>
          <w:r>
            <w:t>26</w:t>
          </w:r>
          <w:r>
            <w:fldChar w:fldCharType="end"/>
          </w:r>
          <w:r>
            <w:rPr>
              <w:rFonts w:hint="eastAsia"/>
              <w:bCs/>
              <w:szCs w:val="180"/>
              <w:lang w:val="en-US" w:eastAsia="zh-CN"/>
            </w:rPr>
            <w:fldChar w:fldCharType="end"/>
          </w:r>
        </w:p>
        <w:p w14:paraId="735642E3">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_Toc2243 </w:instrText>
          </w:r>
          <w:r>
            <w:rPr>
              <w:rFonts w:hint="eastAsia"/>
              <w:bCs/>
              <w:szCs w:val="180"/>
              <w:lang w:val="en-US" w:eastAsia="zh-CN"/>
            </w:rPr>
            <w:fldChar w:fldCharType="separate"/>
          </w:r>
          <w:r>
            <w:rPr>
              <w:rFonts w:hint="eastAsia"/>
              <w:lang w:val="en-US" w:eastAsia="zh-CN"/>
            </w:rPr>
            <w:t>四、 建筑垃圾资源化利用补偿的方式</w:t>
          </w:r>
          <w:r>
            <w:tab/>
          </w:r>
          <w:r>
            <w:fldChar w:fldCharType="begin"/>
          </w:r>
          <w:r>
            <w:instrText xml:space="preserve"> PAGEREF _Toc2243 \h </w:instrText>
          </w:r>
          <w:r>
            <w:fldChar w:fldCharType="separate"/>
          </w:r>
          <w:r>
            <w:t>31</w:t>
          </w:r>
          <w:r>
            <w:fldChar w:fldCharType="end"/>
          </w:r>
          <w:r>
            <w:rPr>
              <w:rFonts w:hint="eastAsia"/>
              <w:bCs/>
              <w:szCs w:val="180"/>
              <w:lang w:val="en-US" w:eastAsia="zh-CN"/>
            </w:rPr>
            <w:fldChar w:fldCharType="end"/>
          </w:r>
        </w:p>
        <w:p w14:paraId="46C35E4B">
          <w:pPr>
            <w:pStyle w:val="9"/>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_Toc14728 </w:instrText>
          </w:r>
          <w:r>
            <w:rPr>
              <w:rFonts w:hint="eastAsia"/>
              <w:bCs/>
              <w:szCs w:val="180"/>
              <w:lang w:val="en-US" w:eastAsia="zh-CN"/>
            </w:rPr>
            <w:fldChar w:fldCharType="separate"/>
          </w:r>
          <w:r>
            <w:rPr>
              <w:rFonts w:hint="eastAsia"/>
              <w:lang w:val="en-US" w:eastAsia="zh-CN"/>
            </w:rPr>
            <w:t>第十章 环境保护与安全卫生</w:t>
          </w:r>
          <w:r>
            <w:tab/>
          </w:r>
          <w:r>
            <w:fldChar w:fldCharType="begin"/>
          </w:r>
          <w:r>
            <w:instrText xml:space="preserve"> PAGEREF _Toc14728 \h </w:instrText>
          </w:r>
          <w:r>
            <w:fldChar w:fldCharType="separate"/>
          </w:r>
          <w:r>
            <w:t>36</w:t>
          </w:r>
          <w:r>
            <w:fldChar w:fldCharType="end"/>
          </w:r>
          <w:r>
            <w:rPr>
              <w:rFonts w:hint="eastAsia"/>
              <w:bCs/>
              <w:szCs w:val="180"/>
              <w:lang w:val="en-US" w:eastAsia="zh-CN"/>
            </w:rPr>
            <w:fldChar w:fldCharType="end"/>
          </w:r>
        </w:p>
        <w:p w14:paraId="00DB0734">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_Toc20040 </w:instrText>
          </w:r>
          <w:r>
            <w:rPr>
              <w:rFonts w:hint="eastAsia"/>
              <w:bCs/>
              <w:szCs w:val="180"/>
              <w:lang w:val="en-US" w:eastAsia="zh-CN"/>
            </w:rPr>
            <w:fldChar w:fldCharType="separate"/>
          </w:r>
          <w:r>
            <w:rPr>
              <w:rFonts w:hint="eastAsia"/>
              <w:lang w:val="en-US" w:eastAsia="zh-CN"/>
            </w:rPr>
            <w:t>一、 环境保护总体要求</w:t>
          </w:r>
          <w:r>
            <w:tab/>
          </w:r>
          <w:r>
            <w:fldChar w:fldCharType="begin"/>
          </w:r>
          <w:r>
            <w:instrText xml:space="preserve"> PAGEREF _Toc20040 \h </w:instrText>
          </w:r>
          <w:r>
            <w:fldChar w:fldCharType="separate"/>
          </w:r>
          <w:r>
            <w:t>36</w:t>
          </w:r>
          <w:r>
            <w:fldChar w:fldCharType="end"/>
          </w:r>
          <w:r>
            <w:rPr>
              <w:rFonts w:hint="eastAsia"/>
              <w:bCs/>
              <w:szCs w:val="180"/>
              <w:lang w:val="en-US" w:eastAsia="zh-CN"/>
            </w:rPr>
            <w:fldChar w:fldCharType="end"/>
          </w:r>
        </w:p>
        <w:p w14:paraId="05ADFB1B">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_Toc26575 </w:instrText>
          </w:r>
          <w:r>
            <w:rPr>
              <w:rFonts w:hint="eastAsia"/>
              <w:bCs/>
              <w:szCs w:val="180"/>
              <w:lang w:val="en-US" w:eastAsia="zh-CN"/>
            </w:rPr>
            <w:fldChar w:fldCharType="separate"/>
          </w:r>
          <w:r>
            <w:rPr>
              <w:rFonts w:hint="eastAsia"/>
              <w:lang w:val="en-US" w:eastAsia="zh-CN"/>
            </w:rPr>
            <w:t>二、 大气环境保护措施规划</w:t>
          </w:r>
          <w:r>
            <w:tab/>
          </w:r>
          <w:r>
            <w:fldChar w:fldCharType="begin"/>
          </w:r>
          <w:r>
            <w:instrText xml:space="preserve"> PAGEREF _Toc26575 \h </w:instrText>
          </w:r>
          <w:r>
            <w:fldChar w:fldCharType="separate"/>
          </w:r>
          <w:r>
            <w:t>41</w:t>
          </w:r>
          <w:r>
            <w:fldChar w:fldCharType="end"/>
          </w:r>
          <w:r>
            <w:rPr>
              <w:rFonts w:hint="eastAsia"/>
              <w:bCs/>
              <w:szCs w:val="180"/>
              <w:lang w:val="en-US" w:eastAsia="zh-CN"/>
            </w:rPr>
            <w:fldChar w:fldCharType="end"/>
          </w:r>
        </w:p>
        <w:p w14:paraId="5EA97DD9">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_Toc27932 </w:instrText>
          </w:r>
          <w:r>
            <w:rPr>
              <w:rFonts w:hint="eastAsia"/>
              <w:bCs/>
              <w:szCs w:val="180"/>
              <w:lang w:val="en-US" w:eastAsia="zh-CN"/>
            </w:rPr>
            <w:fldChar w:fldCharType="separate"/>
          </w:r>
          <w:r>
            <w:rPr>
              <w:rFonts w:hint="eastAsia"/>
              <w:lang w:val="en-US" w:eastAsia="zh-CN"/>
            </w:rPr>
            <w:t>三、 噪声环境保护措施规划</w:t>
          </w:r>
          <w:r>
            <w:tab/>
          </w:r>
          <w:r>
            <w:fldChar w:fldCharType="begin"/>
          </w:r>
          <w:r>
            <w:instrText xml:space="preserve"> PAGEREF _Toc27932 \h </w:instrText>
          </w:r>
          <w:r>
            <w:fldChar w:fldCharType="separate"/>
          </w:r>
          <w:r>
            <w:t>45</w:t>
          </w:r>
          <w:r>
            <w:fldChar w:fldCharType="end"/>
          </w:r>
          <w:r>
            <w:rPr>
              <w:rFonts w:hint="eastAsia"/>
              <w:bCs/>
              <w:szCs w:val="180"/>
              <w:lang w:val="en-US" w:eastAsia="zh-CN"/>
            </w:rPr>
            <w:fldChar w:fldCharType="end"/>
          </w:r>
        </w:p>
        <w:p w14:paraId="520ACDEF">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_Toc7165 </w:instrText>
          </w:r>
          <w:r>
            <w:rPr>
              <w:rFonts w:hint="eastAsia"/>
              <w:bCs/>
              <w:szCs w:val="180"/>
              <w:lang w:val="en-US" w:eastAsia="zh-CN"/>
            </w:rPr>
            <w:fldChar w:fldCharType="separate"/>
          </w:r>
          <w:r>
            <w:rPr>
              <w:rFonts w:hint="eastAsia"/>
              <w:lang w:val="en-US" w:eastAsia="zh-CN"/>
            </w:rPr>
            <w:t>四、 水环境保护措施规划</w:t>
          </w:r>
          <w:r>
            <w:tab/>
          </w:r>
          <w:r>
            <w:fldChar w:fldCharType="begin"/>
          </w:r>
          <w:r>
            <w:instrText xml:space="preserve"> PAGEREF _Toc7165 \h </w:instrText>
          </w:r>
          <w:r>
            <w:fldChar w:fldCharType="separate"/>
          </w:r>
          <w:r>
            <w:t>46</w:t>
          </w:r>
          <w:r>
            <w:fldChar w:fldCharType="end"/>
          </w:r>
          <w:r>
            <w:rPr>
              <w:rFonts w:hint="eastAsia"/>
              <w:bCs/>
              <w:szCs w:val="180"/>
              <w:lang w:val="en-US" w:eastAsia="zh-CN"/>
            </w:rPr>
            <w:fldChar w:fldCharType="end"/>
          </w:r>
        </w:p>
        <w:p w14:paraId="3E0CC58B">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_Toc30128 </w:instrText>
          </w:r>
          <w:r>
            <w:rPr>
              <w:rFonts w:hint="eastAsia"/>
              <w:bCs/>
              <w:szCs w:val="180"/>
              <w:lang w:val="en-US" w:eastAsia="zh-CN"/>
            </w:rPr>
            <w:fldChar w:fldCharType="separate"/>
          </w:r>
          <w:r>
            <w:rPr>
              <w:rFonts w:hint="eastAsia"/>
              <w:lang w:val="en-US" w:eastAsia="zh-CN"/>
            </w:rPr>
            <w:t>五、 土壤环境保护措施规划</w:t>
          </w:r>
          <w:r>
            <w:tab/>
          </w:r>
          <w:r>
            <w:fldChar w:fldCharType="begin"/>
          </w:r>
          <w:r>
            <w:instrText xml:space="preserve"> PAGEREF _Toc30128 \h </w:instrText>
          </w:r>
          <w:r>
            <w:fldChar w:fldCharType="separate"/>
          </w:r>
          <w:r>
            <w:t>48</w:t>
          </w:r>
          <w:r>
            <w:fldChar w:fldCharType="end"/>
          </w:r>
          <w:r>
            <w:rPr>
              <w:rFonts w:hint="eastAsia"/>
              <w:bCs/>
              <w:szCs w:val="180"/>
              <w:lang w:val="en-US" w:eastAsia="zh-CN"/>
            </w:rPr>
            <w:fldChar w:fldCharType="end"/>
          </w:r>
        </w:p>
        <w:p w14:paraId="10ED324E">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_Toc3463 </w:instrText>
          </w:r>
          <w:r>
            <w:rPr>
              <w:rFonts w:hint="eastAsia"/>
              <w:bCs/>
              <w:szCs w:val="180"/>
              <w:lang w:val="en-US" w:eastAsia="zh-CN"/>
            </w:rPr>
            <w:fldChar w:fldCharType="separate"/>
          </w:r>
          <w:r>
            <w:rPr>
              <w:rFonts w:hint="eastAsia"/>
              <w:lang w:val="en-US" w:eastAsia="zh-CN"/>
            </w:rPr>
            <w:t>六、 地质灾害防治措施规划</w:t>
          </w:r>
          <w:r>
            <w:tab/>
          </w:r>
          <w:r>
            <w:fldChar w:fldCharType="begin"/>
          </w:r>
          <w:r>
            <w:instrText xml:space="preserve"> PAGEREF _Toc3463 \h </w:instrText>
          </w:r>
          <w:r>
            <w:fldChar w:fldCharType="separate"/>
          </w:r>
          <w:r>
            <w:t>50</w:t>
          </w:r>
          <w:r>
            <w:fldChar w:fldCharType="end"/>
          </w:r>
          <w:r>
            <w:rPr>
              <w:rFonts w:hint="eastAsia"/>
              <w:bCs/>
              <w:szCs w:val="180"/>
              <w:lang w:val="en-US" w:eastAsia="zh-CN"/>
            </w:rPr>
            <w:fldChar w:fldCharType="end"/>
          </w:r>
        </w:p>
        <w:p w14:paraId="03CB6136">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_Toc3936 </w:instrText>
          </w:r>
          <w:r>
            <w:rPr>
              <w:rFonts w:hint="eastAsia"/>
              <w:bCs/>
              <w:szCs w:val="180"/>
              <w:lang w:val="en-US" w:eastAsia="zh-CN"/>
            </w:rPr>
            <w:fldChar w:fldCharType="separate"/>
          </w:r>
          <w:r>
            <w:rPr>
              <w:rFonts w:hint="eastAsia"/>
              <w:lang w:val="en-US" w:eastAsia="zh-CN"/>
            </w:rPr>
            <w:t>七、 生态恢复规划</w:t>
          </w:r>
          <w:r>
            <w:tab/>
          </w:r>
          <w:r>
            <w:fldChar w:fldCharType="begin"/>
          </w:r>
          <w:r>
            <w:instrText xml:space="preserve"> PAGEREF _Toc3936 \h </w:instrText>
          </w:r>
          <w:r>
            <w:fldChar w:fldCharType="separate"/>
          </w:r>
          <w:r>
            <w:t>50</w:t>
          </w:r>
          <w:r>
            <w:fldChar w:fldCharType="end"/>
          </w:r>
          <w:r>
            <w:rPr>
              <w:rFonts w:hint="eastAsia"/>
              <w:bCs/>
              <w:szCs w:val="180"/>
              <w:lang w:val="en-US" w:eastAsia="zh-CN"/>
            </w:rPr>
            <w:fldChar w:fldCharType="end"/>
          </w:r>
        </w:p>
        <w:p w14:paraId="0B4B3AC7">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_Toc17703 </w:instrText>
          </w:r>
          <w:r>
            <w:rPr>
              <w:rFonts w:hint="eastAsia"/>
              <w:bCs/>
              <w:szCs w:val="180"/>
              <w:lang w:val="en-US" w:eastAsia="zh-CN"/>
            </w:rPr>
            <w:fldChar w:fldCharType="separate"/>
          </w:r>
          <w:r>
            <w:rPr>
              <w:rFonts w:hint="eastAsia"/>
              <w:lang w:val="en-US" w:eastAsia="zh-CN"/>
            </w:rPr>
            <w:t>八、 安全卫生规划</w:t>
          </w:r>
          <w:r>
            <w:tab/>
          </w:r>
          <w:r>
            <w:fldChar w:fldCharType="begin"/>
          </w:r>
          <w:r>
            <w:instrText xml:space="preserve"> PAGEREF _Toc17703 \h </w:instrText>
          </w:r>
          <w:r>
            <w:fldChar w:fldCharType="separate"/>
          </w:r>
          <w:r>
            <w:t>59</w:t>
          </w:r>
          <w:r>
            <w:fldChar w:fldCharType="end"/>
          </w:r>
          <w:r>
            <w:rPr>
              <w:rFonts w:hint="eastAsia"/>
              <w:bCs/>
              <w:szCs w:val="180"/>
              <w:lang w:val="en-US" w:eastAsia="zh-CN"/>
            </w:rPr>
            <w:fldChar w:fldCharType="end"/>
          </w:r>
        </w:p>
        <w:p w14:paraId="74075DDB">
          <w:pPr>
            <w:pStyle w:val="9"/>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_Toc27532 </w:instrText>
          </w:r>
          <w:r>
            <w:rPr>
              <w:rFonts w:hint="eastAsia"/>
              <w:bCs/>
              <w:szCs w:val="180"/>
              <w:lang w:val="en-US" w:eastAsia="zh-CN"/>
            </w:rPr>
            <w:fldChar w:fldCharType="separate"/>
          </w:r>
          <w:r>
            <w:rPr>
              <w:rFonts w:hint="eastAsia"/>
              <w:lang w:val="en-US" w:eastAsia="zh-CN"/>
            </w:rPr>
            <w:t>第十一章 近期规划实施计划</w:t>
          </w:r>
          <w:r>
            <w:tab/>
          </w:r>
          <w:r>
            <w:fldChar w:fldCharType="begin"/>
          </w:r>
          <w:r>
            <w:instrText xml:space="preserve"> PAGEREF _Toc27532 \h </w:instrText>
          </w:r>
          <w:r>
            <w:fldChar w:fldCharType="separate"/>
          </w:r>
          <w:r>
            <w:t>65</w:t>
          </w:r>
          <w:r>
            <w:fldChar w:fldCharType="end"/>
          </w:r>
          <w:r>
            <w:rPr>
              <w:rFonts w:hint="eastAsia"/>
              <w:bCs/>
              <w:szCs w:val="180"/>
              <w:lang w:val="en-US" w:eastAsia="zh-CN"/>
            </w:rPr>
            <w:fldChar w:fldCharType="end"/>
          </w:r>
        </w:p>
        <w:p w14:paraId="79EE8000">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_Toc29732 </w:instrText>
          </w:r>
          <w:r>
            <w:rPr>
              <w:rFonts w:hint="eastAsia"/>
              <w:bCs/>
              <w:szCs w:val="180"/>
              <w:lang w:val="en-US" w:eastAsia="zh-CN"/>
            </w:rPr>
            <w:fldChar w:fldCharType="separate"/>
          </w:r>
          <w:r>
            <w:rPr>
              <w:rFonts w:hint="eastAsia"/>
              <w:szCs w:val="22"/>
              <w:lang w:val="en-US" w:eastAsia="zh-CN"/>
            </w:rPr>
            <w:t>一、 近期建设内容</w:t>
          </w:r>
          <w:r>
            <w:tab/>
          </w:r>
          <w:r>
            <w:fldChar w:fldCharType="begin"/>
          </w:r>
          <w:r>
            <w:instrText xml:space="preserve"> PAGEREF _Toc29732 \h </w:instrText>
          </w:r>
          <w:r>
            <w:fldChar w:fldCharType="separate"/>
          </w:r>
          <w:r>
            <w:t>65</w:t>
          </w:r>
          <w:r>
            <w:fldChar w:fldCharType="end"/>
          </w:r>
          <w:r>
            <w:rPr>
              <w:rFonts w:hint="eastAsia"/>
              <w:bCs/>
              <w:szCs w:val="180"/>
              <w:lang w:val="en-US" w:eastAsia="zh-CN"/>
            </w:rPr>
            <w:fldChar w:fldCharType="end"/>
          </w:r>
        </w:p>
        <w:p w14:paraId="6C17BAFF">
          <w:pPr>
            <w:pStyle w:val="9"/>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_Toc11828 </w:instrText>
          </w:r>
          <w:r>
            <w:rPr>
              <w:rFonts w:hint="eastAsia"/>
              <w:bCs/>
              <w:szCs w:val="180"/>
              <w:lang w:val="en-US" w:eastAsia="zh-CN"/>
            </w:rPr>
            <w:fldChar w:fldCharType="separate"/>
          </w:r>
          <w:r>
            <w:rPr>
              <w:rFonts w:hint="eastAsia"/>
              <w:lang w:val="en-US" w:eastAsia="zh-CN"/>
            </w:rPr>
            <w:t>第十二章 保障措施与实施建议</w:t>
          </w:r>
          <w:r>
            <w:tab/>
          </w:r>
          <w:r>
            <w:fldChar w:fldCharType="begin"/>
          </w:r>
          <w:r>
            <w:instrText xml:space="preserve"> PAGEREF _Toc11828 \h </w:instrText>
          </w:r>
          <w:r>
            <w:fldChar w:fldCharType="separate"/>
          </w:r>
          <w:r>
            <w:t>65</w:t>
          </w:r>
          <w:r>
            <w:fldChar w:fldCharType="end"/>
          </w:r>
          <w:r>
            <w:rPr>
              <w:rFonts w:hint="eastAsia"/>
              <w:bCs/>
              <w:szCs w:val="180"/>
              <w:lang w:val="en-US" w:eastAsia="zh-CN"/>
            </w:rPr>
            <w:fldChar w:fldCharType="end"/>
          </w:r>
        </w:p>
        <w:p w14:paraId="417B3904">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_Toc28397 </w:instrText>
          </w:r>
          <w:r>
            <w:rPr>
              <w:rFonts w:hint="eastAsia"/>
              <w:bCs/>
              <w:szCs w:val="180"/>
              <w:lang w:val="en-US" w:eastAsia="zh-CN"/>
            </w:rPr>
            <w:fldChar w:fldCharType="separate"/>
          </w:r>
          <w:r>
            <w:rPr>
              <w:rFonts w:hint="eastAsia"/>
              <w:lang w:val="en-US" w:eastAsia="zh-CN"/>
            </w:rPr>
            <w:t>一、 保障措施</w:t>
          </w:r>
          <w:r>
            <w:tab/>
          </w:r>
          <w:r>
            <w:fldChar w:fldCharType="begin"/>
          </w:r>
          <w:r>
            <w:instrText xml:space="preserve"> PAGEREF _Toc28397 \h </w:instrText>
          </w:r>
          <w:r>
            <w:fldChar w:fldCharType="separate"/>
          </w:r>
          <w:r>
            <w:t>65</w:t>
          </w:r>
          <w:r>
            <w:fldChar w:fldCharType="end"/>
          </w:r>
          <w:r>
            <w:rPr>
              <w:rFonts w:hint="eastAsia"/>
              <w:bCs/>
              <w:szCs w:val="180"/>
              <w:lang w:val="en-US" w:eastAsia="zh-CN"/>
            </w:rPr>
            <w:fldChar w:fldCharType="end"/>
          </w:r>
        </w:p>
        <w:p w14:paraId="2007397B">
          <w:pPr>
            <w:pStyle w:val="10"/>
            <w:tabs>
              <w:tab w:val="right" w:leader="dot" w:pos="8306"/>
            </w:tabs>
          </w:pPr>
          <w:r>
            <w:rPr>
              <w:rFonts w:hint="eastAsia"/>
              <w:bCs/>
              <w:szCs w:val="180"/>
              <w:lang w:val="en-US" w:eastAsia="zh-CN"/>
            </w:rPr>
            <w:fldChar w:fldCharType="begin"/>
          </w:r>
          <w:r>
            <w:rPr>
              <w:rFonts w:hint="eastAsia"/>
              <w:bCs/>
              <w:szCs w:val="180"/>
              <w:lang w:val="en-US" w:eastAsia="zh-CN"/>
            </w:rPr>
            <w:instrText xml:space="preserve"> HYPERLINK \l _Toc24761 </w:instrText>
          </w:r>
          <w:r>
            <w:rPr>
              <w:rFonts w:hint="eastAsia"/>
              <w:bCs/>
              <w:szCs w:val="180"/>
              <w:lang w:val="en-US" w:eastAsia="zh-CN"/>
            </w:rPr>
            <w:fldChar w:fldCharType="separate"/>
          </w:r>
          <w:r>
            <w:rPr>
              <w:rFonts w:hint="eastAsia"/>
              <w:lang w:val="en-US" w:eastAsia="zh-CN"/>
            </w:rPr>
            <w:t>二、 实施建议</w:t>
          </w:r>
          <w:r>
            <w:tab/>
          </w:r>
          <w:r>
            <w:fldChar w:fldCharType="begin"/>
          </w:r>
          <w:r>
            <w:instrText xml:space="preserve"> PAGEREF _Toc24761 \h </w:instrText>
          </w:r>
          <w:r>
            <w:fldChar w:fldCharType="separate"/>
          </w:r>
          <w:r>
            <w:t>69</w:t>
          </w:r>
          <w:r>
            <w:fldChar w:fldCharType="end"/>
          </w:r>
          <w:r>
            <w:rPr>
              <w:rFonts w:hint="eastAsia"/>
              <w:bCs/>
              <w:szCs w:val="180"/>
              <w:lang w:val="en-US" w:eastAsia="zh-CN"/>
            </w:rPr>
            <w:fldChar w:fldCharType="end"/>
          </w:r>
        </w:p>
        <w:p w14:paraId="719CBC8B">
          <w:pPr>
            <w:keepNext w:val="0"/>
            <w:keepLines w:val="0"/>
            <w:pageBreakBefore w:val="0"/>
            <w:widowControl w:val="0"/>
            <w:kinsoku/>
            <w:wordWrap/>
            <w:overflowPunct/>
            <w:topLinePunct w:val="0"/>
            <w:autoSpaceDE/>
            <w:autoSpaceDN/>
            <w:bidi w:val="0"/>
            <w:adjustRightInd/>
            <w:snapToGrid/>
            <w:jc w:val="center"/>
            <w:textAlignment w:val="auto"/>
            <w:rPr>
              <w:rFonts w:hint="eastAsia"/>
              <w:b/>
              <w:bCs/>
              <w:sz w:val="32"/>
              <w:szCs w:val="40"/>
              <w:lang w:val="en-US" w:eastAsia="zh-CN"/>
            </w:rPr>
          </w:pPr>
          <w:r>
            <w:rPr>
              <w:rFonts w:hint="eastAsia"/>
              <w:bCs/>
              <w:szCs w:val="180"/>
              <w:lang w:val="en-US" w:eastAsia="zh-CN"/>
            </w:rPr>
            <w:fldChar w:fldCharType="end"/>
          </w:r>
        </w:p>
      </w:sdtContent>
    </w:sdt>
    <w:p w14:paraId="3EC94857">
      <w:pPr>
        <w:pStyle w:val="2"/>
        <w:numPr>
          <w:ilvl w:val="0"/>
          <w:numId w:val="1"/>
        </w:numPr>
        <w:bidi w:val="0"/>
        <w:jc w:val="center"/>
        <w:rPr>
          <w:rFonts w:hint="eastAsia"/>
          <w:sz w:val="32"/>
          <w:szCs w:val="20"/>
          <w:lang w:val="en-US" w:eastAsia="zh-CN"/>
        </w:rPr>
        <w:sectPr>
          <w:pgSz w:w="11906" w:h="16838"/>
          <w:pgMar w:top="1440" w:right="1800" w:bottom="1440" w:left="1800" w:header="851" w:footer="992" w:gutter="0"/>
          <w:pgNumType w:fmt="decimal"/>
          <w:cols w:space="425" w:num="1"/>
          <w:docGrid w:type="lines" w:linePitch="312" w:charSpace="0"/>
        </w:sectPr>
      </w:pPr>
    </w:p>
    <w:p w14:paraId="3315AF23">
      <w:pPr>
        <w:pStyle w:val="2"/>
        <w:numPr>
          <w:ilvl w:val="0"/>
          <w:numId w:val="1"/>
        </w:numPr>
        <w:bidi w:val="0"/>
        <w:rPr>
          <w:rFonts w:hint="eastAsia"/>
          <w:lang w:val="en-US" w:eastAsia="zh-CN"/>
        </w:rPr>
      </w:pPr>
      <w:bookmarkStart w:id="2" w:name="_Toc25046"/>
      <w:bookmarkStart w:id="3" w:name="_Toc6067"/>
      <w:r>
        <w:rPr>
          <w:rFonts w:hint="eastAsia"/>
          <w:lang w:val="en-US" w:eastAsia="zh-CN"/>
        </w:rPr>
        <w:t>总则</w:t>
      </w:r>
      <w:bookmarkEnd w:id="2"/>
      <w:bookmarkEnd w:id="3"/>
    </w:p>
    <w:p w14:paraId="7C7DCEB2">
      <w:pPr>
        <w:pStyle w:val="3"/>
        <w:numPr>
          <w:ilvl w:val="0"/>
          <w:numId w:val="2"/>
        </w:numPr>
        <w:bidi w:val="0"/>
        <w:rPr>
          <w:rFonts w:hint="eastAsia"/>
          <w:lang w:val="en-US" w:eastAsia="zh-CN"/>
        </w:rPr>
      </w:pPr>
      <w:bookmarkStart w:id="4" w:name="_Toc17434"/>
      <w:bookmarkStart w:id="5" w:name="_Toc2504"/>
      <w:r>
        <w:rPr>
          <w:rFonts w:hint="eastAsia"/>
          <w:lang w:val="en-US" w:eastAsia="zh-CN"/>
        </w:rPr>
        <w:t>规划背景</w:t>
      </w:r>
      <w:bookmarkEnd w:id="4"/>
      <w:bookmarkEnd w:id="5"/>
    </w:p>
    <w:p w14:paraId="5F7C7DBC">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bookmarkStart w:id="6" w:name="_Toc20239"/>
      <w:r>
        <w:rPr>
          <w:rFonts w:hint="eastAsia" w:ascii="仿宋" w:hAnsi="仿宋" w:eastAsia="仿宋" w:cs="仿宋"/>
          <w:color w:val="000000" w:themeColor="text1"/>
          <w:sz w:val="28"/>
          <w:szCs w:val="36"/>
          <w:highlight w:val="none"/>
          <w:lang w:val="en-US" w:eastAsia="zh-CN"/>
          <w14:textFill>
            <w14:solidFill>
              <w14:schemeClr w14:val="tx1"/>
            </w14:solidFill>
          </w14:textFill>
        </w:rPr>
        <w:t>1、“碳达峰、碳中和”目标引领下发展模式变革</w:t>
      </w:r>
    </w:p>
    <w:p w14:paraId="23CD55C1">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2020年9月，习近平总书记在第七十五届联合国大会一般性辩论上的讲话中提出，“中国将提高国家自主贡献力度，采取更加有力的政策和措施，二氧化碳排放力争于2030年前达到峰值，努力争取2060年前实现碳中和”。</w:t>
      </w:r>
    </w:p>
    <w:p w14:paraId="01C30B40">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2021年4月30日，中共中央政治局第二十九次集体学习时，习近平总书记指出，实现“碳达峰、碳中和”是我国向世界作出的庄严承诺，也是一场广泛而深刻的经济社会变革，将推动经济社会发展建立在资源高效利用和绿色低碳发展的基础之上。“十四五”时期，我国生态文明建设进入以降碳为重点战略方向、推动减污降碳协同增效、促进经济社会发展全面绿色转型、实现生态环境质量改善由量变到质变的关键时期，全社会的生产、生活方式都会产生重要变化。</w:t>
      </w:r>
    </w:p>
    <w:p w14:paraId="0A3D94A9">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2、相关法规出台实施</w:t>
      </w:r>
    </w:p>
    <w:p w14:paraId="466723C7">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2020年4月29日，十三届全国人大常委会第十七次会议修订了《中华人民共和国固体废物污染环境防治法》，自2020年9月1日起施行。新修订的固体废物污染环境防治法明确固体废物污染环境防治坚持减量化、资源化和无害化原则，完善建筑垃圾、农业固体废物等污染环境防治制度，建立建筑垃圾分类处理、全过程管理制度。</w:t>
      </w:r>
    </w:p>
    <w:p w14:paraId="777AD8C9">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bookmarkStart w:id="7" w:name="bookmark102"/>
      <w:bookmarkEnd w:id="7"/>
      <w:r>
        <w:rPr>
          <w:rFonts w:hint="eastAsia" w:ascii="仿宋" w:hAnsi="仿宋" w:eastAsia="仿宋" w:cs="仿宋"/>
          <w:color w:val="000000" w:themeColor="text1"/>
          <w:sz w:val="28"/>
          <w:szCs w:val="36"/>
          <w:highlight w:val="none"/>
          <w:lang w:val="en-US" w:eastAsia="zh-CN"/>
          <w14:textFill>
            <w14:solidFill>
              <w14:schemeClr w14:val="tx1"/>
            </w14:solidFill>
          </w14:textFill>
        </w:rPr>
        <w:t>3、具体规划及行动指导</w:t>
      </w:r>
    </w:p>
    <w:p w14:paraId="1CACC106">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2020年5月8日，住房和城乡建设部印发了《关于推进建筑垃圾减量化的指导意见》（建质〔2020〕46号），要求统筹规划，源头减量。统筹工程策划、设计、施工等阶段，从源头上预防和减少工程建设过程中建筑垃圾的产生，有效减少工程全寿命期的建筑垃圾排放。</w:t>
      </w:r>
    </w:p>
    <w:p w14:paraId="05D91407">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因地制宜，系统推进。根据各地具体要求和工程项目实际情况，整合资源，制定计划，多措并举，系统推进建筑垃圾减量化工作。创新驱动，精细管理。推动建筑垃圾减量化技术和管理创新，推行精细化设计和施工，实现施工工地建筑垃圾分类管控和再利用。</w:t>
      </w:r>
    </w:p>
    <w:p w14:paraId="1DC8C4A1">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2021年7月1日，国家发展改革委发布了《“十四五”循环经济发展规划》（发改环资〔2021〕969号），要求坚持节约资源和保护环境的基本国策，遵循“减量化、再利用、资源化”原则，着力建设资源循环型产业体系，加快构建废旧物资循环利用体系，深化农业循环经济发展，全面提高资源利用效率，提升再生资源利用水平，建立健全绿色低碳循环发展经济体系，为经济社会可持续发展提供资源保障。主要资源产出率比2020年提高约20%，单位GDP能源消耗、用水量比2020年分别降低13.5%、16%左右，农作物秸秆综合利用率保持在86%以上，大宗固废综合利用率达到60%，建筑垃圾综合利用率达到60%，废纸、废钢利用量分别达到6000万吨和3.2亿吨，再生有色金属产量达到2000万吨，资源循环利用产业产值达到5万亿元。</w:t>
      </w:r>
    </w:p>
    <w:p w14:paraId="5DFE4953">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2022年7月，经国务院同意，住房和城乡建设部联合国家发展改革委印发实施《“十四五”全国城市基础设施建设规划》，围绕构建系统完备、高效实用、智能绿色、安全可靠的现代化基础设施体系，提出4方面重点任务：一是推进城市基础设施体系化建设，增强城市安全韧性能力。二是推动城市基础设施共建共享，促进形成区域与城乡协调发展新格局。三是完善城市生态基础设施体系，推动城市绿色低碳发展。四是加快新型城市基础设施建设，推进城市智慧化转型发展。</w:t>
      </w:r>
    </w:p>
    <w:p w14:paraId="27C55F67">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2023年7月，安徽省生态环境厅等十八家部门印发《关于深入推进我省“无废城市”建设工作的通知》，梯次推动全省域“无废城市”建设。2023年9月，安徽省住房和城乡建设厅关于印发《“十四五”时期“无废城市”建设工作方案》的通知。</w:t>
      </w:r>
    </w:p>
    <w:p w14:paraId="691D88D8">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2024年4月，六安市为深入推进“无废城市”建设，促进城市可持续发展和绿色转型，发布《2024年度固体废物、化学品、重金属污染、新污染物治理工作计划》。按照《“无废城市”建设指标体系（2021年版）》要求，积极推进固体废物源头减量和资源化利用，开展工业园区循环化改造，推进生活垃圾、市政污泥、建筑垃圾、再生资源、工业固体废物、农业固体废物、危险废物处置等一批项目建设。</w:t>
      </w:r>
    </w:p>
    <w:p w14:paraId="17C339C1">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2021年9月，霍山县城管局发布《城市建筑垃圾管理规定》。为了加强对城市建筑垃圾的管理，保障城市市容和环境卫生，根据《中华人民共和国固体废物污染环境防治法》《城市市容和环境卫生管理条例》和《国务院对确需保留的行政审批项目设定行政许可的决定》，制定本规定。</w:t>
      </w:r>
    </w:p>
    <w:p w14:paraId="51A4A259">
      <w:pPr>
        <w:pStyle w:val="3"/>
        <w:numPr>
          <w:ilvl w:val="0"/>
          <w:numId w:val="2"/>
        </w:numPr>
        <w:bidi w:val="0"/>
        <w:rPr>
          <w:rFonts w:hint="default"/>
          <w:lang w:val="en-US" w:eastAsia="zh-CN"/>
        </w:rPr>
      </w:pPr>
      <w:bookmarkStart w:id="8" w:name="_Toc19729"/>
      <w:r>
        <w:rPr>
          <w:rFonts w:hint="eastAsia"/>
          <w:lang w:val="en-US" w:eastAsia="zh-CN"/>
        </w:rPr>
        <w:t>规划范围</w:t>
      </w:r>
      <w:bookmarkEnd w:id="6"/>
      <w:bookmarkEnd w:id="8"/>
    </w:p>
    <w:p w14:paraId="4F44535D">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 xml:space="preserve">本次规划范围与《霍山县国土空间总体规划 </w:t>
      </w:r>
      <w:r>
        <w:rPr>
          <w:rFonts w:hint="default" w:ascii="仿宋" w:hAnsi="仿宋" w:eastAsia="仿宋" w:cs="仿宋"/>
          <w:color w:val="000000" w:themeColor="text1"/>
          <w:sz w:val="28"/>
          <w:szCs w:val="36"/>
          <w:highlight w:val="none"/>
          <w:lang w:val="en-US" w:eastAsia="zh-CN"/>
          <w14:textFill>
            <w14:solidFill>
              <w14:schemeClr w14:val="tx1"/>
            </w14:solidFill>
          </w14:textFill>
        </w:rPr>
        <w:t xml:space="preserve">（2021-2035 年） </w:t>
      </w:r>
      <w:r>
        <w:rPr>
          <w:rFonts w:hint="eastAsia" w:ascii="仿宋" w:hAnsi="仿宋" w:eastAsia="仿宋" w:cs="仿宋"/>
          <w:color w:val="000000" w:themeColor="text1"/>
          <w:sz w:val="28"/>
          <w:szCs w:val="36"/>
          <w:highlight w:val="none"/>
          <w:lang w:val="en-US" w:eastAsia="zh-CN"/>
          <w14:textFill>
            <w14:solidFill>
              <w14:schemeClr w14:val="tx1"/>
            </w14:solidFill>
          </w14:textFill>
        </w:rPr>
        <w:t>》中确定的霍山县城区范围保持一致。</w:t>
      </w:r>
    </w:p>
    <w:p w14:paraId="3A7BFD41">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规划范围为霍山县行政辖区内的陆域空间，规划分为县域和中心城区两个层次。</w:t>
      </w:r>
    </w:p>
    <w:p w14:paraId="33C491F9">
      <w:pPr>
        <w:pStyle w:val="3"/>
        <w:numPr>
          <w:ilvl w:val="0"/>
          <w:numId w:val="2"/>
        </w:numPr>
        <w:bidi w:val="0"/>
        <w:rPr>
          <w:rFonts w:hint="default"/>
          <w:lang w:val="en-US" w:eastAsia="zh-CN"/>
        </w:rPr>
      </w:pPr>
      <w:bookmarkStart w:id="9" w:name="_Toc12322"/>
      <w:bookmarkStart w:id="10" w:name="_Toc22280"/>
      <w:r>
        <w:rPr>
          <w:rFonts w:hint="eastAsia"/>
          <w:lang w:val="en-US" w:eastAsia="zh-CN"/>
        </w:rPr>
        <w:t>规划期限</w:t>
      </w:r>
      <w:bookmarkEnd w:id="9"/>
      <w:bookmarkEnd w:id="10"/>
    </w:p>
    <w:p w14:paraId="4B85CD6D">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规划基期年为2024年，近期：2024-2027年；中期：2028-2030年；远期：2031-2035年。</w:t>
      </w:r>
    </w:p>
    <w:p w14:paraId="68BA49DC">
      <w:pPr>
        <w:pStyle w:val="3"/>
        <w:numPr>
          <w:ilvl w:val="0"/>
          <w:numId w:val="2"/>
        </w:numPr>
        <w:bidi w:val="0"/>
        <w:rPr>
          <w:rFonts w:hint="default"/>
          <w:b/>
          <w:sz w:val="28"/>
          <w:szCs w:val="22"/>
          <w:lang w:val="en-US" w:eastAsia="zh-CN"/>
        </w:rPr>
      </w:pPr>
      <w:bookmarkStart w:id="11" w:name="_Toc12226"/>
      <w:bookmarkStart w:id="12" w:name="_Toc28190"/>
      <w:r>
        <w:rPr>
          <w:rFonts w:hint="eastAsia"/>
          <w:b/>
          <w:sz w:val="28"/>
          <w:szCs w:val="22"/>
          <w:lang w:val="en-US" w:eastAsia="zh-CN"/>
        </w:rPr>
        <w:t>规划依据</w:t>
      </w:r>
      <w:bookmarkEnd w:id="11"/>
      <w:bookmarkEnd w:id="12"/>
    </w:p>
    <w:p w14:paraId="7C24D794">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1、</w:t>
      </w:r>
      <w:r>
        <w:rPr>
          <w:rFonts w:hint="default" w:ascii="仿宋" w:hAnsi="仿宋" w:eastAsia="仿宋" w:cs="仿宋"/>
          <w:color w:val="000000" w:themeColor="text1"/>
          <w:sz w:val="28"/>
          <w:szCs w:val="36"/>
          <w:highlight w:val="none"/>
          <w:lang w:val="en-US" w:eastAsia="zh-CN"/>
          <w14:textFill>
            <w14:solidFill>
              <w14:schemeClr w14:val="tx1"/>
            </w14:solidFill>
          </w14:textFill>
        </w:rPr>
        <w:t>法律法规</w:t>
      </w:r>
    </w:p>
    <w:p w14:paraId="35A51957">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《中华人民共和国固体废物污染环境防治法》（2020年修订）；</w:t>
      </w:r>
    </w:p>
    <w:p w14:paraId="60D33204">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《中华人民共和国环境保护法》（2014年修订）；</w:t>
      </w:r>
    </w:p>
    <w:p w14:paraId="6032BDDC">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《中华人民共和国循环经济促进法》（2018年修订）；</w:t>
      </w:r>
    </w:p>
    <w:p w14:paraId="24C27F02">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《中华人民共和国城乡规划法》（2019年修订）；</w:t>
      </w:r>
    </w:p>
    <w:p w14:paraId="22337C89">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《中华人民共和国大气污染防治法》（2018年修订）；</w:t>
      </w:r>
    </w:p>
    <w:p w14:paraId="024A8D16">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《中华人民共和国噪声污染防治法》（2021年修订）；</w:t>
      </w:r>
    </w:p>
    <w:p w14:paraId="76182345">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《建设项目环境保护管理条例》（2017年修订）；</w:t>
      </w:r>
    </w:p>
    <w:p w14:paraId="72F19FCA">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《城市建筑垃圾管理规定》</w:t>
      </w:r>
      <w:r>
        <w:rPr>
          <w:rFonts w:hint="eastAsia" w:ascii="仿宋" w:hAnsi="仿宋" w:eastAsia="仿宋" w:cs="仿宋"/>
          <w:color w:val="000000" w:themeColor="text1"/>
          <w:sz w:val="28"/>
          <w:szCs w:val="36"/>
          <w:highlight w:val="none"/>
          <w:lang w:val="en-US" w:eastAsia="zh-CN"/>
          <w14:textFill>
            <w14:solidFill>
              <w14:schemeClr w14:val="tx1"/>
            </w14:solidFill>
          </w14:textFill>
        </w:rPr>
        <w:t>（建设部令〔2005〕139号）</w:t>
      </w:r>
      <w:r>
        <w:rPr>
          <w:rFonts w:hint="default" w:ascii="仿宋" w:hAnsi="仿宋" w:eastAsia="仿宋" w:cs="仿宋"/>
          <w:color w:val="000000" w:themeColor="text1"/>
          <w:sz w:val="28"/>
          <w:szCs w:val="36"/>
          <w:highlight w:val="none"/>
          <w:lang w:val="en-US" w:eastAsia="zh-CN"/>
          <w14:textFill>
            <w14:solidFill>
              <w14:schemeClr w14:val="tx1"/>
            </w14:solidFill>
          </w14:textFill>
        </w:rPr>
        <w:t>；</w:t>
      </w:r>
    </w:p>
    <w:p w14:paraId="722973CC">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《城市市容和环境卫生管理条例》（2017年修订）；</w:t>
      </w:r>
    </w:p>
    <w:p w14:paraId="6B3D980A">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《市政公用事业特许经营管理办法》（2015年）；</w:t>
      </w:r>
    </w:p>
    <w:p w14:paraId="485CF1EB">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《城市规划编制办法实施细则》（2006年）；</w:t>
      </w:r>
    </w:p>
    <w:p w14:paraId="20CCB8D1">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《建筑垃圾资源化利用行业规范条件（暂行）》；</w:t>
      </w:r>
    </w:p>
    <w:p w14:paraId="1B3ADA23">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《安徽省城乡规划条例》；</w:t>
      </w:r>
    </w:p>
    <w:p w14:paraId="505E8EBD">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2、</w:t>
      </w:r>
      <w:r>
        <w:rPr>
          <w:rFonts w:hint="default" w:ascii="仿宋" w:hAnsi="仿宋" w:eastAsia="仿宋" w:cs="仿宋"/>
          <w:color w:val="000000" w:themeColor="text1"/>
          <w:sz w:val="28"/>
          <w:szCs w:val="36"/>
          <w:highlight w:val="none"/>
          <w:lang w:val="en-US" w:eastAsia="zh-CN"/>
          <w14:textFill>
            <w14:solidFill>
              <w14:schemeClr w14:val="tx1"/>
            </w14:solidFill>
          </w14:textFill>
        </w:rPr>
        <w:t>标准规范</w:t>
      </w:r>
    </w:p>
    <w:p w14:paraId="593DBB2A">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《城市环境卫生设施规划标准》（GB/T50337-2018）；</w:t>
      </w:r>
    </w:p>
    <w:p w14:paraId="4EE48DCF">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《建筑垃圾减量化设计标准》（T/CECS1121-2022）；</w:t>
      </w:r>
    </w:p>
    <w:p w14:paraId="4B9F0DFF">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《危险废物贮存污染控制标准》（GB18597-2023）；</w:t>
      </w:r>
    </w:p>
    <w:p w14:paraId="4BA60E2A">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《环境卫生设施设置标准》（CJJ27-2012）；</w:t>
      </w:r>
    </w:p>
    <w:p w14:paraId="553D3E50">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《建筑垃圾处理技术标准》（CJJ/T134-2019）；</w:t>
      </w:r>
    </w:p>
    <w:p w14:paraId="506DFD2F">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《市容环境卫生术语标准》（CJJ/T65-2004）；</w:t>
      </w:r>
    </w:p>
    <w:p w14:paraId="012D3D6E">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《危险废物收集、贮存、运输技术规范》（HJ2025-2012）；</w:t>
      </w:r>
    </w:p>
    <w:p w14:paraId="1E3A786E">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《建筑垃圾转运处理电子联单管理标准》（T/CECS1210-2022）；</w:t>
      </w:r>
    </w:p>
    <w:p w14:paraId="2C7B49F8">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3、</w:t>
      </w:r>
      <w:r>
        <w:rPr>
          <w:rFonts w:hint="default" w:ascii="仿宋" w:hAnsi="仿宋" w:eastAsia="仿宋" w:cs="仿宋"/>
          <w:color w:val="000000" w:themeColor="text1"/>
          <w:sz w:val="28"/>
          <w:szCs w:val="36"/>
          <w:highlight w:val="none"/>
          <w:lang w:val="en-US" w:eastAsia="zh-CN"/>
          <w14:textFill>
            <w14:solidFill>
              <w14:schemeClr w14:val="tx1"/>
            </w14:solidFill>
          </w14:textFill>
        </w:rPr>
        <w:t>相关规划及技术文件</w:t>
      </w:r>
    </w:p>
    <w:p w14:paraId="506E0ADA">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《中共中央国务院关于进</w:t>
      </w:r>
      <w:r>
        <w:rPr>
          <w:rFonts w:hint="eastAsia" w:ascii="仿宋" w:hAnsi="仿宋" w:eastAsia="仿宋" w:cs="仿宋"/>
          <w:color w:val="000000" w:themeColor="text1"/>
          <w:sz w:val="28"/>
          <w:szCs w:val="36"/>
          <w:highlight w:val="none"/>
          <w:lang w:val="en-US" w:eastAsia="zh-CN"/>
          <w14:textFill>
            <w14:solidFill>
              <w14:schemeClr w14:val="tx1"/>
            </w14:solidFill>
          </w14:textFill>
        </w:rPr>
        <w:t>一</w:t>
      </w:r>
      <w:r>
        <w:rPr>
          <w:rFonts w:hint="default" w:ascii="仿宋" w:hAnsi="仿宋" w:eastAsia="仿宋" w:cs="仿宋"/>
          <w:color w:val="000000" w:themeColor="text1"/>
          <w:sz w:val="28"/>
          <w:szCs w:val="36"/>
          <w:highlight w:val="none"/>
          <w:lang w:val="en-US" w:eastAsia="zh-CN"/>
          <w14:textFill>
            <w14:solidFill>
              <w14:schemeClr w14:val="tx1"/>
            </w14:solidFill>
          </w14:textFill>
        </w:rPr>
        <w:t>步加强城市规划建设管理工作的若干意见》（中发〔2016〕6号）；</w:t>
      </w:r>
    </w:p>
    <w:p w14:paraId="1CBF7A57">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《国务院关于加快建立健全绿色低碳循环发展经济体系的指导意见》（国发〔2021〕4号）；</w:t>
      </w:r>
    </w:p>
    <w:p w14:paraId="69A6EB41">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《国务院办公厅转发国家发展改革委等部门关于加快推进城镇环境基础设施建设指导意见的通知》（国办函〔2022〕7号）；</w:t>
      </w:r>
    </w:p>
    <w:p w14:paraId="69EF3815">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《国务院办公厅关于加快构建废弃物循环利用体系的意见》（国办发〔2024〕7号）；</w:t>
      </w:r>
    </w:p>
    <w:p w14:paraId="7A705A36">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《关于“十四五”大宗固体废弃物综合利用的指导意见》（发改环资〔2021〕381号）；</w:t>
      </w:r>
    </w:p>
    <w:p w14:paraId="3808322F">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《住房和城乡建设部国家发展改革委关于印发城乡建设领域碳达峰实施方案的通知》（建标〔2022〕53号）；</w:t>
      </w:r>
    </w:p>
    <w:p w14:paraId="6C719E96">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《住房和城乡建设部关于推进建筑垃圾减量化的指导意见》（建质〔2020〕46号）；</w:t>
      </w:r>
    </w:p>
    <w:p w14:paraId="21132579">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安徽省《关于加强建筑垃圾管理及资源化利用的指导意见》的通知（建督〔2020〕96号）；</w:t>
      </w:r>
    </w:p>
    <w:p w14:paraId="60EE1ECB">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w:t>
      </w:r>
      <w:r>
        <w:rPr>
          <w:rFonts w:hint="eastAsia" w:ascii="仿宋" w:hAnsi="仿宋" w:eastAsia="仿宋" w:cs="仿宋"/>
          <w:color w:val="000000" w:themeColor="text1"/>
          <w:sz w:val="28"/>
          <w:szCs w:val="36"/>
          <w:highlight w:val="none"/>
          <w:lang w:val="en-US" w:eastAsia="zh-CN"/>
          <w14:textFill>
            <w14:solidFill>
              <w14:schemeClr w14:val="tx1"/>
            </w14:solidFill>
          </w14:textFill>
        </w:rPr>
        <w:t>六安市</w:t>
      </w:r>
      <w:r>
        <w:rPr>
          <w:rFonts w:hint="default" w:ascii="仿宋" w:hAnsi="仿宋" w:eastAsia="仿宋" w:cs="仿宋"/>
          <w:color w:val="000000" w:themeColor="text1"/>
          <w:sz w:val="28"/>
          <w:szCs w:val="36"/>
          <w:highlight w:val="none"/>
          <w:lang w:val="en-US" w:eastAsia="zh-CN"/>
          <w14:textFill>
            <w14:solidFill>
              <w14:schemeClr w14:val="tx1"/>
            </w14:solidFill>
          </w14:textFill>
        </w:rPr>
        <w:t>国土空间总体规划（2021-2035年）》；</w:t>
      </w:r>
    </w:p>
    <w:p w14:paraId="694AD075">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《六安市环境卫生设施布局国土空间专项规划》（2022-2035）；</w:t>
      </w:r>
    </w:p>
    <w:p w14:paraId="12F10901">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《霍山县国土空间规划（2021—2035年）》；</w:t>
      </w:r>
    </w:p>
    <w:p w14:paraId="746DD956">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4、</w:t>
      </w:r>
      <w:r>
        <w:rPr>
          <w:rFonts w:hint="default" w:ascii="仿宋" w:hAnsi="仿宋" w:eastAsia="仿宋" w:cs="仿宋"/>
          <w:color w:val="000000" w:themeColor="text1"/>
          <w:sz w:val="28"/>
          <w:szCs w:val="36"/>
          <w:highlight w:val="none"/>
          <w:lang w:val="en-US" w:eastAsia="zh-CN"/>
          <w14:textFill>
            <w14:solidFill>
              <w14:schemeClr w14:val="tx1"/>
            </w14:solidFill>
          </w14:textFill>
        </w:rPr>
        <w:t>其他</w:t>
      </w:r>
    </w:p>
    <w:p w14:paraId="71BE52FF">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其他相关基础资料及文件。</w:t>
      </w:r>
    </w:p>
    <w:p w14:paraId="277868EA">
      <w:pPr>
        <w:pStyle w:val="3"/>
        <w:numPr>
          <w:ilvl w:val="0"/>
          <w:numId w:val="2"/>
        </w:numPr>
        <w:bidi w:val="0"/>
        <w:rPr>
          <w:rFonts w:hint="default"/>
          <w:b/>
          <w:sz w:val="28"/>
          <w:szCs w:val="22"/>
          <w:lang w:val="en-US" w:eastAsia="zh-CN"/>
        </w:rPr>
      </w:pPr>
      <w:bookmarkStart w:id="13" w:name="_Toc3657"/>
      <w:bookmarkStart w:id="14" w:name="_Toc14489"/>
      <w:r>
        <w:rPr>
          <w:rFonts w:hint="eastAsia"/>
          <w:b/>
          <w:sz w:val="28"/>
          <w:szCs w:val="22"/>
          <w:lang w:val="en-US" w:eastAsia="zh-CN"/>
        </w:rPr>
        <w:t>规划对象</w:t>
      </w:r>
      <w:bookmarkEnd w:id="13"/>
      <w:bookmarkEnd w:id="14"/>
    </w:p>
    <w:p w14:paraId="7229C024">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bookmarkStart w:id="15" w:name="_Toc18611"/>
      <w:r>
        <w:rPr>
          <w:rFonts w:hint="eastAsia" w:ascii="仿宋" w:hAnsi="仿宋" w:eastAsia="仿宋" w:cs="仿宋"/>
          <w:color w:val="000000" w:themeColor="text1"/>
          <w:sz w:val="28"/>
          <w:szCs w:val="36"/>
          <w:highlight w:val="none"/>
          <w:lang w:val="en-US" w:eastAsia="zh-CN"/>
          <w14:textFill>
            <w14:solidFill>
              <w14:schemeClr w14:val="tx1"/>
            </w14:solidFill>
          </w14:textFill>
        </w:rPr>
        <w:t>本规划中建筑垃圾是指工程渣土、工程泥浆、工程垃圾、拆除垃圾和装修垃圾等的总称。包括新建、扩建、改建和拆除各类建筑物、构筑物、管网以及居民装饰装修房屋过程中所产生的弃土、弃料及其他废弃物，不包括经检验、鉴定为危险废物的建筑垃圾。</w:t>
      </w:r>
    </w:p>
    <w:p w14:paraId="1DD8D118">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1、</w:t>
      </w:r>
      <w:r>
        <w:rPr>
          <w:rFonts w:hint="default" w:ascii="仿宋" w:hAnsi="仿宋" w:eastAsia="仿宋" w:cs="仿宋"/>
          <w:color w:val="000000" w:themeColor="text1"/>
          <w:sz w:val="28"/>
          <w:szCs w:val="36"/>
          <w:highlight w:val="none"/>
          <w:lang w:val="en-US" w:eastAsia="zh-CN"/>
          <w14:textFill>
            <w14:solidFill>
              <w14:schemeClr w14:val="tx1"/>
            </w14:solidFill>
          </w14:textFill>
        </w:rPr>
        <w:t>建筑垃圾分类</w:t>
      </w:r>
    </w:p>
    <w:p w14:paraId="75514FA7">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工程渣土：各类建筑物、构筑物、管网等基础开挖过程中产生的弃土。</w:t>
      </w:r>
    </w:p>
    <w:p w14:paraId="5C5D15A1">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工程泥浆：钻孔桩基施工、地下连续墙施工、泥水盾构施工、水平定向钻及泥水顶管等施工产生的泥浆。</w:t>
      </w:r>
    </w:p>
    <w:p w14:paraId="6B10B080">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工程垃圾：各类建筑物、构筑物等建设过程中产生的弃料。</w:t>
      </w:r>
    </w:p>
    <w:p w14:paraId="2CCCB3EC">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拆除垃圾：各类建筑物、构筑物等拆除过程中产生的弃料。</w:t>
      </w:r>
    </w:p>
    <w:p w14:paraId="64DC582C">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装修垃圾：装饰装修过程中产生的废弃物。</w:t>
      </w:r>
    </w:p>
    <w:p w14:paraId="4BDD0BEE">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2、</w:t>
      </w:r>
      <w:r>
        <w:rPr>
          <w:rFonts w:hint="default" w:ascii="仿宋" w:hAnsi="仿宋" w:eastAsia="仿宋" w:cs="仿宋"/>
          <w:color w:val="000000" w:themeColor="text1"/>
          <w:sz w:val="28"/>
          <w:szCs w:val="36"/>
          <w:highlight w:val="none"/>
          <w:lang w:val="en-US" w:eastAsia="zh-CN"/>
          <w14:textFill>
            <w14:solidFill>
              <w14:schemeClr w14:val="tx1"/>
            </w14:solidFill>
          </w14:textFill>
        </w:rPr>
        <w:t>分类收集点</w:t>
      </w:r>
    </w:p>
    <w:p w14:paraId="0D6575A6">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主要用于收集居民区装饰、维修及拆除等过程中产生的装修垃圾。</w:t>
      </w:r>
    </w:p>
    <w:p w14:paraId="2B36EC40">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3、</w:t>
      </w:r>
      <w:r>
        <w:rPr>
          <w:rFonts w:hint="default" w:ascii="仿宋" w:hAnsi="仿宋" w:eastAsia="仿宋" w:cs="仿宋"/>
          <w:color w:val="000000" w:themeColor="text1"/>
          <w:sz w:val="28"/>
          <w:szCs w:val="36"/>
          <w:highlight w:val="none"/>
          <w:lang w:val="en-US" w:eastAsia="zh-CN"/>
          <w14:textFill>
            <w14:solidFill>
              <w14:schemeClr w14:val="tx1"/>
            </w14:solidFill>
          </w14:textFill>
        </w:rPr>
        <w:t>建筑垃圾转运调配场</w:t>
      </w:r>
    </w:p>
    <w:p w14:paraId="5ADDA936">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用于将建筑垃圾集中临时分类堆放、分拣和暂存的特定场所，后期再根据需求定向外运。</w:t>
      </w:r>
    </w:p>
    <w:p w14:paraId="4E450214">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4、</w:t>
      </w:r>
      <w:r>
        <w:rPr>
          <w:rFonts w:hint="default" w:ascii="仿宋" w:hAnsi="仿宋" w:eastAsia="仿宋" w:cs="仿宋"/>
          <w:color w:val="000000" w:themeColor="text1"/>
          <w:sz w:val="28"/>
          <w:szCs w:val="36"/>
          <w:highlight w:val="none"/>
          <w:lang w:val="en-US" w:eastAsia="zh-CN"/>
          <w14:textFill>
            <w14:solidFill>
              <w14:schemeClr w14:val="tx1"/>
            </w14:solidFill>
          </w14:textFill>
        </w:rPr>
        <w:t>建筑垃圾消纳场</w:t>
      </w:r>
    </w:p>
    <w:p w14:paraId="68F96650">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建筑垃圾消纳场是指按照建筑垃圾消纳场规划进行建设，专用于堆填处置建筑垃圾的场所。按照消纳建筑垃圾的类别不同，可分为工程渣土专用消纳场和混合消纳场。</w:t>
      </w:r>
    </w:p>
    <w:p w14:paraId="2EF40D34">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5、</w:t>
      </w:r>
      <w:r>
        <w:rPr>
          <w:rFonts w:hint="default" w:ascii="仿宋" w:hAnsi="仿宋" w:eastAsia="仿宋" w:cs="仿宋"/>
          <w:color w:val="000000" w:themeColor="text1"/>
          <w:sz w:val="28"/>
          <w:szCs w:val="36"/>
          <w:highlight w:val="none"/>
          <w:lang w:val="en-US" w:eastAsia="zh-CN"/>
          <w14:textFill>
            <w14:solidFill>
              <w14:schemeClr w14:val="tx1"/>
            </w14:solidFill>
          </w14:textFill>
        </w:rPr>
        <w:t>资源化利用处置场</w:t>
      </w:r>
    </w:p>
    <w:p w14:paraId="14EB7B8F">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建筑垃圾资源化利用处置场是指以未经加工处理的建筑垃圾作为主要原料，通过处置程序，制成成型产品或者可以直接再应用到新、改、扩建建设工程项目中的不成型产品的场地。</w:t>
      </w:r>
    </w:p>
    <w:p w14:paraId="37B23527">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b/>
          <w:sz w:val="28"/>
          <w:szCs w:val="22"/>
          <w:lang w:val="en-US" w:eastAsia="zh-CN"/>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按照处置建筑垃圾类别的不同可将建筑垃圾资源化利用场分为工程渣土资源化利用场、拆除垃圾资源化利用场、工程垃圾和装修垃圾资源化利用场。不同类型的资源化利用场可独立或集中建设，集中建设时可划分不同功能生产区。</w:t>
      </w:r>
    </w:p>
    <w:p w14:paraId="07ABD3E7">
      <w:pPr>
        <w:pStyle w:val="2"/>
        <w:numPr>
          <w:ilvl w:val="0"/>
          <w:numId w:val="1"/>
        </w:numPr>
        <w:bidi w:val="0"/>
        <w:rPr>
          <w:rFonts w:hint="eastAsia"/>
          <w:lang w:val="en-US" w:eastAsia="zh-CN"/>
        </w:rPr>
      </w:pPr>
      <w:bookmarkStart w:id="16" w:name="_Toc24036"/>
      <w:r>
        <w:rPr>
          <w:rFonts w:hint="eastAsia"/>
          <w:lang w:val="en-US" w:eastAsia="zh-CN"/>
        </w:rPr>
        <w:t>现状分析</w:t>
      </w:r>
      <w:bookmarkEnd w:id="15"/>
      <w:bookmarkEnd w:id="16"/>
    </w:p>
    <w:p w14:paraId="5F13259E">
      <w:pPr>
        <w:pStyle w:val="3"/>
        <w:numPr>
          <w:ilvl w:val="0"/>
          <w:numId w:val="3"/>
        </w:numPr>
        <w:bidi w:val="0"/>
        <w:rPr>
          <w:rFonts w:hint="eastAsia"/>
          <w:lang w:val="en-US" w:eastAsia="zh-CN"/>
        </w:rPr>
      </w:pPr>
      <w:bookmarkStart w:id="17" w:name="_Toc1023"/>
      <w:bookmarkStart w:id="18" w:name="_Toc3305"/>
      <w:r>
        <w:rPr>
          <w:rFonts w:hint="eastAsia"/>
          <w:lang w:val="en-US" w:eastAsia="zh-CN"/>
        </w:rPr>
        <w:t>区域概况</w:t>
      </w:r>
      <w:bookmarkEnd w:id="17"/>
      <w:bookmarkEnd w:id="18"/>
    </w:p>
    <w:p w14:paraId="438C6B18">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1、自然地理格局</w:t>
      </w:r>
    </w:p>
    <w:p w14:paraId="304759E0">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霍山县位于安徽西部，大别山北麓，介于北纬31°03′-31°33′，东位115°52′-116°32′，东邻舒城，南接岳西，英山，西交金寨，北连裕安；全县辖16个乡镇，240个行政村，10个居委会，总面积2043km</w:t>
      </w:r>
      <w:r>
        <w:rPr>
          <w:rFonts w:hint="eastAsia" w:ascii="仿宋" w:hAnsi="仿宋" w:eastAsia="仿宋" w:cs="仿宋"/>
          <w:color w:val="000000" w:themeColor="text1"/>
          <w:sz w:val="28"/>
          <w:szCs w:val="36"/>
          <w:highlight w:val="none"/>
          <w:vertAlign w:val="superscript"/>
          <w:lang w:val="en-US" w:eastAsia="zh-CN"/>
          <w14:textFill>
            <w14:solidFill>
              <w14:schemeClr w14:val="tx1"/>
            </w14:solidFill>
          </w14:textFill>
        </w:rPr>
        <w:t>2</w:t>
      </w:r>
      <w:r>
        <w:rPr>
          <w:rFonts w:hint="eastAsia" w:ascii="仿宋" w:hAnsi="仿宋" w:eastAsia="仿宋" w:cs="仿宋"/>
          <w:color w:val="000000" w:themeColor="text1"/>
          <w:sz w:val="28"/>
          <w:szCs w:val="36"/>
          <w:highlight w:val="none"/>
          <w:lang w:val="en-US" w:eastAsia="zh-CN"/>
          <w14:textFill>
            <w14:solidFill>
              <w14:schemeClr w14:val="tx1"/>
            </w14:solidFill>
          </w14:textFill>
        </w:rPr>
        <w:t>，人口36.6万，2023年常住人口28.62万人，地貌为大别山中山和北部低山丘陵盆谷区，呈“七山一水一分田，一分道路和庄园”特征，地势由西南向东北倾斜，地形复杂多样，境内山高岭大，人口分布较为分散。国道、省道和城乡公路四通八达，交通条件优越。</w:t>
      </w:r>
    </w:p>
    <w:p w14:paraId="38E5CAFD">
      <w:pPr>
        <w:pStyle w:val="6"/>
        <w:ind w:left="3" w:leftChars="0" w:hanging="3" w:firstLineChars="0"/>
        <w:jc w:val="center"/>
        <w:rPr>
          <w:sz w:val="20"/>
        </w:rPr>
      </w:pPr>
      <w:r>
        <w:rPr>
          <w:sz w:val="20"/>
        </w:rPr>
        <w:drawing>
          <wp:inline distT="0" distB="0" distL="0" distR="0">
            <wp:extent cx="5415280" cy="3498215"/>
            <wp:effectExtent l="0" t="0" r="13970" b="6985"/>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a:picLocks noChangeAspect="1"/>
                    </pic:cNvPicPr>
                  </pic:nvPicPr>
                  <pic:blipFill>
                    <a:blip r:embed="rId6" cstate="print"/>
                    <a:stretch>
                      <a:fillRect/>
                    </a:stretch>
                  </pic:blipFill>
                  <pic:spPr>
                    <a:xfrm>
                      <a:off x="0" y="0"/>
                      <a:ext cx="5415280" cy="3498215"/>
                    </a:xfrm>
                    <a:prstGeom prst="rect">
                      <a:avLst/>
                    </a:prstGeom>
                  </pic:spPr>
                </pic:pic>
              </a:graphicData>
            </a:graphic>
          </wp:inline>
        </w:drawing>
      </w:r>
      <w:r>
        <w:drawing>
          <wp:inline distT="0" distB="0" distL="114300" distR="114300">
            <wp:extent cx="5400040" cy="5813425"/>
            <wp:effectExtent l="0" t="0" r="10160" b="1587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7"/>
                    <a:stretch>
                      <a:fillRect/>
                    </a:stretch>
                  </pic:blipFill>
                  <pic:spPr>
                    <a:xfrm>
                      <a:off x="0" y="0"/>
                      <a:ext cx="5400040" cy="5813425"/>
                    </a:xfrm>
                    <a:prstGeom prst="rect">
                      <a:avLst/>
                    </a:prstGeom>
                    <a:noFill/>
                    <a:ln>
                      <a:noFill/>
                    </a:ln>
                  </pic:spPr>
                </pic:pic>
              </a:graphicData>
            </a:graphic>
          </wp:inline>
        </w:drawing>
      </w:r>
    </w:p>
    <w:p w14:paraId="475D3B02">
      <w:pPr>
        <w:spacing w:before="30"/>
        <w:ind w:left="3360" w:right="0" w:firstLine="0"/>
        <w:jc w:val="both"/>
        <w:rPr>
          <w:b/>
          <w:sz w:val="21"/>
        </w:rPr>
      </w:pPr>
      <w:r>
        <w:rPr>
          <w:rFonts w:hint="eastAsia" w:ascii="宋体" w:eastAsia="宋体"/>
          <w:b/>
          <w:spacing w:val="-26"/>
          <w:sz w:val="21"/>
        </w:rPr>
        <w:t>图</w:t>
      </w:r>
      <w:r>
        <w:rPr>
          <w:rFonts w:hint="eastAsia" w:ascii="宋体" w:eastAsia="宋体"/>
          <w:b/>
          <w:sz w:val="21"/>
        </w:rPr>
        <w:t>2-1</w:t>
      </w:r>
      <w:bookmarkStart w:id="19" w:name="图2-1 六安市区位示意图"/>
      <w:bookmarkEnd w:id="19"/>
      <w:r>
        <w:rPr>
          <w:rFonts w:hint="eastAsia" w:eastAsia="宋体"/>
          <w:b/>
          <w:sz w:val="21"/>
          <w:lang w:eastAsia="zh-CN"/>
        </w:rPr>
        <w:t>霍山县</w:t>
      </w:r>
      <w:r>
        <w:rPr>
          <w:b/>
          <w:sz w:val="21"/>
        </w:rPr>
        <w:t>区位示意图</w:t>
      </w:r>
    </w:p>
    <w:p w14:paraId="20B96609">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总体为山地地貌，地势南高北低。依次可分为中山、低山和丘陵畈区。中山区位于县境西南部，平均海拔1000米左右，最高处达</w:t>
      </w:r>
      <w:r>
        <w:rPr>
          <w:rFonts w:hint="default" w:ascii="仿宋" w:hAnsi="仿宋" w:eastAsia="仿宋" w:cs="仿宋"/>
          <w:color w:val="000000" w:themeColor="text1"/>
          <w:sz w:val="28"/>
          <w:szCs w:val="36"/>
          <w:highlight w:val="none"/>
          <w:lang w:val="en-US" w:eastAsia="zh-CN"/>
          <w14:textFill>
            <w14:solidFill>
              <w14:schemeClr w14:val="tx1"/>
            </w14:solidFill>
          </w14:textFill>
        </w:rPr>
        <w:t>1700</w:t>
      </w:r>
      <w:r>
        <w:rPr>
          <w:rFonts w:hint="eastAsia" w:ascii="仿宋" w:hAnsi="仿宋" w:eastAsia="仿宋" w:cs="仿宋"/>
          <w:color w:val="000000" w:themeColor="text1"/>
          <w:sz w:val="28"/>
          <w:szCs w:val="36"/>
          <w:highlight w:val="none"/>
          <w:lang w:val="en-US" w:eastAsia="zh-CN"/>
          <w14:textFill>
            <w14:solidFill>
              <w14:schemeClr w14:val="tx1"/>
            </w14:solidFill>
          </w14:textFill>
        </w:rPr>
        <w:t>多米，千米以上的高峰</w:t>
      </w:r>
      <w:r>
        <w:rPr>
          <w:rFonts w:hint="default" w:ascii="仿宋" w:hAnsi="仿宋" w:eastAsia="仿宋" w:cs="仿宋"/>
          <w:color w:val="000000" w:themeColor="text1"/>
          <w:sz w:val="28"/>
          <w:szCs w:val="36"/>
          <w:highlight w:val="none"/>
          <w:lang w:val="en-US" w:eastAsia="zh-CN"/>
          <w14:textFill>
            <w14:solidFill>
              <w14:schemeClr w14:val="tx1"/>
            </w14:solidFill>
          </w14:textFill>
        </w:rPr>
        <w:t>31</w:t>
      </w:r>
      <w:r>
        <w:rPr>
          <w:rFonts w:hint="eastAsia" w:ascii="仿宋" w:hAnsi="仿宋" w:eastAsia="仿宋" w:cs="仿宋"/>
          <w:color w:val="000000" w:themeColor="text1"/>
          <w:sz w:val="28"/>
          <w:szCs w:val="36"/>
          <w:highlight w:val="none"/>
          <w:lang w:val="en-US" w:eastAsia="zh-CN"/>
          <w14:textFill>
            <w14:solidFill>
              <w14:schemeClr w14:val="tx1"/>
            </w14:solidFill>
          </w14:textFill>
        </w:rPr>
        <w:t>座。大别山主峰白马尖及其姊妹峰多云尖均坐落在这里；低山区位于县境中部，该区海拔</w:t>
      </w:r>
      <w:r>
        <w:rPr>
          <w:rFonts w:hint="default" w:ascii="仿宋" w:hAnsi="仿宋" w:eastAsia="仿宋" w:cs="仿宋"/>
          <w:color w:val="000000" w:themeColor="text1"/>
          <w:sz w:val="28"/>
          <w:szCs w:val="36"/>
          <w:highlight w:val="none"/>
          <w:lang w:val="en-US" w:eastAsia="zh-CN"/>
          <w14:textFill>
            <w14:solidFill>
              <w14:schemeClr w14:val="tx1"/>
            </w14:solidFill>
          </w14:textFill>
        </w:rPr>
        <w:t>500</w:t>
      </w:r>
      <w:r>
        <w:rPr>
          <w:rFonts w:hint="eastAsia" w:ascii="仿宋" w:hAnsi="仿宋" w:eastAsia="仿宋" w:cs="仿宋"/>
          <w:color w:val="000000" w:themeColor="text1"/>
          <w:sz w:val="28"/>
          <w:szCs w:val="36"/>
          <w:highlight w:val="none"/>
          <w:lang w:val="en-US" w:eastAsia="zh-CN"/>
          <w14:textFill>
            <w14:solidFill>
              <w14:schemeClr w14:val="tx1"/>
            </w14:solidFill>
          </w14:textFill>
        </w:rPr>
        <w:t>－</w:t>
      </w:r>
      <w:r>
        <w:rPr>
          <w:rFonts w:hint="default" w:ascii="仿宋" w:hAnsi="仿宋" w:eastAsia="仿宋" w:cs="仿宋"/>
          <w:color w:val="000000" w:themeColor="text1"/>
          <w:sz w:val="28"/>
          <w:szCs w:val="36"/>
          <w:highlight w:val="none"/>
          <w:lang w:val="en-US" w:eastAsia="zh-CN"/>
          <w14:textFill>
            <w14:solidFill>
              <w14:schemeClr w14:val="tx1"/>
            </w14:solidFill>
          </w14:textFill>
        </w:rPr>
        <w:t>800</w:t>
      </w:r>
      <w:r>
        <w:rPr>
          <w:rFonts w:hint="eastAsia" w:ascii="仿宋" w:hAnsi="仿宋" w:eastAsia="仿宋" w:cs="仿宋"/>
          <w:color w:val="000000" w:themeColor="text1"/>
          <w:sz w:val="28"/>
          <w:szCs w:val="36"/>
          <w:highlight w:val="none"/>
          <w:lang w:val="en-US" w:eastAsia="zh-CN"/>
          <w14:textFill>
            <w14:solidFill>
              <w14:schemeClr w14:val="tx1"/>
            </w14:solidFill>
          </w14:textFill>
        </w:rPr>
        <w:t>米；丘陵畈区位于县境东北部，该区海拔</w:t>
      </w:r>
      <w:r>
        <w:rPr>
          <w:rFonts w:hint="default" w:ascii="仿宋" w:hAnsi="仿宋" w:eastAsia="仿宋" w:cs="仿宋"/>
          <w:color w:val="000000" w:themeColor="text1"/>
          <w:sz w:val="28"/>
          <w:szCs w:val="36"/>
          <w:highlight w:val="none"/>
          <w:lang w:val="en-US" w:eastAsia="zh-CN"/>
          <w14:textFill>
            <w14:solidFill>
              <w14:schemeClr w14:val="tx1"/>
            </w14:solidFill>
          </w14:textFill>
        </w:rPr>
        <w:t>500</w:t>
      </w:r>
      <w:r>
        <w:rPr>
          <w:rFonts w:hint="eastAsia" w:ascii="仿宋" w:hAnsi="仿宋" w:eastAsia="仿宋" w:cs="仿宋"/>
          <w:color w:val="000000" w:themeColor="text1"/>
          <w:sz w:val="28"/>
          <w:szCs w:val="36"/>
          <w:highlight w:val="none"/>
          <w:lang w:val="en-US" w:eastAsia="zh-CN"/>
          <w14:textFill>
            <w14:solidFill>
              <w14:schemeClr w14:val="tx1"/>
            </w14:solidFill>
          </w14:textFill>
        </w:rPr>
        <w:t>米以下，最低处仅</w:t>
      </w:r>
      <w:r>
        <w:rPr>
          <w:rFonts w:hint="default" w:ascii="仿宋" w:hAnsi="仿宋" w:eastAsia="仿宋" w:cs="仿宋"/>
          <w:color w:val="000000" w:themeColor="text1"/>
          <w:sz w:val="28"/>
          <w:szCs w:val="36"/>
          <w:highlight w:val="none"/>
          <w:lang w:val="en-US" w:eastAsia="zh-CN"/>
          <w14:textFill>
            <w14:solidFill>
              <w14:schemeClr w14:val="tx1"/>
            </w14:solidFill>
          </w14:textFill>
        </w:rPr>
        <w:t>50</w:t>
      </w:r>
      <w:r>
        <w:rPr>
          <w:rFonts w:hint="eastAsia" w:ascii="仿宋" w:hAnsi="仿宋" w:eastAsia="仿宋" w:cs="仿宋"/>
          <w:color w:val="000000" w:themeColor="text1"/>
          <w:sz w:val="28"/>
          <w:szCs w:val="36"/>
          <w:highlight w:val="none"/>
          <w:lang w:val="en-US" w:eastAsia="zh-CN"/>
          <w14:textFill>
            <w14:solidFill>
              <w14:schemeClr w14:val="tx1"/>
            </w14:solidFill>
          </w14:textFill>
        </w:rPr>
        <w:t>米。“七山一水一分田，一分道路和庄园”的空间现状特征。县域大部分区域位于大别山区，北部县城周边为平地与丘陵，东淠河贯穿南北，呈现“七山一水一分田，一分道路和庄园”的空间特征。</w:t>
      </w:r>
    </w:p>
    <w:p w14:paraId="4D9C2F81">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河湖密布、水资源丰富，水环境质量优良。分属淮河流域的淠河水系，以及长江流域的杭埠河水系，拥有在册河流</w:t>
      </w:r>
      <w:r>
        <w:rPr>
          <w:rFonts w:hint="default" w:ascii="仿宋" w:hAnsi="仿宋" w:eastAsia="仿宋" w:cs="仿宋"/>
          <w:color w:val="000000" w:themeColor="text1"/>
          <w:sz w:val="28"/>
          <w:szCs w:val="36"/>
          <w:highlight w:val="none"/>
          <w:lang w:val="en-US" w:eastAsia="zh-CN"/>
          <w14:textFill>
            <w14:solidFill>
              <w14:schemeClr w14:val="tx1"/>
            </w14:solidFill>
          </w14:textFill>
        </w:rPr>
        <w:t>79</w:t>
      </w:r>
      <w:r>
        <w:rPr>
          <w:rFonts w:hint="eastAsia" w:ascii="仿宋" w:hAnsi="仿宋" w:eastAsia="仿宋" w:cs="仿宋"/>
          <w:color w:val="000000" w:themeColor="text1"/>
          <w:sz w:val="28"/>
          <w:szCs w:val="36"/>
          <w:highlight w:val="none"/>
          <w:lang w:val="en-US" w:eastAsia="zh-CN"/>
          <w14:textFill>
            <w14:solidFill>
              <w14:schemeClr w14:val="tx1"/>
            </w14:solidFill>
          </w14:textFill>
        </w:rPr>
        <w:t>条，大、小型水库</w:t>
      </w:r>
      <w:r>
        <w:rPr>
          <w:rFonts w:hint="default" w:ascii="仿宋" w:hAnsi="仿宋" w:eastAsia="仿宋" w:cs="仿宋"/>
          <w:color w:val="000000" w:themeColor="text1"/>
          <w:sz w:val="28"/>
          <w:szCs w:val="36"/>
          <w:highlight w:val="none"/>
          <w:lang w:val="en-US" w:eastAsia="zh-CN"/>
          <w14:textFill>
            <w14:solidFill>
              <w14:schemeClr w14:val="tx1"/>
            </w14:solidFill>
          </w14:textFill>
        </w:rPr>
        <w:t>118</w:t>
      </w:r>
      <w:r>
        <w:rPr>
          <w:rFonts w:hint="eastAsia" w:ascii="仿宋" w:hAnsi="仿宋" w:eastAsia="仿宋" w:cs="仿宋"/>
          <w:color w:val="000000" w:themeColor="text1"/>
          <w:sz w:val="28"/>
          <w:szCs w:val="36"/>
          <w:highlight w:val="none"/>
          <w:lang w:val="en-US" w:eastAsia="zh-CN"/>
          <w14:textFill>
            <w14:solidFill>
              <w14:schemeClr w14:val="tx1"/>
            </w14:solidFill>
          </w14:textFill>
        </w:rPr>
        <w:t>座。根据年降雨径流计算，全县多年平均水资源总量为</w:t>
      </w:r>
      <w:r>
        <w:rPr>
          <w:rFonts w:hint="default" w:ascii="仿宋" w:hAnsi="仿宋" w:eastAsia="仿宋" w:cs="仿宋"/>
          <w:color w:val="000000" w:themeColor="text1"/>
          <w:sz w:val="28"/>
          <w:szCs w:val="36"/>
          <w:highlight w:val="none"/>
          <w:lang w:val="en-US" w:eastAsia="zh-CN"/>
          <w14:textFill>
            <w14:solidFill>
              <w14:schemeClr w14:val="tx1"/>
            </w14:solidFill>
          </w14:textFill>
        </w:rPr>
        <w:t>16.65</w:t>
      </w:r>
      <w:r>
        <w:rPr>
          <w:rFonts w:hint="eastAsia" w:ascii="仿宋" w:hAnsi="仿宋" w:eastAsia="仿宋" w:cs="仿宋"/>
          <w:color w:val="000000" w:themeColor="text1"/>
          <w:sz w:val="28"/>
          <w:szCs w:val="36"/>
          <w:highlight w:val="none"/>
          <w:lang w:val="en-US" w:eastAsia="zh-CN"/>
          <w14:textFill>
            <w14:solidFill>
              <w14:schemeClr w14:val="tx1"/>
            </w14:solidFill>
          </w14:textFill>
        </w:rPr>
        <w:t>亿立方米。霍山县境内除三大水库外，大部分河流均为流域水系源头，河流类型以流出型为主。三大水库水质始终保持在地表水Ⅱ类标准以上，境内主要地表水水质优良比例</w:t>
      </w:r>
      <w:r>
        <w:rPr>
          <w:rFonts w:hint="default" w:ascii="仿宋" w:hAnsi="仿宋" w:eastAsia="仿宋" w:cs="仿宋"/>
          <w:color w:val="000000" w:themeColor="text1"/>
          <w:sz w:val="28"/>
          <w:szCs w:val="36"/>
          <w:highlight w:val="none"/>
          <w:lang w:val="en-US" w:eastAsia="zh-CN"/>
          <w14:textFill>
            <w14:solidFill>
              <w14:schemeClr w14:val="tx1"/>
            </w14:solidFill>
          </w14:textFill>
        </w:rPr>
        <w:t>100%</w:t>
      </w:r>
      <w:r>
        <w:rPr>
          <w:rFonts w:hint="eastAsia" w:ascii="仿宋" w:hAnsi="仿宋" w:eastAsia="仿宋" w:cs="仿宋"/>
          <w:color w:val="000000" w:themeColor="text1"/>
          <w:sz w:val="28"/>
          <w:szCs w:val="36"/>
          <w:highlight w:val="none"/>
          <w:lang w:val="en-US" w:eastAsia="zh-CN"/>
          <w14:textFill>
            <w14:solidFill>
              <w14:schemeClr w14:val="tx1"/>
            </w14:solidFill>
          </w14:textFill>
        </w:rPr>
        <w:t>，县级集中式饮用水水源水质达标率</w:t>
      </w:r>
      <w:r>
        <w:rPr>
          <w:rFonts w:hint="default" w:ascii="仿宋" w:hAnsi="仿宋" w:eastAsia="仿宋" w:cs="仿宋"/>
          <w:color w:val="000000" w:themeColor="text1"/>
          <w:sz w:val="28"/>
          <w:szCs w:val="36"/>
          <w:highlight w:val="none"/>
          <w:lang w:val="en-US" w:eastAsia="zh-CN"/>
          <w14:textFill>
            <w14:solidFill>
              <w14:schemeClr w14:val="tx1"/>
            </w14:solidFill>
          </w14:textFill>
        </w:rPr>
        <w:t>100%</w:t>
      </w:r>
      <w:r>
        <w:rPr>
          <w:rFonts w:hint="eastAsia" w:ascii="仿宋" w:hAnsi="仿宋" w:eastAsia="仿宋" w:cs="仿宋"/>
          <w:color w:val="000000" w:themeColor="text1"/>
          <w:sz w:val="28"/>
          <w:szCs w:val="36"/>
          <w:highlight w:val="none"/>
          <w:lang w:val="en-US" w:eastAsia="zh-CN"/>
          <w14:textFill>
            <w14:solidFill>
              <w14:schemeClr w14:val="tx1"/>
            </w14:solidFill>
          </w14:textFill>
        </w:rPr>
        <w:t>，县城建成区无黑臭水体，地下水水质级别保持稳定。</w:t>
      </w:r>
    </w:p>
    <w:p w14:paraId="57B13008">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生态宜居的旅游强县。霍山县位于大别山国家生态功能区核心区域，森林覆盖率达</w:t>
      </w:r>
      <w:r>
        <w:rPr>
          <w:rFonts w:hint="default" w:ascii="仿宋" w:hAnsi="仿宋" w:eastAsia="仿宋" w:cs="仿宋"/>
          <w:color w:val="000000" w:themeColor="text1"/>
          <w:sz w:val="28"/>
          <w:szCs w:val="36"/>
          <w:highlight w:val="none"/>
          <w:lang w:val="en-US" w:eastAsia="zh-CN"/>
          <w14:textFill>
            <w14:solidFill>
              <w14:schemeClr w14:val="tx1"/>
            </w14:solidFill>
          </w14:textFill>
        </w:rPr>
        <w:t>76.83%</w:t>
      </w:r>
      <w:r>
        <w:rPr>
          <w:rFonts w:hint="eastAsia" w:ascii="仿宋" w:hAnsi="仿宋" w:eastAsia="仿宋" w:cs="仿宋"/>
          <w:color w:val="000000" w:themeColor="text1"/>
          <w:sz w:val="28"/>
          <w:szCs w:val="36"/>
          <w:highlight w:val="none"/>
          <w:lang w:val="en-US" w:eastAsia="zh-CN"/>
          <w14:textFill>
            <w14:solidFill>
              <w14:schemeClr w14:val="tx1"/>
            </w14:solidFill>
          </w14:textFill>
        </w:rPr>
        <w:t>，平均每立方厘米空气负氧离子含量达</w:t>
      </w:r>
      <w:r>
        <w:rPr>
          <w:rFonts w:hint="default" w:ascii="仿宋" w:hAnsi="仿宋" w:eastAsia="仿宋" w:cs="仿宋"/>
          <w:color w:val="000000" w:themeColor="text1"/>
          <w:sz w:val="28"/>
          <w:szCs w:val="36"/>
          <w:highlight w:val="none"/>
          <w:lang w:val="en-US" w:eastAsia="zh-CN"/>
          <w14:textFill>
            <w14:solidFill>
              <w14:schemeClr w14:val="tx1"/>
            </w14:solidFill>
          </w14:textFill>
        </w:rPr>
        <w:t>4200</w:t>
      </w:r>
      <w:r>
        <w:rPr>
          <w:rFonts w:hint="eastAsia" w:ascii="仿宋" w:hAnsi="仿宋" w:eastAsia="仿宋" w:cs="仿宋"/>
          <w:color w:val="000000" w:themeColor="text1"/>
          <w:sz w:val="28"/>
          <w:szCs w:val="36"/>
          <w:highlight w:val="none"/>
          <w:lang w:val="en-US" w:eastAsia="zh-CN"/>
          <w14:textFill>
            <w14:solidFill>
              <w14:schemeClr w14:val="tx1"/>
            </w14:solidFill>
          </w14:textFill>
        </w:rPr>
        <w:t>个，被评为中国天然氧吧。霍山县是首批国家全域旅游示范区、全国首批自然资源节约集约示范县、全国“绿水青山就是金山银山”实践创新基地、国家生态文明建设示范区、国家园林县城、中国县域智慧城市百强县、全国养生宜居县等。根据全省重点旅游资源普查，霍山县有</w:t>
      </w:r>
      <w:r>
        <w:rPr>
          <w:rFonts w:hint="default" w:ascii="仿宋" w:hAnsi="仿宋" w:eastAsia="仿宋" w:cs="仿宋"/>
          <w:color w:val="000000" w:themeColor="text1"/>
          <w:sz w:val="28"/>
          <w:szCs w:val="36"/>
          <w:highlight w:val="none"/>
          <w:lang w:val="en-US" w:eastAsia="zh-CN"/>
          <w14:textFill>
            <w14:solidFill>
              <w14:schemeClr w14:val="tx1"/>
            </w14:solidFill>
          </w14:textFill>
        </w:rPr>
        <w:t>2839</w:t>
      </w:r>
      <w:r>
        <w:rPr>
          <w:rFonts w:hint="eastAsia" w:ascii="仿宋" w:hAnsi="仿宋" w:eastAsia="仿宋" w:cs="仿宋"/>
          <w:color w:val="000000" w:themeColor="text1"/>
          <w:sz w:val="28"/>
          <w:szCs w:val="36"/>
          <w:highlight w:val="none"/>
          <w:lang w:val="en-US" w:eastAsia="zh-CN"/>
          <w14:textFill>
            <w14:solidFill>
              <w14:schemeClr w14:val="tx1"/>
            </w14:solidFill>
          </w14:textFill>
        </w:rPr>
        <w:t>个重要旅游资源，位列六安市第二，拥有</w:t>
      </w:r>
      <w:r>
        <w:rPr>
          <w:rFonts w:hint="default" w:ascii="仿宋" w:hAnsi="仿宋" w:eastAsia="仿宋" w:cs="仿宋"/>
          <w:color w:val="000000" w:themeColor="text1"/>
          <w:sz w:val="28"/>
          <w:szCs w:val="36"/>
          <w:highlight w:val="none"/>
          <w:lang w:val="en-US" w:eastAsia="zh-CN"/>
          <w14:textFill>
            <w14:solidFill>
              <w14:schemeClr w14:val="tx1"/>
            </w14:solidFill>
          </w14:textFill>
        </w:rPr>
        <w:t>4</w:t>
      </w:r>
      <w:r>
        <w:rPr>
          <w:rFonts w:hint="eastAsia" w:ascii="仿宋" w:hAnsi="仿宋" w:eastAsia="仿宋" w:cs="仿宋"/>
          <w:color w:val="000000" w:themeColor="text1"/>
          <w:sz w:val="28"/>
          <w:szCs w:val="36"/>
          <w:highlight w:val="none"/>
          <w:lang w:val="en-US" w:eastAsia="zh-CN"/>
          <w14:textFill>
            <w14:solidFill>
              <w14:schemeClr w14:val="tx1"/>
            </w14:solidFill>
          </w14:textFill>
        </w:rPr>
        <w:t>家</w:t>
      </w:r>
      <w:r>
        <w:rPr>
          <w:rFonts w:hint="default" w:ascii="仿宋" w:hAnsi="仿宋" w:eastAsia="仿宋" w:cs="仿宋"/>
          <w:color w:val="000000" w:themeColor="text1"/>
          <w:sz w:val="28"/>
          <w:szCs w:val="36"/>
          <w:highlight w:val="none"/>
          <w:lang w:val="en-US" w:eastAsia="zh-CN"/>
          <w14:textFill>
            <w14:solidFill>
              <w14:schemeClr w14:val="tx1"/>
            </w14:solidFill>
          </w14:textFill>
        </w:rPr>
        <w:t>4A</w:t>
      </w:r>
      <w:r>
        <w:rPr>
          <w:rFonts w:hint="eastAsia" w:ascii="仿宋" w:hAnsi="仿宋" w:eastAsia="仿宋" w:cs="仿宋"/>
          <w:color w:val="000000" w:themeColor="text1"/>
          <w:sz w:val="28"/>
          <w:szCs w:val="36"/>
          <w:highlight w:val="none"/>
          <w:lang w:val="en-US" w:eastAsia="zh-CN"/>
          <w14:textFill>
            <w14:solidFill>
              <w14:schemeClr w14:val="tx1"/>
            </w14:solidFill>
          </w14:textFill>
        </w:rPr>
        <w:t>级旅游景区，旅游资源丰富。</w:t>
      </w:r>
    </w:p>
    <w:p w14:paraId="5408C58F">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属于北亚热带湿润季风气候区。季风气候明显，雨量充沛，冷热适中；光、热、水等气候资源丰富；气候“春暖、夏热、秋凉、冬寒”，四季分明；年平均降水量为</w:t>
      </w:r>
      <w:r>
        <w:rPr>
          <w:rFonts w:hint="default" w:ascii="仿宋" w:hAnsi="仿宋" w:eastAsia="仿宋" w:cs="仿宋"/>
          <w:color w:val="000000" w:themeColor="text1"/>
          <w:sz w:val="28"/>
          <w:szCs w:val="36"/>
          <w:highlight w:val="none"/>
          <w:lang w:val="en-US" w:eastAsia="zh-CN"/>
          <w14:textFill>
            <w14:solidFill>
              <w14:schemeClr w14:val="tx1"/>
            </w14:solidFill>
          </w14:textFill>
        </w:rPr>
        <w:t>1366</w:t>
      </w:r>
      <w:r>
        <w:rPr>
          <w:rFonts w:hint="eastAsia" w:ascii="仿宋" w:hAnsi="仿宋" w:eastAsia="仿宋" w:cs="仿宋"/>
          <w:color w:val="000000" w:themeColor="text1"/>
          <w:sz w:val="28"/>
          <w:szCs w:val="36"/>
          <w:highlight w:val="none"/>
          <w:lang w:val="en-US" w:eastAsia="zh-CN"/>
          <w14:textFill>
            <w14:solidFill>
              <w14:schemeClr w14:val="tx1"/>
            </w14:solidFill>
          </w14:textFill>
        </w:rPr>
        <w:t>毫米；年均气温</w:t>
      </w:r>
      <w:r>
        <w:rPr>
          <w:rFonts w:hint="default" w:ascii="仿宋" w:hAnsi="仿宋" w:eastAsia="仿宋" w:cs="仿宋"/>
          <w:color w:val="000000" w:themeColor="text1"/>
          <w:sz w:val="28"/>
          <w:szCs w:val="36"/>
          <w:highlight w:val="none"/>
          <w:lang w:val="en-US" w:eastAsia="zh-CN"/>
          <w14:textFill>
            <w14:solidFill>
              <w14:schemeClr w14:val="tx1"/>
            </w14:solidFill>
          </w14:textFill>
        </w:rPr>
        <w:t>15.3</w:t>
      </w:r>
      <w:r>
        <w:rPr>
          <w:rFonts w:hint="eastAsia" w:ascii="仿宋" w:hAnsi="仿宋" w:eastAsia="仿宋" w:cs="仿宋"/>
          <w:color w:val="000000" w:themeColor="text1"/>
          <w:sz w:val="28"/>
          <w:szCs w:val="36"/>
          <w:highlight w:val="none"/>
          <w:lang w:val="en-US" w:eastAsia="zh-CN"/>
          <w14:textFill>
            <w14:solidFill>
              <w14:schemeClr w14:val="tx1"/>
            </w14:solidFill>
          </w14:textFill>
        </w:rPr>
        <w:t>℃。自然与人文资源大县。霍山自然资源丰富，素有“金山药岭名茶地、竹海桑园水电乡”之称。霍山县共有动植物</w:t>
      </w:r>
      <w:r>
        <w:rPr>
          <w:rFonts w:hint="default" w:ascii="仿宋" w:hAnsi="仿宋" w:eastAsia="仿宋" w:cs="仿宋"/>
          <w:color w:val="000000" w:themeColor="text1"/>
          <w:sz w:val="28"/>
          <w:szCs w:val="36"/>
          <w:highlight w:val="none"/>
          <w:lang w:val="en-US" w:eastAsia="zh-CN"/>
          <w14:textFill>
            <w14:solidFill>
              <w14:schemeClr w14:val="tx1"/>
            </w14:solidFill>
          </w14:textFill>
        </w:rPr>
        <w:t>3500</w:t>
      </w:r>
      <w:r>
        <w:rPr>
          <w:rFonts w:hint="eastAsia" w:ascii="仿宋" w:hAnsi="仿宋" w:eastAsia="仿宋" w:cs="仿宋"/>
          <w:color w:val="000000" w:themeColor="text1"/>
          <w:sz w:val="28"/>
          <w:szCs w:val="36"/>
          <w:highlight w:val="none"/>
          <w:lang w:val="en-US" w:eastAsia="zh-CN"/>
          <w14:textFill>
            <w14:solidFill>
              <w14:schemeClr w14:val="tx1"/>
            </w14:solidFill>
          </w14:textFill>
        </w:rPr>
        <w:t>多种，其中森林动植物主要分布在漫水河、大化坪、磨子潭、佛子岭、诸佛庵等乡镇的山区和高丘陵岗地。中药材有</w:t>
      </w:r>
      <w:r>
        <w:rPr>
          <w:rFonts w:hint="default" w:ascii="仿宋" w:hAnsi="仿宋" w:eastAsia="仿宋" w:cs="仿宋"/>
          <w:color w:val="000000" w:themeColor="text1"/>
          <w:sz w:val="28"/>
          <w:szCs w:val="36"/>
          <w:highlight w:val="none"/>
          <w:lang w:val="en-US" w:eastAsia="zh-CN"/>
          <w14:textFill>
            <w14:solidFill>
              <w14:schemeClr w14:val="tx1"/>
            </w14:solidFill>
          </w14:textFill>
        </w:rPr>
        <w:t>1460</w:t>
      </w:r>
      <w:r>
        <w:rPr>
          <w:rFonts w:hint="eastAsia" w:ascii="仿宋" w:hAnsi="仿宋" w:eastAsia="仿宋" w:cs="仿宋"/>
          <w:color w:val="000000" w:themeColor="text1"/>
          <w:sz w:val="28"/>
          <w:szCs w:val="36"/>
          <w:highlight w:val="none"/>
          <w:lang w:val="en-US" w:eastAsia="zh-CN"/>
          <w14:textFill>
            <w14:solidFill>
              <w14:schemeClr w14:val="tx1"/>
            </w14:solidFill>
          </w14:textFill>
        </w:rPr>
        <w:t>多种，是全国中医中药试点县。矿产资源探明储量的有普通萤石、铁矿、建筑石料、金矿、饰面石材、铬铁矿、地热、银多金属矿、橄榄岩、明矾矿。霍山拥有</w:t>
      </w:r>
      <w:r>
        <w:rPr>
          <w:rFonts w:hint="default" w:ascii="仿宋" w:hAnsi="仿宋" w:eastAsia="仿宋" w:cs="仿宋"/>
          <w:color w:val="000000" w:themeColor="text1"/>
          <w:sz w:val="28"/>
          <w:szCs w:val="36"/>
          <w:highlight w:val="none"/>
          <w:lang w:val="en-US" w:eastAsia="zh-CN"/>
          <w14:textFill>
            <w14:solidFill>
              <w14:schemeClr w14:val="tx1"/>
            </w14:solidFill>
          </w14:textFill>
        </w:rPr>
        <w:t>6</w:t>
      </w:r>
      <w:r>
        <w:rPr>
          <w:rFonts w:hint="eastAsia" w:ascii="仿宋" w:hAnsi="仿宋" w:eastAsia="仿宋" w:cs="仿宋"/>
          <w:color w:val="000000" w:themeColor="text1"/>
          <w:sz w:val="28"/>
          <w:szCs w:val="36"/>
          <w:highlight w:val="none"/>
          <w:lang w:val="en-US" w:eastAsia="zh-CN"/>
          <w14:textFill>
            <w14:solidFill>
              <w14:schemeClr w14:val="tx1"/>
            </w14:solidFill>
          </w14:textFill>
        </w:rPr>
        <w:t>个国家地理标志产品、有丰富的天然矿泉水资源。拥有非物质文化遗产</w:t>
      </w:r>
      <w:r>
        <w:rPr>
          <w:rFonts w:hint="default" w:ascii="仿宋" w:hAnsi="仿宋" w:eastAsia="仿宋" w:cs="仿宋"/>
          <w:color w:val="000000" w:themeColor="text1"/>
          <w:sz w:val="28"/>
          <w:szCs w:val="36"/>
          <w:highlight w:val="none"/>
          <w:lang w:val="en-US" w:eastAsia="zh-CN"/>
          <w14:textFill>
            <w14:solidFill>
              <w14:schemeClr w14:val="tx1"/>
            </w14:solidFill>
          </w14:textFill>
        </w:rPr>
        <w:t>17</w:t>
      </w:r>
      <w:r>
        <w:rPr>
          <w:rFonts w:hint="eastAsia" w:ascii="仿宋" w:hAnsi="仿宋" w:eastAsia="仿宋" w:cs="仿宋"/>
          <w:color w:val="000000" w:themeColor="text1"/>
          <w:sz w:val="28"/>
          <w:szCs w:val="36"/>
          <w:highlight w:val="none"/>
          <w:lang w:val="en-US" w:eastAsia="zh-CN"/>
          <w14:textFill>
            <w14:solidFill>
              <w14:schemeClr w14:val="tx1"/>
            </w14:solidFill>
          </w14:textFill>
        </w:rPr>
        <w:t>项，其中</w:t>
      </w:r>
      <w:r>
        <w:rPr>
          <w:rFonts w:hint="default" w:ascii="仿宋" w:hAnsi="仿宋" w:eastAsia="仿宋" w:cs="仿宋"/>
          <w:color w:val="000000" w:themeColor="text1"/>
          <w:sz w:val="28"/>
          <w:szCs w:val="36"/>
          <w:highlight w:val="none"/>
          <w:lang w:val="en-US" w:eastAsia="zh-CN"/>
          <w14:textFill>
            <w14:solidFill>
              <w14:schemeClr w14:val="tx1"/>
            </w14:solidFill>
          </w14:textFill>
        </w:rPr>
        <w:t>5</w:t>
      </w:r>
      <w:r>
        <w:rPr>
          <w:rFonts w:hint="eastAsia" w:ascii="仿宋" w:hAnsi="仿宋" w:eastAsia="仿宋" w:cs="仿宋"/>
          <w:color w:val="000000" w:themeColor="text1"/>
          <w:sz w:val="28"/>
          <w:szCs w:val="36"/>
          <w:highlight w:val="none"/>
          <w:lang w:val="en-US" w:eastAsia="zh-CN"/>
          <w14:textFill>
            <w14:solidFill>
              <w14:schemeClr w14:val="tx1"/>
            </w14:solidFill>
          </w14:textFill>
        </w:rPr>
        <w:t>项省级非物质文化遗产，</w:t>
      </w:r>
      <w:r>
        <w:rPr>
          <w:rFonts w:hint="default" w:ascii="仿宋" w:hAnsi="仿宋" w:eastAsia="仿宋" w:cs="仿宋"/>
          <w:color w:val="000000" w:themeColor="text1"/>
          <w:sz w:val="28"/>
          <w:szCs w:val="36"/>
          <w:highlight w:val="none"/>
          <w:lang w:val="en-US" w:eastAsia="zh-CN"/>
          <w14:textFill>
            <w14:solidFill>
              <w14:schemeClr w14:val="tx1"/>
            </w14:solidFill>
          </w14:textFill>
        </w:rPr>
        <w:t>5</w:t>
      </w:r>
      <w:r>
        <w:rPr>
          <w:rFonts w:hint="eastAsia" w:ascii="仿宋" w:hAnsi="仿宋" w:eastAsia="仿宋" w:cs="仿宋"/>
          <w:color w:val="000000" w:themeColor="text1"/>
          <w:sz w:val="28"/>
          <w:szCs w:val="36"/>
          <w:highlight w:val="none"/>
          <w:lang w:val="en-US" w:eastAsia="zh-CN"/>
          <w14:textFill>
            <w14:solidFill>
              <w14:schemeClr w14:val="tx1"/>
            </w14:solidFill>
          </w14:textFill>
        </w:rPr>
        <w:t>项市级非物质文化遗产，</w:t>
      </w:r>
      <w:r>
        <w:rPr>
          <w:rFonts w:hint="default" w:ascii="仿宋" w:hAnsi="仿宋" w:eastAsia="仿宋" w:cs="仿宋"/>
          <w:color w:val="000000" w:themeColor="text1"/>
          <w:sz w:val="28"/>
          <w:szCs w:val="36"/>
          <w:highlight w:val="none"/>
          <w:lang w:val="en-US" w:eastAsia="zh-CN"/>
          <w14:textFill>
            <w14:solidFill>
              <w14:schemeClr w14:val="tx1"/>
            </w14:solidFill>
          </w14:textFill>
        </w:rPr>
        <w:t>7</w:t>
      </w:r>
      <w:r>
        <w:rPr>
          <w:rFonts w:hint="eastAsia" w:ascii="仿宋" w:hAnsi="仿宋" w:eastAsia="仿宋" w:cs="仿宋"/>
          <w:color w:val="000000" w:themeColor="text1"/>
          <w:sz w:val="28"/>
          <w:szCs w:val="36"/>
          <w:highlight w:val="none"/>
          <w:lang w:val="en-US" w:eastAsia="zh-CN"/>
          <w14:textFill>
            <w14:solidFill>
              <w14:schemeClr w14:val="tx1"/>
            </w14:solidFill>
          </w14:textFill>
        </w:rPr>
        <w:t>项县级非物质文化遗产。</w:t>
      </w:r>
    </w:p>
    <w:p w14:paraId="230F8DE8">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2、经济发展</w:t>
      </w:r>
    </w:p>
    <w:p w14:paraId="61AF4ED7">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2023年，霍山县实现地区生产总值（GDP）220.1亿元，按可比价格计算，增长8%。其中，第一产业增加值24.6亿元，增长4.6%；第二产业增加值97.9亿元，增长9.3%；第三产业增加值97.5亿元，增长7.5%。三次产业结构为11.2︰44.5︰44.3。按2022年常住人口（28.3万人）计算，人均生产总值77760元。</w:t>
      </w:r>
    </w:p>
    <w:p w14:paraId="4F8B8673">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农业：实现农林牧渔业增加值25.1亿元，增长4.7%，其中农林牧渔服务业增加值4876万元，增长15.1%。全年粮食作物种植面积20153公顷，粮食产量11.3万吨；油料产量6231吨；茶叶产量10152吨；蔬菜及食用菌产量65738吨。肉类总产量16105吨；水产品产量13439吨。全年人工造林面积18公顷。全县农业机械总动力40.7万千瓦。化肥施用量(折纯)3587吨。实现农业总产值45.7亿元，按可比价计算，增长4.8%。</w:t>
      </w:r>
    </w:p>
    <w:p w14:paraId="6D20F6B6">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工业和建筑业:实现规模工业增加值增长8.5%，规模工业总产值增长10.4%。高技术产业增加值增长11.7%，农产品加工业产值增长15.4%。规模工业营业收入增长10.8%，利税总额增长28.3%，利润总额增长30.7%。</w:t>
      </w:r>
    </w:p>
    <w:p w14:paraId="0A47CAD2">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实现建筑业增加值20.2亿元，增长16.3%；在库资质建筑企业46家，其中一级资质企业2家、二级资质企业15家。资质建筑企业总产值43.7亿元，增长9.7%，其中建筑工程产值39.4亿元，增长9.4%，安装工程产值0.5亿元，增长124%，其他工程产值3.8亿元，增长5.5%。</w:t>
      </w:r>
    </w:p>
    <w:p w14:paraId="17DED508">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固定资产投资:实现全部固定资产投资增长31.5%，其中，工业项目投资增长22.6%，工业技改项目投资增长29.2%，第三产业投资增长32.2%。实施固定资产投资项目289个，其中5000万元以上项目139个，完成投资增长70%；500-5000万元项目150个，完成投资增长6.3%；房地产开发项目41个，完成投资下降22.5%。全年商品房销售面积21.91万平方米，下降24.5%，其中住宅20.42万平方米，下降26.4%。商品房销售额11.89亿元，下降15.5%，其中住宅10.5亿元，下降19.9%。</w:t>
      </w:r>
    </w:p>
    <w:p w14:paraId="2F9B2FA5">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内外贸易、旅游:实现社会消费品零售总额108.43亿元，增长9.4%。限额以上商贸单位零售额增长9%。按经营地分，城镇消费品零售额增长6.3%，乡村消费品零售额增长15.1%。按消费类型分，商品零售额增长9.2%，餐饮收入增长12.4%。利用外商直接投资240万美元，增长140%。全年旅游总收入71.5亿元，增长21.4%。</w:t>
      </w:r>
    </w:p>
    <w:p w14:paraId="38EDB168">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财政金融:实现财政收入45.67亿元，增长31.1%，其中，一般公共预算收入18.82亿元，增长11.6%；中央级收入21.26亿元，增长30.4%。财政支出结构进一步优化，全年财政支出41.64亿元，增长5.3%，教育、农林水事务、卫生健康、交通运输、科学技术、住房保障、社会保障和就业等领域得到加强。</w:t>
      </w:r>
    </w:p>
    <w:p w14:paraId="22911113">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2023</w:t>
      </w:r>
      <w:r>
        <w:rPr>
          <w:rFonts w:hint="eastAsia" w:ascii="仿宋" w:hAnsi="仿宋" w:eastAsia="仿宋" w:cs="仿宋"/>
          <w:color w:val="000000" w:themeColor="text1"/>
          <w:sz w:val="28"/>
          <w:szCs w:val="36"/>
          <w:highlight w:val="none"/>
          <w:lang w:val="en-US" w:eastAsia="zh-CN"/>
          <w14:textFill>
            <w14:solidFill>
              <w14:schemeClr w14:val="tx1"/>
            </w14:solidFill>
          </w14:textFill>
        </w:rPr>
        <w:t>年末金融机构各项存款余额381.8亿元，增长15%，比年初增加49.9亿元，其中，住户存款余额277亿元，增长15.7%，比年初增加37.6亿元。金融机构各项贷款余额302.6亿元，增长19.6%，比年初增加49.6亿元。</w:t>
      </w:r>
    </w:p>
    <w:p w14:paraId="7BEDBA98">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3、人口规模</w:t>
      </w:r>
    </w:p>
    <w:p w14:paraId="5BD96869">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2023</w:t>
      </w:r>
      <w:r>
        <w:rPr>
          <w:rFonts w:hint="eastAsia" w:ascii="仿宋" w:hAnsi="仿宋" w:eastAsia="仿宋" w:cs="仿宋"/>
          <w:color w:val="000000" w:themeColor="text1"/>
          <w:sz w:val="28"/>
          <w:szCs w:val="36"/>
          <w:highlight w:val="none"/>
          <w:lang w:val="en-US" w:eastAsia="zh-CN"/>
          <w14:textFill>
            <w14:solidFill>
              <w14:schemeClr w14:val="tx1"/>
            </w14:solidFill>
          </w14:textFill>
        </w:rPr>
        <w:t>年末户籍户数112604户，户籍人口356003人，当年出生人口1833人，当年死亡人口2174人。0-17岁人口49288人，60岁以上人口84819人。</w:t>
      </w:r>
    </w:p>
    <w:p w14:paraId="25745C92">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全年城镇居民人均可支配收入40726元，增长6.5%，农村居民人均可支配收入20678元，增长8.3%。</w:t>
      </w:r>
    </w:p>
    <w:p w14:paraId="67D12473">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城乡居民养老保险参保人数20.4万人，机关事业单位养老保险参保人数12962人，城镇职工养老保险参保人数3.63万人，职工医疗保险参保人数4.56万人，工伤保险参保人数4.75万人，失业保险参保人数3.21万人，城乡居民医疗保险参保人数26.29万人。</w:t>
      </w:r>
    </w:p>
    <w:p w14:paraId="137209F8">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根据《六安统计年鉴+霍山统计公报》数据，2023年常住人口28.62万人，户籍人口35.6万人。</w:t>
      </w:r>
    </w:p>
    <w:tbl>
      <w:tblPr>
        <w:tblStyle w:val="1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971"/>
        <w:gridCol w:w="2967"/>
        <w:gridCol w:w="3395"/>
      </w:tblGrid>
      <w:tr w14:paraId="08CC0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5000" w:type="pct"/>
            <w:gridSpan w:val="3"/>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bottom w:w="72" w:type="dxa"/>
              <w:right w:w="15" w:type="dxa"/>
            </w:tcMar>
            <w:vAlign w:val="center"/>
          </w:tcPr>
          <w:p w14:paraId="26A49AD2">
            <w:pPr>
              <w:pStyle w:val="11"/>
              <w:keepNext w:val="0"/>
              <w:keepLines w:val="0"/>
              <w:widowControl/>
              <w:suppressLineNumbers w:val="0"/>
              <w:jc w:val="center"/>
              <w:rPr>
                <w:rFonts w:hint="default" w:ascii="仿宋" w:hAnsi="仿宋" w:eastAsia="仿宋" w:cs="仿宋"/>
                <w:i w:val="0"/>
                <w:iCs w:val="0"/>
                <w:color w:val="000000"/>
                <w:kern w:val="0"/>
                <w:sz w:val="30"/>
                <w:szCs w:val="30"/>
                <w:u w:val="none"/>
                <w:lang w:val="en-US" w:eastAsia="zh-CN" w:bidi="ar"/>
              </w:rPr>
            </w:pPr>
            <w:r>
              <w:rPr>
                <w:rFonts w:hint="eastAsia" w:ascii="仿宋" w:hAnsi="仿宋" w:eastAsia="仿宋" w:cs="仿宋"/>
                <w:i w:val="0"/>
                <w:iCs w:val="0"/>
                <w:color w:val="000000"/>
                <w:kern w:val="0"/>
                <w:sz w:val="30"/>
                <w:szCs w:val="30"/>
                <w:u w:val="none"/>
                <w:lang w:val="en-US" w:eastAsia="zh-CN" w:bidi="ar"/>
              </w:rPr>
              <w:t>霍山县近五年常住人口和户籍人口</w:t>
            </w:r>
          </w:p>
        </w:tc>
      </w:tr>
      <w:tr w14:paraId="4DB9E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183" w:type="pct"/>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bottom w:w="72" w:type="dxa"/>
              <w:right w:w="15" w:type="dxa"/>
            </w:tcMar>
            <w:vAlign w:val="center"/>
          </w:tcPr>
          <w:p w14:paraId="1D4F2944">
            <w:pPr>
              <w:pStyle w:val="11"/>
              <w:keepNext w:val="0"/>
              <w:keepLines w:val="0"/>
              <w:widowControl/>
              <w:suppressLineNumbers w:val="0"/>
              <w:jc w:val="center"/>
              <w:rPr>
                <w:rFonts w:hint="eastAsia" w:ascii="仿宋" w:hAnsi="仿宋" w:eastAsia="仿宋" w:cs="仿宋"/>
                <w:i w:val="0"/>
                <w:iCs w:val="0"/>
                <w:color w:val="000000"/>
                <w:kern w:val="0"/>
                <w:sz w:val="30"/>
                <w:szCs w:val="30"/>
                <w:u w:val="none"/>
                <w:lang w:val="en-US" w:eastAsia="zh-CN" w:bidi="ar"/>
              </w:rPr>
            </w:pPr>
            <w:r>
              <w:rPr>
                <w:rFonts w:hint="eastAsia" w:ascii="仿宋" w:hAnsi="仿宋" w:eastAsia="仿宋" w:cs="仿宋"/>
                <w:i w:val="0"/>
                <w:iCs w:val="0"/>
                <w:color w:val="000000"/>
                <w:kern w:val="0"/>
                <w:sz w:val="30"/>
                <w:szCs w:val="30"/>
                <w:u w:val="none"/>
                <w:lang w:val="en-US" w:eastAsia="zh-CN" w:bidi="ar"/>
              </w:rPr>
              <w:t>年份</w:t>
            </w:r>
          </w:p>
        </w:tc>
        <w:tc>
          <w:tcPr>
            <w:tcW w:w="1780" w:type="pct"/>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bottom w:w="72" w:type="dxa"/>
              <w:right w:w="15" w:type="dxa"/>
            </w:tcMar>
            <w:vAlign w:val="center"/>
          </w:tcPr>
          <w:p w14:paraId="716F70F9">
            <w:pPr>
              <w:pStyle w:val="11"/>
              <w:keepNext w:val="0"/>
              <w:keepLines w:val="0"/>
              <w:widowControl/>
              <w:suppressLineNumbers w:val="0"/>
              <w:jc w:val="center"/>
              <w:rPr>
                <w:rFonts w:hint="eastAsia" w:ascii="仿宋" w:hAnsi="仿宋" w:eastAsia="仿宋" w:cs="仿宋"/>
                <w:i w:val="0"/>
                <w:iCs w:val="0"/>
                <w:color w:val="000000"/>
                <w:kern w:val="0"/>
                <w:sz w:val="30"/>
                <w:szCs w:val="30"/>
                <w:u w:val="none"/>
                <w:lang w:val="en-US" w:eastAsia="zh-CN" w:bidi="ar"/>
              </w:rPr>
            </w:pPr>
            <w:r>
              <w:rPr>
                <w:rFonts w:hint="eastAsia" w:ascii="仿宋" w:hAnsi="仿宋" w:eastAsia="仿宋" w:cs="仿宋"/>
                <w:i w:val="0"/>
                <w:iCs w:val="0"/>
                <w:color w:val="000000"/>
                <w:kern w:val="0"/>
                <w:sz w:val="30"/>
                <w:szCs w:val="30"/>
                <w:u w:val="none"/>
                <w:lang w:val="en-US" w:eastAsia="zh-CN" w:bidi="ar"/>
              </w:rPr>
              <w:t>常住人口（万人）</w:t>
            </w:r>
          </w:p>
        </w:tc>
        <w:tc>
          <w:tcPr>
            <w:tcW w:w="2036" w:type="pct"/>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bottom w:w="72" w:type="dxa"/>
              <w:right w:w="15" w:type="dxa"/>
            </w:tcMar>
            <w:vAlign w:val="center"/>
          </w:tcPr>
          <w:p w14:paraId="7266E7D8">
            <w:pPr>
              <w:pStyle w:val="11"/>
              <w:keepNext w:val="0"/>
              <w:keepLines w:val="0"/>
              <w:widowControl/>
              <w:suppressLineNumbers w:val="0"/>
              <w:jc w:val="center"/>
              <w:rPr>
                <w:rFonts w:hint="eastAsia" w:ascii="仿宋" w:hAnsi="仿宋" w:eastAsia="仿宋" w:cs="仿宋"/>
                <w:i w:val="0"/>
                <w:iCs w:val="0"/>
                <w:color w:val="000000"/>
                <w:kern w:val="0"/>
                <w:sz w:val="30"/>
                <w:szCs w:val="30"/>
                <w:u w:val="none"/>
                <w:lang w:val="en-US" w:eastAsia="zh-CN" w:bidi="ar"/>
              </w:rPr>
            </w:pPr>
            <w:r>
              <w:rPr>
                <w:rFonts w:hint="eastAsia" w:ascii="仿宋" w:hAnsi="仿宋" w:eastAsia="仿宋" w:cs="仿宋"/>
                <w:i w:val="0"/>
                <w:iCs w:val="0"/>
                <w:color w:val="000000"/>
                <w:kern w:val="0"/>
                <w:sz w:val="30"/>
                <w:szCs w:val="30"/>
                <w:u w:val="none"/>
                <w:lang w:val="en-US" w:eastAsia="zh-CN" w:bidi="ar"/>
              </w:rPr>
              <w:t>户籍人口（万人）</w:t>
            </w:r>
          </w:p>
        </w:tc>
      </w:tr>
      <w:tr w14:paraId="431D6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183" w:type="pct"/>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bottom w:w="72" w:type="dxa"/>
              <w:right w:w="15" w:type="dxa"/>
            </w:tcMar>
            <w:vAlign w:val="center"/>
          </w:tcPr>
          <w:p w14:paraId="116A9B47">
            <w:pPr>
              <w:pStyle w:val="11"/>
              <w:keepNext w:val="0"/>
              <w:keepLines w:val="0"/>
              <w:widowControl/>
              <w:suppressLineNumbers w:val="0"/>
              <w:jc w:val="center"/>
              <w:rPr>
                <w:rFonts w:hint="eastAsia" w:ascii="仿宋" w:hAnsi="仿宋" w:eastAsia="仿宋" w:cs="仿宋"/>
                <w:i w:val="0"/>
                <w:iCs w:val="0"/>
                <w:color w:val="000000"/>
                <w:kern w:val="0"/>
                <w:sz w:val="30"/>
                <w:szCs w:val="30"/>
                <w:u w:val="none"/>
                <w:lang w:val="en-US" w:eastAsia="zh-CN" w:bidi="ar"/>
              </w:rPr>
            </w:pPr>
            <w:r>
              <w:rPr>
                <w:rFonts w:hint="eastAsia" w:ascii="仿宋" w:hAnsi="仿宋" w:eastAsia="仿宋" w:cs="仿宋"/>
                <w:i w:val="0"/>
                <w:iCs w:val="0"/>
                <w:color w:val="000000"/>
                <w:kern w:val="0"/>
                <w:sz w:val="30"/>
                <w:szCs w:val="30"/>
                <w:u w:val="none"/>
                <w:lang w:val="en-US" w:eastAsia="zh-CN" w:bidi="ar"/>
              </w:rPr>
              <w:t>2023年</w:t>
            </w:r>
          </w:p>
        </w:tc>
        <w:tc>
          <w:tcPr>
            <w:tcW w:w="1780" w:type="pct"/>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bottom w:w="72" w:type="dxa"/>
              <w:right w:w="15" w:type="dxa"/>
            </w:tcMar>
            <w:vAlign w:val="center"/>
          </w:tcPr>
          <w:p w14:paraId="12681BC3">
            <w:pPr>
              <w:pStyle w:val="11"/>
              <w:keepNext w:val="0"/>
              <w:keepLines w:val="0"/>
              <w:widowControl/>
              <w:suppressLineNumbers w:val="0"/>
              <w:jc w:val="center"/>
              <w:rPr>
                <w:rFonts w:hint="eastAsia" w:ascii="仿宋" w:hAnsi="仿宋" w:eastAsia="仿宋" w:cs="仿宋"/>
                <w:i w:val="0"/>
                <w:iCs w:val="0"/>
                <w:color w:val="000000"/>
                <w:kern w:val="0"/>
                <w:sz w:val="30"/>
                <w:szCs w:val="30"/>
                <w:u w:val="none"/>
                <w:lang w:val="en-US" w:eastAsia="zh-CN" w:bidi="ar"/>
              </w:rPr>
            </w:pPr>
            <w:r>
              <w:rPr>
                <w:rFonts w:hint="eastAsia" w:ascii="仿宋" w:hAnsi="仿宋" w:eastAsia="仿宋" w:cs="仿宋"/>
                <w:i w:val="0"/>
                <w:iCs w:val="0"/>
                <w:color w:val="000000"/>
                <w:kern w:val="0"/>
                <w:sz w:val="30"/>
                <w:szCs w:val="30"/>
                <w:u w:val="none"/>
                <w:lang w:val="en-US" w:eastAsia="zh-CN" w:bidi="ar"/>
              </w:rPr>
              <w:t>28.62</w:t>
            </w:r>
          </w:p>
        </w:tc>
        <w:tc>
          <w:tcPr>
            <w:tcW w:w="2036" w:type="pct"/>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bottom w:w="72" w:type="dxa"/>
              <w:right w:w="15" w:type="dxa"/>
            </w:tcMar>
            <w:vAlign w:val="center"/>
          </w:tcPr>
          <w:p w14:paraId="5390D7D3">
            <w:pPr>
              <w:pStyle w:val="11"/>
              <w:keepNext w:val="0"/>
              <w:keepLines w:val="0"/>
              <w:widowControl/>
              <w:suppressLineNumbers w:val="0"/>
              <w:jc w:val="center"/>
              <w:rPr>
                <w:rFonts w:hint="eastAsia" w:ascii="仿宋" w:hAnsi="仿宋" w:eastAsia="仿宋" w:cs="仿宋"/>
                <w:i w:val="0"/>
                <w:iCs w:val="0"/>
                <w:color w:val="000000"/>
                <w:kern w:val="0"/>
                <w:sz w:val="30"/>
                <w:szCs w:val="30"/>
                <w:u w:val="none"/>
                <w:lang w:val="en-US" w:eastAsia="zh-CN" w:bidi="ar"/>
              </w:rPr>
            </w:pPr>
            <w:r>
              <w:rPr>
                <w:rFonts w:hint="eastAsia" w:ascii="仿宋" w:hAnsi="仿宋" w:eastAsia="仿宋" w:cs="仿宋"/>
                <w:i w:val="0"/>
                <w:iCs w:val="0"/>
                <w:color w:val="000000"/>
                <w:kern w:val="0"/>
                <w:sz w:val="30"/>
                <w:szCs w:val="30"/>
                <w:u w:val="none"/>
                <w:lang w:val="en-US" w:eastAsia="zh-CN" w:bidi="ar"/>
              </w:rPr>
              <w:t>35.6</w:t>
            </w:r>
          </w:p>
        </w:tc>
      </w:tr>
      <w:tr w14:paraId="5348C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183" w:type="pct"/>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bottom w:w="72" w:type="dxa"/>
              <w:right w:w="15" w:type="dxa"/>
            </w:tcMar>
            <w:vAlign w:val="center"/>
          </w:tcPr>
          <w:p w14:paraId="01FB5CE7">
            <w:pPr>
              <w:pStyle w:val="11"/>
              <w:keepNext w:val="0"/>
              <w:keepLines w:val="0"/>
              <w:widowControl/>
              <w:suppressLineNumbers w:val="0"/>
              <w:jc w:val="center"/>
              <w:rPr>
                <w:rFonts w:hint="eastAsia" w:ascii="仿宋" w:hAnsi="仿宋" w:eastAsia="仿宋" w:cs="仿宋"/>
                <w:i w:val="0"/>
                <w:iCs w:val="0"/>
                <w:color w:val="000000"/>
                <w:kern w:val="0"/>
                <w:sz w:val="30"/>
                <w:szCs w:val="30"/>
                <w:u w:val="none"/>
                <w:lang w:val="en-US" w:eastAsia="zh-CN" w:bidi="ar"/>
              </w:rPr>
            </w:pPr>
            <w:r>
              <w:rPr>
                <w:rFonts w:hint="eastAsia" w:ascii="仿宋" w:hAnsi="仿宋" w:eastAsia="仿宋" w:cs="仿宋"/>
                <w:i w:val="0"/>
                <w:iCs w:val="0"/>
                <w:color w:val="000000"/>
                <w:kern w:val="0"/>
                <w:sz w:val="30"/>
                <w:szCs w:val="30"/>
                <w:u w:val="none"/>
                <w:lang w:val="en-US" w:eastAsia="zh-CN" w:bidi="ar"/>
              </w:rPr>
              <w:t>2022年</w:t>
            </w:r>
          </w:p>
        </w:tc>
        <w:tc>
          <w:tcPr>
            <w:tcW w:w="1780" w:type="pct"/>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bottom w:w="72" w:type="dxa"/>
              <w:right w:w="15" w:type="dxa"/>
            </w:tcMar>
            <w:vAlign w:val="center"/>
          </w:tcPr>
          <w:p w14:paraId="2BB1517A">
            <w:pPr>
              <w:pStyle w:val="11"/>
              <w:keepNext w:val="0"/>
              <w:keepLines w:val="0"/>
              <w:widowControl/>
              <w:suppressLineNumbers w:val="0"/>
              <w:jc w:val="center"/>
              <w:rPr>
                <w:rFonts w:hint="eastAsia" w:ascii="仿宋" w:hAnsi="仿宋" w:eastAsia="仿宋" w:cs="仿宋"/>
                <w:i w:val="0"/>
                <w:iCs w:val="0"/>
                <w:color w:val="000000"/>
                <w:kern w:val="0"/>
                <w:sz w:val="30"/>
                <w:szCs w:val="30"/>
                <w:u w:val="none"/>
                <w:lang w:val="en-US" w:eastAsia="zh-CN" w:bidi="ar"/>
              </w:rPr>
            </w:pPr>
            <w:r>
              <w:rPr>
                <w:rFonts w:hint="eastAsia" w:ascii="仿宋" w:hAnsi="仿宋" w:eastAsia="仿宋" w:cs="仿宋"/>
                <w:i w:val="0"/>
                <w:iCs w:val="0"/>
                <w:color w:val="000000"/>
                <w:kern w:val="0"/>
                <w:sz w:val="30"/>
                <w:szCs w:val="30"/>
                <w:u w:val="none"/>
                <w:lang w:val="en-US" w:eastAsia="zh-CN" w:bidi="ar"/>
              </w:rPr>
              <w:t>28.32</w:t>
            </w:r>
          </w:p>
        </w:tc>
        <w:tc>
          <w:tcPr>
            <w:tcW w:w="2036" w:type="pct"/>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bottom w:w="72" w:type="dxa"/>
              <w:right w:w="15" w:type="dxa"/>
            </w:tcMar>
            <w:vAlign w:val="center"/>
          </w:tcPr>
          <w:p w14:paraId="0AA58126">
            <w:pPr>
              <w:pStyle w:val="11"/>
              <w:keepNext w:val="0"/>
              <w:keepLines w:val="0"/>
              <w:widowControl/>
              <w:suppressLineNumbers w:val="0"/>
              <w:jc w:val="center"/>
              <w:rPr>
                <w:rFonts w:hint="eastAsia" w:ascii="仿宋" w:hAnsi="仿宋" w:eastAsia="仿宋" w:cs="仿宋"/>
                <w:i w:val="0"/>
                <w:iCs w:val="0"/>
                <w:color w:val="000000"/>
                <w:kern w:val="0"/>
                <w:sz w:val="30"/>
                <w:szCs w:val="30"/>
                <w:u w:val="none"/>
                <w:lang w:val="en-US" w:eastAsia="zh-CN" w:bidi="ar"/>
              </w:rPr>
            </w:pPr>
            <w:r>
              <w:rPr>
                <w:rFonts w:hint="eastAsia" w:ascii="仿宋" w:hAnsi="仿宋" w:eastAsia="仿宋" w:cs="仿宋"/>
                <w:i w:val="0"/>
                <w:iCs w:val="0"/>
                <w:color w:val="000000"/>
                <w:kern w:val="0"/>
                <w:sz w:val="30"/>
                <w:szCs w:val="30"/>
                <w:u w:val="none"/>
                <w:lang w:val="en-US" w:eastAsia="zh-CN" w:bidi="ar"/>
              </w:rPr>
              <w:t>35.76</w:t>
            </w:r>
          </w:p>
        </w:tc>
      </w:tr>
      <w:tr w14:paraId="2E67E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183" w:type="pct"/>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bottom w:w="72" w:type="dxa"/>
              <w:right w:w="15" w:type="dxa"/>
            </w:tcMar>
            <w:vAlign w:val="center"/>
          </w:tcPr>
          <w:p w14:paraId="325196BC">
            <w:pPr>
              <w:pStyle w:val="11"/>
              <w:keepNext w:val="0"/>
              <w:keepLines w:val="0"/>
              <w:widowControl/>
              <w:suppressLineNumbers w:val="0"/>
              <w:jc w:val="center"/>
              <w:rPr>
                <w:rFonts w:hint="eastAsia" w:ascii="仿宋" w:hAnsi="仿宋" w:eastAsia="仿宋" w:cs="仿宋"/>
                <w:i w:val="0"/>
                <w:iCs w:val="0"/>
                <w:color w:val="000000"/>
                <w:kern w:val="0"/>
                <w:sz w:val="30"/>
                <w:szCs w:val="30"/>
                <w:u w:val="none"/>
                <w:lang w:val="en-US" w:eastAsia="zh-CN" w:bidi="ar"/>
              </w:rPr>
            </w:pPr>
            <w:r>
              <w:rPr>
                <w:rFonts w:hint="eastAsia" w:ascii="仿宋" w:hAnsi="仿宋" w:eastAsia="仿宋" w:cs="仿宋"/>
                <w:i w:val="0"/>
                <w:iCs w:val="0"/>
                <w:color w:val="000000"/>
                <w:kern w:val="0"/>
                <w:sz w:val="30"/>
                <w:szCs w:val="30"/>
                <w:u w:val="none"/>
                <w:lang w:val="en-US" w:eastAsia="zh-CN" w:bidi="ar"/>
              </w:rPr>
              <w:t>2021年</w:t>
            </w:r>
          </w:p>
        </w:tc>
        <w:tc>
          <w:tcPr>
            <w:tcW w:w="1780" w:type="pct"/>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bottom w:w="72" w:type="dxa"/>
              <w:right w:w="15" w:type="dxa"/>
            </w:tcMar>
            <w:vAlign w:val="center"/>
          </w:tcPr>
          <w:p w14:paraId="5480505A">
            <w:pPr>
              <w:pStyle w:val="11"/>
              <w:keepNext w:val="0"/>
              <w:keepLines w:val="0"/>
              <w:widowControl/>
              <w:suppressLineNumbers w:val="0"/>
              <w:jc w:val="center"/>
              <w:rPr>
                <w:rFonts w:hint="eastAsia" w:ascii="仿宋" w:hAnsi="仿宋" w:eastAsia="仿宋" w:cs="仿宋"/>
                <w:i w:val="0"/>
                <w:iCs w:val="0"/>
                <w:color w:val="000000"/>
                <w:kern w:val="0"/>
                <w:sz w:val="30"/>
                <w:szCs w:val="30"/>
                <w:u w:val="none"/>
                <w:lang w:val="en-US" w:eastAsia="zh-CN" w:bidi="ar"/>
              </w:rPr>
            </w:pPr>
            <w:r>
              <w:rPr>
                <w:rFonts w:hint="eastAsia" w:ascii="仿宋" w:hAnsi="仿宋" w:eastAsia="仿宋" w:cs="仿宋"/>
                <w:i w:val="0"/>
                <w:iCs w:val="0"/>
                <w:color w:val="000000"/>
                <w:kern w:val="0"/>
                <w:sz w:val="30"/>
                <w:szCs w:val="30"/>
                <w:u w:val="none"/>
                <w:lang w:val="en-US" w:eastAsia="zh-CN" w:bidi="ar"/>
              </w:rPr>
              <w:t>27.94</w:t>
            </w:r>
          </w:p>
        </w:tc>
        <w:tc>
          <w:tcPr>
            <w:tcW w:w="2036" w:type="pct"/>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bottom w:w="72" w:type="dxa"/>
              <w:right w:w="15" w:type="dxa"/>
            </w:tcMar>
            <w:vAlign w:val="center"/>
          </w:tcPr>
          <w:p w14:paraId="5EE5747A">
            <w:pPr>
              <w:pStyle w:val="11"/>
              <w:keepNext w:val="0"/>
              <w:keepLines w:val="0"/>
              <w:widowControl/>
              <w:suppressLineNumbers w:val="0"/>
              <w:jc w:val="center"/>
              <w:rPr>
                <w:rFonts w:hint="eastAsia" w:ascii="仿宋" w:hAnsi="仿宋" w:eastAsia="仿宋" w:cs="仿宋"/>
                <w:i w:val="0"/>
                <w:iCs w:val="0"/>
                <w:color w:val="000000"/>
                <w:kern w:val="0"/>
                <w:sz w:val="30"/>
                <w:szCs w:val="30"/>
                <w:u w:val="none"/>
                <w:lang w:val="en-US" w:eastAsia="zh-CN" w:bidi="ar"/>
              </w:rPr>
            </w:pPr>
            <w:r>
              <w:rPr>
                <w:rFonts w:hint="eastAsia" w:ascii="仿宋" w:hAnsi="仿宋" w:eastAsia="仿宋" w:cs="仿宋"/>
                <w:i w:val="0"/>
                <w:iCs w:val="0"/>
                <w:color w:val="000000"/>
                <w:kern w:val="0"/>
                <w:sz w:val="30"/>
                <w:szCs w:val="30"/>
                <w:u w:val="none"/>
                <w:lang w:val="en-US" w:eastAsia="zh-CN" w:bidi="ar"/>
              </w:rPr>
              <w:t>35.9</w:t>
            </w:r>
          </w:p>
        </w:tc>
      </w:tr>
      <w:tr w14:paraId="774CA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183" w:type="pct"/>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bottom w:w="72" w:type="dxa"/>
              <w:right w:w="15" w:type="dxa"/>
            </w:tcMar>
            <w:vAlign w:val="center"/>
          </w:tcPr>
          <w:p w14:paraId="6B5AEC19">
            <w:pPr>
              <w:pStyle w:val="11"/>
              <w:keepNext w:val="0"/>
              <w:keepLines w:val="0"/>
              <w:widowControl/>
              <w:suppressLineNumbers w:val="0"/>
              <w:jc w:val="center"/>
              <w:rPr>
                <w:rFonts w:hint="eastAsia" w:ascii="仿宋" w:hAnsi="仿宋" w:eastAsia="仿宋" w:cs="仿宋"/>
                <w:i w:val="0"/>
                <w:iCs w:val="0"/>
                <w:color w:val="000000"/>
                <w:kern w:val="0"/>
                <w:sz w:val="30"/>
                <w:szCs w:val="30"/>
                <w:u w:val="none"/>
                <w:lang w:val="en-US" w:eastAsia="zh-CN" w:bidi="ar"/>
              </w:rPr>
            </w:pPr>
            <w:r>
              <w:rPr>
                <w:rFonts w:hint="eastAsia" w:ascii="仿宋" w:hAnsi="仿宋" w:eastAsia="仿宋" w:cs="仿宋"/>
                <w:i w:val="0"/>
                <w:iCs w:val="0"/>
                <w:color w:val="000000"/>
                <w:kern w:val="0"/>
                <w:sz w:val="30"/>
                <w:szCs w:val="30"/>
                <w:u w:val="none"/>
                <w:lang w:val="en-US" w:eastAsia="zh-CN" w:bidi="ar"/>
              </w:rPr>
              <w:t>2020年</w:t>
            </w:r>
          </w:p>
        </w:tc>
        <w:tc>
          <w:tcPr>
            <w:tcW w:w="1780" w:type="pct"/>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bottom w:w="72" w:type="dxa"/>
              <w:right w:w="15" w:type="dxa"/>
            </w:tcMar>
            <w:vAlign w:val="center"/>
          </w:tcPr>
          <w:p w14:paraId="07D6F37C">
            <w:pPr>
              <w:pStyle w:val="11"/>
              <w:keepNext w:val="0"/>
              <w:keepLines w:val="0"/>
              <w:widowControl/>
              <w:suppressLineNumbers w:val="0"/>
              <w:jc w:val="center"/>
              <w:rPr>
                <w:rFonts w:hint="default" w:ascii="仿宋" w:hAnsi="仿宋" w:eastAsia="仿宋" w:cs="仿宋"/>
                <w:i w:val="0"/>
                <w:iCs w:val="0"/>
                <w:color w:val="000000"/>
                <w:kern w:val="0"/>
                <w:sz w:val="30"/>
                <w:szCs w:val="30"/>
                <w:u w:val="none"/>
                <w:lang w:val="en-US" w:eastAsia="zh-CN" w:bidi="ar"/>
              </w:rPr>
            </w:pPr>
            <w:r>
              <w:rPr>
                <w:rFonts w:hint="eastAsia" w:ascii="仿宋" w:hAnsi="仿宋" w:eastAsia="仿宋" w:cs="仿宋"/>
                <w:i w:val="0"/>
                <w:iCs w:val="0"/>
                <w:color w:val="000000"/>
                <w:kern w:val="0"/>
                <w:sz w:val="30"/>
                <w:szCs w:val="30"/>
                <w:u w:val="none"/>
                <w:lang w:val="en-US" w:eastAsia="zh-CN" w:bidi="ar"/>
              </w:rPr>
              <w:t>29.00</w:t>
            </w:r>
          </w:p>
        </w:tc>
        <w:tc>
          <w:tcPr>
            <w:tcW w:w="2036" w:type="pct"/>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bottom w:w="72" w:type="dxa"/>
              <w:right w:w="15" w:type="dxa"/>
            </w:tcMar>
            <w:vAlign w:val="center"/>
          </w:tcPr>
          <w:p w14:paraId="457C8B22">
            <w:pPr>
              <w:pStyle w:val="11"/>
              <w:keepNext w:val="0"/>
              <w:keepLines w:val="0"/>
              <w:widowControl/>
              <w:suppressLineNumbers w:val="0"/>
              <w:jc w:val="center"/>
              <w:rPr>
                <w:rFonts w:hint="eastAsia" w:ascii="仿宋" w:hAnsi="仿宋" w:eastAsia="仿宋" w:cs="仿宋"/>
                <w:i w:val="0"/>
                <w:iCs w:val="0"/>
                <w:color w:val="000000"/>
                <w:kern w:val="0"/>
                <w:sz w:val="30"/>
                <w:szCs w:val="30"/>
                <w:u w:val="none"/>
                <w:lang w:val="en-US" w:eastAsia="zh-CN" w:bidi="ar"/>
              </w:rPr>
            </w:pPr>
            <w:r>
              <w:rPr>
                <w:rFonts w:hint="eastAsia" w:ascii="仿宋" w:hAnsi="仿宋" w:eastAsia="仿宋" w:cs="仿宋"/>
                <w:i w:val="0"/>
                <w:iCs w:val="0"/>
                <w:color w:val="000000"/>
                <w:kern w:val="0"/>
                <w:sz w:val="30"/>
                <w:szCs w:val="30"/>
                <w:u w:val="none"/>
                <w:lang w:val="en-US" w:eastAsia="zh-CN" w:bidi="ar"/>
              </w:rPr>
              <w:t>36.14</w:t>
            </w:r>
          </w:p>
        </w:tc>
      </w:tr>
      <w:tr w14:paraId="0E68E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183" w:type="pct"/>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bottom w:w="72" w:type="dxa"/>
              <w:right w:w="15" w:type="dxa"/>
            </w:tcMar>
            <w:vAlign w:val="center"/>
          </w:tcPr>
          <w:p w14:paraId="25DB7B40">
            <w:pPr>
              <w:pStyle w:val="11"/>
              <w:keepNext w:val="0"/>
              <w:keepLines w:val="0"/>
              <w:widowControl/>
              <w:suppressLineNumbers w:val="0"/>
              <w:jc w:val="center"/>
              <w:rPr>
                <w:rFonts w:hint="eastAsia" w:ascii="仿宋" w:hAnsi="仿宋" w:eastAsia="仿宋" w:cs="仿宋"/>
                <w:i w:val="0"/>
                <w:iCs w:val="0"/>
                <w:color w:val="000000"/>
                <w:kern w:val="0"/>
                <w:sz w:val="30"/>
                <w:szCs w:val="30"/>
                <w:u w:val="none"/>
                <w:lang w:val="en-US" w:eastAsia="zh-CN" w:bidi="ar"/>
              </w:rPr>
            </w:pPr>
            <w:r>
              <w:rPr>
                <w:rFonts w:hint="eastAsia" w:ascii="仿宋" w:hAnsi="仿宋" w:eastAsia="仿宋" w:cs="仿宋"/>
                <w:i w:val="0"/>
                <w:iCs w:val="0"/>
                <w:color w:val="000000"/>
                <w:kern w:val="0"/>
                <w:sz w:val="30"/>
                <w:szCs w:val="30"/>
                <w:u w:val="none"/>
                <w:lang w:val="en-US" w:eastAsia="zh-CN" w:bidi="ar"/>
              </w:rPr>
              <w:t>2019年</w:t>
            </w:r>
          </w:p>
        </w:tc>
        <w:tc>
          <w:tcPr>
            <w:tcW w:w="1780" w:type="pct"/>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bottom w:w="72" w:type="dxa"/>
              <w:right w:w="15" w:type="dxa"/>
            </w:tcMar>
            <w:vAlign w:val="center"/>
          </w:tcPr>
          <w:p w14:paraId="05CB2580">
            <w:pPr>
              <w:pStyle w:val="11"/>
              <w:keepNext w:val="0"/>
              <w:keepLines w:val="0"/>
              <w:widowControl/>
              <w:suppressLineNumbers w:val="0"/>
              <w:jc w:val="center"/>
              <w:rPr>
                <w:rFonts w:hint="default" w:ascii="仿宋" w:hAnsi="仿宋" w:eastAsia="仿宋" w:cs="仿宋"/>
                <w:i w:val="0"/>
                <w:iCs w:val="0"/>
                <w:color w:val="000000"/>
                <w:kern w:val="0"/>
                <w:sz w:val="30"/>
                <w:szCs w:val="30"/>
                <w:u w:val="none"/>
                <w:lang w:val="en-US" w:eastAsia="zh-CN" w:bidi="ar"/>
              </w:rPr>
            </w:pPr>
            <w:r>
              <w:rPr>
                <w:rFonts w:hint="eastAsia" w:ascii="仿宋" w:hAnsi="仿宋" w:eastAsia="仿宋" w:cs="仿宋"/>
                <w:i w:val="0"/>
                <w:iCs w:val="0"/>
                <w:color w:val="000000"/>
                <w:kern w:val="0"/>
                <w:sz w:val="30"/>
                <w:szCs w:val="30"/>
                <w:u w:val="none"/>
                <w:lang w:val="en-US" w:eastAsia="zh-CN" w:bidi="ar"/>
              </w:rPr>
              <w:t>29.00</w:t>
            </w:r>
          </w:p>
        </w:tc>
        <w:tc>
          <w:tcPr>
            <w:tcW w:w="2036" w:type="pct"/>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bottom w:w="72" w:type="dxa"/>
              <w:right w:w="15" w:type="dxa"/>
            </w:tcMar>
            <w:vAlign w:val="center"/>
          </w:tcPr>
          <w:p w14:paraId="3881A65A">
            <w:pPr>
              <w:pStyle w:val="11"/>
              <w:keepNext w:val="0"/>
              <w:keepLines w:val="0"/>
              <w:widowControl/>
              <w:suppressLineNumbers w:val="0"/>
              <w:jc w:val="center"/>
              <w:rPr>
                <w:rFonts w:hint="eastAsia" w:ascii="仿宋" w:hAnsi="仿宋" w:eastAsia="仿宋" w:cs="仿宋"/>
                <w:i w:val="0"/>
                <w:iCs w:val="0"/>
                <w:color w:val="000000"/>
                <w:kern w:val="0"/>
                <w:sz w:val="30"/>
                <w:szCs w:val="30"/>
                <w:u w:val="none"/>
                <w:lang w:val="en-US" w:eastAsia="zh-CN" w:bidi="ar"/>
              </w:rPr>
            </w:pPr>
            <w:r>
              <w:rPr>
                <w:rFonts w:hint="eastAsia" w:ascii="仿宋" w:hAnsi="仿宋" w:eastAsia="仿宋" w:cs="仿宋"/>
                <w:i w:val="0"/>
                <w:iCs w:val="0"/>
                <w:color w:val="000000"/>
                <w:kern w:val="0"/>
                <w:sz w:val="30"/>
                <w:szCs w:val="30"/>
                <w:u w:val="none"/>
                <w:lang w:val="en-US" w:eastAsia="zh-CN" w:bidi="ar"/>
              </w:rPr>
              <w:t>36.25</w:t>
            </w:r>
          </w:p>
        </w:tc>
      </w:tr>
    </w:tbl>
    <w:p w14:paraId="333AC149">
      <w:pPr>
        <w:keepNext w:val="0"/>
        <w:keepLines w:val="0"/>
        <w:pageBreakBefore w:val="0"/>
        <w:widowControl w:val="0"/>
        <w:kinsoku/>
        <w:wordWrap/>
        <w:overflowPunct/>
        <w:topLinePunct w:val="0"/>
        <w:autoSpaceDE/>
        <w:autoSpaceDN/>
        <w:bidi w:val="0"/>
        <w:adjustRightInd w:val="0"/>
        <w:snapToGrid w:val="0"/>
        <w:spacing w:after="0" w:line="360" w:lineRule="auto"/>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p>
    <w:p w14:paraId="0D0B806A">
      <w:pPr>
        <w:pStyle w:val="3"/>
        <w:numPr>
          <w:ilvl w:val="0"/>
          <w:numId w:val="3"/>
        </w:numPr>
        <w:bidi w:val="0"/>
        <w:rPr>
          <w:rFonts w:hint="eastAsia"/>
          <w:lang w:val="en-US" w:eastAsia="zh-CN"/>
        </w:rPr>
      </w:pPr>
      <w:bookmarkStart w:id="20" w:name="_Toc8997"/>
      <w:bookmarkStart w:id="21" w:name="_Toc17818"/>
      <w:r>
        <w:rPr>
          <w:rFonts w:hint="eastAsia"/>
          <w:lang w:val="en-US" w:eastAsia="zh-CN"/>
        </w:rPr>
        <w:t>建筑垃圾产生现状</w:t>
      </w:r>
      <w:bookmarkEnd w:id="20"/>
      <w:bookmarkEnd w:id="21"/>
    </w:p>
    <w:p w14:paraId="7B6C3AD0">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1、建筑垃圾产生现状</w:t>
      </w:r>
    </w:p>
    <w:p w14:paraId="0CBABA67">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霍山县</w:t>
      </w:r>
      <w:r>
        <w:rPr>
          <w:rFonts w:hint="default" w:ascii="仿宋" w:hAnsi="仿宋" w:eastAsia="仿宋" w:cs="仿宋"/>
          <w:color w:val="000000" w:themeColor="text1"/>
          <w:sz w:val="28"/>
          <w:szCs w:val="36"/>
          <w:highlight w:val="none"/>
          <w:lang w:val="en-US" w:eastAsia="zh-CN"/>
          <w14:textFill>
            <w14:solidFill>
              <w14:schemeClr w14:val="tx1"/>
            </w14:solidFill>
          </w14:textFill>
        </w:rPr>
        <w:t>建筑垃圾主要分为4大类，分别为下</w:t>
      </w:r>
      <w:r>
        <w:rPr>
          <w:rFonts w:hint="eastAsia" w:ascii="仿宋" w:hAnsi="仿宋" w:eastAsia="仿宋" w:cs="仿宋"/>
          <w:color w:val="000000" w:themeColor="text1"/>
          <w:sz w:val="28"/>
          <w:szCs w:val="36"/>
          <w:highlight w:val="none"/>
          <w:lang w:val="en-US" w:eastAsia="zh-CN"/>
          <w14:textFill>
            <w14:solidFill>
              <w14:schemeClr w14:val="tx1"/>
            </w14:solidFill>
          </w14:textFill>
        </w:rPr>
        <w:t>工程渣土</w:t>
      </w:r>
      <w:r>
        <w:rPr>
          <w:rFonts w:hint="default" w:ascii="仿宋" w:hAnsi="仿宋" w:eastAsia="仿宋" w:cs="仿宋"/>
          <w:color w:val="000000" w:themeColor="text1"/>
          <w:sz w:val="28"/>
          <w:szCs w:val="36"/>
          <w:highlight w:val="none"/>
          <w:lang w:val="en-US" w:eastAsia="zh-CN"/>
          <w14:textFill>
            <w14:solidFill>
              <w14:schemeClr w14:val="tx1"/>
            </w14:solidFill>
          </w14:textFill>
        </w:rPr>
        <w:t>、</w:t>
      </w:r>
      <w:r>
        <w:rPr>
          <w:rFonts w:hint="eastAsia" w:ascii="仿宋" w:hAnsi="仿宋" w:eastAsia="仿宋" w:cs="仿宋"/>
          <w:color w:val="000000" w:themeColor="text1"/>
          <w:sz w:val="28"/>
          <w:szCs w:val="36"/>
          <w:highlight w:val="none"/>
          <w:lang w:val="en-US" w:eastAsia="zh-CN"/>
          <w14:textFill>
            <w14:solidFill>
              <w14:schemeClr w14:val="tx1"/>
            </w14:solidFill>
          </w14:textFill>
        </w:rPr>
        <w:t>工程垃圾</w:t>
      </w:r>
      <w:r>
        <w:rPr>
          <w:rFonts w:hint="default" w:ascii="仿宋" w:hAnsi="仿宋" w:eastAsia="仿宋" w:cs="仿宋"/>
          <w:color w:val="000000" w:themeColor="text1"/>
          <w:sz w:val="28"/>
          <w:szCs w:val="36"/>
          <w:highlight w:val="none"/>
          <w:lang w:val="en-US" w:eastAsia="zh-CN"/>
          <w14:textFill>
            <w14:solidFill>
              <w14:schemeClr w14:val="tx1"/>
            </w14:solidFill>
          </w14:textFill>
        </w:rPr>
        <w:t>、拆除垃圾、装修垃圾。201</w:t>
      </w:r>
      <w:r>
        <w:rPr>
          <w:rFonts w:hint="eastAsia" w:ascii="仿宋" w:hAnsi="仿宋" w:eastAsia="仿宋" w:cs="仿宋"/>
          <w:color w:val="000000" w:themeColor="text1"/>
          <w:sz w:val="28"/>
          <w:szCs w:val="36"/>
          <w:highlight w:val="none"/>
          <w:lang w:val="en-US" w:eastAsia="zh-CN"/>
          <w14:textFill>
            <w14:solidFill>
              <w14:schemeClr w14:val="tx1"/>
            </w14:solidFill>
          </w14:textFill>
        </w:rPr>
        <w:t>9</w:t>
      </w:r>
      <w:r>
        <w:rPr>
          <w:rFonts w:hint="default" w:ascii="仿宋" w:hAnsi="仿宋" w:eastAsia="仿宋" w:cs="仿宋"/>
          <w:color w:val="000000" w:themeColor="text1"/>
          <w:sz w:val="28"/>
          <w:szCs w:val="36"/>
          <w:highlight w:val="none"/>
          <w:lang w:val="en-US" w:eastAsia="zh-CN"/>
          <w14:textFill>
            <w14:solidFill>
              <w14:schemeClr w14:val="tx1"/>
            </w14:solidFill>
          </w14:textFill>
        </w:rPr>
        <w:t>年-202</w:t>
      </w:r>
      <w:r>
        <w:rPr>
          <w:rFonts w:hint="eastAsia" w:ascii="仿宋" w:hAnsi="仿宋" w:eastAsia="仿宋" w:cs="仿宋"/>
          <w:color w:val="000000" w:themeColor="text1"/>
          <w:sz w:val="28"/>
          <w:szCs w:val="36"/>
          <w:highlight w:val="none"/>
          <w:lang w:val="en-US" w:eastAsia="zh-CN"/>
          <w14:textFill>
            <w14:solidFill>
              <w14:schemeClr w14:val="tx1"/>
            </w14:solidFill>
          </w14:textFill>
        </w:rPr>
        <w:t>3</w:t>
      </w:r>
      <w:r>
        <w:rPr>
          <w:rFonts w:hint="default" w:ascii="仿宋" w:hAnsi="仿宋" w:eastAsia="仿宋" w:cs="仿宋"/>
          <w:color w:val="000000" w:themeColor="text1"/>
          <w:sz w:val="28"/>
          <w:szCs w:val="36"/>
          <w:highlight w:val="none"/>
          <w:lang w:val="en-US" w:eastAsia="zh-CN"/>
          <w14:textFill>
            <w14:solidFill>
              <w14:schemeClr w14:val="tx1"/>
            </w14:solidFill>
          </w14:textFill>
        </w:rPr>
        <w:t>年产生情况如下表：</w:t>
      </w:r>
    </w:p>
    <w:tbl>
      <w:tblPr>
        <w:tblStyle w:val="1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30"/>
        <w:gridCol w:w="1426"/>
        <w:gridCol w:w="1317"/>
        <w:gridCol w:w="1315"/>
        <w:gridCol w:w="1329"/>
        <w:gridCol w:w="1202"/>
      </w:tblGrid>
      <w:tr w14:paraId="009D4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6C42F">
            <w:pPr>
              <w:keepNext w:val="0"/>
              <w:keepLines w:val="0"/>
              <w:widowControl/>
              <w:suppressLineNumbers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霍山县近五年建筑垃圾统计（单位：吨）</w:t>
            </w:r>
          </w:p>
        </w:tc>
      </w:tr>
      <w:tr w14:paraId="56EE0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0CE9B">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年产量/类别</w:t>
            </w: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A3CC8">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2019年</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19BD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2020年</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5338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2021年</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5D4F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2022年</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FB804">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2023年</w:t>
            </w:r>
          </w:p>
        </w:tc>
      </w:tr>
      <w:tr w14:paraId="7B714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65F8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工程渣土</w:t>
            </w: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9E55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1100000</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50925">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1200000</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CBE6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800000</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CEBC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900000</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8E0E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1000000</w:t>
            </w:r>
          </w:p>
        </w:tc>
      </w:tr>
      <w:tr w14:paraId="7555B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5DFF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工程垃圾</w:t>
            </w: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536BA">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210000</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9ECB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240000</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40F2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280000</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4F2FD">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250000</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5227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200000</w:t>
            </w:r>
          </w:p>
        </w:tc>
      </w:tr>
      <w:tr w14:paraId="37000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C842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拆除垃圾</w:t>
            </w: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65462">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430000</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927A9">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450000</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453F7">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420000</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0DDDC">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500000</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F71A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410000</w:t>
            </w:r>
          </w:p>
        </w:tc>
      </w:tr>
      <w:tr w14:paraId="11B68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45743">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装修垃圾</w:t>
            </w:r>
          </w:p>
        </w:tc>
        <w:tc>
          <w:tcPr>
            <w:tcW w:w="8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9C17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63000</w:t>
            </w:r>
          </w:p>
        </w:tc>
        <w:tc>
          <w:tcPr>
            <w:tcW w:w="7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4E13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57000</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93E60">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72000</w:t>
            </w:r>
          </w:p>
        </w:tc>
        <w:tc>
          <w:tcPr>
            <w:tcW w:w="7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2C791">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75000</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5BA36">
            <w:pPr>
              <w:keepNext w:val="0"/>
              <w:keepLines w:val="0"/>
              <w:widowControl/>
              <w:suppressLineNumbers w:val="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80000</w:t>
            </w:r>
          </w:p>
        </w:tc>
      </w:tr>
    </w:tbl>
    <w:p w14:paraId="17E95791">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textAlignment w:val="auto"/>
        <w:rPr>
          <w:rFonts w:hint="default" w:ascii="方正仿宋_GB2312" w:hAnsi="方正仿宋_GB2312" w:eastAsia="方正仿宋_GB2312" w:cs="方正仿宋_GB2312"/>
          <w:b/>
          <w:bCs/>
          <w:color w:val="000000" w:themeColor="text1"/>
          <w:sz w:val="28"/>
          <w:szCs w:val="36"/>
          <w:highlight w:val="none"/>
          <w:lang w:val="en-US" w:eastAsia="zh-CN"/>
          <w14:textFill>
            <w14:solidFill>
              <w14:schemeClr w14:val="tx1"/>
            </w14:solidFill>
          </w14:textFill>
        </w:rPr>
      </w:pPr>
    </w:p>
    <w:p w14:paraId="720B4F35">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2、建筑垃圾收运处置现状</w:t>
      </w:r>
    </w:p>
    <w:p w14:paraId="52F5DEB2">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霍山县按照安徽省建筑垃圾管理的要求，于2017年印发了《霍山县建筑垃圾管理实施办法》，明确县城市管理综合执法局负责本县建筑垃圾管理工作，建筑垃圾处置实行减量化、资源化、无害化和谁产生谁承担处置责任的原则。鼓励建筑垃圾综合利用，鼓励建设单位、施工单位优先采用建筑垃圾综合利用产品。</w:t>
      </w:r>
    </w:p>
    <w:p w14:paraId="34EAF3F4">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截至目前，霍山县城区没有专门的建筑垃圾收集转运站，建筑垃圾主要由霍山明盛环保科技有限公司负责处理。</w:t>
      </w:r>
    </w:p>
    <w:p w14:paraId="49BC1A4C">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霍山明盛环保科技有限公司位于霍山经济开发区大河厂路以北、海创公司以西。总建筑面积规划为37130㎡，其中生产厂房30000㎡、公用及配套工程7130㎡，新上符合国家产业政策的日处理2000吨、年处理60万吨建筑垃圾生产设备、处理能力300万吨的再生骨料生产线二条以及透水砖（砌块）生产线二条。</w:t>
      </w:r>
    </w:p>
    <w:p w14:paraId="1126C636">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jc w:val="center"/>
        <w:textAlignment w:val="auto"/>
        <w:rPr>
          <w:rFonts w:hint="eastAsia" w:ascii="仿宋" w:hAnsi="仿宋" w:eastAsia="仿宋" w:cs="仿宋"/>
          <w:b/>
          <w:bCs/>
          <w:color w:val="000000"/>
          <w:sz w:val="28"/>
          <w:szCs w:val="28"/>
          <w:lang w:val="en-US" w:eastAsia="zh-CN"/>
        </w:rPr>
      </w:pPr>
      <w:r>
        <w:rPr>
          <w:rFonts w:hint="eastAsia" w:ascii="仿宋" w:hAnsi="仿宋" w:eastAsia="仿宋" w:cs="仿宋"/>
          <w:i w:val="0"/>
          <w:iCs w:val="0"/>
          <w:color w:val="000000"/>
          <w:kern w:val="0"/>
          <w:sz w:val="28"/>
          <w:szCs w:val="28"/>
          <w:u w:val="none"/>
          <w:lang w:val="en-US" w:eastAsia="zh-CN" w:bidi="ar"/>
        </w:rPr>
        <w:t>霍山县建筑垃圾综合处理资源化利用项目</w:t>
      </w:r>
    </w:p>
    <w:tbl>
      <w:tblPr>
        <w:tblStyle w:val="12"/>
        <w:tblW w:w="791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485"/>
        <w:gridCol w:w="1500"/>
        <w:gridCol w:w="1364"/>
        <w:gridCol w:w="1301"/>
        <w:gridCol w:w="1266"/>
      </w:tblGrid>
      <w:tr w14:paraId="40E04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9FFF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项目名称</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4E80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位置</w:t>
            </w:r>
          </w:p>
        </w:tc>
        <w:tc>
          <w:tcPr>
            <w:tcW w:w="1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545B1">
            <w:pPr>
              <w:pStyle w:val="11"/>
              <w:keepNext w:val="0"/>
              <w:keepLines w:val="0"/>
              <w:widowControl/>
              <w:suppressLineNumbers w:val="0"/>
              <w:ind w:left="0" w:leftChars="0" w:right="0" w:right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zh-CN" w:eastAsia="zh-CN" w:bidi="ar"/>
              </w:rPr>
              <w:t>总建筑面积</w:t>
            </w:r>
            <w:r>
              <w:rPr>
                <w:rFonts w:hint="eastAsia" w:ascii="仿宋" w:hAnsi="仿宋" w:eastAsia="仿宋" w:cs="仿宋"/>
                <w:i w:val="0"/>
                <w:iCs w:val="0"/>
                <w:color w:val="000000"/>
                <w:kern w:val="0"/>
                <w:sz w:val="24"/>
                <w:szCs w:val="24"/>
                <w:u w:val="none"/>
                <w:lang w:val="en-US" w:eastAsia="zh-CN" w:bidi="ar"/>
              </w:rPr>
              <w:t>（㎡）</w:t>
            </w:r>
          </w:p>
        </w:tc>
        <w:tc>
          <w:tcPr>
            <w:tcW w:w="13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06FA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处理规模（m³/日）</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2C3D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服务范围</w:t>
            </w:r>
          </w:p>
        </w:tc>
      </w:tr>
      <w:tr w14:paraId="0E7DD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2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3B19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霍山县建筑垃圾综合处理资源化利用厂</w:t>
            </w:r>
          </w:p>
        </w:tc>
        <w:tc>
          <w:tcPr>
            <w:tcW w:w="1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D8D3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霍山县经济开发区</w:t>
            </w:r>
          </w:p>
        </w:tc>
        <w:tc>
          <w:tcPr>
            <w:tcW w:w="13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012FD">
            <w:pPr>
              <w:pStyle w:val="11"/>
              <w:keepNext w:val="0"/>
              <w:keepLines w:val="0"/>
              <w:widowControl/>
              <w:suppressLineNumbers w:val="0"/>
              <w:ind w:left="0" w:leftChars="0" w:right="0" w:right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37130</w:t>
            </w:r>
          </w:p>
        </w:tc>
        <w:tc>
          <w:tcPr>
            <w:tcW w:w="13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381A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200</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08E2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霍山县城区</w:t>
            </w:r>
          </w:p>
        </w:tc>
      </w:tr>
    </w:tbl>
    <w:p w14:paraId="5EBA766F">
      <w:pPr>
        <w:pStyle w:val="3"/>
        <w:numPr>
          <w:ilvl w:val="0"/>
          <w:numId w:val="3"/>
        </w:numPr>
        <w:bidi w:val="0"/>
        <w:rPr>
          <w:rFonts w:hint="default"/>
          <w:lang w:val="en-US" w:eastAsia="zh-CN"/>
        </w:rPr>
      </w:pPr>
      <w:bookmarkStart w:id="22" w:name="_Toc22275"/>
      <w:bookmarkStart w:id="23" w:name="_Toc11387"/>
      <w:r>
        <w:rPr>
          <w:rFonts w:hint="eastAsia"/>
          <w:lang w:val="en-US" w:eastAsia="zh-CN"/>
        </w:rPr>
        <w:t>问题分析</w:t>
      </w:r>
      <w:bookmarkEnd w:id="22"/>
      <w:bookmarkEnd w:id="23"/>
    </w:p>
    <w:p w14:paraId="335528DE">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1、</w:t>
      </w:r>
      <w:r>
        <w:rPr>
          <w:rFonts w:hint="default" w:ascii="仿宋" w:hAnsi="仿宋" w:eastAsia="仿宋" w:cs="仿宋"/>
          <w:color w:val="000000" w:themeColor="text1"/>
          <w:sz w:val="28"/>
          <w:szCs w:val="36"/>
          <w:highlight w:val="none"/>
          <w:lang w:val="en-US" w:eastAsia="zh-CN"/>
          <w14:textFill>
            <w14:solidFill>
              <w14:schemeClr w14:val="tx1"/>
            </w14:solidFill>
          </w14:textFill>
        </w:rPr>
        <w:t>建筑垃圾处理意识有待提高</w:t>
      </w:r>
    </w:p>
    <w:p w14:paraId="680800C5">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根据现场调研反馈，部分群众、施工单位、道路开挖单位、运输单位、装修单位及从业人员尚未形成建筑垃圾规范化处置意识，对建筑垃圾的分类处理</w:t>
      </w:r>
      <w:r>
        <w:rPr>
          <w:rFonts w:hint="eastAsia" w:ascii="仿宋" w:hAnsi="仿宋" w:eastAsia="仿宋" w:cs="仿宋"/>
          <w:color w:val="000000" w:themeColor="text1"/>
          <w:sz w:val="28"/>
          <w:szCs w:val="36"/>
          <w:highlight w:val="none"/>
          <w:lang w:val="en-US" w:eastAsia="zh-CN"/>
          <w14:textFill>
            <w14:solidFill>
              <w14:schemeClr w14:val="tx1"/>
            </w14:solidFill>
          </w14:textFill>
        </w:rPr>
        <w:t>意识不强</w:t>
      </w:r>
      <w:r>
        <w:rPr>
          <w:rFonts w:hint="default" w:ascii="仿宋" w:hAnsi="仿宋" w:eastAsia="仿宋" w:cs="仿宋"/>
          <w:color w:val="000000" w:themeColor="text1"/>
          <w:sz w:val="28"/>
          <w:szCs w:val="36"/>
          <w:highlight w:val="none"/>
          <w:lang w:val="en-US" w:eastAsia="zh-CN"/>
          <w14:textFill>
            <w14:solidFill>
              <w14:schemeClr w14:val="tx1"/>
            </w14:solidFill>
          </w14:textFill>
        </w:rPr>
        <w:t>，经过建筑垃圾知识宣传普及，分类处理的意识逐步提高。需进一步加强建筑企业的源头减量引导和居民装修垃圾“谁产生、谁处理”的宣传，要充分发挥舆论导向和媒体监督作用，</w:t>
      </w:r>
    </w:p>
    <w:p w14:paraId="46DC1F4F">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广泛宣传建筑垃圾减量化的重要性，普及建筑垃圾减量化和现场再利用的基础知识，增强参建单位和人员的资源节约意识、环保意识。让民众真正意识到建筑垃圾处理的必要性，了解建筑垃圾分类处理的全过程，保障建筑垃圾治理的各项工作顺利开展。</w:t>
      </w:r>
    </w:p>
    <w:p w14:paraId="34F6E1AA">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2、</w:t>
      </w:r>
      <w:r>
        <w:rPr>
          <w:rFonts w:hint="default" w:ascii="仿宋" w:hAnsi="仿宋" w:eastAsia="仿宋" w:cs="仿宋"/>
          <w:color w:val="000000" w:themeColor="text1"/>
          <w:sz w:val="28"/>
          <w:szCs w:val="36"/>
          <w:highlight w:val="none"/>
          <w:lang w:val="en-US" w:eastAsia="zh-CN"/>
          <w14:textFill>
            <w14:solidFill>
              <w14:schemeClr w14:val="tx1"/>
            </w14:solidFill>
          </w14:textFill>
        </w:rPr>
        <w:t>建筑垃圾管理监督机制需持续完善</w:t>
      </w:r>
    </w:p>
    <w:p w14:paraId="1782608A">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霍山县人民政府2021年印发了</w:t>
      </w:r>
      <w:r>
        <w:rPr>
          <w:rFonts w:hint="default" w:ascii="仿宋" w:hAnsi="仿宋" w:eastAsia="仿宋" w:cs="仿宋"/>
          <w:color w:val="000000" w:themeColor="text1"/>
          <w:sz w:val="28"/>
          <w:szCs w:val="36"/>
          <w:highlight w:val="none"/>
          <w:lang w:val="en-US" w:eastAsia="zh-CN"/>
          <w14:textFill>
            <w14:solidFill>
              <w14:schemeClr w14:val="tx1"/>
            </w14:solidFill>
          </w14:textFill>
        </w:rPr>
        <w:t>《</w:t>
      </w:r>
      <w:r>
        <w:rPr>
          <w:rFonts w:hint="eastAsia" w:ascii="仿宋" w:hAnsi="仿宋" w:eastAsia="仿宋" w:cs="仿宋"/>
          <w:color w:val="000000" w:themeColor="text1"/>
          <w:sz w:val="28"/>
          <w:szCs w:val="36"/>
          <w:highlight w:val="none"/>
          <w:lang w:val="en-US" w:eastAsia="zh-CN"/>
          <w14:textFill>
            <w14:solidFill>
              <w14:schemeClr w14:val="tx1"/>
            </w14:solidFill>
          </w14:textFill>
        </w:rPr>
        <w:t>城市建筑垃圾管理规定</w:t>
      </w:r>
      <w:r>
        <w:rPr>
          <w:rFonts w:hint="default" w:ascii="仿宋" w:hAnsi="仿宋" w:eastAsia="仿宋" w:cs="仿宋"/>
          <w:color w:val="000000" w:themeColor="text1"/>
          <w:sz w:val="28"/>
          <w:szCs w:val="36"/>
          <w:highlight w:val="none"/>
          <w:lang w:val="en-US" w:eastAsia="zh-CN"/>
          <w14:textFill>
            <w14:solidFill>
              <w14:schemeClr w14:val="tx1"/>
            </w14:solidFill>
          </w14:textFill>
        </w:rPr>
        <w:t>》，但建筑垃圾的产生、运输和处理等环节的管理和监督存在不足，各相关部门配合治理工作的积极性也不高。各乡镇的建筑垃圾管理工作基本由分管领导负责，缺少全</w:t>
      </w:r>
      <w:r>
        <w:rPr>
          <w:rFonts w:hint="eastAsia" w:ascii="仿宋" w:hAnsi="仿宋" w:eastAsia="仿宋" w:cs="仿宋"/>
          <w:color w:val="000000" w:themeColor="text1"/>
          <w:sz w:val="28"/>
          <w:szCs w:val="36"/>
          <w:highlight w:val="none"/>
          <w:lang w:val="en-US" w:eastAsia="zh-CN"/>
          <w14:textFill>
            <w14:solidFill>
              <w14:schemeClr w14:val="tx1"/>
            </w14:solidFill>
          </w14:textFill>
        </w:rPr>
        <w:t>县</w:t>
      </w:r>
      <w:r>
        <w:rPr>
          <w:rFonts w:hint="default" w:ascii="仿宋" w:hAnsi="仿宋" w:eastAsia="仿宋" w:cs="仿宋"/>
          <w:color w:val="000000" w:themeColor="text1"/>
          <w:sz w:val="28"/>
          <w:szCs w:val="36"/>
          <w:highlight w:val="none"/>
          <w:lang w:val="en-US" w:eastAsia="zh-CN"/>
          <w14:textFill>
            <w14:solidFill>
              <w14:schemeClr w14:val="tx1"/>
            </w14:solidFill>
          </w14:textFill>
        </w:rPr>
        <w:t>建筑垃圾管理工作的统一监管。因此，完善建筑垃圾的管理监督机制势在必行，将责任落实到各个部门，才能让建筑垃圾治理有章可循，让每个环节都能顺利进行。</w:t>
      </w:r>
    </w:p>
    <w:p w14:paraId="3CB966F0">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3、</w:t>
      </w:r>
      <w:r>
        <w:rPr>
          <w:rFonts w:hint="default" w:ascii="仿宋" w:hAnsi="仿宋" w:eastAsia="仿宋" w:cs="仿宋"/>
          <w:color w:val="000000" w:themeColor="text1"/>
          <w:sz w:val="28"/>
          <w:szCs w:val="36"/>
          <w:highlight w:val="none"/>
          <w:lang w:val="en-US" w:eastAsia="zh-CN"/>
          <w14:textFill>
            <w14:solidFill>
              <w14:schemeClr w14:val="tx1"/>
            </w14:solidFill>
          </w14:textFill>
        </w:rPr>
        <w:t>部门统筹协作有待加强</w:t>
      </w:r>
    </w:p>
    <w:p w14:paraId="4CE439C5">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建筑垃圾从源头产生、中端收运、末端处置涉及城市管理、住房和城乡建设、交通运输、行政审批服务、综合执法、生态环境、财政、发展和改革、自然资源（规划）等十多个部门。各部门所掌握信息不对称，建筑垃圾源头管控、中端监管、末端处置的闭环体系还不严密。</w:t>
      </w:r>
    </w:p>
    <w:p w14:paraId="44542F61">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4、</w:t>
      </w:r>
      <w:r>
        <w:rPr>
          <w:rFonts w:hint="default" w:ascii="仿宋" w:hAnsi="仿宋" w:eastAsia="仿宋" w:cs="仿宋"/>
          <w:color w:val="000000" w:themeColor="text1"/>
          <w:sz w:val="28"/>
          <w:szCs w:val="36"/>
          <w:highlight w:val="none"/>
          <w:lang w:val="en-US" w:eastAsia="zh-CN"/>
          <w14:textFill>
            <w14:solidFill>
              <w14:schemeClr w14:val="tx1"/>
            </w14:solidFill>
          </w14:textFill>
        </w:rPr>
        <w:t>信息化管理水平待提升</w:t>
      </w:r>
    </w:p>
    <w:p w14:paraId="73AC103C">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霍山县</w:t>
      </w:r>
      <w:r>
        <w:rPr>
          <w:rFonts w:hint="default" w:ascii="仿宋" w:hAnsi="仿宋" w:eastAsia="仿宋" w:cs="仿宋"/>
          <w:color w:val="000000" w:themeColor="text1"/>
          <w:sz w:val="28"/>
          <w:szCs w:val="36"/>
          <w:highlight w:val="none"/>
          <w:lang w:val="en-US" w:eastAsia="zh-CN"/>
          <w14:textFill>
            <w14:solidFill>
              <w14:schemeClr w14:val="tx1"/>
            </w14:solidFill>
          </w14:textFill>
        </w:rPr>
        <w:t>现有建筑垃圾管理体系侧重源头管理，突出建筑垃圾的处置核准制度。但在建设单位或施工单位通过处置核准后，建筑垃圾的运输过程是否规范，末端处置是否规范，都需要全过程的联单跟踪管理，并建立信用管理制度。建议建立建筑垃圾管理的信息化系统，依托信息化平台加强多部门间的配合协作与联合执法，同时也可借助信息化的电子联单实现全过程闭环监管。</w:t>
      </w:r>
    </w:p>
    <w:p w14:paraId="0AB0DD00">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5、</w:t>
      </w:r>
      <w:r>
        <w:rPr>
          <w:rFonts w:hint="default" w:ascii="仿宋" w:hAnsi="仿宋" w:eastAsia="仿宋" w:cs="仿宋"/>
          <w:color w:val="000000" w:themeColor="text1"/>
          <w:sz w:val="28"/>
          <w:szCs w:val="36"/>
          <w:highlight w:val="none"/>
          <w:lang w:val="en-US" w:eastAsia="zh-CN"/>
          <w14:textFill>
            <w14:solidFill>
              <w14:schemeClr w14:val="tx1"/>
            </w14:solidFill>
          </w14:textFill>
        </w:rPr>
        <w:t>建筑垃圾收运和处置设施配套需逐步完善</w:t>
      </w:r>
    </w:p>
    <w:p w14:paraId="418A9D89">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随着城镇化率进一步提升，产业园区和重大项目的大规模开发、城市更新及住有所居提升保障工程的持续推进，将导致建筑垃圾产生量增加。当前</w:t>
      </w:r>
      <w:r>
        <w:rPr>
          <w:rFonts w:hint="eastAsia" w:ascii="仿宋" w:hAnsi="仿宋" w:eastAsia="仿宋" w:cs="仿宋"/>
          <w:color w:val="000000" w:themeColor="text1"/>
          <w:sz w:val="28"/>
          <w:szCs w:val="36"/>
          <w:highlight w:val="none"/>
          <w:lang w:val="en-US" w:eastAsia="zh-CN"/>
          <w14:textFill>
            <w14:solidFill>
              <w14:schemeClr w14:val="tx1"/>
            </w14:solidFill>
          </w14:textFill>
        </w:rPr>
        <w:t>霍山县</w:t>
      </w:r>
      <w:r>
        <w:rPr>
          <w:rFonts w:hint="default" w:ascii="仿宋" w:hAnsi="仿宋" w:eastAsia="仿宋" w:cs="仿宋"/>
          <w:color w:val="000000" w:themeColor="text1"/>
          <w:sz w:val="28"/>
          <w:szCs w:val="36"/>
          <w:highlight w:val="none"/>
          <w:lang w:val="en-US" w:eastAsia="zh-CN"/>
          <w14:textFill>
            <w14:solidFill>
              <w14:schemeClr w14:val="tx1"/>
            </w14:solidFill>
          </w14:textFill>
        </w:rPr>
        <w:t>建有1座</w:t>
      </w:r>
      <w:r>
        <w:rPr>
          <w:rFonts w:hint="eastAsia" w:ascii="仿宋" w:hAnsi="仿宋" w:eastAsia="仿宋" w:cs="仿宋"/>
          <w:color w:val="000000" w:themeColor="text1"/>
          <w:sz w:val="28"/>
          <w:szCs w:val="36"/>
          <w:highlight w:val="none"/>
          <w:lang w:val="en-US" w:eastAsia="zh-CN"/>
          <w14:textFill>
            <w14:solidFill>
              <w14:schemeClr w14:val="tx1"/>
            </w14:solidFill>
          </w14:textFill>
        </w:rPr>
        <w:t>建筑垃圾综合处理资源化利用</w:t>
      </w:r>
      <w:r>
        <w:rPr>
          <w:rFonts w:hint="default" w:ascii="仿宋" w:hAnsi="仿宋" w:eastAsia="仿宋" w:cs="仿宋"/>
          <w:color w:val="000000" w:themeColor="text1"/>
          <w:sz w:val="28"/>
          <w:szCs w:val="36"/>
          <w:highlight w:val="none"/>
          <w:lang w:val="en-US" w:eastAsia="zh-CN"/>
          <w14:textFill>
            <w14:solidFill>
              <w14:schemeClr w14:val="tx1"/>
            </w14:solidFill>
          </w14:textFill>
        </w:rPr>
        <w:t>处置场，</w:t>
      </w:r>
      <w:r>
        <w:rPr>
          <w:rFonts w:hint="eastAsia" w:ascii="仿宋" w:hAnsi="仿宋" w:eastAsia="仿宋" w:cs="仿宋"/>
          <w:color w:val="000000" w:themeColor="text1"/>
          <w:sz w:val="28"/>
          <w:szCs w:val="36"/>
          <w:highlight w:val="none"/>
          <w:lang w:val="en-US" w:eastAsia="zh-CN"/>
          <w14:textFill>
            <w14:solidFill>
              <w14:schemeClr w14:val="tx1"/>
            </w14:solidFill>
          </w14:textFill>
        </w:rPr>
        <w:t>主要处理工程垃圾、拆除垃圾。装修垃圾尚未得到合理处置，</w:t>
      </w:r>
      <w:r>
        <w:rPr>
          <w:rFonts w:hint="default" w:ascii="仿宋" w:hAnsi="仿宋" w:eastAsia="仿宋" w:cs="仿宋"/>
          <w:color w:val="000000" w:themeColor="text1"/>
          <w:sz w:val="28"/>
          <w:szCs w:val="36"/>
          <w:highlight w:val="none"/>
          <w:lang w:val="en-US" w:eastAsia="zh-CN"/>
          <w14:textFill>
            <w14:solidFill>
              <w14:schemeClr w14:val="tx1"/>
            </w14:solidFill>
          </w14:textFill>
        </w:rPr>
        <w:t>已对</w:t>
      </w:r>
      <w:r>
        <w:rPr>
          <w:rFonts w:hint="eastAsia" w:ascii="仿宋" w:hAnsi="仿宋" w:eastAsia="仿宋" w:cs="仿宋"/>
          <w:color w:val="000000" w:themeColor="text1"/>
          <w:sz w:val="28"/>
          <w:szCs w:val="36"/>
          <w:highlight w:val="none"/>
          <w:lang w:val="en-US" w:eastAsia="zh-CN"/>
          <w14:textFill>
            <w14:solidFill>
              <w14:schemeClr w14:val="tx1"/>
            </w14:solidFill>
          </w14:textFill>
        </w:rPr>
        <w:t>装修垃圾</w:t>
      </w:r>
      <w:r>
        <w:rPr>
          <w:rFonts w:hint="default" w:ascii="仿宋" w:hAnsi="仿宋" w:eastAsia="仿宋" w:cs="仿宋"/>
          <w:color w:val="000000" w:themeColor="text1"/>
          <w:sz w:val="28"/>
          <w:szCs w:val="36"/>
          <w:highlight w:val="none"/>
          <w:lang w:val="en-US" w:eastAsia="zh-CN"/>
          <w14:textFill>
            <w14:solidFill>
              <w14:schemeClr w14:val="tx1"/>
            </w14:solidFill>
          </w14:textFill>
        </w:rPr>
        <w:t>资源化利用设施进行统筹规划，</w:t>
      </w:r>
      <w:r>
        <w:rPr>
          <w:rFonts w:hint="eastAsia" w:ascii="仿宋" w:hAnsi="仿宋" w:eastAsia="仿宋" w:cs="仿宋"/>
          <w:color w:val="000000" w:themeColor="text1"/>
          <w:sz w:val="28"/>
          <w:szCs w:val="36"/>
          <w:highlight w:val="none"/>
          <w:lang w:val="en-US" w:eastAsia="zh-CN"/>
          <w14:textFill>
            <w14:solidFill>
              <w14:schemeClr w14:val="tx1"/>
            </w14:solidFill>
          </w14:textFill>
        </w:rPr>
        <w:t>同时，</w:t>
      </w:r>
      <w:r>
        <w:rPr>
          <w:rFonts w:hint="default" w:ascii="仿宋" w:hAnsi="仿宋" w:eastAsia="仿宋" w:cs="仿宋"/>
          <w:color w:val="000000" w:themeColor="text1"/>
          <w:sz w:val="28"/>
          <w:szCs w:val="36"/>
          <w:highlight w:val="none"/>
          <w:lang w:val="en-US" w:eastAsia="zh-CN"/>
          <w14:textFill>
            <w14:solidFill>
              <w14:schemeClr w14:val="tx1"/>
            </w14:solidFill>
          </w14:textFill>
        </w:rPr>
        <w:t>建筑垃圾的现状处置设施规模</w:t>
      </w:r>
      <w:r>
        <w:rPr>
          <w:rFonts w:hint="eastAsia" w:ascii="仿宋" w:hAnsi="仿宋" w:eastAsia="仿宋" w:cs="仿宋"/>
          <w:color w:val="000000" w:themeColor="text1"/>
          <w:sz w:val="28"/>
          <w:szCs w:val="36"/>
          <w:highlight w:val="none"/>
          <w:lang w:val="en-US" w:eastAsia="zh-CN"/>
          <w14:textFill>
            <w14:solidFill>
              <w14:schemeClr w14:val="tx1"/>
            </w14:solidFill>
          </w14:textFill>
        </w:rPr>
        <w:t>仍有提升空间</w:t>
      </w:r>
      <w:r>
        <w:rPr>
          <w:rFonts w:hint="default" w:ascii="仿宋" w:hAnsi="仿宋" w:eastAsia="仿宋" w:cs="仿宋"/>
          <w:color w:val="000000" w:themeColor="text1"/>
          <w:sz w:val="28"/>
          <w:szCs w:val="36"/>
          <w:highlight w:val="none"/>
          <w:lang w:val="en-US" w:eastAsia="zh-CN"/>
          <w14:textFill>
            <w14:solidFill>
              <w14:schemeClr w14:val="tx1"/>
            </w14:solidFill>
          </w14:textFill>
        </w:rPr>
        <w:t>。需进一步统筹规划建筑垃圾的收运和处置，努力提高建筑垃圾资源化利用率，不仅可以</w:t>
      </w:r>
      <w:r>
        <w:rPr>
          <w:rFonts w:hint="eastAsia" w:ascii="仿宋" w:hAnsi="仿宋" w:eastAsia="仿宋" w:cs="仿宋"/>
          <w:color w:val="000000" w:themeColor="text1"/>
          <w:sz w:val="28"/>
          <w:szCs w:val="36"/>
          <w:highlight w:val="none"/>
          <w:lang w:val="en-US" w:eastAsia="zh-CN"/>
          <w14:textFill>
            <w14:solidFill>
              <w14:schemeClr w14:val="tx1"/>
            </w14:solidFill>
          </w14:textFill>
        </w:rPr>
        <w:t>减</w:t>
      </w:r>
      <w:r>
        <w:rPr>
          <w:rFonts w:hint="default" w:ascii="仿宋" w:hAnsi="仿宋" w:eastAsia="仿宋" w:cs="仿宋"/>
          <w:color w:val="000000" w:themeColor="text1"/>
          <w:sz w:val="28"/>
          <w:szCs w:val="36"/>
          <w:highlight w:val="none"/>
          <w:lang w:val="en-US" w:eastAsia="zh-CN"/>
          <w14:textFill>
            <w14:solidFill>
              <w14:schemeClr w14:val="tx1"/>
            </w14:solidFill>
          </w14:textFill>
        </w:rPr>
        <w:t>少污染，还能创造更多的就业渠道，实现可持续发展。</w:t>
      </w:r>
    </w:p>
    <w:p w14:paraId="5B97E68B">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6、</w:t>
      </w:r>
      <w:r>
        <w:rPr>
          <w:rFonts w:hint="default" w:ascii="仿宋" w:hAnsi="仿宋" w:eastAsia="仿宋" w:cs="仿宋"/>
          <w:color w:val="000000" w:themeColor="text1"/>
          <w:sz w:val="28"/>
          <w:szCs w:val="36"/>
          <w:highlight w:val="none"/>
          <w:lang w:val="en-US" w:eastAsia="zh-CN"/>
          <w14:textFill>
            <w14:solidFill>
              <w14:schemeClr w14:val="tx1"/>
            </w14:solidFill>
          </w14:textFill>
        </w:rPr>
        <w:t>建筑垃圾源头减量效果不明显</w:t>
      </w:r>
    </w:p>
    <w:p w14:paraId="59829B8E">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当前建筑垃圾的源头排放管理仅限于处理核准制度，已与监管制度形成联动。应由城市管理主管部门牵头，相关部门联动，加强对固投项目建筑垃圾产量进行评估统计，强化审批加监管模式，压实建筑垃圾的源头排放管理。</w:t>
      </w:r>
    </w:p>
    <w:p w14:paraId="5A5C5448">
      <w:pPr>
        <w:pStyle w:val="3"/>
        <w:numPr>
          <w:ilvl w:val="0"/>
          <w:numId w:val="3"/>
        </w:numPr>
        <w:bidi w:val="0"/>
        <w:rPr>
          <w:rFonts w:hint="default"/>
          <w:lang w:val="en-US" w:eastAsia="zh-CN"/>
        </w:rPr>
      </w:pPr>
      <w:bookmarkStart w:id="24" w:name="_Toc8745"/>
      <w:bookmarkStart w:id="25" w:name="_Toc30316"/>
      <w:r>
        <w:rPr>
          <w:rFonts w:hint="eastAsia"/>
          <w:lang w:val="en-US" w:eastAsia="zh-CN"/>
        </w:rPr>
        <w:t>相关规划衔接</w:t>
      </w:r>
      <w:bookmarkEnd w:id="24"/>
      <w:bookmarkEnd w:id="25"/>
    </w:p>
    <w:p w14:paraId="54ACB77D">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1、《霍山县国土空间总体规划（2021—2035年）》</w:t>
      </w:r>
    </w:p>
    <w:p w14:paraId="6ADB91EC">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（1）规划期限</w:t>
      </w:r>
    </w:p>
    <w:p w14:paraId="795E013E">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规划基期年为2020年，规划期限为2021年到2035年，远景展望至2050年。</w:t>
      </w:r>
    </w:p>
    <w:p w14:paraId="34CAA95E">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（2）规划范围与层次</w:t>
      </w:r>
    </w:p>
    <w:p w14:paraId="7C499C16">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分为县域和中心城区两个层面。</w:t>
      </w:r>
    </w:p>
    <w:p w14:paraId="09FEC4F0">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县域即霍山县行政区划范围，包含16个乡镇，总面积约2043平方公里。</w:t>
      </w:r>
    </w:p>
    <w:p w14:paraId="527F3527">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中心城区东至济广高速，南至迎宾大道以南建设用地，北至G422</w:t>
      </w:r>
    </w:p>
    <w:p w14:paraId="2C2FC136">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和县至襄阳高速，西至东淠河，总面积约75平方公里。</w:t>
      </w:r>
    </w:p>
    <w:p w14:paraId="6328F821">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（3）城市性质</w:t>
      </w:r>
      <w:bookmarkStart w:id="26" w:name="图2-2 主城区土地利用规划图"/>
      <w:bookmarkEnd w:id="26"/>
    </w:p>
    <w:p w14:paraId="6583C486">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ascii="仿宋" w:hAnsi="仿宋" w:eastAsia="仿宋" w:cs="仿宋"/>
          <w:b w:val="0"/>
          <w:bCs w:val="0"/>
          <w:color w:val="000000"/>
          <w:sz w:val="31"/>
          <w:szCs w:val="31"/>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城市性质——长三角重要生态安全屏障，大别山革命老区核心区，特色农产品生产和加工基地，山水宜居的旅游度假城市。</w:t>
      </w:r>
      <w:r>
        <w:rPr>
          <w:rFonts w:ascii="宋体" w:hAnsi="宋体" w:eastAsia="宋体" w:cs="宋体"/>
          <w:sz w:val="24"/>
          <w:szCs w:val="24"/>
        </w:rPr>
        <w:drawing>
          <wp:inline distT="0" distB="0" distL="114300" distR="114300">
            <wp:extent cx="4679950" cy="6096000"/>
            <wp:effectExtent l="0" t="0" r="6350" b="0"/>
            <wp:docPr id="1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IMG_256"/>
                    <pic:cNvPicPr>
                      <a:picLocks noChangeAspect="1"/>
                    </pic:cNvPicPr>
                  </pic:nvPicPr>
                  <pic:blipFill>
                    <a:blip r:embed="rId8"/>
                    <a:srcRect b="7952"/>
                    <a:stretch>
                      <a:fillRect/>
                    </a:stretch>
                  </pic:blipFill>
                  <pic:spPr>
                    <a:xfrm>
                      <a:off x="0" y="0"/>
                      <a:ext cx="4679950" cy="6096000"/>
                    </a:xfrm>
                    <a:prstGeom prst="rect">
                      <a:avLst/>
                    </a:prstGeom>
                    <a:noFill/>
                    <a:ln w="9525">
                      <a:noFill/>
                    </a:ln>
                  </pic:spPr>
                </pic:pic>
              </a:graphicData>
            </a:graphic>
          </wp:inline>
        </w:drawing>
      </w:r>
    </w:p>
    <w:p w14:paraId="1D2F638B">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（4）发展目标</w:t>
      </w:r>
    </w:p>
    <w:p w14:paraId="3DE7D777">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bookmarkStart w:id="27" w:name="（1）近期目标"/>
      <w:bookmarkEnd w:id="27"/>
      <w:bookmarkStart w:id="28" w:name="（1）近期目标"/>
      <w:bookmarkEnd w:id="28"/>
      <w:r>
        <w:rPr>
          <w:rFonts w:hint="eastAsia" w:ascii="仿宋" w:hAnsi="仿宋" w:eastAsia="仿宋" w:cs="仿宋"/>
          <w:color w:val="000000" w:themeColor="text1"/>
          <w:sz w:val="28"/>
          <w:szCs w:val="36"/>
          <w:highlight w:val="none"/>
          <w:lang w:val="en-US" w:eastAsia="zh-CN"/>
          <w14:textFill>
            <w14:solidFill>
              <w14:schemeClr w14:val="tx1"/>
            </w14:solidFill>
          </w14:textFill>
        </w:rPr>
        <w:t>到2025年，霍山县国土空间开发保护格局基本形成，城镇空间集聚开发，生态和农业空间集中连片度显著提高，产业发展注入创新元素，城市山水田园要素全面优化提升。到</w:t>
      </w:r>
      <w:r>
        <w:rPr>
          <w:rFonts w:hint="default" w:ascii="仿宋" w:hAnsi="仿宋" w:eastAsia="仿宋" w:cs="仿宋"/>
          <w:color w:val="000000" w:themeColor="text1"/>
          <w:sz w:val="28"/>
          <w:szCs w:val="36"/>
          <w:highlight w:val="none"/>
          <w:lang w:val="en-US" w:eastAsia="zh-CN"/>
          <w14:textFill>
            <w14:solidFill>
              <w14:schemeClr w14:val="tx1"/>
            </w14:solidFill>
          </w14:textFill>
        </w:rPr>
        <w:t>2035</w:t>
      </w:r>
      <w:r>
        <w:rPr>
          <w:rFonts w:hint="eastAsia" w:ascii="仿宋" w:hAnsi="仿宋" w:eastAsia="仿宋" w:cs="仿宋"/>
          <w:color w:val="000000" w:themeColor="text1"/>
          <w:sz w:val="28"/>
          <w:szCs w:val="36"/>
          <w:highlight w:val="none"/>
          <w:lang w:val="en-US" w:eastAsia="zh-CN"/>
          <w14:textFill>
            <w14:solidFill>
              <w14:schemeClr w14:val="tx1"/>
            </w14:solidFill>
          </w14:textFill>
        </w:rPr>
        <w:t>年，霍山县国土空间开发保护格局全面建成，将霍山基本建成以工贸、旅游为主导的山水宜居城市，土地利用高效集约，全面实现全域全要素高质量发展。到</w:t>
      </w:r>
      <w:r>
        <w:rPr>
          <w:rFonts w:hint="default" w:ascii="仿宋" w:hAnsi="仿宋" w:eastAsia="仿宋" w:cs="仿宋"/>
          <w:color w:val="000000" w:themeColor="text1"/>
          <w:sz w:val="28"/>
          <w:szCs w:val="36"/>
          <w:highlight w:val="none"/>
          <w:lang w:val="en-US" w:eastAsia="zh-CN"/>
          <w14:textFill>
            <w14:solidFill>
              <w14:schemeClr w14:val="tx1"/>
            </w14:solidFill>
          </w14:textFill>
        </w:rPr>
        <w:t>2050</w:t>
      </w:r>
      <w:r>
        <w:rPr>
          <w:rFonts w:hint="eastAsia" w:ascii="仿宋" w:hAnsi="仿宋" w:eastAsia="仿宋" w:cs="仿宋"/>
          <w:color w:val="000000" w:themeColor="text1"/>
          <w:sz w:val="28"/>
          <w:szCs w:val="36"/>
          <w:highlight w:val="none"/>
          <w:lang w:val="en-US" w:eastAsia="zh-CN"/>
          <w14:textFill>
            <w14:solidFill>
              <w14:schemeClr w14:val="tx1"/>
            </w14:solidFill>
          </w14:textFill>
        </w:rPr>
        <w:t>年，霍山成为经济发达、文化繁荣、社会和谐、生态全面协调、高质量发展的山水宜居城市。</w:t>
      </w:r>
    </w:p>
    <w:p w14:paraId="50A429B2">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（5）国土空间总体格局</w:t>
      </w:r>
    </w:p>
    <w:p w14:paraId="3B5AF382">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突出山、水、林、田的自然资源本底特征，落实《六安市国土空间总体规划（2021-2035）》中市域国土空间总体格局规划要求，形成“一核一带四轴、三片区多节点”的国土空间总体格局。</w:t>
      </w:r>
    </w:p>
    <w:p w14:paraId="0CBED9A9">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一核”：霍山中心城区。发挥县域政治、经济、文化中心作用。统筹县城内部城镇空间资源、山水与人文资源、交通设施与枢纽资源，提升产业平台，培育新经济空间，打造具有区域竞争力与风景魅力的城市地区，增强区域辐射带动能力。</w:t>
      </w:r>
    </w:p>
    <w:p w14:paraId="5A90C689">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“一带”：东淠河生态绿带。将霍山融入区域发展格局，引导空间要素向发展走廊集聚。</w:t>
      </w:r>
    </w:p>
    <w:p w14:paraId="260BDD2F">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“四轴”：四条城镇空间联系轴。打造由重要交通干线构成的城镇空间联系轴，推进县域东西南北四向互通的城镇化融合发展。</w:t>
      </w:r>
    </w:p>
    <w:p w14:paraId="399BDB65">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三片区”：北部丘陵岗地农工贸区（包含农业空间中北部丘岗粮食种植片区）、中部低山水库生态经济区和南部大别山生态经济区（包含南部山林特色种植片区）。县域北部在保障基础种植业的基础上、同步发展林果产业，加快优势主导产业集群建设，调整优化区域产业布局和品种结构，支持产地加工和保鲜、贮藏、运销等配套设施建设，打造和推介特色果业品牌。县域西南部，以重点项目为抓手，推动霍山石斛等道地药材种植、加工。县域东南部，围绕增强大别山区生态环境承载力，保障种植养殖、特色茶产业的有序发展。</w:t>
      </w:r>
    </w:p>
    <w:p w14:paraId="385FA7CA">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多节点”：即七个重点镇（其中市级四个：诸佛庵镇、佛子岭镇、与儿街镇、上土市镇；县级三个：漫水河镇、磨子潭镇、单龙寺镇）。促进小城镇发展由数量规模型向质量效益型转变，增强对周边乡村的集聚辐射功能，促进农村人口向城镇转移。发挥各个乡镇资源禀赋优势，坚持错位发展、集约发展，明确功能定位和主导产业，培育一批产业“特而强”、功能“聚而合”、形态“精而美”的特色小镇，形成特色鲜明、多点支撑的县域发展格局。</w:t>
      </w:r>
    </w:p>
    <w:p w14:paraId="5FBCDE5B">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方正仿宋_GB2312" w:hAnsi="方正仿宋_GB2312" w:eastAsia="方正仿宋_GB2312" w:cs="方正仿宋_GB2312"/>
          <w:color w:val="000000" w:themeColor="text1"/>
          <w:sz w:val="28"/>
          <w:szCs w:val="36"/>
          <w:highlight w:val="yellow"/>
          <w:lang w:val="en-US" w:eastAsia="zh-CN"/>
          <w14:textFill>
            <w14:solidFill>
              <w14:schemeClr w14:val="tx1"/>
            </w14:solidFill>
          </w14:textFill>
        </w:rPr>
      </w:pPr>
      <w:r>
        <w:rPr>
          <w:rFonts w:ascii="宋体" w:hAnsi="宋体" w:eastAsia="宋体" w:cs="宋体"/>
          <w:sz w:val="24"/>
          <w:szCs w:val="24"/>
        </w:rPr>
        <w:drawing>
          <wp:inline distT="0" distB="0" distL="114300" distR="114300">
            <wp:extent cx="4679950" cy="6826250"/>
            <wp:effectExtent l="0" t="0" r="6350" b="1270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9"/>
                    <a:srcRect l="4230" t="-35" r="3766" b="5185"/>
                    <a:stretch>
                      <a:fillRect/>
                    </a:stretch>
                  </pic:blipFill>
                  <pic:spPr>
                    <a:xfrm>
                      <a:off x="0" y="0"/>
                      <a:ext cx="4679950" cy="6826250"/>
                    </a:xfrm>
                    <a:prstGeom prst="rect">
                      <a:avLst/>
                    </a:prstGeom>
                    <a:noFill/>
                    <a:ln w="9525">
                      <a:noFill/>
                    </a:ln>
                  </pic:spPr>
                </pic:pic>
              </a:graphicData>
            </a:graphic>
          </wp:inline>
        </w:drawing>
      </w:r>
    </w:p>
    <w:p w14:paraId="6ED6952E">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（6）城镇空间格局</w:t>
      </w:r>
    </w:p>
    <w:p w14:paraId="72035AA7">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发挥县城周边城镇群、东南城镇群、西南城镇群对县域空间格局的协调作用，积极培育县域新增长极，加强与区域发展轴线的衔接，构建“中心集聚、两横两纵、三群三圈”的城镇空间格局。</w:t>
      </w:r>
    </w:p>
    <w:p w14:paraId="4B6F92DE">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中心集聚。以霍山县城为中心，强化县城在人口聚集、资源配置、产业发展等方面的集聚效应，提升县城综合竞争力和承载能力，带动周边乡镇发展。</w:t>
      </w:r>
    </w:p>
    <w:p w14:paraId="700BBC76">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两横两纵。分别以贯穿县域的济广高速、G346（霍英绿色公路）、</w:t>
      </w:r>
      <w:r>
        <w:rPr>
          <w:rFonts w:hint="default" w:ascii="仿宋" w:hAnsi="仿宋" w:eastAsia="仿宋" w:cs="仿宋"/>
          <w:color w:val="000000" w:themeColor="text1"/>
          <w:sz w:val="28"/>
          <w:szCs w:val="36"/>
          <w:highlight w:val="none"/>
          <w:lang w:val="en-US" w:eastAsia="zh-CN"/>
          <w14:textFill>
            <w14:solidFill>
              <w14:schemeClr w14:val="tx1"/>
            </w14:solidFill>
          </w14:textFill>
        </w:rPr>
        <w:t>G105</w:t>
      </w:r>
      <w:r>
        <w:rPr>
          <w:rFonts w:hint="eastAsia" w:ascii="仿宋" w:hAnsi="仿宋" w:eastAsia="仿宋" w:cs="仿宋"/>
          <w:color w:val="000000" w:themeColor="text1"/>
          <w:sz w:val="28"/>
          <w:szCs w:val="36"/>
          <w:highlight w:val="none"/>
          <w:lang w:val="en-US" w:eastAsia="zh-CN"/>
          <w14:textFill>
            <w14:solidFill>
              <w14:schemeClr w14:val="tx1"/>
            </w14:solidFill>
          </w14:textFill>
        </w:rPr>
        <w:t>、</w:t>
      </w:r>
      <w:r>
        <w:rPr>
          <w:rFonts w:hint="default" w:ascii="仿宋" w:hAnsi="仿宋" w:eastAsia="仿宋" w:cs="仿宋"/>
          <w:color w:val="000000" w:themeColor="text1"/>
          <w:sz w:val="28"/>
          <w:szCs w:val="36"/>
          <w:highlight w:val="none"/>
          <w:lang w:val="en-US" w:eastAsia="zh-CN"/>
          <w14:textFill>
            <w14:solidFill>
              <w14:schemeClr w14:val="tx1"/>
            </w14:solidFill>
          </w14:textFill>
        </w:rPr>
        <w:t>S333</w:t>
      </w:r>
      <w:r>
        <w:rPr>
          <w:rFonts w:hint="eastAsia" w:ascii="仿宋" w:hAnsi="仿宋" w:eastAsia="仿宋" w:cs="仿宋"/>
          <w:color w:val="000000" w:themeColor="text1"/>
          <w:sz w:val="28"/>
          <w:szCs w:val="36"/>
          <w:highlight w:val="none"/>
          <w:lang w:val="en-US" w:eastAsia="zh-CN"/>
          <w14:textFill>
            <w14:solidFill>
              <w14:schemeClr w14:val="tx1"/>
            </w14:solidFill>
          </w14:textFill>
        </w:rPr>
        <w:t>以及县域南部的主干道路为骨架，形成的四条城镇发展廊道，是加强各乡镇与县城联系、串联县域各乡镇的主要通道，重点保障廊道沿线的项目建设，注重建筑和环境风貌的塑造，体现霍山山水人文特色。</w:t>
      </w:r>
    </w:p>
    <w:p w14:paraId="4C069A9B">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jc w:val="left"/>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三群三圈。“三群”指以县城为中心的县城周边城镇群、以磨子潭镇为中心的东南城镇群、以上土市镇和漫水河镇为中心的西南城镇群，即围绕三个中心城镇发展的城镇集聚区；“三圈”指县城区核心圈层、县城周边城镇集聚区圈层、由东南和西南两个城镇群构成的扩展圈层，是以县城为中心，逐步向外辐射扩散的公共服务和产业带动圈层。“三群三圈”是县域三个城镇空间单元，应重点保障城镇建设用地需求，加强农村存量建设用地整治。</w:t>
      </w:r>
      <w:r>
        <w:rPr>
          <w:rFonts w:ascii="宋体" w:hAnsi="宋体" w:eastAsia="宋体" w:cs="宋体"/>
          <w:sz w:val="24"/>
          <w:szCs w:val="24"/>
        </w:rPr>
        <w:drawing>
          <wp:inline distT="0" distB="0" distL="114300" distR="114300">
            <wp:extent cx="4679950" cy="6108065"/>
            <wp:effectExtent l="0" t="0" r="6350" b="6985"/>
            <wp:docPr id="1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IMG_256"/>
                    <pic:cNvPicPr>
                      <a:picLocks noChangeAspect="1"/>
                    </pic:cNvPicPr>
                  </pic:nvPicPr>
                  <pic:blipFill>
                    <a:blip r:embed="rId10"/>
                    <a:srcRect b="7724"/>
                    <a:stretch>
                      <a:fillRect/>
                    </a:stretch>
                  </pic:blipFill>
                  <pic:spPr>
                    <a:xfrm>
                      <a:off x="0" y="0"/>
                      <a:ext cx="4679950" cy="6108065"/>
                    </a:xfrm>
                    <a:prstGeom prst="rect">
                      <a:avLst/>
                    </a:prstGeom>
                    <a:noFill/>
                    <a:ln w="9525">
                      <a:noFill/>
                    </a:ln>
                  </pic:spPr>
                </pic:pic>
              </a:graphicData>
            </a:graphic>
          </wp:inline>
        </w:drawing>
      </w:r>
    </w:p>
    <w:p w14:paraId="4ABAF8FE">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jc w:val="left"/>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（7）环境基础设施</w:t>
      </w:r>
    </w:p>
    <w:p w14:paraId="757ADA2E">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jc w:val="left"/>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促进环卫设施集中整合与模式创新。建立分类投放、分类收集、分类运输、分类处理的生活垃圾管理系统，统筹生活垃圾公共转运、处理设施与收集设施的有效衔接，推动实现生活垃圾减量化、资源化、无害化。规划到2025年，基本建立生活垃圾分类处理系统，生活垃圾资源化利</w:t>
      </w:r>
      <w:r>
        <w:rPr>
          <w:rFonts w:hint="default" w:ascii="仿宋" w:hAnsi="仿宋" w:eastAsia="仿宋" w:cs="仿宋"/>
          <w:color w:val="000000" w:themeColor="text1"/>
          <w:sz w:val="28"/>
          <w:szCs w:val="36"/>
          <w:highlight w:val="none"/>
          <w:lang w:val="en-US" w:eastAsia="zh-CN"/>
          <w14:textFill>
            <w14:solidFill>
              <w14:schemeClr w14:val="tx1"/>
            </w14:solidFill>
          </w14:textFill>
        </w:rPr>
        <w:t>81</w:t>
      </w:r>
      <w:r>
        <w:rPr>
          <w:rFonts w:hint="eastAsia" w:ascii="仿宋" w:hAnsi="仿宋" w:eastAsia="仿宋" w:cs="仿宋"/>
          <w:color w:val="000000" w:themeColor="text1"/>
          <w:sz w:val="28"/>
          <w:szCs w:val="36"/>
          <w:highlight w:val="none"/>
          <w:lang w:val="en-US" w:eastAsia="zh-CN"/>
          <w14:textFill>
            <w14:solidFill>
              <w14:schemeClr w14:val="tx1"/>
            </w14:solidFill>
          </w14:textFill>
        </w:rPr>
        <w:t>用率达到</w:t>
      </w:r>
      <w:r>
        <w:rPr>
          <w:rFonts w:hint="default" w:ascii="仿宋" w:hAnsi="仿宋" w:eastAsia="仿宋" w:cs="仿宋"/>
          <w:color w:val="000000" w:themeColor="text1"/>
          <w:sz w:val="28"/>
          <w:szCs w:val="36"/>
          <w:highlight w:val="none"/>
          <w:lang w:val="en-US" w:eastAsia="zh-CN"/>
          <w14:textFill>
            <w14:solidFill>
              <w14:schemeClr w14:val="tx1"/>
            </w14:solidFill>
          </w14:textFill>
        </w:rPr>
        <w:t>60%</w:t>
      </w:r>
      <w:r>
        <w:rPr>
          <w:rFonts w:hint="eastAsia" w:ascii="仿宋" w:hAnsi="仿宋" w:eastAsia="仿宋" w:cs="仿宋"/>
          <w:color w:val="000000" w:themeColor="text1"/>
          <w:sz w:val="28"/>
          <w:szCs w:val="36"/>
          <w:highlight w:val="none"/>
          <w:lang w:val="en-US" w:eastAsia="zh-CN"/>
          <w14:textFill>
            <w14:solidFill>
              <w14:schemeClr w14:val="tx1"/>
            </w14:solidFill>
          </w14:textFill>
        </w:rPr>
        <w:t>以上，生活垃圾回收利用率达到</w:t>
      </w:r>
      <w:r>
        <w:rPr>
          <w:rFonts w:hint="default" w:ascii="仿宋" w:hAnsi="仿宋" w:eastAsia="仿宋" w:cs="仿宋"/>
          <w:color w:val="000000" w:themeColor="text1"/>
          <w:sz w:val="28"/>
          <w:szCs w:val="36"/>
          <w:highlight w:val="none"/>
          <w:lang w:val="en-US" w:eastAsia="zh-CN"/>
          <w14:textFill>
            <w14:solidFill>
              <w14:schemeClr w14:val="tx1"/>
            </w14:solidFill>
          </w14:textFill>
        </w:rPr>
        <w:t>35%</w:t>
      </w:r>
      <w:r>
        <w:rPr>
          <w:rFonts w:hint="eastAsia" w:ascii="仿宋" w:hAnsi="仿宋" w:eastAsia="仿宋" w:cs="仿宋"/>
          <w:color w:val="000000" w:themeColor="text1"/>
          <w:sz w:val="28"/>
          <w:szCs w:val="36"/>
          <w:highlight w:val="none"/>
          <w:lang w:val="en-US" w:eastAsia="zh-CN"/>
          <w14:textFill>
            <w14:solidFill>
              <w14:schemeClr w14:val="tx1"/>
            </w14:solidFill>
          </w14:textFill>
        </w:rPr>
        <w:t>以上。规划到</w:t>
      </w:r>
      <w:r>
        <w:rPr>
          <w:rFonts w:hint="default" w:ascii="仿宋" w:hAnsi="仿宋" w:eastAsia="仿宋" w:cs="仿宋"/>
          <w:color w:val="000000" w:themeColor="text1"/>
          <w:sz w:val="28"/>
          <w:szCs w:val="36"/>
          <w:highlight w:val="none"/>
          <w:lang w:val="en-US" w:eastAsia="zh-CN"/>
          <w14:textFill>
            <w14:solidFill>
              <w14:schemeClr w14:val="tx1"/>
            </w14:solidFill>
          </w14:textFill>
        </w:rPr>
        <w:t>2035</w:t>
      </w:r>
      <w:r>
        <w:rPr>
          <w:rFonts w:hint="eastAsia" w:ascii="仿宋" w:hAnsi="仿宋" w:eastAsia="仿宋" w:cs="仿宋"/>
          <w:color w:val="000000" w:themeColor="text1"/>
          <w:sz w:val="28"/>
          <w:szCs w:val="36"/>
          <w:highlight w:val="none"/>
          <w:lang w:val="en-US" w:eastAsia="zh-CN"/>
          <w14:textFill>
            <w14:solidFill>
              <w14:schemeClr w14:val="tx1"/>
            </w14:solidFill>
          </w14:textFill>
        </w:rPr>
        <w:t>年，生活垃圾资源化利用率与生活垃圾回收利用率按照省级下达指标执行。逐步实现全县生活垃圾分类设施全覆盖，实施垃圾源头减量，居住小区及公共场所配套符合环保要求的分类收集房</w:t>
      </w:r>
      <w:r>
        <w:rPr>
          <w:rFonts w:hint="default" w:ascii="仿宋" w:hAnsi="仿宋" w:eastAsia="仿宋" w:cs="仿宋"/>
          <w:color w:val="000000" w:themeColor="text1"/>
          <w:sz w:val="28"/>
          <w:szCs w:val="36"/>
          <w:highlight w:val="none"/>
          <w:lang w:val="en-US" w:eastAsia="zh-CN"/>
          <w14:textFill>
            <w14:solidFill>
              <w14:schemeClr w14:val="tx1"/>
            </w14:solidFill>
          </w14:textFill>
        </w:rPr>
        <w:t>(</w:t>
      </w:r>
      <w:r>
        <w:rPr>
          <w:rFonts w:hint="eastAsia" w:ascii="仿宋" w:hAnsi="仿宋" w:eastAsia="仿宋" w:cs="仿宋"/>
          <w:color w:val="000000" w:themeColor="text1"/>
          <w:sz w:val="28"/>
          <w:szCs w:val="36"/>
          <w:highlight w:val="none"/>
          <w:lang w:val="en-US" w:eastAsia="zh-CN"/>
          <w14:textFill>
            <w14:solidFill>
              <w14:schemeClr w14:val="tx1"/>
            </w14:solidFill>
          </w14:textFill>
        </w:rPr>
        <w:t>亭</w:t>
      </w:r>
      <w:r>
        <w:rPr>
          <w:rFonts w:hint="default" w:ascii="仿宋" w:hAnsi="仿宋" w:eastAsia="仿宋" w:cs="仿宋"/>
          <w:color w:val="000000" w:themeColor="text1"/>
          <w:sz w:val="28"/>
          <w:szCs w:val="36"/>
          <w:highlight w:val="none"/>
          <w:lang w:val="en-US" w:eastAsia="zh-CN"/>
          <w14:textFill>
            <w14:solidFill>
              <w14:schemeClr w14:val="tx1"/>
            </w14:solidFill>
          </w14:textFill>
        </w:rPr>
        <w:t>)</w:t>
      </w:r>
      <w:r>
        <w:rPr>
          <w:rFonts w:hint="eastAsia" w:ascii="仿宋" w:hAnsi="仿宋" w:eastAsia="仿宋" w:cs="仿宋"/>
          <w:color w:val="000000" w:themeColor="text1"/>
          <w:sz w:val="28"/>
          <w:szCs w:val="36"/>
          <w:highlight w:val="none"/>
          <w:lang w:val="en-US" w:eastAsia="zh-CN"/>
          <w14:textFill>
            <w14:solidFill>
              <w14:schemeClr w14:val="tx1"/>
            </w14:solidFill>
          </w14:textFill>
        </w:rPr>
        <w:t>。对原有垃圾转运站升级改造，完善各类垃圾处置能力建设，健全垃圾回收利用及分类处置能力，在保留现有设施基础上新建生活垃圾转运站生活垃圾分拣中心、环卫车辆停车场、餐厨垃圾处置项目，规划续建建筑垃圾处理二期项目。有序开展生活垃圾卫生填埋场综合整治，对填埋场进行生态修复。</w:t>
      </w:r>
    </w:p>
    <w:p w14:paraId="64102F77">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jc w:val="left"/>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规划续建霍山县垃圾焚烧发电厂二期项目，生活垃圾焚烧处理能力达到</w:t>
      </w:r>
      <w:r>
        <w:rPr>
          <w:rFonts w:hint="default" w:ascii="仿宋" w:hAnsi="仿宋" w:eastAsia="仿宋" w:cs="仿宋"/>
          <w:color w:val="000000" w:themeColor="text1"/>
          <w:sz w:val="28"/>
          <w:szCs w:val="36"/>
          <w:highlight w:val="none"/>
          <w:lang w:val="en-US" w:eastAsia="zh-CN"/>
          <w14:textFill>
            <w14:solidFill>
              <w14:schemeClr w14:val="tx1"/>
            </w14:solidFill>
          </w14:textFill>
        </w:rPr>
        <w:t>400</w:t>
      </w:r>
      <w:r>
        <w:rPr>
          <w:rFonts w:hint="eastAsia" w:ascii="仿宋" w:hAnsi="仿宋" w:eastAsia="仿宋" w:cs="仿宋"/>
          <w:color w:val="000000" w:themeColor="text1"/>
          <w:sz w:val="28"/>
          <w:szCs w:val="36"/>
          <w:highlight w:val="none"/>
          <w:lang w:val="en-US" w:eastAsia="zh-CN"/>
          <w14:textFill>
            <w14:solidFill>
              <w14:schemeClr w14:val="tx1"/>
            </w14:solidFill>
          </w14:textFill>
        </w:rPr>
        <w:t>吨</w:t>
      </w:r>
      <w:r>
        <w:rPr>
          <w:rFonts w:hint="default" w:ascii="仿宋" w:hAnsi="仿宋" w:eastAsia="仿宋" w:cs="仿宋"/>
          <w:color w:val="000000" w:themeColor="text1"/>
          <w:sz w:val="28"/>
          <w:szCs w:val="36"/>
          <w:highlight w:val="none"/>
          <w:lang w:val="en-US" w:eastAsia="zh-CN"/>
          <w14:textFill>
            <w14:solidFill>
              <w14:schemeClr w14:val="tx1"/>
            </w14:solidFill>
          </w14:textFill>
        </w:rPr>
        <w:t>/</w:t>
      </w:r>
      <w:r>
        <w:rPr>
          <w:rFonts w:hint="eastAsia" w:ascii="仿宋" w:hAnsi="仿宋" w:eastAsia="仿宋" w:cs="仿宋"/>
          <w:color w:val="000000" w:themeColor="text1"/>
          <w:sz w:val="28"/>
          <w:szCs w:val="36"/>
          <w:highlight w:val="none"/>
          <w:lang w:val="en-US" w:eastAsia="zh-CN"/>
          <w14:textFill>
            <w14:solidFill>
              <w14:schemeClr w14:val="tx1"/>
            </w14:solidFill>
          </w14:textFill>
        </w:rPr>
        <w:t>日，保持县域生活垃圾焚烧处理比率达</w:t>
      </w:r>
      <w:r>
        <w:rPr>
          <w:rFonts w:hint="default" w:ascii="仿宋" w:hAnsi="仿宋" w:eastAsia="仿宋" w:cs="仿宋"/>
          <w:color w:val="000000" w:themeColor="text1"/>
          <w:sz w:val="28"/>
          <w:szCs w:val="36"/>
          <w:highlight w:val="none"/>
          <w:lang w:val="en-US" w:eastAsia="zh-CN"/>
          <w14:textFill>
            <w14:solidFill>
              <w14:schemeClr w14:val="tx1"/>
            </w14:solidFill>
          </w14:textFill>
        </w:rPr>
        <w:t>100%</w:t>
      </w:r>
      <w:r>
        <w:rPr>
          <w:rFonts w:hint="eastAsia" w:ascii="仿宋" w:hAnsi="仿宋" w:eastAsia="仿宋" w:cs="仿宋"/>
          <w:color w:val="000000" w:themeColor="text1"/>
          <w:sz w:val="28"/>
          <w:szCs w:val="36"/>
          <w:highlight w:val="none"/>
          <w:lang w:val="en-US" w:eastAsia="zh-CN"/>
          <w14:textFill>
            <w14:solidFill>
              <w14:schemeClr w14:val="tx1"/>
            </w14:solidFill>
          </w14:textFill>
        </w:rPr>
        <w:t>。拟新建霍山县大别山革命老区生态环保垃圾处理设施补短板项目。积极探索采取小型厨余垃圾处理站模式就地处置居民区和单位厨余垃圾。至规划期末，餐厨垃圾集中处理能力达到</w:t>
      </w:r>
      <w:r>
        <w:rPr>
          <w:rFonts w:hint="default" w:ascii="仿宋" w:hAnsi="仿宋" w:eastAsia="仿宋" w:cs="仿宋"/>
          <w:color w:val="000000" w:themeColor="text1"/>
          <w:sz w:val="28"/>
          <w:szCs w:val="36"/>
          <w:highlight w:val="none"/>
          <w:lang w:val="en-US" w:eastAsia="zh-CN"/>
          <w14:textFill>
            <w14:solidFill>
              <w14:schemeClr w14:val="tx1"/>
            </w14:solidFill>
          </w14:textFill>
        </w:rPr>
        <w:t>400</w:t>
      </w:r>
      <w:r>
        <w:rPr>
          <w:rFonts w:hint="eastAsia" w:ascii="仿宋" w:hAnsi="仿宋" w:eastAsia="仿宋" w:cs="仿宋"/>
          <w:color w:val="000000" w:themeColor="text1"/>
          <w:sz w:val="28"/>
          <w:szCs w:val="36"/>
          <w:highlight w:val="none"/>
          <w:lang w:val="en-US" w:eastAsia="zh-CN"/>
          <w14:textFill>
            <w14:solidFill>
              <w14:schemeClr w14:val="tx1"/>
            </w14:solidFill>
          </w14:textFill>
        </w:rPr>
        <w:t>吨</w:t>
      </w:r>
      <w:r>
        <w:rPr>
          <w:rFonts w:hint="default" w:ascii="仿宋" w:hAnsi="仿宋" w:eastAsia="仿宋" w:cs="仿宋"/>
          <w:color w:val="000000" w:themeColor="text1"/>
          <w:sz w:val="28"/>
          <w:szCs w:val="36"/>
          <w:highlight w:val="none"/>
          <w:lang w:val="en-US" w:eastAsia="zh-CN"/>
          <w14:textFill>
            <w14:solidFill>
              <w14:schemeClr w14:val="tx1"/>
            </w14:solidFill>
          </w14:textFill>
        </w:rPr>
        <w:t>/</w:t>
      </w:r>
      <w:r>
        <w:rPr>
          <w:rFonts w:hint="eastAsia" w:ascii="仿宋" w:hAnsi="仿宋" w:eastAsia="仿宋" w:cs="仿宋"/>
          <w:color w:val="000000" w:themeColor="text1"/>
          <w:sz w:val="28"/>
          <w:szCs w:val="36"/>
          <w:highlight w:val="none"/>
          <w:lang w:val="en-US" w:eastAsia="zh-CN"/>
          <w14:textFill>
            <w14:solidFill>
              <w14:schemeClr w14:val="tx1"/>
            </w14:solidFill>
          </w14:textFill>
        </w:rPr>
        <w:t>日。进一步提高公厕、环卫驿站等环卫公共设施的覆盖密度和建设水平，公厕按照每平方公里</w:t>
      </w:r>
      <w:r>
        <w:rPr>
          <w:rFonts w:hint="default" w:ascii="仿宋" w:hAnsi="仿宋" w:eastAsia="仿宋" w:cs="仿宋"/>
          <w:color w:val="000000" w:themeColor="text1"/>
          <w:sz w:val="28"/>
          <w:szCs w:val="36"/>
          <w:highlight w:val="none"/>
          <w:lang w:val="en-US" w:eastAsia="zh-CN"/>
          <w14:textFill>
            <w14:solidFill>
              <w14:schemeClr w14:val="tx1"/>
            </w14:solidFill>
          </w14:textFill>
        </w:rPr>
        <w:t>3-5</w:t>
      </w:r>
      <w:r>
        <w:rPr>
          <w:rFonts w:hint="eastAsia" w:ascii="仿宋" w:hAnsi="仿宋" w:eastAsia="仿宋" w:cs="仿宋"/>
          <w:color w:val="000000" w:themeColor="text1"/>
          <w:sz w:val="28"/>
          <w:szCs w:val="36"/>
          <w:highlight w:val="none"/>
          <w:lang w:val="en-US" w:eastAsia="zh-CN"/>
          <w14:textFill>
            <w14:solidFill>
              <w14:schemeClr w14:val="tx1"/>
            </w14:solidFill>
          </w14:textFill>
        </w:rPr>
        <w:t>座标准配建，且建设标准不低于二类公厕标准。规划近期在北外环沿线区域新建</w:t>
      </w:r>
      <w:r>
        <w:rPr>
          <w:rFonts w:hint="default" w:ascii="仿宋" w:hAnsi="仿宋" w:eastAsia="仿宋" w:cs="仿宋"/>
          <w:color w:val="000000" w:themeColor="text1"/>
          <w:sz w:val="28"/>
          <w:szCs w:val="36"/>
          <w:highlight w:val="none"/>
          <w:lang w:val="en-US" w:eastAsia="zh-CN"/>
          <w14:textFill>
            <w14:solidFill>
              <w14:schemeClr w14:val="tx1"/>
            </w14:solidFill>
          </w14:textFill>
        </w:rPr>
        <w:t>2</w:t>
      </w:r>
      <w:r>
        <w:rPr>
          <w:rFonts w:hint="eastAsia" w:ascii="仿宋" w:hAnsi="仿宋" w:eastAsia="仿宋" w:cs="仿宋"/>
          <w:color w:val="000000" w:themeColor="text1"/>
          <w:sz w:val="28"/>
          <w:szCs w:val="36"/>
          <w:highlight w:val="none"/>
          <w:lang w:val="en-US" w:eastAsia="zh-CN"/>
          <w14:textFill>
            <w14:solidFill>
              <w14:schemeClr w14:val="tx1"/>
            </w14:solidFill>
          </w14:textFill>
        </w:rPr>
        <w:t>座生活垃圾中转站。</w:t>
      </w:r>
      <w:bookmarkStart w:id="29" w:name="2.4.3 《“十四五”安徽省城镇生活垃圾分类和处理设施发展规划》"/>
      <w:bookmarkEnd w:id="29"/>
      <w:bookmarkStart w:id="30" w:name="2.4.3 《“十四五”安徽省城镇生活垃圾分类和处理设施发展规划》"/>
      <w:bookmarkEnd w:id="30"/>
    </w:p>
    <w:p w14:paraId="01D47520">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jc w:val="left"/>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2、《“十四五”安徽省城镇生活垃圾分类和处理设施发展规划》</w:t>
      </w:r>
    </w:p>
    <w:p w14:paraId="71DEB556">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jc w:val="left"/>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（1）基本原则</w:t>
      </w:r>
    </w:p>
    <w:p w14:paraId="0597ADB6">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jc w:val="left"/>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坚持统筹规划、合理布局。按照区域协同、共建共享的理念，充分发挥规划引领和指导作用，加强生活垃圾分类投放、分类收集、分类转运和分类处理的系统谋划，统筹规划布局生活垃圾处理设施，合理确定项目建设规模，科学论证建设项目场址，有序推进生活垃圾处理设施建设。具备条件的市（县）规划建设综合处理产业园区，降低环境“邻避效应”。</w:t>
      </w:r>
    </w:p>
    <w:p w14:paraId="1364AC8E">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jc w:val="left"/>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坚持因地制宜、强化管理。考虑安徽省南北地区在地域面积、人口分布、交通组织等多方面都存在较大差异，按照“减量化、资源化和无害化”的原则，因地制宜选择科学合理的生活垃圾收运模式和先进适用的处理技术，加大垃圾处理设施污染防治和改造升级力度，形成符合各设区市条件和特点的生活垃圾分类和处理模式。建立健全长效管理机制，加强环境监管体系建设，保障无害化处理设施安全、达标、稳定运行。</w:t>
      </w:r>
    </w:p>
    <w:p w14:paraId="7BEA64E0">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jc w:val="left"/>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坚持创新驱动、多元协同。加强体制机制创新，完善处理设施投资建设和管理体制，积极推进设施运营模式多样化和环境污染第三方治理等模式，健全市场机制，鼓励社会资本积极参与垃圾无害化处理设施的投资、建设和经营，营造良好的市场环境。以科技创新为动力，鼓励技术创新，不断提高生活垃圾减量化、资源化和无害化处理水平。</w:t>
      </w:r>
    </w:p>
    <w:p w14:paraId="53DAE0BE">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jc w:val="left"/>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坚持政府引导、全民参与。加强政府的科学引导和带动作用，调动各类企业、社会团体、公众参与垃圾分类的积极性和主动性，通过全社会参与，逐步健全生活垃圾分类体系建设。加强公众监管，保障公众的知情权、参与权、监督权，推动生活垃圾减量化、资源化、无害化处理各项目标的实现，形成全社会共同推进生活垃圾分类和处理的良好格局。</w:t>
      </w:r>
    </w:p>
    <w:p w14:paraId="5D9D58E2">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jc w:val="left"/>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（2）规划目标</w:t>
      </w:r>
    </w:p>
    <w:p w14:paraId="08D1A387">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jc w:val="left"/>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到2025年，合肥、铜陵市生活垃圾分类和处理能力进一步提升，其余地级市因地制宜基本建成生活垃圾分类和处理系统，具备条件的县城基本建成生活垃圾分类和处理系统，支持建制镇加快补齐生活垃圾收集、转运、无害化处理设施短板。</w:t>
      </w:r>
    </w:p>
    <w:p w14:paraId="66BD73E8">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jc w:val="left"/>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具体目标如下：</w:t>
      </w:r>
    </w:p>
    <w:p w14:paraId="7AD78229">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jc w:val="left"/>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——生活垃圾无害化处理率：到2025年底，全省城市生活垃圾治理稳定持续，无害化处理设施提质增效，城市生活垃圾无害化处理率稳定在100%。</w:t>
      </w:r>
    </w:p>
    <w:p w14:paraId="67005248">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jc w:val="left"/>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——生活垃圾焚烧处理能力：到2025年底，全省城市生活垃圾焚烧处理能力占无害化处理总能力的75%，全省城市基本实现城市原生垃圾“零填埋”。</w:t>
      </w:r>
    </w:p>
    <w:p w14:paraId="60F71759">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jc w:val="left"/>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——生活垃圾资源化利用率：到2025年底，全省城市生活垃圾资源化利用率达到60%左右。</w:t>
      </w:r>
    </w:p>
    <w:p w14:paraId="22521958">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jc w:val="left"/>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——生活垃圾分类收运能力：到2025年底，全省城市基本建成生活垃圾分类投放、分类收集、分类转运、分类处理体系。</w:t>
      </w:r>
    </w:p>
    <w:p w14:paraId="568095C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jc w:val="center"/>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bookmarkStart w:id="31" w:name="表2-3 十四五规划目标"/>
      <w:bookmarkEnd w:id="31"/>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十四五规划目标</w:t>
      </w:r>
    </w:p>
    <w:tbl>
      <w:tblPr>
        <w:tblStyle w:val="12"/>
        <w:tblW w:w="5034"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1749"/>
        <w:gridCol w:w="1533"/>
        <w:gridCol w:w="1784"/>
        <w:gridCol w:w="1483"/>
        <w:gridCol w:w="1824"/>
      </w:tblGrid>
      <w:tr w14:paraId="575DAC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2" w:hRule="atLeast"/>
        </w:trPr>
        <w:tc>
          <w:tcPr>
            <w:tcW w:w="1959" w:type="pct"/>
            <w:gridSpan w:val="2"/>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1E1DB04F">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仿宋" w:hAnsi="仿宋" w:eastAsia="仿宋" w:cs="仿宋"/>
                <w:b w:val="0"/>
                <w:color w:val="000000"/>
                <w:sz w:val="24"/>
                <w:szCs w:val="24"/>
              </w:rPr>
            </w:pPr>
            <w:r>
              <w:rPr>
                <w:rFonts w:hint="eastAsia" w:ascii="仿宋" w:hAnsi="仿宋" w:eastAsia="仿宋" w:cs="仿宋"/>
                <w:b w:val="0"/>
                <w:color w:val="000000"/>
                <w:sz w:val="24"/>
                <w:szCs w:val="24"/>
              </w:rPr>
              <w:t>项目</w:t>
            </w:r>
          </w:p>
        </w:tc>
        <w:tc>
          <w:tcPr>
            <w:tcW w:w="10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DF140D">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仿宋" w:hAnsi="仿宋" w:eastAsia="仿宋" w:cs="仿宋"/>
                <w:b w:val="0"/>
                <w:color w:val="000000"/>
                <w:sz w:val="24"/>
                <w:szCs w:val="24"/>
              </w:rPr>
            </w:pPr>
            <w:r>
              <w:rPr>
                <w:rFonts w:hint="eastAsia" w:ascii="仿宋" w:hAnsi="仿宋" w:eastAsia="仿宋" w:cs="仿宋"/>
                <w:b w:val="0"/>
                <w:color w:val="000000"/>
                <w:sz w:val="24"/>
                <w:szCs w:val="24"/>
              </w:rPr>
              <w:t>“十三五”规划</w:t>
            </w:r>
          </w:p>
          <w:p w14:paraId="160D5AB1">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仿宋" w:hAnsi="仿宋" w:eastAsia="仿宋" w:cs="仿宋"/>
                <w:b w:val="0"/>
                <w:color w:val="000000"/>
                <w:sz w:val="24"/>
                <w:szCs w:val="24"/>
              </w:rPr>
            </w:pPr>
            <w:r>
              <w:rPr>
                <w:rFonts w:hint="eastAsia" w:ascii="仿宋" w:hAnsi="仿宋" w:eastAsia="仿宋" w:cs="仿宋"/>
                <w:b w:val="0"/>
                <w:color w:val="000000"/>
                <w:sz w:val="24"/>
                <w:szCs w:val="24"/>
              </w:rPr>
              <w:t>指标</w:t>
            </w:r>
          </w:p>
        </w:tc>
        <w:tc>
          <w:tcPr>
            <w:tcW w:w="8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125D83">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仿宋" w:hAnsi="仿宋" w:eastAsia="仿宋" w:cs="仿宋"/>
                <w:b w:val="0"/>
                <w:color w:val="000000"/>
                <w:sz w:val="24"/>
                <w:szCs w:val="24"/>
              </w:rPr>
            </w:pPr>
            <w:r>
              <w:rPr>
                <w:rFonts w:hint="eastAsia" w:ascii="仿宋" w:hAnsi="仿宋" w:eastAsia="仿宋" w:cs="仿宋"/>
                <w:b w:val="0"/>
                <w:color w:val="000000"/>
                <w:sz w:val="24"/>
                <w:szCs w:val="24"/>
              </w:rPr>
              <w:t>2020年底</w:t>
            </w:r>
          </w:p>
          <w:p w14:paraId="0500D90A">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仿宋" w:hAnsi="仿宋" w:eastAsia="仿宋" w:cs="仿宋"/>
                <w:b w:val="0"/>
                <w:color w:val="000000"/>
                <w:sz w:val="24"/>
                <w:szCs w:val="24"/>
              </w:rPr>
            </w:pPr>
            <w:r>
              <w:rPr>
                <w:rFonts w:hint="eastAsia" w:ascii="仿宋" w:hAnsi="仿宋" w:eastAsia="仿宋" w:cs="仿宋"/>
                <w:b w:val="0"/>
                <w:color w:val="000000"/>
                <w:sz w:val="24"/>
                <w:szCs w:val="24"/>
              </w:rPr>
              <w:t>指标</w:t>
            </w:r>
          </w:p>
        </w:tc>
        <w:tc>
          <w:tcPr>
            <w:tcW w:w="108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84B8FE">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仿宋" w:hAnsi="仿宋" w:eastAsia="仿宋" w:cs="仿宋"/>
                <w:b w:val="0"/>
                <w:color w:val="000000"/>
                <w:sz w:val="24"/>
                <w:szCs w:val="24"/>
              </w:rPr>
            </w:pPr>
            <w:r>
              <w:rPr>
                <w:rFonts w:hint="eastAsia" w:ascii="仿宋" w:hAnsi="仿宋" w:eastAsia="仿宋" w:cs="仿宋"/>
                <w:b w:val="0"/>
                <w:color w:val="000000"/>
                <w:sz w:val="24"/>
                <w:szCs w:val="24"/>
              </w:rPr>
              <w:t>“十四五”规划</w:t>
            </w:r>
          </w:p>
          <w:p w14:paraId="32FC2423">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仿宋" w:hAnsi="仿宋" w:eastAsia="仿宋" w:cs="仿宋"/>
                <w:b w:val="0"/>
                <w:color w:val="000000"/>
                <w:sz w:val="24"/>
                <w:szCs w:val="24"/>
              </w:rPr>
            </w:pPr>
            <w:r>
              <w:rPr>
                <w:rFonts w:hint="eastAsia" w:ascii="仿宋" w:hAnsi="仿宋" w:eastAsia="仿宋" w:cs="仿宋"/>
                <w:b w:val="0"/>
                <w:color w:val="000000"/>
                <w:sz w:val="24"/>
                <w:szCs w:val="24"/>
              </w:rPr>
              <w:t>指标</w:t>
            </w:r>
          </w:p>
        </w:tc>
      </w:tr>
      <w:tr w14:paraId="47391D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1044"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9FD5440">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仿宋" w:hAnsi="仿宋" w:eastAsia="仿宋" w:cs="仿宋"/>
                <w:b w:val="0"/>
                <w:color w:val="000000"/>
                <w:sz w:val="24"/>
                <w:szCs w:val="24"/>
              </w:rPr>
            </w:pPr>
            <w:r>
              <w:rPr>
                <w:rFonts w:hint="eastAsia" w:ascii="仿宋" w:hAnsi="仿宋" w:eastAsia="仿宋" w:cs="仿宋"/>
                <w:b w:val="0"/>
                <w:color w:val="000000"/>
                <w:sz w:val="24"/>
                <w:szCs w:val="24"/>
              </w:rPr>
              <w:t>生活垃圾</w:t>
            </w:r>
            <w:r>
              <w:rPr>
                <w:rFonts w:hint="eastAsia" w:ascii="仿宋" w:hAnsi="仿宋" w:eastAsia="仿宋" w:cs="仿宋"/>
                <w:b w:val="0"/>
                <w:color w:val="000000"/>
                <w:spacing w:val="-3"/>
                <w:sz w:val="24"/>
                <w:szCs w:val="24"/>
              </w:rPr>
              <w:t>无害化处理率</w:t>
            </w:r>
          </w:p>
        </w:tc>
        <w:tc>
          <w:tcPr>
            <w:tcW w:w="9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62DB05">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仿宋" w:hAnsi="仿宋" w:eastAsia="仿宋" w:cs="仿宋"/>
                <w:b w:val="0"/>
                <w:color w:val="000000"/>
                <w:sz w:val="24"/>
                <w:szCs w:val="24"/>
              </w:rPr>
            </w:pPr>
            <w:r>
              <w:rPr>
                <w:rFonts w:hint="eastAsia" w:ascii="仿宋" w:hAnsi="仿宋" w:eastAsia="仿宋" w:cs="仿宋"/>
                <w:b w:val="0"/>
                <w:color w:val="000000"/>
                <w:sz w:val="24"/>
                <w:szCs w:val="24"/>
              </w:rPr>
              <w:t>设市城市</w:t>
            </w:r>
          </w:p>
        </w:tc>
        <w:tc>
          <w:tcPr>
            <w:tcW w:w="10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9AAAF4">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仿宋" w:hAnsi="仿宋" w:eastAsia="仿宋" w:cs="仿宋"/>
                <w:b w:val="0"/>
                <w:color w:val="000000"/>
                <w:sz w:val="24"/>
                <w:szCs w:val="24"/>
              </w:rPr>
            </w:pPr>
            <w:r>
              <w:rPr>
                <w:rFonts w:hint="eastAsia" w:ascii="仿宋" w:hAnsi="仿宋" w:eastAsia="仿宋" w:cs="仿宋"/>
                <w:b w:val="0"/>
                <w:color w:val="000000"/>
                <w:sz w:val="24"/>
                <w:szCs w:val="24"/>
              </w:rPr>
              <w:t>100%</w:t>
            </w:r>
          </w:p>
        </w:tc>
        <w:tc>
          <w:tcPr>
            <w:tcW w:w="8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CB09A0">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仿宋" w:hAnsi="仿宋" w:eastAsia="仿宋" w:cs="仿宋"/>
                <w:b w:val="0"/>
                <w:color w:val="000000"/>
                <w:sz w:val="24"/>
                <w:szCs w:val="24"/>
              </w:rPr>
            </w:pPr>
            <w:r>
              <w:rPr>
                <w:rFonts w:hint="eastAsia" w:ascii="仿宋" w:hAnsi="仿宋" w:eastAsia="仿宋" w:cs="仿宋"/>
                <w:b w:val="0"/>
                <w:color w:val="000000"/>
                <w:sz w:val="24"/>
                <w:szCs w:val="24"/>
              </w:rPr>
              <w:t>100%</w:t>
            </w:r>
          </w:p>
        </w:tc>
        <w:tc>
          <w:tcPr>
            <w:tcW w:w="108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CDA706">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仿宋" w:hAnsi="仿宋" w:eastAsia="仿宋" w:cs="仿宋"/>
                <w:b w:val="0"/>
                <w:color w:val="000000"/>
                <w:sz w:val="24"/>
                <w:szCs w:val="24"/>
              </w:rPr>
            </w:pPr>
            <w:r>
              <w:rPr>
                <w:rFonts w:hint="eastAsia" w:ascii="仿宋" w:hAnsi="仿宋" w:eastAsia="仿宋" w:cs="仿宋"/>
                <w:b w:val="0"/>
                <w:color w:val="000000"/>
                <w:sz w:val="24"/>
                <w:szCs w:val="24"/>
              </w:rPr>
              <w:t>100%</w:t>
            </w:r>
          </w:p>
        </w:tc>
      </w:tr>
      <w:tr w14:paraId="63D1DA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104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627B9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仿宋" w:hAnsi="仿宋" w:eastAsia="仿宋" w:cs="仿宋"/>
                <w:b w:val="0"/>
                <w:color w:val="000000"/>
                <w:sz w:val="24"/>
                <w:szCs w:val="24"/>
              </w:rPr>
            </w:pPr>
          </w:p>
        </w:tc>
        <w:tc>
          <w:tcPr>
            <w:tcW w:w="9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8DC128">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仿宋" w:hAnsi="仿宋" w:eastAsia="仿宋" w:cs="仿宋"/>
                <w:b w:val="0"/>
                <w:color w:val="000000"/>
                <w:sz w:val="24"/>
                <w:szCs w:val="24"/>
              </w:rPr>
            </w:pPr>
            <w:r>
              <w:rPr>
                <w:rFonts w:hint="eastAsia" w:ascii="仿宋" w:hAnsi="仿宋" w:eastAsia="仿宋" w:cs="仿宋"/>
                <w:b w:val="0"/>
                <w:color w:val="000000"/>
                <w:sz w:val="24"/>
                <w:szCs w:val="24"/>
              </w:rPr>
              <w:t>县城</w:t>
            </w:r>
          </w:p>
        </w:tc>
        <w:tc>
          <w:tcPr>
            <w:tcW w:w="10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F945CC">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仿宋" w:hAnsi="仿宋" w:eastAsia="仿宋" w:cs="仿宋"/>
                <w:b w:val="0"/>
                <w:color w:val="000000"/>
                <w:sz w:val="24"/>
                <w:szCs w:val="24"/>
              </w:rPr>
            </w:pPr>
            <w:r>
              <w:rPr>
                <w:rFonts w:hint="eastAsia" w:ascii="仿宋" w:hAnsi="仿宋" w:eastAsia="仿宋" w:cs="仿宋"/>
                <w:b w:val="0"/>
                <w:color w:val="000000"/>
                <w:sz w:val="24"/>
                <w:szCs w:val="24"/>
              </w:rPr>
              <w:t>95%</w:t>
            </w:r>
          </w:p>
        </w:tc>
        <w:tc>
          <w:tcPr>
            <w:tcW w:w="8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99AFCF">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仿宋" w:hAnsi="仿宋" w:eastAsia="仿宋" w:cs="仿宋"/>
                <w:b w:val="0"/>
                <w:color w:val="000000"/>
                <w:sz w:val="24"/>
                <w:szCs w:val="24"/>
              </w:rPr>
            </w:pPr>
            <w:r>
              <w:rPr>
                <w:rFonts w:hint="eastAsia" w:ascii="仿宋" w:hAnsi="仿宋" w:eastAsia="仿宋" w:cs="仿宋"/>
                <w:b w:val="0"/>
                <w:color w:val="000000"/>
                <w:sz w:val="24"/>
                <w:szCs w:val="24"/>
              </w:rPr>
              <w:t>100%</w:t>
            </w:r>
          </w:p>
        </w:tc>
        <w:tc>
          <w:tcPr>
            <w:tcW w:w="108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39A2BD">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仿宋" w:hAnsi="仿宋" w:eastAsia="仿宋" w:cs="仿宋"/>
                <w:b w:val="0"/>
                <w:color w:val="000000"/>
                <w:sz w:val="24"/>
                <w:szCs w:val="24"/>
              </w:rPr>
            </w:pPr>
            <w:r>
              <w:rPr>
                <w:rFonts w:hint="eastAsia" w:ascii="仿宋" w:hAnsi="仿宋" w:eastAsia="仿宋" w:cs="仿宋"/>
                <w:b w:val="0"/>
                <w:color w:val="000000"/>
                <w:sz w:val="24"/>
                <w:szCs w:val="24"/>
              </w:rPr>
              <w:t>100%</w:t>
            </w:r>
          </w:p>
        </w:tc>
      </w:tr>
      <w:tr w14:paraId="5E31AB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1044"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B834838">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仿宋" w:hAnsi="仿宋" w:eastAsia="仿宋" w:cs="仿宋"/>
                <w:b w:val="0"/>
                <w:color w:val="000000"/>
                <w:sz w:val="24"/>
                <w:szCs w:val="24"/>
              </w:rPr>
            </w:pPr>
            <w:r>
              <w:rPr>
                <w:rFonts w:hint="eastAsia" w:ascii="仿宋" w:hAnsi="仿宋" w:eastAsia="仿宋" w:cs="仿宋"/>
                <w:b w:val="0"/>
                <w:color w:val="000000"/>
                <w:sz w:val="24"/>
                <w:szCs w:val="24"/>
              </w:rPr>
              <w:t>生活垃圾焚烧比例</w:t>
            </w:r>
          </w:p>
        </w:tc>
        <w:tc>
          <w:tcPr>
            <w:tcW w:w="9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A5A67A">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仿宋" w:hAnsi="仿宋" w:eastAsia="仿宋" w:cs="仿宋"/>
                <w:b w:val="0"/>
                <w:color w:val="000000"/>
                <w:sz w:val="24"/>
                <w:szCs w:val="24"/>
              </w:rPr>
            </w:pPr>
            <w:r>
              <w:rPr>
                <w:rFonts w:hint="eastAsia" w:ascii="仿宋" w:hAnsi="仿宋" w:eastAsia="仿宋" w:cs="仿宋"/>
                <w:b w:val="0"/>
                <w:color w:val="000000"/>
                <w:sz w:val="24"/>
                <w:szCs w:val="24"/>
              </w:rPr>
              <w:t>设市城市</w:t>
            </w:r>
          </w:p>
        </w:tc>
        <w:tc>
          <w:tcPr>
            <w:tcW w:w="10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75E919">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仿宋" w:hAnsi="仿宋" w:eastAsia="仿宋" w:cs="仿宋"/>
                <w:b w:val="0"/>
                <w:color w:val="000000"/>
                <w:sz w:val="24"/>
                <w:szCs w:val="24"/>
              </w:rPr>
            </w:pPr>
            <w:r>
              <w:rPr>
                <w:rFonts w:hint="eastAsia" w:ascii="仿宋" w:hAnsi="仿宋" w:eastAsia="仿宋" w:cs="仿宋"/>
                <w:b w:val="0"/>
                <w:color w:val="000000"/>
                <w:sz w:val="24"/>
                <w:szCs w:val="24"/>
              </w:rPr>
              <w:t>60%</w:t>
            </w:r>
          </w:p>
        </w:tc>
        <w:tc>
          <w:tcPr>
            <w:tcW w:w="8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7ABBE5">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仿宋" w:hAnsi="仿宋" w:eastAsia="仿宋" w:cs="仿宋"/>
                <w:b w:val="0"/>
                <w:color w:val="000000"/>
                <w:sz w:val="24"/>
                <w:szCs w:val="24"/>
              </w:rPr>
            </w:pPr>
            <w:r>
              <w:rPr>
                <w:rFonts w:hint="eastAsia" w:ascii="仿宋" w:hAnsi="仿宋" w:eastAsia="仿宋" w:cs="仿宋"/>
                <w:b w:val="0"/>
                <w:color w:val="000000"/>
                <w:sz w:val="24"/>
                <w:szCs w:val="24"/>
              </w:rPr>
              <w:t>67.4%</w:t>
            </w:r>
          </w:p>
        </w:tc>
        <w:tc>
          <w:tcPr>
            <w:tcW w:w="108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9A44D7">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仿宋" w:hAnsi="仿宋" w:eastAsia="仿宋" w:cs="仿宋"/>
                <w:b w:val="0"/>
                <w:color w:val="000000"/>
                <w:sz w:val="24"/>
                <w:szCs w:val="24"/>
              </w:rPr>
            </w:pPr>
            <w:r>
              <w:rPr>
                <w:rFonts w:hint="eastAsia" w:ascii="仿宋" w:hAnsi="仿宋" w:eastAsia="仿宋" w:cs="仿宋"/>
                <w:b w:val="0"/>
                <w:color w:val="000000"/>
                <w:sz w:val="24"/>
                <w:szCs w:val="24"/>
              </w:rPr>
              <w:t>75%</w:t>
            </w:r>
          </w:p>
        </w:tc>
      </w:tr>
      <w:tr w14:paraId="0310C9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104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209B8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仿宋" w:hAnsi="仿宋" w:eastAsia="仿宋" w:cs="仿宋"/>
                <w:b w:val="0"/>
                <w:color w:val="000000"/>
                <w:sz w:val="24"/>
                <w:szCs w:val="24"/>
              </w:rPr>
            </w:pPr>
          </w:p>
        </w:tc>
        <w:tc>
          <w:tcPr>
            <w:tcW w:w="9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0BE008">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仿宋" w:hAnsi="仿宋" w:eastAsia="仿宋" w:cs="仿宋"/>
                <w:b w:val="0"/>
                <w:color w:val="000000"/>
                <w:sz w:val="24"/>
                <w:szCs w:val="24"/>
              </w:rPr>
            </w:pPr>
            <w:r>
              <w:rPr>
                <w:rFonts w:hint="eastAsia" w:ascii="仿宋" w:hAnsi="仿宋" w:eastAsia="仿宋" w:cs="仿宋"/>
                <w:b w:val="0"/>
                <w:color w:val="000000"/>
                <w:sz w:val="24"/>
                <w:szCs w:val="24"/>
              </w:rPr>
              <w:t>县城</w:t>
            </w:r>
          </w:p>
        </w:tc>
        <w:tc>
          <w:tcPr>
            <w:tcW w:w="10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D1722E">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仿宋" w:hAnsi="仿宋" w:eastAsia="仿宋" w:cs="仿宋"/>
                <w:b w:val="0"/>
                <w:color w:val="000000"/>
                <w:sz w:val="24"/>
                <w:szCs w:val="24"/>
              </w:rPr>
            </w:pPr>
            <w:r>
              <w:rPr>
                <w:rFonts w:hint="eastAsia" w:ascii="仿宋" w:hAnsi="仿宋" w:eastAsia="仿宋" w:cs="仿宋"/>
                <w:b w:val="0"/>
                <w:color w:val="000000"/>
                <w:sz w:val="24"/>
                <w:szCs w:val="24"/>
              </w:rPr>
              <w:t>45%</w:t>
            </w:r>
          </w:p>
        </w:tc>
        <w:tc>
          <w:tcPr>
            <w:tcW w:w="8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6E6724">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仿宋" w:hAnsi="仿宋" w:eastAsia="仿宋" w:cs="仿宋"/>
                <w:b w:val="0"/>
                <w:color w:val="000000"/>
                <w:sz w:val="24"/>
                <w:szCs w:val="24"/>
              </w:rPr>
            </w:pPr>
            <w:r>
              <w:rPr>
                <w:rFonts w:hint="eastAsia" w:ascii="仿宋" w:hAnsi="仿宋" w:eastAsia="仿宋" w:cs="仿宋"/>
                <w:b w:val="0"/>
                <w:color w:val="000000"/>
                <w:sz w:val="24"/>
                <w:szCs w:val="24"/>
              </w:rPr>
              <w:t>58.2%</w:t>
            </w:r>
          </w:p>
        </w:tc>
        <w:tc>
          <w:tcPr>
            <w:tcW w:w="108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D63025">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仿宋" w:hAnsi="仿宋" w:eastAsia="仿宋" w:cs="仿宋"/>
                <w:b w:val="0"/>
                <w:color w:val="000000"/>
                <w:sz w:val="24"/>
                <w:szCs w:val="24"/>
              </w:rPr>
            </w:pPr>
            <w:r>
              <w:rPr>
                <w:rFonts w:hint="eastAsia" w:ascii="仿宋" w:hAnsi="仿宋" w:eastAsia="仿宋" w:cs="仿宋"/>
                <w:b w:val="0"/>
                <w:color w:val="000000"/>
                <w:sz w:val="24"/>
                <w:szCs w:val="24"/>
              </w:rPr>
              <w:t>60%</w:t>
            </w:r>
          </w:p>
        </w:tc>
      </w:tr>
      <w:tr w14:paraId="674B27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1044"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32C94DD">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仿宋" w:hAnsi="仿宋" w:eastAsia="仿宋" w:cs="仿宋"/>
                <w:b w:val="0"/>
                <w:color w:val="000000"/>
                <w:sz w:val="24"/>
                <w:szCs w:val="24"/>
              </w:rPr>
            </w:pPr>
            <w:r>
              <w:rPr>
                <w:rFonts w:hint="eastAsia" w:ascii="仿宋" w:hAnsi="仿宋" w:eastAsia="仿宋" w:cs="仿宋"/>
                <w:b w:val="0"/>
                <w:color w:val="000000"/>
                <w:sz w:val="24"/>
                <w:szCs w:val="24"/>
              </w:rPr>
              <w:t>生活垃圾</w:t>
            </w:r>
            <w:r>
              <w:rPr>
                <w:rFonts w:hint="eastAsia" w:ascii="仿宋" w:hAnsi="仿宋" w:eastAsia="仿宋" w:cs="仿宋"/>
                <w:b w:val="0"/>
                <w:color w:val="000000"/>
                <w:spacing w:val="-3"/>
                <w:sz w:val="24"/>
                <w:szCs w:val="24"/>
              </w:rPr>
              <w:t>资源化利用率</w:t>
            </w:r>
          </w:p>
        </w:tc>
        <w:tc>
          <w:tcPr>
            <w:tcW w:w="9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F951A7">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仿宋" w:hAnsi="仿宋" w:eastAsia="仿宋" w:cs="仿宋"/>
                <w:b w:val="0"/>
                <w:color w:val="000000"/>
                <w:sz w:val="24"/>
                <w:szCs w:val="24"/>
              </w:rPr>
            </w:pPr>
            <w:r>
              <w:rPr>
                <w:rFonts w:hint="eastAsia" w:ascii="仿宋" w:hAnsi="仿宋" w:eastAsia="仿宋" w:cs="仿宋"/>
                <w:b w:val="0"/>
                <w:color w:val="000000"/>
                <w:sz w:val="24"/>
                <w:szCs w:val="24"/>
              </w:rPr>
              <w:t>设市城市</w:t>
            </w:r>
          </w:p>
        </w:tc>
        <w:tc>
          <w:tcPr>
            <w:tcW w:w="10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43779D">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仿宋" w:hAnsi="仿宋" w:eastAsia="仿宋" w:cs="仿宋"/>
                <w:b w:val="0"/>
                <w:color w:val="000000"/>
                <w:sz w:val="24"/>
                <w:szCs w:val="24"/>
              </w:rPr>
            </w:pPr>
            <w:r>
              <w:rPr>
                <w:rFonts w:hint="eastAsia" w:ascii="仿宋" w:hAnsi="仿宋" w:eastAsia="仿宋" w:cs="仿宋"/>
                <w:b w:val="0"/>
                <w:color w:val="000000"/>
                <w:w w:val="99"/>
                <w:sz w:val="24"/>
                <w:szCs w:val="24"/>
              </w:rPr>
              <w:t>/</w:t>
            </w:r>
          </w:p>
        </w:tc>
        <w:tc>
          <w:tcPr>
            <w:tcW w:w="8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86AE46">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仿宋" w:hAnsi="仿宋" w:eastAsia="仿宋" w:cs="仿宋"/>
                <w:b w:val="0"/>
                <w:color w:val="000000"/>
                <w:sz w:val="24"/>
                <w:szCs w:val="24"/>
              </w:rPr>
            </w:pPr>
            <w:r>
              <w:rPr>
                <w:rFonts w:hint="eastAsia" w:ascii="仿宋" w:hAnsi="仿宋" w:eastAsia="仿宋" w:cs="仿宋"/>
                <w:b w:val="0"/>
                <w:color w:val="000000"/>
                <w:w w:val="99"/>
                <w:sz w:val="24"/>
                <w:szCs w:val="24"/>
              </w:rPr>
              <w:t>/</w:t>
            </w:r>
          </w:p>
        </w:tc>
        <w:tc>
          <w:tcPr>
            <w:tcW w:w="108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260BAD">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仿宋" w:hAnsi="仿宋" w:eastAsia="仿宋" w:cs="仿宋"/>
                <w:b w:val="0"/>
                <w:color w:val="000000"/>
                <w:sz w:val="24"/>
                <w:szCs w:val="24"/>
              </w:rPr>
            </w:pPr>
            <w:r>
              <w:rPr>
                <w:rFonts w:hint="eastAsia" w:ascii="仿宋" w:hAnsi="仿宋" w:eastAsia="仿宋" w:cs="仿宋"/>
                <w:b w:val="0"/>
                <w:color w:val="000000"/>
                <w:sz w:val="24"/>
                <w:szCs w:val="24"/>
              </w:rPr>
              <w:t>60%</w:t>
            </w:r>
          </w:p>
        </w:tc>
      </w:tr>
      <w:tr w14:paraId="73BAB5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104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1A7A2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仿宋" w:hAnsi="仿宋" w:eastAsia="仿宋" w:cs="仿宋"/>
                <w:b w:val="0"/>
                <w:color w:val="000000"/>
                <w:sz w:val="24"/>
                <w:szCs w:val="24"/>
              </w:rPr>
            </w:pPr>
          </w:p>
        </w:tc>
        <w:tc>
          <w:tcPr>
            <w:tcW w:w="91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8DCE35">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仿宋" w:hAnsi="仿宋" w:eastAsia="仿宋" w:cs="仿宋"/>
                <w:b w:val="0"/>
                <w:color w:val="000000"/>
                <w:sz w:val="24"/>
                <w:szCs w:val="24"/>
              </w:rPr>
            </w:pPr>
            <w:r>
              <w:rPr>
                <w:rFonts w:hint="eastAsia" w:ascii="仿宋" w:hAnsi="仿宋" w:eastAsia="仿宋" w:cs="仿宋"/>
                <w:b w:val="0"/>
                <w:color w:val="000000"/>
                <w:sz w:val="24"/>
                <w:szCs w:val="24"/>
              </w:rPr>
              <w:t>县城</w:t>
            </w:r>
          </w:p>
        </w:tc>
        <w:tc>
          <w:tcPr>
            <w:tcW w:w="106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1CFC9A">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仿宋" w:hAnsi="仿宋" w:eastAsia="仿宋" w:cs="仿宋"/>
                <w:b w:val="0"/>
                <w:color w:val="000000"/>
                <w:sz w:val="24"/>
                <w:szCs w:val="24"/>
              </w:rPr>
            </w:pPr>
            <w:r>
              <w:rPr>
                <w:rFonts w:hint="eastAsia" w:ascii="仿宋" w:hAnsi="仿宋" w:eastAsia="仿宋" w:cs="仿宋"/>
                <w:b w:val="0"/>
                <w:color w:val="000000"/>
                <w:w w:val="99"/>
                <w:sz w:val="24"/>
                <w:szCs w:val="24"/>
              </w:rPr>
              <w:t>/</w:t>
            </w:r>
          </w:p>
        </w:tc>
        <w:tc>
          <w:tcPr>
            <w:tcW w:w="8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6ADA79">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仿宋" w:hAnsi="仿宋" w:eastAsia="仿宋" w:cs="仿宋"/>
                <w:b w:val="0"/>
                <w:color w:val="000000"/>
                <w:sz w:val="24"/>
                <w:szCs w:val="24"/>
              </w:rPr>
            </w:pPr>
            <w:r>
              <w:rPr>
                <w:rFonts w:hint="eastAsia" w:ascii="仿宋" w:hAnsi="仿宋" w:eastAsia="仿宋" w:cs="仿宋"/>
                <w:b w:val="0"/>
                <w:color w:val="000000"/>
                <w:w w:val="99"/>
                <w:sz w:val="24"/>
                <w:szCs w:val="24"/>
              </w:rPr>
              <w:t>/</w:t>
            </w:r>
          </w:p>
        </w:tc>
        <w:tc>
          <w:tcPr>
            <w:tcW w:w="108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38931D">
            <w:pPr>
              <w:pStyle w:val="20"/>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eastAsia" w:ascii="仿宋" w:hAnsi="仿宋" w:eastAsia="仿宋" w:cs="仿宋"/>
                <w:b w:val="0"/>
                <w:color w:val="000000"/>
                <w:sz w:val="24"/>
                <w:szCs w:val="24"/>
              </w:rPr>
            </w:pPr>
            <w:r>
              <w:rPr>
                <w:rFonts w:hint="eastAsia" w:ascii="仿宋" w:hAnsi="仿宋" w:eastAsia="仿宋" w:cs="仿宋"/>
                <w:b w:val="0"/>
                <w:color w:val="000000"/>
                <w:sz w:val="24"/>
                <w:szCs w:val="24"/>
              </w:rPr>
              <w:t>35%</w:t>
            </w:r>
          </w:p>
        </w:tc>
      </w:tr>
    </w:tbl>
    <w:p w14:paraId="1A5EE6E6">
      <w:pPr>
        <w:rPr>
          <w:rFonts w:hint="default"/>
          <w:lang w:val="en-US" w:eastAsia="zh-CN"/>
        </w:rPr>
      </w:pPr>
    </w:p>
    <w:p w14:paraId="2E0F4E50">
      <w:pPr>
        <w:pStyle w:val="2"/>
        <w:numPr>
          <w:ilvl w:val="0"/>
          <w:numId w:val="1"/>
        </w:numPr>
        <w:bidi w:val="0"/>
        <w:rPr>
          <w:rFonts w:hint="eastAsia"/>
          <w:lang w:val="en-US" w:eastAsia="zh-CN"/>
        </w:rPr>
      </w:pPr>
      <w:bookmarkStart w:id="32" w:name="_Toc23127"/>
      <w:bookmarkStart w:id="33" w:name="_Toc27295"/>
      <w:r>
        <w:rPr>
          <w:rFonts w:hint="eastAsia"/>
          <w:lang w:val="en-US" w:eastAsia="zh-CN"/>
        </w:rPr>
        <w:t>总体要求</w:t>
      </w:r>
      <w:bookmarkEnd w:id="32"/>
      <w:bookmarkEnd w:id="33"/>
    </w:p>
    <w:p w14:paraId="7C57A14B">
      <w:pPr>
        <w:pStyle w:val="3"/>
        <w:numPr>
          <w:ilvl w:val="0"/>
          <w:numId w:val="4"/>
        </w:numPr>
        <w:bidi w:val="0"/>
        <w:rPr>
          <w:rFonts w:hint="eastAsia"/>
          <w:lang w:val="en-US" w:eastAsia="zh-CN"/>
        </w:rPr>
      </w:pPr>
      <w:bookmarkStart w:id="34" w:name="_Toc20113"/>
      <w:bookmarkStart w:id="35" w:name="_Toc23400"/>
      <w:r>
        <w:rPr>
          <w:rFonts w:hint="eastAsia"/>
          <w:lang w:val="en-US" w:eastAsia="zh-CN"/>
        </w:rPr>
        <w:t>指导思想</w:t>
      </w:r>
      <w:bookmarkEnd w:id="34"/>
      <w:bookmarkEnd w:id="35"/>
    </w:p>
    <w:p w14:paraId="4800D682">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jc w:val="left"/>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bookmarkStart w:id="36" w:name="_Toc5758"/>
      <w:r>
        <w:rPr>
          <w:rFonts w:hint="eastAsia" w:ascii="仿宋" w:hAnsi="仿宋" w:eastAsia="仿宋" w:cs="仿宋"/>
          <w:color w:val="000000" w:themeColor="text1"/>
          <w:sz w:val="28"/>
          <w:szCs w:val="36"/>
          <w:highlight w:val="none"/>
          <w:lang w:val="en-US" w:eastAsia="zh-CN"/>
          <w14:textFill>
            <w14:solidFill>
              <w14:schemeClr w14:val="tx1"/>
            </w14:solidFill>
          </w14:textFill>
        </w:rPr>
        <w:t xml:space="preserve">以习近平新时代中国特色社会主义思想为指导，深入贯彻落实党的十九大精神，坚持创新、协调、绿色、开放、共享的新发展理念，结合霍山县实际，遵循“规划引导、统一管理、分级处置、规范运输、综合利用”的工作思路。 实现建筑垃圾的减量化、资源化、无害化处理，进一步促进城市建筑垃圾治理和再利用产业发展，实现建筑垃圾治理工作经济效益、生态效益和社会效益的同步推进，全面提升建筑垃圾管理水平，为全面推进六安绿色高质量发展建设提供环卫保障。 </w:t>
      </w:r>
    </w:p>
    <w:p w14:paraId="27019C21">
      <w:pPr>
        <w:pStyle w:val="3"/>
        <w:numPr>
          <w:ilvl w:val="0"/>
          <w:numId w:val="4"/>
        </w:numPr>
        <w:bidi w:val="0"/>
        <w:rPr>
          <w:rFonts w:hint="default"/>
          <w:lang w:val="en-US" w:eastAsia="zh-CN"/>
        </w:rPr>
      </w:pPr>
      <w:bookmarkStart w:id="37" w:name="_Toc7840"/>
      <w:r>
        <w:rPr>
          <w:rFonts w:hint="eastAsia"/>
          <w:lang w:val="en-US" w:eastAsia="zh-CN"/>
        </w:rPr>
        <w:t>基本原则</w:t>
      </w:r>
      <w:bookmarkEnd w:id="36"/>
      <w:bookmarkEnd w:id="37"/>
    </w:p>
    <w:p w14:paraId="70B2C64E">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jc w:val="left"/>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bookmarkStart w:id="38" w:name="_Toc14617"/>
      <w:r>
        <w:rPr>
          <w:rFonts w:hint="eastAsia" w:ascii="仿宋" w:hAnsi="仿宋" w:eastAsia="仿宋" w:cs="仿宋"/>
          <w:color w:val="000000" w:themeColor="text1"/>
          <w:sz w:val="28"/>
          <w:szCs w:val="36"/>
          <w:highlight w:val="none"/>
          <w:lang w:val="en-US" w:eastAsia="zh-CN"/>
          <w14:textFill>
            <w14:solidFill>
              <w14:schemeClr w14:val="tx1"/>
            </w14:solidFill>
          </w14:textFill>
        </w:rPr>
        <w:t>1、统筹规划、合理布局</w:t>
      </w:r>
    </w:p>
    <w:p w14:paraId="46DFF29F">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jc w:val="left"/>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统筹解决建筑垃圾处理问题，通过区域联动、设施共享等形式，合理确定建筑垃圾处理设施建设规模，实现基础设施的优化配置，提高设施利用效率，扩大服务覆盖面。</w:t>
      </w:r>
    </w:p>
    <w:p w14:paraId="045E9A99">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jc w:val="left"/>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2、分区规划，因地制宜</w:t>
      </w:r>
    </w:p>
    <w:p w14:paraId="239965E8">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jc w:val="left"/>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规划范围内各区域各具特色，功能各异，应根据各区域自身的特点和实际情况进行分析和考虑，做到分区规划，因地制宜。</w:t>
      </w:r>
    </w:p>
    <w:p w14:paraId="4DE58EA1">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jc w:val="left"/>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3、规划协调、分步实施</w:t>
      </w:r>
    </w:p>
    <w:p w14:paraId="5CBD7F45">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jc w:val="left"/>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建筑垃圾管理是城市建设与管理众多工作中的一项，同样，建筑垃圾污染环境防治工作规划是城市规划的一部分，只有将建筑垃圾污染环境防治工作规划的编制与上下层次规划、其他专项规划相互协调，才能保证规划的正常实施。同时，规划在解决建筑垃圾现状问题的同时，充分考虑远期发展需求，处理设施建设实施以近期为主，用地应充分考虑远期需求，力求近远期结合，分步实施。</w:t>
      </w:r>
    </w:p>
    <w:p w14:paraId="16D78E82">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jc w:val="left"/>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4、全过程管理、长效管理</w:t>
      </w:r>
    </w:p>
    <w:p w14:paraId="2BE60E5E">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jc w:val="left"/>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对于建筑垃圾管理，应当加强建筑垃圾源头产生、分类投放、 中间收运、末端处置的全过程管理，联合其他相关管理部门，建立健全建筑垃圾管理工作协调机制，达到长效管理目的。</w:t>
      </w:r>
    </w:p>
    <w:p w14:paraId="487D0342">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jc w:val="left"/>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5、源头减量、利用优先</w:t>
      </w:r>
    </w:p>
    <w:p w14:paraId="2A9830B8">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jc w:val="left"/>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在政策配套、管理到位的前提下从源头减少建筑垃圾产生量、探索资源化利用途径。着力提升建筑垃圾资源化利用水平，推动资源化产品的广泛应用。</w:t>
      </w:r>
    </w:p>
    <w:p w14:paraId="60B44E67">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jc w:val="left"/>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6、科学合理、实施性强</w:t>
      </w:r>
    </w:p>
    <w:p w14:paraId="2F3920FA">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jc w:val="left"/>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在详细调查现状情况的基础上，通过有针对性的分析评价，提出切实可行的规划方案和对策措施，体现环境效益、社会效益和经济效益的有效统一，保证规划既具有科学性、合理性，同时又具有较好的现实性和可实施性。</w:t>
      </w:r>
    </w:p>
    <w:p w14:paraId="4BAAAFD6">
      <w:pPr>
        <w:pStyle w:val="3"/>
        <w:numPr>
          <w:ilvl w:val="0"/>
          <w:numId w:val="4"/>
        </w:numPr>
        <w:bidi w:val="0"/>
        <w:rPr>
          <w:rFonts w:hint="default"/>
          <w:lang w:val="en-US" w:eastAsia="zh-CN"/>
        </w:rPr>
      </w:pPr>
      <w:bookmarkStart w:id="39" w:name="_Toc16938"/>
      <w:r>
        <w:rPr>
          <w:rFonts w:hint="eastAsia"/>
          <w:lang w:val="en-US" w:eastAsia="zh-CN"/>
        </w:rPr>
        <w:t>规划目标</w:t>
      </w:r>
      <w:bookmarkEnd w:id="38"/>
      <w:bookmarkEnd w:id="39"/>
    </w:p>
    <w:p w14:paraId="6EE8DBC0">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jc w:val="left"/>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（一）总体目标</w:t>
      </w:r>
    </w:p>
    <w:p w14:paraId="3E40EAC0">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jc w:val="left"/>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以建筑垃圾综合利用理念为引领，以减量化、资源化、无害化为目标，逐步建立“源头控制</w:t>
      </w:r>
      <w:r>
        <w:rPr>
          <w:rFonts w:hint="eastAsia" w:ascii="仿宋" w:hAnsi="仿宋" w:eastAsia="仿宋" w:cs="仿宋"/>
          <w:color w:val="000000" w:themeColor="text1"/>
          <w:sz w:val="28"/>
          <w:szCs w:val="36"/>
          <w:highlight w:val="none"/>
          <w:lang w:val="en-US" w:eastAsia="zh-CN"/>
          <w14:textFill>
            <w14:solidFill>
              <w14:schemeClr w14:val="tx1"/>
            </w14:solidFill>
          </w14:textFill>
        </w:rPr>
        <w:t>，就</w:t>
      </w:r>
      <w:r>
        <w:rPr>
          <w:rFonts w:hint="default" w:ascii="仿宋" w:hAnsi="仿宋" w:eastAsia="仿宋" w:cs="仿宋"/>
          <w:color w:val="000000" w:themeColor="text1"/>
          <w:sz w:val="28"/>
          <w:szCs w:val="36"/>
          <w:highlight w:val="none"/>
          <w:lang w:val="en-US" w:eastAsia="zh-CN"/>
          <w14:textFill>
            <w14:solidFill>
              <w14:schemeClr w14:val="tx1"/>
            </w14:solidFill>
          </w14:textFill>
        </w:rPr>
        <w:t>地利用、区域平衡、循环利用、安全消纳”的建筑垃圾处理处置体系。构建安全有序、全程可控的建筑垃圾运输系统；促进形成链条完整、环境友好、良性发展的建筑垃圾资源化产业体系；建立健全建筑垃圾全过程信息化平台。通过科学规划和系统建设，最终建立科学合理的建筑垃圾处理处置体系，提升</w:t>
      </w:r>
      <w:r>
        <w:rPr>
          <w:rFonts w:hint="eastAsia" w:ascii="仿宋" w:hAnsi="仿宋" w:eastAsia="仿宋" w:cs="仿宋"/>
          <w:color w:val="000000" w:themeColor="text1"/>
          <w:sz w:val="28"/>
          <w:szCs w:val="36"/>
          <w:highlight w:val="none"/>
          <w:lang w:val="en-US" w:eastAsia="zh-CN"/>
          <w14:textFill>
            <w14:solidFill>
              <w14:schemeClr w14:val="tx1"/>
            </w14:solidFill>
          </w14:textFill>
        </w:rPr>
        <w:t>霍山县</w:t>
      </w:r>
      <w:r>
        <w:rPr>
          <w:rFonts w:hint="default" w:ascii="仿宋" w:hAnsi="仿宋" w:eastAsia="仿宋" w:cs="仿宋"/>
          <w:color w:val="000000" w:themeColor="text1"/>
          <w:sz w:val="28"/>
          <w:szCs w:val="36"/>
          <w:highlight w:val="none"/>
          <w:lang w:val="en-US" w:eastAsia="zh-CN"/>
          <w14:textFill>
            <w14:solidFill>
              <w14:schemeClr w14:val="tx1"/>
            </w14:solidFill>
          </w14:textFill>
        </w:rPr>
        <w:t>建筑垃圾资源化利用和安全处置水平，促进城市高质量发展，力争实现“无废城市”的目标。</w:t>
      </w:r>
    </w:p>
    <w:p w14:paraId="0ED2376E">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本规划的总体目标是实现霍山县建筑垃圾的无害化、减量化、资源化处理，到2027年全县建筑垃圾综合利用率达到65%，工程、拆装、装修垃圾资源化利用率达到55%。</w:t>
      </w:r>
    </w:p>
    <w:p w14:paraId="1FDF7990">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jc w:val="left"/>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2、分期目标</w:t>
      </w:r>
    </w:p>
    <w:p w14:paraId="01480687">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近期目标（202</w:t>
      </w:r>
      <w:r>
        <w:rPr>
          <w:rFonts w:hint="eastAsia" w:ascii="仿宋" w:hAnsi="仿宋" w:eastAsia="仿宋" w:cs="仿宋"/>
          <w:color w:val="000000" w:themeColor="text1"/>
          <w:sz w:val="28"/>
          <w:szCs w:val="36"/>
          <w:highlight w:val="none"/>
          <w:lang w:val="en-US" w:eastAsia="zh-CN"/>
          <w14:textFill>
            <w14:solidFill>
              <w14:schemeClr w14:val="tx1"/>
            </w14:solidFill>
          </w14:textFill>
        </w:rPr>
        <w:t>4</w:t>
      </w:r>
      <w:r>
        <w:rPr>
          <w:rFonts w:hint="default" w:ascii="仿宋" w:hAnsi="仿宋" w:eastAsia="仿宋" w:cs="仿宋"/>
          <w:color w:val="000000" w:themeColor="text1"/>
          <w:sz w:val="28"/>
          <w:szCs w:val="36"/>
          <w:highlight w:val="none"/>
          <w:lang w:val="en-US" w:eastAsia="zh-CN"/>
          <w14:textFill>
            <w14:solidFill>
              <w14:schemeClr w14:val="tx1"/>
            </w14:solidFill>
          </w14:textFill>
        </w:rPr>
        <w:t>~</w:t>
      </w:r>
      <w:r>
        <w:rPr>
          <w:rFonts w:hint="eastAsia" w:ascii="仿宋" w:hAnsi="仿宋" w:eastAsia="仿宋" w:cs="仿宋"/>
          <w:color w:val="000000" w:themeColor="text1"/>
          <w:sz w:val="28"/>
          <w:szCs w:val="36"/>
          <w:highlight w:val="none"/>
          <w:lang w:val="en-US" w:eastAsia="zh-CN"/>
          <w14:textFill>
            <w14:solidFill>
              <w14:schemeClr w14:val="tx1"/>
            </w14:solidFill>
          </w14:textFill>
        </w:rPr>
        <w:t>2027</w:t>
      </w:r>
      <w:r>
        <w:rPr>
          <w:rFonts w:hint="default" w:ascii="仿宋" w:hAnsi="仿宋" w:eastAsia="仿宋" w:cs="仿宋"/>
          <w:color w:val="000000" w:themeColor="text1"/>
          <w:sz w:val="28"/>
          <w:szCs w:val="36"/>
          <w:highlight w:val="none"/>
          <w:lang w:val="en-US" w:eastAsia="zh-CN"/>
          <w14:textFill>
            <w14:solidFill>
              <w14:schemeClr w14:val="tx1"/>
            </w14:solidFill>
          </w14:textFill>
        </w:rPr>
        <w:t>年）：完善建筑垃圾治理的顶层设计；理顺建筑垃圾管理体制；摸清底数，探索建立建筑垃圾信息化监管平台；进一步落实建筑垃圾处置核准制度；初步缓解建筑垃圾产生量与处理设施能力不足的矛盾；加强建筑垃圾源头分类、控源减量，加快提升建筑垃圾安全处置水平。</w:t>
      </w:r>
    </w:p>
    <w:p w14:paraId="302170B7">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中期目标（202</w:t>
      </w:r>
      <w:r>
        <w:rPr>
          <w:rFonts w:hint="eastAsia" w:ascii="仿宋" w:hAnsi="仿宋" w:eastAsia="仿宋" w:cs="仿宋"/>
          <w:color w:val="000000" w:themeColor="text1"/>
          <w:sz w:val="28"/>
          <w:szCs w:val="36"/>
          <w:highlight w:val="none"/>
          <w:lang w:val="en-US" w:eastAsia="zh-CN"/>
          <w14:textFill>
            <w14:solidFill>
              <w14:schemeClr w14:val="tx1"/>
            </w14:solidFill>
          </w14:textFill>
        </w:rPr>
        <w:t>8</w:t>
      </w:r>
      <w:r>
        <w:rPr>
          <w:rFonts w:hint="default" w:ascii="仿宋" w:hAnsi="仿宋" w:eastAsia="仿宋" w:cs="仿宋"/>
          <w:color w:val="000000" w:themeColor="text1"/>
          <w:sz w:val="28"/>
          <w:szCs w:val="36"/>
          <w:highlight w:val="none"/>
          <w:lang w:val="en-US" w:eastAsia="zh-CN"/>
          <w14:textFill>
            <w14:solidFill>
              <w14:schemeClr w14:val="tx1"/>
            </w14:solidFill>
          </w14:textFill>
        </w:rPr>
        <w:t>~2030年）：建筑垃圾控源减量初见成效；建筑垃圾处理设施能力与产生量基本匹配；建立电子联单管理制度，完善建筑垃圾信息化监管平台建设；提升建筑垃圾规范化分类、排放、运输和资源化利用水平，初步实现建筑垃圾从源头到末端的全过程管控。</w:t>
      </w:r>
    </w:p>
    <w:p w14:paraId="65C9DAA2">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远期目标（2031~2035年）：建立市域统筹、布局合理、技术先进、资源得到有效利用的建筑垃圾处理体系；建立安全有序、全程可控的建筑垃圾收运系统；初步形成链条完整、环境友好、良性发展的建筑垃圾产业体系；实现规划范围内建筑垃圾从源头到末端全过程信息化、智能化管理；使规划范围内建筑垃圾源头减量目标、综合利用率、资源化利用率、资源化产品利用目标等得到全面提升。</w:t>
      </w:r>
    </w:p>
    <w:p w14:paraId="4F525DCD">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jc w:val="left"/>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（三）指标体系</w:t>
      </w:r>
    </w:p>
    <w:p w14:paraId="54230EFF">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jc w:val="left"/>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w:t>
      </w:r>
      <w:r>
        <w:rPr>
          <w:rFonts w:hint="default" w:ascii="仿宋" w:hAnsi="仿宋" w:eastAsia="仿宋" w:cs="仿宋"/>
          <w:color w:val="000000" w:themeColor="text1"/>
          <w:sz w:val="28"/>
          <w:szCs w:val="36"/>
          <w:highlight w:val="none"/>
          <w:lang w:val="en-US" w:eastAsia="zh-CN"/>
          <w14:textFill>
            <w14:solidFill>
              <w14:schemeClr w14:val="tx1"/>
            </w14:solidFill>
          </w14:textFill>
        </w:rPr>
        <w:fldChar w:fldCharType="begin"/>
      </w:r>
      <w:r>
        <w:rPr>
          <w:rFonts w:hint="default" w:ascii="仿宋" w:hAnsi="仿宋" w:eastAsia="仿宋" w:cs="仿宋"/>
          <w:color w:val="000000" w:themeColor="text1"/>
          <w:sz w:val="28"/>
          <w:szCs w:val="36"/>
          <w:highlight w:val="none"/>
          <w:lang w:val="en-US" w:eastAsia="zh-CN"/>
          <w14:textFill>
            <w14:solidFill>
              <w14:schemeClr w14:val="tx1"/>
            </w14:solidFill>
          </w14:textFill>
        </w:rPr>
        <w:instrText xml:space="preserve"> HYPERLINK "https://www.baidu.com/s?rsv_idx=1&amp;tn=54093922_31_hao_pg&amp;wd=%E5%BB%BA%E7%AD%91%E5%9E%83%E5%9C%BE%E6%94%B6%E8%BF%90%E7%8E%87&amp;fenlei=256&amp;usm=2&amp;ie=utf-8&amp;rsv_pq=eedd3b1b00138a0b&amp;oq=%E5%BB%BA%E7%AD%91%E5%9E%83%E5%9C%BE%E6%94%B6%E8%BF%90%E7%8E%87&amp;rsv_t=1a53orczpqMWprxTEw3umVRILK/77cWcxH12f2KT6AuXLMUjSI20US9ZI0V76yCHSOlma0LjgXQr&amp;sa=re_dqa_generate" \t "https://www.baidu.com/_self" </w:instrText>
      </w:r>
      <w:r>
        <w:rPr>
          <w:rFonts w:hint="default" w:ascii="仿宋" w:hAnsi="仿宋" w:eastAsia="仿宋" w:cs="仿宋"/>
          <w:color w:val="000000" w:themeColor="text1"/>
          <w:sz w:val="28"/>
          <w:szCs w:val="36"/>
          <w:highlight w:val="none"/>
          <w:lang w:val="en-US" w:eastAsia="zh-CN"/>
          <w14:textFill>
            <w14:solidFill>
              <w14:schemeClr w14:val="tx1"/>
            </w14:solidFill>
          </w14:textFill>
        </w:rPr>
        <w:fldChar w:fldCharType="separate"/>
      </w:r>
      <w:r>
        <w:rPr>
          <w:rFonts w:hint="default" w:ascii="仿宋" w:hAnsi="仿宋" w:eastAsia="仿宋" w:cs="仿宋"/>
          <w:color w:val="000000" w:themeColor="text1"/>
          <w:sz w:val="28"/>
          <w:szCs w:val="36"/>
          <w:highlight w:val="none"/>
          <w:lang w:val="en-US" w:eastAsia="zh-CN"/>
          <w14:textFill>
            <w14:solidFill>
              <w14:schemeClr w14:val="tx1"/>
            </w14:solidFill>
          </w14:textFill>
        </w:rPr>
        <w:t>建筑垃圾收运率</w:t>
      </w:r>
      <w:r>
        <w:rPr>
          <w:rFonts w:hint="default" w:ascii="仿宋" w:hAnsi="仿宋" w:eastAsia="仿宋" w:cs="仿宋"/>
          <w:color w:val="000000" w:themeColor="text1"/>
          <w:sz w:val="28"/>
          <w:szCs w:val="36"/>
          <w:highlight w:val="none"/>
          <w:lang w:val="en-US" w:eastAsia="zh-CN"/>
          <w14:textFill>
            <w14:solidFill>
              <w14:schemeClr w14:val="tx1"/>
            </w14:solidFill>
          </w14:textFill>
        </w:rPr>
        <w:fldChar w:fldCharType="end"/>
      </w:r>
      <w:r>
        <w:rPr>
          <w:rFonts w:hint="default" w:ascii="仿宋" w:hAnsi="仿宋" w:eastAsia="仿宋" w:cs="仿宋"/>
          <w:color w:val="000000" w:themeColor="text1"/>
          <w:sz w:val="28"/>
          <w:szCs w:val="36"/>
          <w:highlight w:val="none"/>
          <w:lang w:val="en-US" w:eastAsia="zh-CN"/>
          <w14:textFill>
            <w14:solidFill>
              <w14:schemeClr w14:val="tx1"/>
            </w14:solidFill>
          </w14:textFill>
        </w:rPr>
        <w:t>是指</w:t>
      </w:r>
      <w:r>
        <w:rPr>
          <w:rFonts w:hint="eastAsia" w:ascii="仿宋" w:hAnsi="仿宋" w:eastAsia="仿宋" w:cs="仿宋"/>
          <w:color w:val="000000" w:themeColor="text1"/>
          <w:sz w:val="28"/>
          <w:szCs w:val="36"/>
          <w:highlight w:val="none"/>
          <w:lang w:val="en-US" w:eastAsia="zh-CN"/>
          <w14:textFill>
            <w14:solidFill>
              <w14:schemeClr w14:val="tx1"/>
            </w14:solidFill>
          </w14:textFill>
        </w:rPr>
        <w:t>建筑垃圾被有效收集和转运的比例，‌它是衡量建筑垃圾管理和资源化利用效率的重要指标之一。‌</w:t>
      </w:r>
    </w:p>
    <w:p w14:paraId="54870562">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jc w:val="left"/>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建筑垃圾综合利用率是指建筑垃圾中能够被回收利用的部分占建筑垃圾总量的比例。</w:t>
      </w:r>
    </w:p>
    <w:p w14:paraId="1849E76E">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jc w:val="left"/>
        <w:textAlignment w:val="auto"/>
        <w:rPr>
          <w:rFonts w:hint="default" w:ascii="方正仿宋_GB2312" w:hAnsi="方正仿宋_GB2312" w:eastAsia="方正仿宋_GB2312" w:cs="方正仿宋_GB2312"/>
          <w:color w:val="auto"/>
          <w:sz w:val="28"/>
          <w:szCs w:val="36"/>
          <w:highlight w:val="none"/>
          <w:lang w:val="en-US" w:eastAsia="zh-CN"/>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建筑垃圾资源化利用率</w:t>
      </w:r>
      <w:r>
        <w:rPr>
          <w:rFonts w:hint="default" w:ascii="仿宋" w:hAnsi="仿宋" w:eastAsia="仿宋" w:cs="仿宋"/>
          <w:color w:val="000000" w:themeColor="text1"/>
          <w:sz w:val="28"/>
          <w:szCs w:val="36"/>
          <w:highlight w:val="none"/>
          <w:lang w:val="en-US" w:eastAsia="zh-CN"/>
          <w14:textFill>
            <w14:solidFill>
              <w14:schemeClr w14:val="tx1"/>
            </w14:solidFill>
          </w14:textFill>
        </w:rPr>
        <w:t>是指将建筑垃圾转化为资源产品的比例，‌即建筑垃圾经过处理后，‌能够被再次利用的部分占原始建筑垃圾总量的百分比。</w:t>
      </w:r>
    </w:p>
    <w:tbl>
      <w:tblPr>
        <w:tblStyle w:val="1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65"/>
        <w:gridCol w:w="1253"/>
        <w:gridCol w:w="1895"/>
        <w:gridCol w:w="1371"/>
        <w:gridCol w:w="1371"/>
        <w:gridCol w:w="1371"/>
        <w:gridCol w:w="596"/>
      </w:tblGrid>
      <w:tr w14:paraId="408C5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699D56">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指标类别</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9F4C75">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指标内容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A765AA">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近期指标（2027年）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E896ED">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中期指标（2030年）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05A7FD">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远期指标（2035年）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B19290">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备注</w:t>
            </w:r>
          </w:p>
        </w:tc>
      </w:tr>
      <w:tr w14:paraId="6B804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FE5C91">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减量化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3499B5">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新建建筑施工现场建筑垃圾排放量（不包括工程渣土、工程泥浆）（t/万㎡）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2B9422">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87F59A">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D9CC0A">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≤250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FFF3B2">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约束性</w:t>
            </w:r>
          </w:p>
        </w:tc>
      </w:tr>
      <w:tr w14:paraId="47C26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3"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103FA8">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25571E">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装配式建筑施工现场建筑垃圾排放量（不包括工程渣土、工程泥浆）（t/万㎡）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E2D360">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81365C">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EA2654">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≤200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D8E177">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p>
        </w:tc>
      </w:tr>
      <w:tr w14:paraId="0D342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2"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CA4D74">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33A699">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新开工装配式建筑面积占新建建筑比例（%）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210951">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5C2BC6">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83FF3B">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≥40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E9AA82">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p>
        </w:tc>
      </w:tr>
      <w:tr w14:paraId="23FA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614274">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资源化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74A06B">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建筑垃圾综合利用率（%）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CD7920">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AB14B2">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8C80C5">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≥90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95D801">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约束性</w:t>
            </w:r>
          </w:p>
        </w:tc>
      </w:tr>
      <w:tr w14:paraId="2725D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8"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DF9AE9">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A1CF92">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工程、拆装、装修垃圾资源化利用率（%）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352305">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81DC1E">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default"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EA7404">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≥65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670905">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p>
        </w:tc>
      </w:tr>
      <w:tr w14:paraId="697DC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598C22">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24D504">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其中</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FD271F">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工程垃圾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BEF057">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09DF21">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default"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D005A6">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default"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65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E4206B">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p>
        </w:tc>
      </w:tr>
      <w:tr w14:paraId="22CBE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BEEC5A">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3D512D">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FF0852">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拆除垃圾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6E3369">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A734B5">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F4081E">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65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184BA8">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p>
        </w:tc>
      </w:tr>
      <w:tr w14:paraId="4B1E5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A89B61">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AA6330">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EC21CE">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装修垃圾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360F1B">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0F7D8F">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default"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708D95">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default"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65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92162">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p>
        </w:tc>
      </w:tr>
      <w:tr w14:paraId="1DB29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3348B0">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无害化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6042C1">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建筑垃圾密闭化运输率（%）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478FCB">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667AA2">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94874B">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100</w:t>
            </w:r>
          </w:p>
        </w:tc>
        <w:tc>
          <w:tcPr>
            <w:tcW w:w="0" w:type="auto"/>
            <w:vMerge w:val="restart"/>
            <w:tcBorders>
              <w:top w:val="single" w:color="000000" w:sz="4" w:space="0"/>
              <w:left w:val="single" w:color="000000" w:sz="4" w:space="0"/>
              <w:bottom w:val="nil"/>
              <w:right w:val="single" w:color="000000" w:sz="4" w:space="0"/>
            </w:tcBorders>
            <w:shd w:val="clear" w:color="auto" w:fill="auto"/>
            <w:vAlign w:val="center"/>
          </w:tcPr>
          <w:p w14:paraId="18726AF2">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约束性</w:t>
            </w:r>
          </w:p>
        </w:tc>
      </w:tr>
      <w:tr w14:paraId="2C3DD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CE45D5">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209BA2">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建筑垃圾无害化处理率（%）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F586E5">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153D75">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371878">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100</w:t>
            </w:r>
          </w:p>
        </w:tc>
        <w:tc>
          <w:tcPr>
            <w:tcW w:w="0" w:type="auto"/>
            <w:vMerge w:val="continue"/>
            <w:tcBorders>
              <w:top w:val="single" w:color="000000" w:sz="4" w:space="0"/>
              <w:left w:val="single" w:color="000000" w:sz="4" w:space="0"/>
              <w:bottom w:val="nil"/>
              <w:right w:val="single" w:color="000000" w:sz="4" w:space="0"/>
            </w:tcBorders>
            <w:shd w:val="clear" w:color="auto" w:fill="auto"/>
            <w:vAlign w:val="center"/>
          </w:tcPr>
          <w:p w14:paraId="7E50FAAE">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p>
        </w:tc>
      </w:tr>
      <w:tr w14:paraId="619F5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2"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265BD2">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智能化</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2C9391">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运输车辆车载卫星定位系统安装比例（%）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665BF1">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FEF6DC">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733538">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100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95C618">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约束性</w:t>
            </w:r>
          </w:p>
        </w:tc>
      </w:tr>
      <w:tr w14:paraId="1BC8F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1"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ED79CE">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5104D3">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施工工地、填埋消纳场监控管理系统安装比例（%）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9C729D">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B25B4C">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DAD416">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100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A2E33F">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p>
        </w:tc>
      </w:tr>
    </w:tbl>
    <w:p w14:paraId="35CEE7B2">
      <w:pPr>
        <w:keepNext w:val="0"/>
        <w:keepLines w:val="0"/>
        <w:pageBreakBefore w:val="0"/>
        <w:widowControl w:val="0"/>
        <w:kinsoku/>
        <w:wordWrap/>
        <w:overflowPunct/>
        <w:topLinePunct w:val="0"/>
        <w:autoSpaceDE/>
        <w:autoSpaceDN/>
        <w:bidi w:val="0"/>
        <w:adjustRightInd w:val="0"/>
        <w:snapToGrid w:val="0"/>
        <w:spacing w:after="0" w:line="288" w:lineRule="auto"/>
        <w:ind w:firstLine="560" w:firstLineChars="200"/>
        <w:textAlignment w:val="auto"/>
        <w:rPr>
          <w:rFonts w:hint="eastAsia" w:ascii="方正仿宋_GB2312" w:hAnsi="方正仿宋_GB2312" w:eastAsia="方正仿宋_GB2312" w:cs="方正仿宋_GB2312"/>
          <w:color w:val="auto"/>
          <w:sz w:val="28"/>
          <w:szCs w:val="36"/>
          <w:highlight w:val="none"/>
          <w:lang w:val="en-US" w:eastAsia="zh-CN"/>
        </w:rPr>
      </w:pPr>
    </w:p>
    <w:p w14:paraId="0AD58B9D">
      <w:pPr>
        <w:pStyle w:val="3"/>
        <w:numPr>
          <w:ilvl w:val="0"/>
          <w:numId w:val="4"/>
        </w:numPr>
        <w:bidi w:val="0"/>
        <w:rPr>
          <w:rFonts w:hint="default"/>
          <w:lang w:val="en-US" w:eastAsia="zh-CN"/>
        </w:rPr>
      </w:pPr>
      <w:bookmarkStart w:id="40" w:name="_Toc8484"/>
      <w:bookmarkStart w:id="41" w:name="_Toc3736"/>
      <w:r>
        <w:rPr>
          <w:rFonts w:hint="eastAsia"/>
          <w:lang w:val="en-US" w:eastAsia="zh-CN"/>
        </w:rPr>
        <w:t>规模预测</w:t>
      </w:r>
      <w:bookmarkEnd w:id="40"/>
      <w:bookmarkEnd w:id="41"/>
    </w:p>
    <w:p w14:paraId="4AEB83C0">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1、工程垃圾产生量预测</w:t>
      </w:r>
    </w:p>
    <w:p w14:paraId="18C4FE00">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（1）文件要求</w:t>
      </w:r>
    </w:p>
    <w:p w14:paraId="437314C8">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《住房和城乡建设部关于推进建筑垃圾减量化的指导意见》（建质〔2020）〕46号）的要求：</w:t>
      </w:r>
    </w:p>
    <w:p w14:paraId="54DAB42D">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2020年底，各地区建筑垃圾减量化工作机制初步建立。2027年底，各地区建筑垃圾减量化工作机制进一步完善，实现新建建筑施工工地建筑垃圾（不包括工程渣土、工程泥浆）排放量每万平方米不高于300吨，装配式建筑施工工地建筑垃圾（不包括工程渣土、工程泥浆）排放量每万平方米不高于200吨。</w:t>
      </w:r>
    </w:p>
    <w:p w14:paraId="0AF5098E">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（2）《建筑垃圾处理技术标准》（CJJ/T134-2019）</w:t>
      </w:r>
    </w:p>
    <w:p w14:paraId="06AABC9E">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对工程垃圾的预测方法</w:t>
      </w:r>
    </w:p>
    <w:p w14:paraId="0DFEFE5F">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Mg=Rg×mg</w:t>
      </w:r>
    </w:p>
    <w:p w14:paraId="2A58E699">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式中：Mg—某城市或区域工程垃圾产生量，t/a；</w:t>
      </w:r>
    </w:p>
    <w:p w14:paraId="4C30873A">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Rg—城市或区域新增建筑面积，104㎡/a；</w:t>
      </w:r>
    </w:p>
    <w:p w14:paraId="73FB2598">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mg—单位面积工程垃圾产生量基数，</w:t>
      </w:r>
    </w:p>
    <w:p w14:paraId="69B1F692">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t/104㎡，可取300t/104㎡~800t/104㎡。</w:t>
      </w:r>
    </w:p>
    <w:p w14:paraId="120DF905">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（3）工程垃圾产量预测</w:t>
      </w:r>
    </w:p>
    <w:p w14:paraId="27562D37">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参照霍山县提供的数据，预测2027年霍山县开工建筑约75.06万平方米，预测后期开工建筑面积增速为10%。</w:t>
      </w:r>
    </w:p>
    <w:p w14:paraId="4D4E5BF6">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近期单位面积工程垃圾产生基数取300t/10㎡。远期单位面积工程垃圾产生基数取250t/10万㎡。</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41"/>
        <w:gridCol w:w="1941"/>
        <w:gridCol w:w="2697"/>
        <w:gridCol w:w="1943"/>
      </w:tblGrid>
      <w:tr w14:paraId="01F48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522" w:type="dxa"/>
            <w:gridSpan w:val="4"/>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3A565AF8">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i w:val="0"/>
                <w:iCs w:val="0"/>
                <w:color w:val="000000"/>
                <w:kern w:val="0"/>
                <w:sz w:val="24"/>
                <w:szCs w:val="24"/>
                <w:u w:val="none"/>
                <w:lang w:val="en-US" w:eastAsia="zh-CN" w:bidi="ar"/>
              </w:rPr>
              <w:t>工程量预测</w:t>
            </w:r>
          </w:p>
        </w:tc>
      </w:tr>
      <w:tr w14:paraId="46715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9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0C2F89">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年份（年）</w:t>
            </w:r>
          </w:p>
        </w:tc>
        <w:tc>
          <w:tcPr>
            <w:tcW w:w="19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3E115B">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新开工建筑面积（万㎡）</w:t>
            </w:r>
          </w:p>
        </w:tc>
        <w:tc>
          <w:tcPr>
            <w:tcW w:w="26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DCC804">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单位面积产生量（t/万㎡）</w:t>
            </w: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810A14">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工程垃圾产生量（t）</w:t>
            </w:r>
          </w:p>
        </w:tc>
      </w:tr>
      <w:tr w14:paraId="4DDF1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9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AF0948">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2027</w:t>
            </w:r>
          </w:p>
        </w:tc>
        <w:tc>
          <w:tcPr>
            <w:tcW w:w="19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B44045">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75.06</w:t>
            </w:r>
          </w:p>
        </w:tc>
        <w:tc>
          <w:tcPr>
            <w:tcW w:w="26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2935B6">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300</w:t>
            </w: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BAF48A">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2.25</w:t>
            </w:r>
          </w:p>
        </w:tc>
      </w:tr>
      <w:tr w14:paraId="1AEF0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9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933500">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2030</w:t>
            </w:r>
          </w:p>
        </w:tc>
        <w:tc>
          <w:tcPr>
            <w:tcW w:w="19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E4E625">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120.82</w:t>
            </w:r>
          </w:p>
        </w:tc>
        <w:tc>
          <w:tcPr>
            <w:tcW w:w="26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31AEFA">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250</w:t>
            </w: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866A86">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3.02</w:t>
            </w:r>
          </w:p>
        </w:tc>
      </w:tr>
      <w:tr w14:paraId="3D1D9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9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6FEEDB">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2035</w:t>
            </w:r>
          </w:p>
        </w:tc>
        <w:tc>
          <w:tcPr>
            <w:tcW w:w="19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4D649B">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154.2</w:t>
            </w:r>
          </w:p>
        </w:tc>
        <w:tc>
          <w:tcPr>
            <w:tcW w:w="26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B87B73">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250</w:t>
            </w:r>
          </w:p>
        </w:tc>
        <w:tc>
          <w:tcPr>
            <w:tcW w:w="19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8FE98F">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3.86</w:t>
            </w:r>
          </w:p>
        </w:tc>
      </w:tr>
    </w:tbl>
    <w:p w14:paraId="3899EAB5">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2、拆除垃圾产生量预测</w:t>
      </w:r>
    </w:p>
    <w:p w14:paraId="70E4727F">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《建筑垃圾处理技术标准》（CJJ/T134-2019）</w:t>
      </w:r>
    </w:p>
    <w:p w14:paraId="7F1D93BC">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Mc=Rc×mc</w:t>
      </w:r>
    </w:p>
    <w:p w14:paraId="31D170CF">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式中：Mc—某城市或区域拆除垃圾产生量，t/a；</w:t>
      </w:r>
    </w:p>
    <w:p w14:paraId="1A205F21">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Rc—城市或区域拆除面积，104㎡/a；</w:t>
      </w:r>
    </w:p>
    <w:p w14:paraId="41709236">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mc—单位面积拆除垃圾产生量基数，</w:t>
      </w:r>
    </w:p>
    <w:p w14:paraId="3422C827">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t/万㎡，可取8000t/104㎡~13000t/104㎡。</w:t>
      </w:r>
    </w:p>
    <w:p w14:paraId="5596DC46">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参照城管大队提供的数据，预测2024-2030年霍山县城区拆除建筑约44万平方米，2031-2035年霍山县城区拆除建筑约40万平方米，2024-2030年单位面积拆除垃圾产生量取10000t/10万㎡，2031-2035年单位面积拆除垃圾产生量取8000t/10万㎡。</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75"/>
        <w:gridCol w:w="2117"/>
        <w:gridCol w:w="2798"/>
        <w:gridCol w:w="2532"/>
      </w:tblGrid>
      <w:tr w14:paraId="68AFA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gridSpan w:val="4"/>
            <w:tcBorders>
              <w:top w:val="single" w:color="000000" w:sz="8" w:space="0"/>
              <w:left w:val="single" w:color="000000" w:sz="8" w:space="0"/>
              <w:bottom w:val="single" w:color="000000" w:sz="8" w:space="0"/>
              <w:right w:val="single" w:color="000000" w:sz="8" w:space="0"/>
            </w:tcBorders>
            <w:shd w:val="clear" w:color="auto" w:fill="auto"/>
            <w:vAlign w:val="center"/>
          </w:tcPr>
          <w:p w14:paraId="1DAE2621">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拆除垃圾产生量预测</w:t>
            </w:r>
          </w:p>
        </w:tc>
      </w:tr>
      <w:tr w14:paraId="7BA62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0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56620B">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年份（年）</w:t>
            </w:r>
          </w:p>
        </w:tc>
        <w:tc>
          <w:tcPr>
            <w:tcW w:w="21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CAE5DF">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拆除面积（万㎡）</w:t>
            </w:r>
          </w:p>
        </w:tc>
        <w:tc>
          <w:tcPr>
            <w:tcW w:w="27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80667B">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单位面积产生量（t/万㎡）</w:t>
            </w:r>
          </w:p>
        </w:tc>
        <w:tc>
          <w:tcPr>
            <w:tcW w:w="253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01CED67">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拆除垃圾产生量（t）</w:t>
            </w:r>
          </w:p>
        </w:tc>
      </w:tr>
      <w:tr w14:paraId="0D0AA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0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AAF1703">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2027</w:t>
            </w:r>
          </w:p>
        </w:tc>
        <w:tc>
          <w:tcPr>
            <w:tcW w:w="21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E670F8">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44</w:t>
            </w:r>
          </w:p>
        </w:tc>
        <w:tc>
          <w:tcPr>
            <w:tcW w:w="27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3F1B473">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10000</w:t>
            </w:r>
          </w:p>
        </w:tc>
        <w:tc>
          <w:tcPr>
            <w:tcW w:w="253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32B74BF">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44</w:t>
            </w:r>
          </w:p>
        </w:tc>
      </w:tr>
      <w:tr w14:paraId="5EAC2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0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2BB9FA2">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2030</w:t>
            </w:r>
          </w:p>
        </w:tc>
        <w:tc>
          <w:tcPr>
            <w:tcW w:w="21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12AEA23">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44</w:t>
            </w:r>
          </w:p>
        </w:tc>
        <w:tc>
          <w:tcPr>
            <w:tcW w:w="27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C4008A7">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10000</w:t>
            </w:r>
          </w:p>
        </w:tc>
        <w:tc>
          <w:tcPr>
            <w:tcW w:w="253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F0E8C0">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44</w:t>
            </w:r>
          </w:p>
        </w:tc>
      </w:tr>
      <w:tr w14:paraId="23AE9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0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5AE5F17">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2035</w:t>
            </w:r>
          </w:p>
        </w:tc>
        <w:tc>
          <w:tcPr>
            <w:tcW w:w="211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D55028">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40</w:t>
            </w:r>
          </w:p>
        </w:tc>
        <w:tc>
          <w:tcPr>
            <w:tcW w:w="27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F9C8099">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8000</w:t>
            </w:r>
          </w:p>
        </w:tc>
        <w:tc>
          <w:tcPr>
            <w:tcW w:w="253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CFBF121">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w:t>
            </w:r>
          </w:p>
        </w:tc>
      </w:tr>
    </w:tbl>
    <w:p w14:paraId="34C57A60">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3、装修垃圾产生量预测</w:t>
      </w:r>
    </w:p>
    <w:p w14:paraId="71F3ECAF">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《建筑垃圾处理技术标准》（CJJ/T134-2019）</w:t>
      </w:r>
    </w:p>
    <w:p w14:paraId="1E520C5C">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（1）对装修垃圾的预测方法：</w:t>
      </w:r>
    </w:p>
    <w:p w14:paraId="1F8BDBFD">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Mz=Rz×mz</w:t>
      </w:r>
    </w:p>
    <w:p w14:paraId="79AC920B">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式中：Mz—某城市或区域装修垃圾产生量，t/a；</w:t>
      </w:r>
    </w:p>
    <w:p w14:paraId="5E450C4E">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Rz—城市或区域居民户数，户；</w:t>
      </w:r>
    </w:p>
    <w:p w14:paraId="50AFF2A2">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mz—单位户数装修垃圾产生量基数，t/户•a，可取0.5t/户•a~1.0t/户•a。</w:t>
      </w:r>
    </w:p>
    <w:p w14:paraId="0F388217">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（2）装修垃圾产量预测</w:t>
      </w:r>
    </w:p>
    <w:p w14:paraId="59C168E6">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参照城管大队提供的数据，截至2023年装修垃圾约10t/年。</w:t>
      </w:r>
    </w:p>
    <w:p w14:paraId="4D5EB170">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预测参数：根据《六安统计年鉴+霍山统计公报》数据，2023年常住人口28.62万人，2.3人/家庭户，约合12.44万户。</w:t>
      </w:r>
    </w:p>
    <w:p w14:paraId="41E8BF1C">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近期t/户•a，可取0.7t/户，中远期可取0.5t/户。</w:t>
      </w:r>
    </w:p>
    <w:p w14:paraId="2F241F1E">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根据总规人口规模预测：</w:t>
      </w:r>
    </w:p>
    <w:p w14:paraId="50379ACA">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2023年霍山县家庭户户数为12.44万户，本次预测2025年户数仍取12.44万户。每规划户数增速与总规人口增长率保持一致，2025—2030年采用年均增速1%进行测算；2031—2035年采用年均增速3%进行测算。至2027年，霍山县家庭户约13.68万户；至2035年霍山县家庭户约合17.78万户。</w:t>
      </w:r>
    </w:p>
    <w:tbl>
      <w:tblPr>
        <w:tblStyle w:val="12"/>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80"/>
        <w:gridCol w:w="1723"/>
        <w:gridCol w:w="2872"/>
        <w:gridCol w:w="2554"/>
      </w:tblGrid>
      <w:tr w14:paraId="6C44C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gridSpan w:val="4"/>
            <w:tcBorders>
              <w:top w:val="single" w:color="000000" w:sz="8" w:space="0"/>
              <w:left w:val="single" w:color="000000" w:sz="8" w:space="0"/>
              <w:bottom w:val="single" w:color="000000" w:sz="8" w:space="0"/>
              <w:right w:val="single" w:color="000000" w:sz="8" w:space="0"/>
            </w:tcBorders>
            <w:shd w:val="clear" w:color="auto" w:fill="auto"/>
            <w:vAlign w:val="center"/>
          </w:tcPr>
          <w:p w14:paraId="253CD616">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装修垃圾产生量预测表</w:t>
            </w:r>
          </w:p>
        </w:tc>
      </w:tr>
      <w:tr w14:paraId="40AD5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28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2A2CC8">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年份（年）</w:t>
            </w:r>
          </w:p>
        </w:tc>
        <w:tc>
          <w:tcPr>
            <w:tcW w:w="17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C257CE">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总户数（万户）</w:t>
            </w:r>
          </w:p>
        </w:tc>
        <w:tc>
          <w:tcPr>
            <w:tcW w:w="287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3A4E518">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单位户数产生量（t/户•a）</w:t>
            </w:r>
          </w:p>
        </w:tc>
        <w:tc>
          <w:tcPr>
            <w:tcW w:w="255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3A550B3">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装修垃圾产生量（万吨）</w:t>
            </w:r>
          </w:p>
        </w:tc>
      </w:tr>
      <w:tr w14:paraId="48077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8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B4A777">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2027</w:t>
            </w:r>
            <w:bookmarkStart w:id="131" w:name="_GoBack"/>
            <w:bookmarkEnd w:id="131"/>
          </w:p>
        </w:tc>
        <w:tc>
          <w:tcPr>
            <w:tcW w:w="17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101CFEF">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13.68</w:t>
            </w:r>
          </w:p>
        </w:tc>
        <w:tc>
          <w:tcPr>
            <w:tcW w:w="287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2A3220A">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0.7</w:t>
            </w:r>
          </w:p>
        </w:tc>
        <w:tc>
          <w:tcPr>
            <w:tcW w:w="255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54FAB7A">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9.58</w:t>
            </w:r>
          </w:p>
        </w:tc>
      </w:tr>
      <w:tr w14:paraId="6E54F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8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9CAEB4">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2030</w:t>
            </w:r>
          </w:p>
        </w:tc>
        <w:tc>
          <w:tcPr>
            <w:tcW w:w="17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B38829">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15.73</w:t>
            </w:r>
          </w:p>
        </w:tc>
        <w:tc>
          <w:tcPr>
            <w:tcW w:w="287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AC0DFBE">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0.5</w:t>
            </w:r>
          </w:p>
        </w:tc>
        <w:tc>
          <w:tcPr>
            <w:tcW w:w="255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8486DC">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7.87</w:t>
            </w:r>
          </w:p>
        </w:tc>
      </w:tr>
      <w:tr w14:paraId="617D7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8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757987D">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2035</w:t>
            </w:r>
          </w:p>
        </w:tc>
        <w:tc>
          <w:tcPr>
            <w:tcW w:w="172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108EED">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17.78</w:t>
            </w:r>
          </w:p>
        </w:tc>
        <w:tc>
          <w:tcPr>
            <w:tcW w:w="287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8CF6980">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0.5</w:t>
            </w:r>
          </w:p>
        </w:tc>
        <w:tc>
          <w:tcPr>
            <w:tcW w:w="255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49A546">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8.89</w:t>
            </w:r>
          </w:p>
        </w:tc>
      </w:tr>
    </w:tbl>
    <w:p w14:paraId="264B7560">
      <w:pPr>
        <w:keepNext w:val="0"/>
        <w:keepLines w:val="0"/>
        <w:pageBreakBefore w:val="0"/>
        <w:widowControl w:val="0"/>
        <w:numPr>
          <w:ilvl w:val="0"/>
          <w:numId w:val="5"/>
        </w:numPr>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工程渣土、工程泥浆垃圾产生量预测</w:t>
      </w:r>
    </w:p>
    <w:p w14:paraId="57501135">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工程泥浆干化后跟工程渣土合并处理，根据近两年工程渣土的产生量预测近期产生量为下降趋势，2027年预测120万吨。中期至2030年为120万吨；远期产生量为100万吨。</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604"/>
        <w:gridCol w:w="5918"/>
      </w:tblGrid>
      <w:tr w14:paraId="3B058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374EAB1C">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工程渣土、工程泥浆垃圾产生量预测</w:t>
            </w:r>
          </w:p>
        </w:tc>
      </w:tr>
      <w:tr w14:paraId="7BC58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152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0672C18">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年份（年）</w:t>
            </w:r>
          </w:p>
        </w:tc>
        <w:tc>
          <w:tcPr>
            <w:tcW w:w="347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AB01D0B">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工程渣土年产量（万吨/年）</w:t>
            </w:r>
          </w:p>
        </w:tc>
      </w:tr>
      <w:tr w14:paraId="639E6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52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0756FAE">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2025</w:t>
            </w:r>
          </w:p>
        </w:tc>
        <w:tc>
          <w:tcPr>
            <w:tcW w:w="347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24C9C79">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120</w:t>
            </w:r>
          </w:p>
        </w:tc>
      </w:tr>
      <w:tr w14:paraId="634DE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52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2C20BFB">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2030</w:t>
            </w:r>
          </w:p>
        </w:tc>
        <w:tc>
          <w:tcPr>
            <w:tcW w:w="347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8E00937">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120</w:t>
            </w:r>
          </w:p>
        </w:tc>
      </w:tr>
      <w:tr w14:paraId="735D8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52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4C30362">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2035</w:t>
            </w:r>
          </w:p>
        </w:tc>
        <w:tc>
          <w:tcPr>
            <w:tcW w:w="347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DF38857">
            <w:pPr>
              <w:keepNext w:val="0"/>
              <w:keepLines w:val="0"/>
              <w:pageBreakBefore w:val="0"/>
              <w:widowControl/>
              <w:suppressLineNumbers w:val="0"/>
              <w:kinsoku/>
              <w:wordWrap/>
              <w:overflowPunct/>
              <w:topLinePunct w:val="0"/>
              <w:autoSpaceDE/>
              <w:autoSpaceDN/>
              <w:bidi w:val="0"/>
              <w:adjustRightInd/>
              <w:snapToGrid/>
              <w:spacing w:after="0" w:afterLines="0" w:line="240" w:lineRule="auto"/>
              <w:ind w:firstLine="0" w:firstLine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100</w:t>
            </w:r>
          </w:p>
        </w:tc>
      </w:tr>
    </w:tbl>
    <w:p w14:paraId="36890184">
      <w:pPr>
        <w:keepNext w:val="0"/>
        <w:keepLines w:val="0"/>
        <w:pageBreakBefore w:val="0"/>
        <w:widowControl w:val="0"/>
        <w:numPr>
          <w:ilvl w:val="0"/>
          <w:numId w:val="5"/>
        </w:numPr>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建筑垃圾产生量预测汇总</w:t>
      </w:r>
    </w:p>
    <w:p w14:paraId="142ACBE3">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本次的预测结果为2027年霍山县城区建筑垃圾预计产量为175.83万吨；2030年霍山县城区建筑垃圾预计产量为174.89万吨；2035年霍山县城区建筑垃圾预计产量为144.73万吨。</w:t>
      </w: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3015"/>
        <w:gridCol w:w="1825"/>
        <w:gridCol w:w="1825"/>
        <w:gridCol w:w="1857"/>
      </w:tblGrid>
      <w:tr w14:paraId="138D3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8522" w:type="dxa"/>
            <w:gridSpan w:val="4"/>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2732920A">
            <w:pPr>
              <w:pStyle w:val="11"/>
              <w:keepNext w:val="0"/>
              <w:keepLines w:val="0"/>
              <w:widowControl/>
              <w:suppressLineNumbers w:val="0"/>
              <w:ind w:left="0" w:leftChars="0" w:right="0" w:right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建筑垃圾产生量预测汇总表（单位：万吨）</w:t>
            </w:r>
          </w:p>
        </w:tc>
      </w:tr>
      <w:tr w14:paraId="65555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3015"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09F9170F">
            <w:pPr>
              <w:pStyle w:val="11"/>
              <w:keepNext w:val="0"/>
              <w:keepLines w:val="0"/>
              <w:widowControl/>
              <w:suppressLineNumbers w:val="0"/>
              <w:ind w:left="0" w:leftChars="0" w:right="0" w:right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类别</w:t>
            </w:r>
          </w:p>
        </w:tc>
        <w:tc>
          <w:tcPr>
            <w:tcW w:w="1825"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595478C8">
            <w:pPr>
              <w:pStyle w:val="11"/>
              <w:keepNext w:val="0"/>
              <w:keepLines w:val="0"/>
              <w:widowControl/>
              <w:suppressLineNumbers w:val="0"/>
              <w:ind w:left="0" w:leftChars="0" w:right="0" w:right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2027年</w:t>
            </w:r>
          </w:p>
        </w:tc>
        <w:tc>
          <w:tcPr>
            <w:tcW w:w="1825"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4455FC8A">
            <w:pPr>
              <w:pStyle w:val="11"/>
              <w:keepNext w:val="0"/>
              <w:keepLines w:val="0"/>
              <w:widowControl/>
              <w:suppressLineNumbers w:val="0"/>
              <w:ind w:left="0" w:leftChars="0" w:right="0" w:right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2030年</w:t>
            </w:r>
          </w:p>
        </w:tc>
        <w:tc>
          <w:tcPr>
            <w:tcW w:w="1857"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5F56DFE9">
            <w:pPr>
              <w:pStyle w:val="11"/>
              <w:keepNext w:val="0"/>
              <w:keepLines w:val="0"/>
              <w:widowControl/>
              <w:suppressLineNumbers w:val="0"/>
              <w:ind w:left="0" w:leftChars="0" w:right="0" w:right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2035年</w:t>
            </w:r>
          </w:p>
        </w:tc>
      </w:tr>
      <w:tr w14:paraId="0076D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3015"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3F402151">
            <w:pPr>
              <w:pStyle w:val="11"/>
              <w:keepNext w:val="0"/>
              <w:keepLines w:val="0"/>
              <w:widowControl/>
              <w:suppressLineNumbers w:val="0"/>
              <w:ind w:left="0" w:leftChars="0" w:right="0" w:right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工程垃圾</w:t>
            </w:r>
          </w:p>
        </w:tc>
        <w:tc>
          <w:tcPr>
            <w:tcW w:w="1825"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6F3FAA08">
            <w:pPr>
              <w:pStyle w:val="11"/>
              <w:keepNext w:val="0"/>
              <w:keepLines w:val="0"/>
              <w:widowControl/>
              <w:suppressLineNumbers w:val="0"/>
              <w:ind w:left="0" w:leftChars="0" w:right="0" w:right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2.25</w:t>
            </w:r>
          </w:p>
        </w:tc>
        <w:tc>
          <w:tcPr>
            <w:tcW w:w="1825"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72032F56">
            <w:pPr>
              <w:pStyle w:val="11"/>
              <w:keepNext w:val="0"/>
              <w:keepLines w:val="0"/>
              <w:widowControl/>
              <w:suppressLineNumbers w:val="0"/>
              <w:ind w:left="0" w:leftChars="0" w:right="0" w:right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3.02</w:t>
            </w:r>
          </w:p>
        </w:tc>
        <w:tc>
          <w:tcPr>
            <w:tcW w:w="1857"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63CF6B7A">
            <w:pPr>
              <w:pStyle w:val="11"/>
              <w:keepNext w:val="0"/>
              <w:keepLines w:val="0"/>
              <w:widowControl/>
              <w:suppressLineNumbers w:val="0"/>
              <w:ind w:left="0" w:leftChars="0" w:right="0" w:right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3.86</w:t>
            </w:r>
          </w:p>
        </w:tc>
      </w:tr>
      <w:tr w14:paraId="4A160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3015"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0B03A2EB">
            <w:pPr>
              <w:pStyle w:val="11"/>
              <w:keepNext w:val="0"/>
              <w:keepLines w:val="0"/>
              <w:widowControl/>
              <w:suppressLineNumbers w:val="0"/>
              <w:ind w:left="0" w:leftChars="0" w:right="0" w:right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拆除垃圾</w:t>
            </w:r>
          </w:p>
        </w:tc>
        <w:tc>
          <w:tcPr>
            <w:tcW w:w="1825"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1484ECC4">
            <w:pPr>
              <w:pStyle w:val="11"/>
              <w:keepNext w:val="0"/>
              <w:keepLines w:val="0"/>
              <w:widowControl/>
              <w:suppressLineNumbers w:val="0"/>
              <w:ind w:left="0" w:leftChars="0" w:right="0" w:right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44</w:t>
            </w:r>
          </w:p>
        </w:tc>
        <w:tc>
          <w:tcPr>
            <w:tcW w:w="1825"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7BFF55C4">
            <w:pPr>
              <w:pStyle w:val="11"/>
              <w:keepNext w:val="0"/>
              <w:keepLines w:val="0"/>
              <w:widowControl/>
              <w:suppressLineNumbers w:val="0"/>
              <w:ind w:left="0" w:leftChars="0" w:right="0" w:right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44</w:t>
            </w:r>
          </w:p>
        </w:tc>
        <w:tc>
          <w:tcPr>
            <w:tcW w:w="1857"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61B15DC0">
            <w:pPr>
              <w:pStyle w:val="11"/>
              <w:keepNext w:val="0"/>
              <w:keepLines w:val="0"/>
              <w:widowControl/>
              <w:suppressLineNumbers w:val="0"/>
              <w:ind w:left="0" w:leftChars="0" w:right="0" w:right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w:t>
            </w:r>
          </w:p>
        </w:tc>
      </w:tr>
      <w:tr w14:paraId="499C8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3015"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0F46CE8A">
            <w:pPr>
              <w:pStyle w:val="11"/>
              <w:keepNext w:val="0"/>
              <w:keepLines w:val="0"/>
              <w:widowControl/>
              <w:suppressLineNumbers w:val="0"/>
              <w:ind w:left="0" w:leftChars="0" w:right="0" w:right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装修垃圾</w:t>
            </w:r>
          </w:p>
        </w:tc>
        <w:tc>
          <w:tcPr>
            <w:tcW w:w="1825"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25C8F5D8">
            <w:pPr>
              <w:pStyle w:val="11"/>
              <w:keepNext w:val="0"/>
              <w:keepLines w:val="0"/>
              <w:widowControl/>
              <w:suppressLineNumbers w:val="0"/>
              <w:ind w:left="0" w:leftChars="0" w:right="0" w:right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9.58</w:t>
            </w:r>
          </w:p>
        </w:tc>
        <w:tc>
          <w:tcPr>
            <w:tcW w:w="1825"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57F99CC6">
            <w:pPr>
              <w:pStyle w:val="11"/>
              <w:keepNext w:val="0"/>
              <w:keepLines w:val="0"/>
              <w:widowControl/>
              <w:suppressLineNumbers w:val="0"/>
              <w:ind w:left="0" w:leftChars="0" w:right="0" w:right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7.87</w:t>
            </w:r>
          </w:p>
        </w:tc>
        <w:tc>
          <w:tcPr>
            <w:tcW w:w="1857"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2379963B">
            <w:pPr>
              <w:pStyle w:val="11"/>
              <w:keepNext w:val="0"/>
              <w:keepLines w:val="0"/>
              <w:widowControl/>
              <w:suppressLineNumbers w:val="0"/>
              <w:ind w:left="0" w:leftChars="0" w:right="0" w:right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8.89</w:t>
            </w:r>
          </w:p>
        </w:tc>
      </w:tr>
      <w:tr w14:paraId="21102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0" w:hRule="atLeast"/>
        </w:trPr>
        <w:tc>
          <w:tcPr>
            <w:tcW w:w="3015"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11372F7B">
            <w:pPr>
              <w:pStyle w:val="11"/>
              <w:keepNext w:val="0"/>
              <w:keepLines w:val="0"/>
              <w:widowControl/>
              <w:suppressLineNumbers w:val="0"/>
              <w:ind w:left="0" w:leftChars="0" w:right="0" w:right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工程渣土（工程泥浆）</w:t>
            </w:r>
          </w:p>
        </w:tc>
        <w:tc>
          <w:tcPr>
            <w:tcW w:w="1825"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2DE7788D">
            <w:pPr>
              <w:pStyle w:val="11"/>
              <w:keepNext w:val="0"/>
              <w:keepLines w:val="0"/>
              <w:widowControl/>
              <w:suppressLineNumbers w:val="0"/>
              <w:ind w:left="0" w:leftChars="0" w:right="0" w:right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120</w:t>
            </w:r>
          </w:p>
        </w:tc>
        <w:tc>
          <w:tcPr>
            <w:tcW w:w="1825"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62B1991A">
            <w:pPr>
              <w:pStyle w:val="11"/>
              <w:keepNext w:val="0"/>
              <w:keepLines w:val="0"/>
              <w:widowControl/>
              <w:suppressLineNumbers w:val="0"/>
              <w:ind w:left="0" w:leftChars="0" w:right="0" w:right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120</w:t>
            </w:r>
          </w:p>
        </w:tc>
        <w:tc>
          <w:tcPr>
            <w:tcW w:w="1857"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7540FBF9">
            <w:pPr>
              <w:pStyle w:val="11"/>
              <w:keepNext w:val="0"/>
              <w:keepLines w:val="0"/>
              <w:widowControl/>
              <w:suppressLineNumbers w:val="0"/>
              <w:ind w:left="0" w:leftChars="0" w:right="0" w:right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100</w:t>
            </w:r>
          </w:p>
        </w:tc>
      </w:tr>
      <w:tr w14:paraId="783DF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20" w:hRule="atLeast"/>
        </w:trPr>
        <w:tc>
          <w:tcPr>
            <w:tcW w:w="3015"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76A94C0F">
            <w:pPr>
              <w:pStyle w:val="11"/>
              <w:keepNext w:val="0"/>
              <w:keepLines w:val="0"/>
              <w:widowControl/>
              <w:suppressLineNumbers w:val="0"/>
              <w:ind w:left="0" w:leftChars="0" w:right="0" w:right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合计</w:t>
            </w:r>
          </w:p>
        </w:tc>
        <w:tc>
          <w:tcPr>
            <w:tcW w:w="1825"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bottom w:w="72" w:type="dxa"/>
              <w:right w:w="15" w:type="dxa"/>
            </w:tcMar>
            <w:vAlign w:val="center"/>
          </w:tcPr>
          <w:p w14:paraId="303725B2">
            <w:pPr>
              <w:pStyle w:val="11"/>
              <w:keepNext w:val="0"/>
              <w:keepLines w:val="0"/>
              <w:widowControl/>
              <w:suppressLineNumbers w:val="0"/>
              <w:ind w:left="0" w:leftChars="0" w:right="0" w:right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175.83</w:t>
            </w:r>
          </w:p>
        </w:tc>
        <w:tc>
          <w:tcPr>
            <w:tcW w:w="1825"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bottom w:w="72" w:type="dxa"/>
              <w:right w:w="15" w:type="dxa"/>
            </w:tcMar>
            <w:vAlign w:val="center"/>
          </w:tcPr>
          <w:p w14:paraId="231803F9">
            <w:pPr>
              <w:pStyle w:val="11"/>
              <w:keepNext w:val="0"/>
              <w:keepLines w:val="0"/>
              <w:widowControl/>
              <w:suppressLineNumbers w:val="0"/>
              <w:ind w:left="0" w:leftChars="0" w:right="0" w:right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174.89</w:t>
            </w:r>
          </w:p>
        </w:tc>
        <w:tc>
          <w:tcPr>
            <w:tcW w:w="1857"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bottom w:w="72" w:type="dxa"/>
              <w:right w:w="15" w:type="dxa"/>
            </w:tcMar>
            <w:vAlign w:val="center"/>
          </w:tcPr>
          <w:p w14:paraId="525EAD76">
            <w:pPr>
              <w:pStyle w:val="11"/>
              <w:keepNext w:val="0"/>
              <w:keepLines w:val="0"/>
              <w:widowControl/>
              <w:suppressLineNumbers w:val="0"/>
              <w:ind w:left="0" w:leftChars="0" w:right="0" w:rightChars="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144.75</w:t>
            </w:r>
          </w:p>
        </w:tc>
      </w:tr>
    </w:tbl>
    <w:p w14:paraId="2220E1A4">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p>
    <w:p w14:paraId="7E7B7827">
      <w:pPr>
        <w:rPr>
          <w:rFonts w:hint="eastAsia"/>
          <w:b/>
          <w:sz w:val="28"/>
          <w:szCs w:val="22"/>
          <w:lang w:val="en-US" w:eastAsia="zh-CN"/>
        </w:rPr>
      </w:pPr>
    </w:p>
    <w:p w14:paraId="7D707207">
      <w:pPr>
        <w:rPr>
          <w:rFonts w:hint="eastAsia"/>
          <w:b/>
          <w:sz w:val="28"/>
          <w:szCs w:val="22"/>
          <w:lang w:val="en-US" w:eastAsia="zh-CN"/>
        </w:rPr>
      </w:pPr>
    </w:p>
    <w:p w14:paraId="58AF5880">
      <w:pPr>
        <w:rPr>
          <w:rFonts w:hint="eastAsia"/>
          <w:b/>
          <w:sz w:val="28"/>
          <w:szCs w:val="22"/>
          <w:lang w:val="en-US" w:eastAsia="zh-CN"/>
        </w:rPr>
      </w:pPr>
    </w:p>
    <w:p w14:paraId="170E8FE9">
      <w:pPr>
        <w:rPr>
          <w:rFonts w:hint="default"/>
          <w:b/>
          <w:sz w:val="28"/>
          <w:szCs w:val="22"/>
          <w:lang w:val="en-US" w:eastAsia="zh-CN"/>
        </w:rPr>
      </w:pPr>
      <w:r>
        <w:rPr>
          <w:rFonts w:hint="default"/>
          <w:b/>
          <w:sz w:val="28"/>
          <w:szCs w:val="22"/>
          <w:lang w:val="en-US" w:eastAsia="zh-CN"/>
        </w:rPr>
        <w:br w:type="page"/>
      </w:r>
    </w:p>
    <w:p w14:paraId="60047FFD">
      <w:pPr>
        <w:pStyle w:val="2"/>
        <w:numPr>
          <w:ilvl w:val="0"/>
          <w:numId w:val="1"/>
        </w:numPr>
        <w:bidi w:val="0"/>
        <w:rPr>
          <w:rFonts w:hint="eastAsia"/>
          <w:lang w:val="en-US" w:eastAsia="zh-CN"/>
        </w:rPr>
      </w:pPr>
      <w:bookmarkStart w:id="42" w:name="_Toc22305"/>
      <w:bookmarkStart w:id="43" w:name="_Toc28058"/>
      <w:r>
        <w:rPr>
          <w:rFonts w:hint="eastAsia"/>
          <w:lang w:val="en-US" w:eastAsia="zh-CN"/>
        </w:rPr>
        <w:t>建筑垃圾源头减量规划</w:t>
      </w:r>
      <w:bookmarkEnd w:id="42"/>
      <w:bookmarkEnd w:id="43"/>
    </w:p>
    <w:p w14:paraId="2FA2758A">
      <w:pPr>
        <w:pStyle w:val="3"/>
        <w:numPr>
          <w:ilvl w:val="0"/>
          <w:numId w:val="6"/>
        </w:numPr>
        <w:bidi w:val="0"/>
        <w:rPr>
          <w:rFonts w:hint="eastAsia"/>
          <w:lang w:val="en-US" w:eastAsia="zh-CN"/>
        </w:rPr>
      </w:pPr>
      <w:bookmarkStart w:id="44" w:name="_Toc4546"/>
      <w:bookmarkStart w:id="45" w:name="_Toc1885"/>
      <w:r>
        <w:rPr>
          <w:rFonts w:hint="eastAsia"/>
          <w:lang w:val="en-US" w:eastAsia="zh-CN"/>
        </w:rPr>
        <w:t>源头减量要求</w:t>
      </w:r>
      <w:bookmarkEnd w:id="44"/>
      <w:bookmarkEnd w:id="45"/>
    </w:p>
    <w:p w14:paraId="0B8BBC38">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为贯彻落实《关于推动城乡建设绿色发展的实施方案》（皖办发〔2021〕34号）、《安徽省建筑节能降碳行动计划的通知》（皖政办〔2022〕11号）及《六安市城乡建设领域碳达峰实施方案》（六建科〔2023〕36号）等文件要求，到2025年底，全县装配式建筑新开工面积占新建建筑面积比例达到50%以上，竣工装配式建筑面积占竣工建筑面积比例达到30%以上。新立项的政府投资或国有资金投资的单体地上面积5000平方米以上的新建公共建筑和10万平方米以上的新建居住小区应采用装配式建造。其他地上2万平方米以上新建公共建筑和10万平方米以上的新建居住小区原则上采用装配式建造。</w:t>
      </w:r>
    </w:p>
    <w:p w14:paraId="352EA53E">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重点抗震设防类公共建筑、大型公共建筑、政府投资公共建筑要率先采用装配式钢结构建造技术，大跨、超高建筑及工业厂房宜采用装配式钢结构建造技术。</w:t>
      </w:r>
    </w:p>
    <w:p w14:paraId="5308061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鼓励农房、民宿以及社区活动中心、警务室、公厕等适宜标准化、模块化的建设项目采用装配式方式建造。鼓励道路桥梁、综合管廊、给排水、防洪护岸和园林绿化等基础设施选用装配式部品部件建造。</w:t>
      </w:r>
    </w:p>
    <w:p w14:paraId="0DB45710">
      <w:pPr>
        <w:pStyle w:val="3"/>
        <w:numPr>
          <w:ilvl w:val="0"/>
          <w:numId w:val="6"/>
        </w:numPr>
        <w:bidi w:val="0"/>
        <w:rPr>
          <w:rFonts w:hint="eastAsia"/>
          <w:lang w:val="en-US" w:eastAsia="zh-CN"/>
        </w:rPr>
      </w:pPr>
      <w:bookmarkStart w:id="46" w:name="_Toc5956"/>
      <w:bookmarkStart w:id="47" w:name="_Toc19114"/>
      <w:r>
        <w:rPr>
          <w:rFonts w:hint="eastAsia"/>
          <w:lang w:val="en-US" w:eastAsia="zh-CN"/>
        </w:rPr>
        <w:t>源头减量总体措施</w:t>
      </w:r>
      <w:bookmarkEnd w:id="46"/>
      <w:bookmarkEnd w:id="47"/>
    </w:p>
    <w:p w14:paraId="7DE3AD80">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（一）强化规划设计方案</w:t>
      </w:r>
    </w:p>
    <w:p w14:paraId="4AEE8F0B">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在规划阶段，依据地形地貌进行建设工程规划，优化竖向规划方案，减少工程渣土的产生。建筑工程竖向设计应充分利用场地原始的地形地貌，根据周边市政道路标高合理确定场地标高及建筑布局，减少工程渣土的开挖量，尽量实现工程渣土平衡。</w:t>
      </w:r>
    </w:p>
    <w:p w14:paraId="345AAF84">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设计阶段，优化结构设计，减少工程垃圾的产生，多方面对设计方案论证，确保可施性。减少装饰性构件的使用，避免不必要的建筑垃圾产生。通过对建筑的可持续设计或者建筑垃圾减量化设计、提高建筑年限使用寿命、实行旧建筑材料的直接再利用等手段。通过普及装配式建筑和预制构件，减少建筑垃圾的产生。</w:t>
      </w:r>
    </w:p>
    <w:p w14:paraId="01D57FE3">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（二）加强施工管理</w:t>
      </w:r>
    </w:p>
    <w:p w14:paraId="3CE82CBE">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在施工阶段，优化施工组织设计方案，最大限度减少工程渣土的排放量。研究开发适用于各类建设工程的装配式结构并推广使用，提升住宅全装修交付比例，减少装修垃圾的产生。对于拆除工程，通过优化拆除工序和拆除现场分类，实行有序、专业化拆解，减少建筑垃圾的产生和提高排放出拆除垃圾的品质，提高拆除垃圾的资源化利用率。</w:t>
      </w:r>
    </w:p>
    <w:p w14:paraId="2B73CDF4">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建设单位应依法依规申请建筑垃圾排放核准，明确工程建设项目建筑垃圾减量化目标和措施，将建筑垃圾减量化措施费用纳入工程概算，落实设计、施工、监理单位建筑垃圾减量责任。大力推广装配式建筑等新型建造方式，预制构件生产企业应在生产、加工、储存、养护及运输等过程中加强管控，从源头上预防和减少工程建设过程中建筑垃圾的产生，有效减少工程全寿命期的建筑垃圾排放。</w:t>
      </w:r>
    </w:p>
    <w:p w14:paraId="1564C790">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施工单位应建立建筑垃圾分类收集与存放台账管理制度，鼓励以末端处置为导向对建筑垃圾进行分类及存放，将建筑垃圾按照工程渣土、工程泥浆、施工垃圾、拆除垃圾及装修垃圾等种类进行分类存放。</w:t>
      </w:r>
    </w:p>
    <w:p w14:paraId="2BF1FB27">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施工单位可在现场将部分满足质量要求的余料根据实际需求加工成各种工程材料，实现源头减量。其他不具备就地利用条件的及时运至建筑垃圾消纳场进行分类堆放或运至建筑垃圾资源化利用厂进行资源化利用。严禁将生活垃圾、大件垃圾、园林垃圾等混入建筑垃圾。</w:t>
      </w:r>
    </w:p>
    <w:p w14:paraId="4ED78670">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施工单位应编制建筑垃圾处理专项方案，采取污染防治措施；做好设计深化，并加强施工组织和管理工作，加强BIM等先进技术在工程中的应用，提高建筑施工管理水平，减少因施工质量原因造成的建筑资源浪费及建筑垃圾产生；推广智慧工地监管系统，提升施工工地监管水平，做好施工中的每一个环节，提高施工质量，有效地减少建筑垃圾的产生。</w:t>
      </w:r>
    </w:p>
    <w:p w14:paraId="63E3935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施工场地应采用重复利用率高的标准化设施，鼓励施工单位在一定区域范围内统筹临时设施和周转材料的调配，提高施工期间临时设施和永久性设施的综合利用率。</w:t>
      </w:r>
    </w:p>
    <w:p w14:paraId="14D01715">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（三）推广利用新技术</w:t>
      </w:r>
    </w:p>
    <w:p w14:paraId="30D2E025">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政府引导成立建筑垃圾减量化协会，提供技术和设备咨询服务，对各旧改拆迁项目、新建施工项目提供建筑垃圾循环利用的技术和设备咨询，使每一个施工工地都可以成为一处小型建筑垃圾资源化利用厂，都能够最大程度地循环利用建筑垃圾，形成社会效益与经济效益的和谐统一。</w:t>
      </w:r>
    </w:p>
    <w:p w14:paraId="7A0B4A7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2、推广装配式建筑，推行工程总承包和全过程工程咨询模式，构建建筑垃圾减排体系，从源头上着力减少建筑垃圾的排放。</w:t>
      </w:r>
    </w:p>
    <w:p w14:paraId="06AD0525">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优化建筑设计。工程设计单位应按照相关规范，优化设计标准，推广BIM设计。在减少建筑垃圾方面，建筑设计方案中要考虑的问题有：建筑物应有较长的使用寿命；采用可以少产生建筑垃圾的结构设计；选用少产生建筑垃圾的建材和再生建材；应考虑到建筑物将来维修和改造时便于进行，且建筑垃圾较少；应考虑建筑物在将来拆除时建筑材料和构件的再生问题。</w:t>
      </w:r>
    </w:p>
    <w:p w14:paraId="51248CDB">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4、应推广新的施工技术，提高结构的施工精度，避免凿除或修补而产生的垃圾。现在有很多建筑的结构是现场浇筑的，但尺寸控制精度常常不够，达不到横平竖直的要求，在粉刷之前还要对局部构件做凿除和修补处理，造成浪费。</w:t>
      </w:r>
    </w:p>
    <w:p w14:paraId="3ED1153A">
      <w:pPr>
        <w:pStyle w:val="3"/>
        <w:numPr>
          <w:ilvl w:val="0"/>
          <w:numId w:val="6"/>
        </w:numPr>
        <w:bidi w:val="0"/>
        <w:rPr>
          <w:rFonts w:hint="eastAsia"/>
          <w:lang w:val="en-US" w:eastAsia="zh-CN"/>
        </w:rPr>
      </w:pPr>
      <w:bookmarkStart w:id="48" w:name="_Toc28720"/>
      <w:bookmarkStart w:id="49" w:name="_Toc17663"/>
      <w:r>
        <w:rPr>
          <w:rFonts w:hint="eastAsia"/>
          <w:lang w:val="en-US" w:eastAsia="zh-CN"/>
        </w:rPr>
        <w:t>源头分类减量措施</w:t>
      </w:r>
      <w:bookmarkEnd w:id="48"/>
      <w:bookmarkEnd w:id="49"/>
    </w:p>
    <w:p w14:paraId="0710CA7E">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1、工程垃圾</w:t>
      </w:r>
    </w:p>
    <w:p w14:paraId="01F60808">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（1）应优先使用绿色建材</w:t>
      </w:r>
    </w:p>
    <w:p w14:paraId="7B485C07">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绿色建材与传统建材相比，在材料物质上，无毒害、无污染，不损害人体健康；在生产原料上，大量使用固体废弃物，节约了天然原材料；在其生产过程中，采用了低能耗的先进制造技术和无污染的生产工艺。在建筑设计时的建材选用标准当中，优先选用绿色建材，既满足建筑垃圾源头减量排放的要求，又是发展生态型建筑业生产的必要条件。</w:t>
      </w:r>
    </w:p>
    <w:p w14:paraId="59415D6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（2）应发展预制装配式建筑</w:t>
      </w:r>
    </w:p>
    <w:p w14:paraId="16FD1B64">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与传统的结构相比，装配式结构有利于节约建材原材料、减小建材的损耗、避免各种建材构件因尺寸不合而二次加工、切割等产生废料，减少了施工阶段的建筑垃圾量，在建筑物未来的拆除方面都更利于实现建筑垃圾的源头减量化控制。</w:t>
      </w:r>
    </w:p>
    <w:p w14:paraId="1081B84A">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（3）应在优化设计质量和深度</w:t>
      </w:r>
    </w:p>
    <w:p w14:paraId="70EC83FD">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建立绿色设计理念，推行精细化设计，开展土方平衡论证，引导设计单位根据场地实际合理确定标高，减少渣土外运。因地制宜地选择结构体系，减少建筑形体不规则性，深化BIM技术应用，加强建筑、结构、机电、装修景观全专业一体化协同设计。</w:t>
      </w:r>
    </w:p>
    <w:p w14:paraId="0E08AF74">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（3）应加强施工精细化管理</w:t>
      </w:r>
    </w:p>
    <w:p w14:paraId="434BEFC0">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在施工组织设计中设置建筑垃圾减量化工作专篇，明确建筑垃圾单位排放量及减排措施，促进施工单位科学制定施工组织设计，合理确定施工工序，推行数字化加工和信息化管理，实现精准下料、精细管理，降低建筑材料损耗率。严把材料进场验收关、分部分项工程验收关、工程构件成品保护关；推行监理报告制度，强化工程质量管控，减少因质量问题导致的返工或修补，防止因质量管理不到位而产生大量的建筑垃圾。</w:t>
      </w:r>
    </w:p>
    <w:p w14:paraId="5E6AF71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2、拆除垃圾</w:t>
      </w:r>
    </w:p>
    <w:p w14:paraId="0D4A19D8">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（1）应在规划阶段考虑未来建筑物的拆除</w:t>
      </w:r>
    </w:p>
    <w:p w14:paraId="49811D48">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目前在规划上，很少去考虑建筑物在未来的拆除，以至于现在的建筑物绝大部分是被破坏性拆除，从而产生了大量的建筑垃圾。在规划阶段考虑未来建筑物的拆除，为建筑物拆除提供了一种替代方法，不仅能减少建筑垃圾的产生量，还能为建筑物的拆解、材料的回收运输等制造新的商机。</w:t>
      </w:r>
    </w:p>
    <w:p w14:paraId="4EF0ECF0">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（2）应做好旧建筑的处置评价工作</w:t>
      </w:r>
    </w:p>
    <w:p w14:paraId="43C5B9AB">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积极开展旧建筑的多元化再利用。“大拆大建”和“短命建筑”是导致建筑垃圾产量增加的重要因素之一，应当做好旧建筑的处置评价工作，通过科学和适当的方法选择正确的旧建筑处理方案。相比于拆除重建，发展旧建筑的更新改造不仅能节约资源，也能减少建筑垃圾的产量。因此在旧建筑的处置评价工作当中，应当着重发展旧建筑的“资源化再利用”。</w:t>
      </w:r>
    </w:p>
    <w:p w14:paraId="7BCA9608">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（3）应优化建筑物的拆解方式</w:t>
      </w:r>
    </w:p>
    <w:p w14:paraId="244B13C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优化拆解方法能够有效地提高旧建材的再利用率。如分离拆解或者分类拆解，人工拆除内部装修、机械拆除建筑物的混合拆除方式就可提高建材的再利用率。</w:t>
      </w:r>
    </w:p>
    <w:p w14:paraId="1C2F12D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b/>
          <w:bCs/>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3、装修垃圾</w:t>
      </w:r>
    </w:p>
    <w:p w14:paraId="01FA2390">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可通过推广全装修房、改善施工工艺和提高施工水平等多种方式，从源头上减少装修垃圾的产生量。引导和鼓励新建建筑住宅一次装修到位或采取菜单式定制装修等模式，对毛坯房予以限制，着力减少室内装修垃圾产生量。</w:t>
      </w:r>
    </w:p>
    <w:p w14:paraId="77526F17">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4、工程渣土、工程泥浆</w:t>
      </w:r>
    </w:p>
    <w:p w14:paraId="0FB82A15">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工程渣土和少量工程泥浆可采用区域土方调配的方式，减少需要处理和堆填消纳的总量。对于施工产生的可用于工程回填的工程渣土，优先用于土方平衡。</w:t>
      </w:r>
    </w:p>
    <w:p w14:paraId="24B5EDA3">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区域土方调配首先以规划区内，以各个因施工需要回填建筑弃土的建设工地，以独立项目工地为控制的基本单元，通过信息系统或设计管理机制对该规划区内各项目工地之间的土方填挖量进行平衡调配。如该片区内土方调配无法平衡，则进一步在各规划片区和县区范围内进行土方协调平衡。通过区域土方调配使工程渣土尽可能多地用于回填利用，减少其需处理和填埋的量。</w:t>
      </w:r>
    </w:p>
    <w:p w14:paraId="2E277165">
      <w:pPr>
        <w:pStyle w:val="3"/>
        <w:numPr>
          <w:ilvl w:val="0"/>
          <w:numId w:val="6"/>
        </w:numPr>
        <w:bidi w:val="0"/>
        <w:rPr>
          <w:rFonts w:hint="eastAsia"/>
          <w:lang w:val="en-US" w:eastAsia="zh-CN"/>
        </w:rPr>
      </w:pPr>
      <w:bookmarkStart w:id="50" w:name="_Toc3530"/>
      <w:bookmarkStart w:id="51" w:name="_Toc9656"/>
      <w:r>
        <w:rPr>
          <w:rFonts w:hint="eastAsia"/>
          <w:lang w:val="en-US" w:eastAsia="zh-CN"/>
        </w:rPr>
        <w:t>源头污染环境防治要求</w:t>
      </w:r>
      <w:bookmarkEnd w:id="50"/>
      <w:bookmarkEnd w:id="51"/>
    </w:p>
    <w:p w14:paraId="5278C157">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施工工地实行围挡封闭，主要路段的施工工地围挡高度不得低于2.5米（含2.5米），一般路段的施工工地围挡高度不得低于1.8米（含1.8米），围挡底部应使用混凝土或砌砖作为基础且高度不小于50公分，围挡内侧应设置环形贯通排水沟，确保泥浆、污水不外溢出围挡。</w:t>
      </w:r>
    </w:p>
    <w:p w14:paraId="29F4BFD4">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施工现场周围应当设置连续、密闭的围挡，施工现场围挡率100%。各类脚手架或外露性临边防护构架的外立面，应使用安全网封闭围护或包裹，并应严密、牢固、平整、美观，其封闭高度应高出作业面1.5米（不含1.5米）。</w:t>
      </w:r>
    </w:p>
    <w:p w14:paraId="594939AE">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施工工地应配备相应的洒水设备，及时洒水，应按规定及时清运建筑垃圾，减少粉尘对空气的污染。</w:t>
      </w:r>
    </w:p>
    <w:p w14:paraId="4BF488C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四级风以上天气不得进行土方回填、转运及其他可能产生扬尘污染的施工，雷雨天气，应及时进行覆盖、做好排水措施。</w:t>
      </w:r>
    </w:p>
    <w:p w14:paraId="1D9B81D8">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在施工工地车辆出入口应设置车辆冲洗设施并对进出车辆进行冲洗，防止车轮等部位将泥沙带出施工工地造成扬尘污染。</w:t>
      </w:r>
    </w:p>
    <w:p w14:paraId="500F1CE9">
      <w:pPr>
        <w:rPr>
          <w:rFonts w:hint="eastAsia"/>
          <w:lang w:val="en-US" w:eastAsia="zh-CN"/>
        </w:rPr>
      </w:pPr>
      <w:r>
        <w:rPr>
          <w:rFonts w:hint="eastAsia"/>
          <w:lang w:val="en-US" w:eastAsia="zh-CN"/>
        </w:rPr>
        <w:br w:type="page"/>
      </w:r>
    </w:p>
    <w:p w14:paraId="21344F66">
      <w:pPr>
        <w:pStyle w:val="2"/>
        <w:numPr>
          <w:ilvl w:val="0"/>
          <w:numId w:val="1"/>
        </w:numPr>
        <w:bidi w:val="0"/>
        <w:rPr>
          <w:rFonts w:hint="default"/>
          <w:lang w:val="en-US" w:eastAsia="zh-CN"/>
        </w:rPr>
      </w:pPr>
      <w:bookmarkStart w:id="52" w:name="_Toc13613"/>
      <w:bookmarkStart w:id="53" w:name="_Toc6075"/>
      <w:r>
        <w:rPr>
          <w:rFonts w:hint="eastAsia"/>
          <w:lang w:val="en-US" w:eastAsia="zh-CN"/>
        </w:rPr>
        <w:t>建筑垃圾收集运输规划</w:t>
      </w:r>
      <w:bookmarkEnd w:id="52"/>
      <w:bookmarkEnd w:id="53"/>
    </w:p>
    <w:p w14:paraId="578B7B7D">
      <w:pPr>
        <w:pStyle w:val="3"/>
        <w:numPr>
          <w:ilvl w:val="0"/>
          <w:numId w:val="7"/>
        </w:numPr>
        <w:bidi w:val="0"/>
        <w:rPr>
          <w:rFonts w:hint="default"/>
          <w:lang w:val="en-US" w:eastAsia="zh-CN"/>
        </w:rPr>
      </w:pPr>
      <w:bookmarkStart w:id="54" w:name="_Toc20316"/>
      <w:bookmarkStart w:id="55" w:name="_Toc32358"/>
      <w:r>
        <w:rPr>
          <w:rFonts w:hint="eastAsia"/>
          <w:lang w:val="en-US" w:eastAsia="zh-CN"/>
        </w:rPr>
        <w:t>收运</w:t>
      </w:r>
      <w:bookmarkEnd w:id="54"/>
      <w:r>
        <w:rPr>
          <w:rFonts w:hint="eastAsia"/>
          <w:lang w:val="en-US" w:eastAsia="zh-CN"/>
        </w:rPr>
        <w:t>体系</w:t>
      </w:r>
      <w:bookmarkEnd w:id="55"/>
    </w:p>
    <w:p w14:paraId="21B3333B">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bookmarkStart w:id="56" w:name="_Toc24812"/>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建筑垃圾的收运主体为建筑垃圾产生单位，由建筑垃圾产生单位委托有资质的收运公司进行运输。工程垃圾、拆除垃圾、工程渣土、工程泥浆的收运主体为施工单位，装修垃圾的收运主体为物业公司或居民。</w:t>
      </w:r>
    </w:p>
    <w:p w14:paraId="55AB7114">
      <w:pPr>
        <w:pStyle w:val="3"/>
        <w:numPr>
          <w:ilvl w:val="0"/>
          <w:numId w:val="7"/>
        </w:numPr>
        <w:bidi w:val="0"/>
        <w:rPr>
          <w:rFonts w:hint="default"/>
          <w:lang w:val="en-US" w:eastAsia="zh-CN"/>
        </w:rPr>
      </w:pPr>
      <w:bookmarkStart w:id="57" w:name="_Toc25795"/>
      <w:r>
        <w:rPr>
          <w:rFonts w:hint="eastAsia"/>
          <w:lang w:val="en-US" w:eastAsia="zh-CN"/>
        </w:rPr>
        <w:t>收运</w:t>
      </w:r>
      <w:bookmarkEnd w:id="56"/>
      <w:r>
        <w:rPr>
          <w:rFonts w:hint="eastAsia"/>
          <w:lang w:val="en-US" w:eastAsia="zh-CN"/>
        </w:rPr>
        <w:t>模式</w:t>
      </w:r>
      <w:bookmarkEnd w:id="57"/>
    </w:p>
    <w:p w14:paraId="39E9A61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bookmarkStart w:id="58" w:name="_Toc22593"/>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建筑垃圾收运可采用两种模式，一是直运模式，处置单位直接到建筑垃圾产生点收集，并运输到建筑垃圾综合利用厂；二是转运模式，产生单位把建筑垃圾运送至指定的中转调配场或资源化利用设施，经过分拣或者资源化利用后，再将不可利用的建筑垃圾由处置单位和公司定期运输至消纳场。</w:t>
      </w:r>
    </w:p>
    <w:p w14:paraId="2498E185">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霍山县城区采用直运模式，工程垃圾、拆除垃圾、工程渣土、工程泥浆由处置单位直接运输到建筑垃圾综合利用厂，装修垃圾由处置单位直接运输到霍山县装修及大件垃圾资源化利用厂。</w:t>
      </w:r>
    </w:p>
    <w:p w14:paraId="1584C46B">
      <w:pPr>
        <w:pStyle w:val="3"/>
        <w:numPr>
          <w:ilvl w:val="0"/>
          <w:numId w:val="7"/>
        </w:numPr>
        <w:bidi w:val="0"/>
        <w:rPr>
          <w:rFonts w:hint="eastAsia"/>
          <w:lang w:val="en-US" w:eastAsia="zh-CN"/>
        </w:rPr>
      </w:pPr>
      <w:bookmarkStart w:id="59" w:name="_Toc11008"/>
      <w:r>
        <w:rPr>
          <w:rFonts w:hint="eastAsia"/>
          <w:lang w:val="en-US" w:eastAsia="zh-CN"/>
        </w:rPr>
        <w:t>分类收集</w:t>
      </w:r>
      <w:bookmarkEnd w:id="58"/>
      <w:bookmarkEnd w:id="59"/>
    </w:p>
    <w:p w14:paraId="7509A484">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1、工程渣土</w:t>
      </w:r>
    </w:p>
    <w:p w14:paraId="50048C45">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工程渣土应当随挖随运，因特殊原因确实需要临时存放的工程渣土应在施工现场安全区域集中堆放，堆放高度不应超出围挡（墙）高度，并与围挡（墙）及基坑周边保持安全距离，与现有的建筑物或构筑物保持安全距离。</w:t>
      </w:r>
    </w:p>
    <w:p w14:paraId="008C076D">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堆放建筑垃圾时，堆放高度高出地坪不宜超过3米，当超过3米时，应进行堆体和地基稳定性验算，保证堆体和地基的稳定安全。当堆场场地附近有挖方工程时，应进行堆体和挖方边坡稳定性验算，保证挖方工程安全。</w:t>
      </w:r>
    </w:p>
    <w:p w14:paraId="2F0D2055">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2、工程泥浆</w:t>
      </w:r>
    </w:p>
    <w:p w14:paraId="74C965AB">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（1）有产生工程泥浆的施工现场应设置泥浆池，工程泥浆应通过泥浆池进行收集，泥浆池应设置防护栏，并挂设“泥浆池危险请勿靠近”安全警示牌。</w:t>
      </w:r>
    </w:p>
    <w:p w14:paraId="7A29C16E">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（2）产生工程泥浆的施工场地，宜实施现场泥浆脱水处置。现场泥浆脱水处置，宜配备收集管网、沉淀池、泥饼堆场等设施。</w:t>
      </w:r>
    </w:p>
    <w:p w14:paraId="098F9EA3">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3、工程垃圾</w:t>
      </w:r>
    </w:p>
    <w:p w14:paraId="31B823F0">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（1）柱基工程的工程桩桩头、基坑工程的混凝土支护构件可统一收集。现场破碎、分离混凝土和钢筋时，混凝土和钢筋应分类堆放。</w:t>
      </w:r>
    </w:p>
    <w:p w14:paraId="549D09E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（2）道路混凝土或沥青混合料应单独收集。</w:t>
      </w:r>
    </w:p>
    <w:p w14:paraId="6782BBF7">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（3）其他工程垃圾不应与工程桩桩头、支撑或道路混凝土、沥青混合料混杂。</w:t>
      </w:r>
    </w:p>
    <w:p w14:paraId="74D3563C">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4、拆除垃圾</w:t>
      </w:r>
    </w:p>
    <w:p w14:paraId="5DE764B7">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（1）房屋等建（构）筑物拆除前应清除、腾空内部可移动设施、设备、家具等物品。</w:t>
      </w:r>
    </w:p>
    <w:p w14:paraId="0063B6F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（2）附属构件（门、窗等）可先于主体结构拆除，分类堆放。</w:t>
      </w:r>
    </w:p>
    <w:p w14:paraId="64FCAF28">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（3）拆除的混凝土梁、柱、楼板构件或其他预制件可统一破碎后收集。</w:t>
      </w:r>
    </w:p>
    <w:p w14:paraId="6624E8F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（4）砖瓦宜分类堆放。</w:t>
      </w:r>
    </w:p>
    <w:p w14:paraId="23315217">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5、装修垃圾</w:t>
      </w:r>
    </w:p>
    <w:p w14:paraId="4D0B0083">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（1）装修垃圾的收集实行袋装化，装修过程中产生的木料、砂浆砖石、塑料、玻璃、金属等废料分类装袋，由居民或物业公司委托收运单位收集和运输。</w:t>
      </w:r>
    </w:p>
    <w:p w14:paraId="01910B24">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（2）装修垃圾设置建筑垃圾分类收集点，并应符合下列要求：</w:t>
      </w:r>
    </w:p>
    <w:p w14:paraId="74B3357D">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1）应能容纳场所范围内的装修垃圾，同时供收运车辆进出、回车。</w:t>
      </w:r>
    </w:p>
    <w:p w14:paraId="45EA438A">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2）地面应硬化，宜与场地道路同高。</w:t>
      </w:r>
    </w:p>
    <w:p w14:paraId="22971AB5">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3）应设置标识标牌、围挡、遮雨、消防设施，宜设置视频监控设备。</w:t>
      </w:r>
    </w:p>
    <w:p w14:paraId="235B2648">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4）应与周围环境相协调。</w:t>
      </w:r>
    </w:p>
    <w:p w14:paraId="3EA21CFB">
      <w:pPr>
        <w:pStyle w:val="3"/>
        <w:numPr>
          <w:ilvl w:val="0"/>
          <w:numId w:val="7"/>
        </w:numPr>
        <w:bidi w:val="0"/>
        <w:rPr>
          <w:rFonts w:hint="eastAsia"/>
          <w:lang w:val="en-US" w:eastAsia="zh-CN"/>
        </w:rPr>
      </w:pPr>
      <w:bookmarkStart w:id="60" w:name="_Toc28154"/>
      <w:r>
        <w:rPr>
          <w:rFonts w:hint="eastAsia"/>
          <w:lang w:val="en-US" w:eastAsia="zh-CN"/>
        </w:rPr>
        <w:t>收运流程</w:t>
      </w:r>
      <w:bookmarkEnd w:id="60"/>
    </w:p>
    <w:p w14:paraId="34521A0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工程渣土、工程泥浆、工程垃圾、拆除垃圾和装修垃圾因其产生地和处置方式的不同，收运体系也有所差异。本规划将建筑垃圾收运体系分为以下四类。</w:t>
      </w:r>
    </w:p>
    <w:p w14:paraId="023F7420">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1.工程垃圾和拆除垃圾</w:t>
      </w:r>
    </w:p>
    <w:p w14:paraId="1D5B4F6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（1）行政许可阶段：产生单位和个人到行政审批局办理行政处置许可手续，提交工程相关信息，确定承运单位、运输时间，行政审批局核算建筑垃圾产生量，给予行政许可。</w:t>
      </w:r>
    </w:p>
    <w:p w14:paraId="12050656">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施工阶段：所有工程必须做到封闭施工和降尘施工，施工出入口应当硬化，设立车辆冲洗设备和沉淀池，严禁在车行道上堆放施工材料和建筑垃圾。工地开工后，工程垃圾和拆除垃圾均按照管理要求分类、集中堆放。工地安装视频监控，执法部门不定期地到工地进行巡查。</w:t>
      </w:r>
    </w:p>
    <w:p w14:paraId="6DCA2D8C">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运输阶段：工程垃圾和拆除垃圾产生后，由指定的承运单位进场进行清运。建筑垃圾运输车辆的行驶路线和时间，由公安交警部门确定，并告知运输单位，同时要求车辆上安装卫星定位系统。运输建筑垃圾的过程中保持箱体完好，采取密闭措施，公安交警部门进行全程定位监控，严厉查处无证运输车辆带泥行驶、抛洒滴漏等行为。建筑垃圾运输车辆审查采用半年审制，严格审查企业车辆数量、车辆密闭性和管理情况。</w:t>
      </w:r>
    </w:p>
    <w:p w14:paraId="679CC4B0">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4）处置阶段：工程垃圾和拆除垃圾必须清运至指定的处置场所进行资源化利用或填埋处置。城市管理综合执法部门建立完善日常巡查机制，查处无证处置建筑垃圾行为。处置场所安装视频设备，通过建筑垃圾信息管理系统对进出车辆和处置场运行情况进行监管。</w:t>
      </w:r>
    </w:p>
    <w:p w14:paraId="56C36C8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2.工程渣土</w:t>
      </w:r>
    </w:p>
    <w:p w14:paraId="6C26082B">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工程渣土就地回填，异地回填，或直运至消纳场。</w:t>
      </w:r>
    </w:p>
    <w:p w14:paraId="1302198C">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（1）行政许可阶段：产生单位和个人到行政审批局办理行政处置许可手续，提交工程相关信息，确定承运单位、运输时间，行政审批局核算建筑垃圾产生量，给予行政许可。</w:t>
      </w:r>
    </w:p>
    <w:p w14:paraId="2275DF2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施工阶段：所有工程必须做到封闭施工和降尘施工，施工出入口应当硬化，设立车辆冲洗设备和沉淀池，严禁在车行道上堆放施工材料和建筑垃圾。工地开工后，工程渣土及时清运。工地安装视频监控，执法部门不定期地到工地进行巡查。</w:t>
      </w:r>
    </w:p>
    <w:p w14:paraId="131C656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运输阶段：工程渣土产生后，由指定的承运单位进场进行清运。建筑垃圾运输车辆的行驶路线和时间，由公安交警部门确定，并告知运输单位，同时要求车辆上安装卫星定位系统。运输建筑垃圾的过程中保持箱体完好，采取密闭措施，公安交警部门进行全程定位监控，严厉查处无证运输车辆带泥行驶、抛洒滴漏等行为。建筑垃圾运输车辆审查采用半年审制，严格审查企业车辆数量、车辆密闭性和管理情况。</w:t>
      </w:r>
    </w:p>
    <w:p w14:paraId="5273F81E">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4）处置阶段：工程渣土必须清运至指定的消纳场或用于土方平衡调配，以及其他能够资源化利用的场所。城市管理综合执法部门建立完善日常巡查机制，查处无证处置建筑垃圾行为。处置场所安装视频设备，通过建筑垃圾信息管理系统对进出车辆和处置场运行情况进行监管。</w:t>
      </w:r>
    </w:p>
    <w:p w14:paraId="0BE4085C">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3.工程泥浆</w:t>
      </w:r>
    </w:p>
    <w:p w14:paraId="75865D38">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工程泥浆应在施工现场设立沉淀池，经脱水预处理后形成干泥，再按照工程渣土流程运送至消纳场或填埋场。</w:t>
      </w:r>
    </w:p>
    <w:p w14:paraId="6A0D684A">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4.装修垃圾</w:t>
      </w:r>
    </w:p>
    <w:p w14:paraId="3FF52290">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装修垃圾的收运流程示意图见下图。</w:t>
      </w:r>
    </w:p>
    <w:p w14:paraId="575C5983">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kern w:val="2"/>
          <w:sz w:val="28"/>
          <w:szCs w:val="36"/>
          <w:highlight w:val="none"/>
          <w:lang w:val="en-US" w:eastAsia="zh-CN" w:bidi="ar-SA"/>
          <w14:textFill>
            <w14:solidFill>
              <w14:schemeClr w14:val="tx1"/>
            </w14:solidFill>
          </w14:textFill>
        </w:rPr>
        <w:drawing>
          <wp:inline distT="0" distB="0" distL="114300" distR="114300">
            <wp:extent cx="5400040" cy="2204085"/>
            <wp:effectExtent l="0" t="0" r="10160" b="571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1"/>
                    <a:stretch>
                      <a:fillRect/>
                    </a:stretch>
                  </pic:blipFill>
                  <pic:spPr>
                    <a:xfrm>
                      <a:off x="0" y="0"/>
                      <a:ext cx="5400040" cy="2204085"/>
                    </a:xfrm>
                    <a:prstGeom prst="rect">
                      <a:avLst/>
                    </a:prstGeom>
                    <a:noFill/>
                    <a:ln>
                      <a:noFill/>
                    </a:ln>
                  </pic:spPr>
                </pic:pic>
              </a:graphicData>
            </a:graphic>
          </wp:inline>
        </w:drawing>
      </w: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（1）施工阶段</w:t>
      </w:r>
    </w:p>
    <w:p w14:paraId="6A19ABF6">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居住区内设置建筑垃圾分类收集点，产生单位或企业在内部划出区域作为临时堆放场地，产生的建筑垃圾需进行分类、袋装，堆放与集中在收集场地，由住建局进行指导与监督，做好建筑垃圾分类堆放和日常管理服务工作。对三无小区或条件有限的区域，可以采用定时或预约上门收集等方式解决建筑垃圾临时堆放问题。</w:t>
      </w:r>
    </w:p>
    <w:p w14:paraId="337B0316">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（2）运输阶段</w:t>
      </w:r>
    </w:p>
    <w:p w14:paraId="7B14AFD3">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产生单位（个人）或物业公司委托有资质的运输企业从建筑垃圾分类收集点运输至资源化利用厂。城市管理综合执法部门同时对作业公司的运输车辆进行审查，公安交警部门对运输路线进行拟定和监管。建筑垃圾运输车辆审查采用半年审制，严格审查企业车辆数量、车辆密闭性和管理情况。</w:t>
      </w:r>
    </w:p>
    <w:p w14:paraId="57A8A2EA">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（3）处置阶段</w:t>
      </w:r>
    </w:p>
    <w:p w14:paraId="024391C8">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装修垃圾分类清运至指定的处置场所进行资源化利用或填埋处置。处置场所安装视频设备，通过建筑垃圾信息管理系统对进出车辆和处置场运行情况进行监管。</w:t>
      </w:r>
    </w:p>
    <w:p w14:paraId="7D65EA9A">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（4）执法检查</w:t>
      </w:r>
    </w:p>
    <w:p w14:paraId="78D6DC03">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针对偷倒乱倒装修垃圾的行为由城市管理综合执法部门依法依规进行处罚。</w:t>
      </w:r>
    </w:p>
    <w:p w14:paraId="0093BC78">
      <w:pPr>
        <w:pStyle w:val="3"/>
        <w:numPr>
          <w:ilvl w:val="0"/>
          <w:numId w:val="7"/>
        </w:numPr>
        <w:bidi w:val="0"/>
        <w:rPr>
          <w:rFonts w:hint="eastAsia"/>
          <w:lang w:val="en-US" w:eastAsia="zh-CN"/>
        </w:rPr>
      </w:pPr>
      <w:bookmarkStart w:id="61" w:name="_Toc7911"/>
      <w:r>
        <w:rPr>
          <w:rFonts w:hint="eastAsia"/>
          <w:lang w:val="en-US" w:eastAsia="zh-CN"/>
        </w:rPr>
        <w:t>收运要求</w:t>
      </w:r>
      <w:bookmarkEnd w:id="61"/>
    </w:p>
    <w:p w14:paraId="65EA0786">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建筑施工中产生的工程渣土、工程泥浆、工程垃圾、拆除垃圾及装修垃圾，在运输过程中要实行分类运输，不得混装混运，防止环境污染。加强运输环节新技术的推广应用，让运输变得更高效环保。建立台账管理制度，如实记录运输的建筑垃圾来源、种类、数量、运输路线及时间等信息，并定期上报至城市管理部门。</w:t>
      </w:r>
    </w:p>
    <w:p w14:paraId="33BE6E9D">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城管局联合公安交通管理部门加强对建筑垃圾运输车辆非法改装、超速超载及不按规定路线和时间行驶等违法违规行为的监督执法检查，严格执行建筑垃圾运输企业准入要求，对不落实《建设部关于纳入国务院决定的十五项行政许可的条件的规定》要求和不履行责任的运输单位，依法依规进行行政处罚。</w:t>
      </w:r>
    </w:p>
    <w:p w14:paraId="02B51B2B">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建筑垃圾运输车辆应安装全密闭装置或密闭苫盖装置、行车记录仪和相应的监控设备，严禁运输车辆沿途泄漏抛洒。建筑垃圾运输车辆应按照交管部门、综合执法部门指定的行驶路线及时间规范收运。建筑垃圾运输企业要加强对所属驾驶人员和车辆的动态管控，建立运输安全和交通违法考核机制。</w:t>
      </w:r>
    </w:p>
    <w:p w14:paraId="32BDC56D">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4.实行建筑垃圾运输车辆总量控制。建筑垃圾运输车辆总量应保持在合理范围，确保能满足实际工作和市场的需要，原则上现有燃油车数量只减不增，新增新能源车优先纳入名录备案管理不受总量控制，积极推动运输车辆新能源化和标准化。</w:t>
      </w:r>
    </w:p>
    <w:p w14:paraId="2C401488">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5.建筑垃圾运输车辆应容貌整洁、标志齐全，车厢、底盘及车轮无大块泥沙附着物。</w:t>
      </w:r>
    </w:p>
    <w:p w14:paraId="3E12679E">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6.工程泥浆在进入收集系统前宜进行压缩脱水，未压缩脱水的工程泥浆运输应采用专用密闭罐车；其他建筑垃圾运输宜采用密闭厢式货车，采用散装运输车时，表面应进行有效遮盖，不得裸露。</w:t>
      </w:r>
    </w:p>
    <w:p w14:paraId="68DDA68D">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7.运输车辆车厢盖宜采用机械密闭装置，开启、关闭动作应平稳灵活，车厢底部应采取防渗漏措施。</w:t>
      </w:r>
    </w:p>
    <w:p w14:paraId="1811A3E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8.运输车辆驶离装载现场前，应检查厢盖是否密闭到位，车厢栏板锁紧装置是否可靠有效。</w:t>
      </w:r>
    </w:p>
    <w:p w14:paraId="66EDD597">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9.建立建筑垃圾运输单位考核标准，严格运输车辆达标、建筑垃圾准运核准办理、规范行驶、达标排放、车辆定位等内容，定期进行考核评分，并纳入建筑业诚信体系管理。</w:t>
      </w:r>
    </w:p>
    <w:p w14:paraId="21924DD4">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10.实行建筑垃圾清运“联单”管理制度，构建多部门联合执法机制。打通建筑垃圾排放运输许可与道路通行审批联动环节，探索建立“排放证、运输证、通行证”三证合一的准运模式。</w:t>
      </w:r>
    </w:p>
    <w:p w14:paraId="4BACB4A5">
      <w:pPr>
        <w:pStyle w:val="3"/>
        <w:numPr>
          <w:ilvl w:val="0"/>
          <w:numId w:val="7"/>
        </w:numPr>
        <w:bidi w:val="0"/>
        <w:rPr>
          <w:rFonts w:hint="eastAsia"/>
          <w:lang w:val="en-US" w:eastAsia="zh-CN"/>
        </w:rPr>
      </w:pPr>
      <w:bookmarkStart w:id="62" w:name="_Toc11714"/>
      <w:r>
        <w:rPr>
          <w:rFonts w:hint="eastAsia"/>
          <w:lang w:val="en-US" w:eastAsia="zh-CN"/>
        </w:rPr>
        <w:t>收运队伍建设</w:t>
      </w:r>
      <w:bookmarkEnd w:id="62"/>
    </w:p>
    <w:p w14:paraId="71ABF8B4">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收运体系的涉及主体为建筑垃圾产生企业、拆迁企业、建筑垃圾运输企业、建筑垃圾终端处置企业和政府部门。因此收运队伍建设的目的是协调各收运主体的工作，使各收运主体更加规范、便捷。</w:t>
      </w:r>
    </w:p>
    <w:p w14:paraId="450607C6">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1.收运服务公司管理人员与调度人员</w:t>
      </w:r>
    </w:p>
    <w:p w14:paraId="5381C3D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源头控制是建筑垃圾质量得以保证的关键，为保障收运地点、数量准确性，采用信息化管理系统及时将信息反馈给收运服务公司管理人员与调度人员，以便根据情况，安排收运车辆，使车辆不空跑，收运工作有的放矢。</w:t>
      </w:r>
    </w:p>
    <w:p w14:paraId="3AB28E05">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2.监管部门</w:t>
      </w:r>
    </w:p>
    <w:p w14:paraId="70BC5FF6">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收运体系的监管部门包括城市管理部门、公安交警部门等。公安交警部门负责通行时间、行驶路线、车辆管理，城市管理部门负责建筑垃圾运输车辆密闭性的监察和运输企业资质的审查。</w:t>
      </w:r>
    </w:p>
    <w:p w14:paraId="56873A9A">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3.收运车辆</w:t>
      </w:r>
    </w:p>
    <w:p w14:paraId="245F57E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建筑垃圾由办理处置核准许可、备案登记的车辆进行运输。</w:t>
      </w:r>
    </w:p>
    <w:p w14:paraId="67710DCE">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规划收运车辆的标准如下：</w:t>
      </w:r>
    </w:p>
    <w:p w14:paraId="58468F0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①建筑垃圾收运车辆应采用列入国家工业和信息化部《车辆生产企业及产品公告》内的产品，车辆的特征应与产品公告、出厂合格证相符，应满足国家、行业对机动车安全、排放、噪声、油耗的相关法规及标准要求，本规划采用25吨新型智能化密闭运输车，运输工程渣土（泥浆）、工程垃圾和拆除垃圾，按照每辆车每天运两趟计算，则霍山县需要配备100辆。</w:t>
      </w:r>
    </w:p>
    <w:p w14:paraId="20410F2A">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现状运输车辆有66辆，规划近期新增34辆，达到100辆。</w:t>
      </w:r>
    </w:p>
    <w:p w14:paraId="109A7FE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②车辆标识标准：收集运输车中大型建筑垃圾运输车辆后箱板应设置黄色的号牌放大标识区域，位于后箱板上部、左右居中。收集车辆车身侧面喷涂“建筑垃圾收集”字样，运输车辆车身侧面喷涂“建筑垃圾运输”字样，直运车辆侧面喷涂“建筑垃圾收运”字样，采用白色黑体字。收集运输车辆应标识明显的分类收集、运输标识，并保持全密闭，外观整洁，无大块泥沙、泥土等附着物。</w:t>
      </w:r>
    </w:p>
    <w:p w14:paraId="500E2EFC">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③新型智能化密闭车辆与旧建筑垃圾运输车辆相比，密闭性能更好，噪音更小，且拥有监控系统。监控系统由车载卫星定位系统和车载影像系统等组成，并应能接入城市建筑垃圾大数据监管平台。监控系统可实时查询每台车辆的精确位置、运输时间、行驶速度、行驶路线等信息，且可设置电子围栏，进行线路控制；并可预设车速，实现车辆超速报警功能，实现精准管理。</w:t>
      </w:r>
    </w:p>
    <w:p w14:paraId="0D02C1A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④建筑垃圾清运车辆应保持车身、车底、车轮干净整洁。在建筑垃圾资源化处理厂应设置洗车台，每次建筑垃圾运输车出厂时必须过洗车台，保持车辆干净整洁，防止运输时产生道路扬尘。</w:t>
      </w:r>
    </w:p>
    <w:p w14:paraId="017217D3">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⑤建筑垃圾清运车辆应定期进行维修和保养。城市管理部门需对建筑垃圾运输车辆定期进行检查和监督。</w:t>
      </w:r>
    </w:p>
    <w:p w14:paraId="55A21177">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⑥根据国家对环保的要求，未来建筑垃圾运输车辆将按比例推广使用新能源和纯电动建筑垃圾运输车辆。</w:t>
      </w:r>
    </w:p>
    <w:p w14:paraId="25B2AA75">
      <w:pPr>
        <w:pStyle w:val="3"/>
        <w:numPr>
          <w:ilvl w:val="0"/>
          <w:numId w:val="7"/>
        </w:numPr>
        <w:bidi w:val="0"/>
        <w:rPr>
          <w:rFonts w:hint="eastAsia"/>
          <w:lang w:val="en-US" w:eastAsia="zh-CN"/>
        </w:rPr>
      </w:pPr>
      <w:bookmarkStart w:id="63" w:name="_Toc4677"/>
      <w:bookmarkStart w:id="64" w:name="_Toc11963"/>
      <w:r>
        <w:rPr>
          <w:rFonts w:hint="eastAsia"/>
          <w:lang w:val="en-US" w:eastAsia="zh-CN"/>
        </w:rPr>
        <w:t>收运交通安全管制</w:t>
      </w:r>
      <w:bookmarkEnd w:id="63"/>
      <w:bookmarkEnd w:id="64"/>
    </w:p>
    <w:p w14:paraId="0100B11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1.明确管理部门和管理人员的工作职责</w:t>
      </w:r>
    </w:p>
    <w:p w14:paraId="3ED74B56">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规划建议安排专人进行行车安全生产管理，明确了行管部门的安全生产工作职责后，督促运输企业完善安全生产责任制度，落实工作职责，完善安全措施，并以此为依据，切实地开展好监督检查工作。</w:t>
      </w:r>
    </w:p>
    <w:p w14:paraId="7CBD9BEB">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2.车辆安全维护</w:t>
      </w:r>
    </w:p>
    <w:p w14:paraId="122B163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坚持“三检”即出车前，行车中，收车后，检视车辆的安全部件连接的紧固情况。保持“四清”即机油、空气、燃油滤清器和蓄电池的清洁。防“四漏”即漏水、漏油、漏气和漏电。对车辆润滑油、燃油、冷却液、轮胎气压进行检视补给。对车辆制动、转向、传动、灯光等安全部位及发动机运转状态进行检视。</w:t>
      </w:r>
    </w:p>
    <w:p w14:paraId="22607C0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3.从业人员安全教育</w:t>
      </w:r>
    </w:p>
    <w:p w14:paraId="35B81AE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目前来讲，运输驾驶人员普遍素质偏低，这是引起事故的主要原因之一，所以要高度重视对驾驶人员的技术和专业素质的培养。不断强化安全教育，慢慢在无形中提升驾驶人员的综合素质，使驾驶人员自觉遵守安全规章制度和操作规程。</w:t>
      </w:r>
    </w:p>
    <w:p w14:paraId="1EF6FC0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4.完善安全防范措施</w:t>
      </w:r>
    </w:p>
    <w:p w14:paraId="18709D9C">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交通运输本身就存在不安全因素，具有一定的风险性，所以完善安全防范措施是规避风险降低事故发生率的有效途径。建筑垃圾收运企业在交通安全运输管理上需要严格遵守《道路交通安全法》，不断完善交通运输安全防范措施。需要定期开展安全运输检查，及时消除事故隐患，有效遏制安全事故的发生。</w:t>
      </w:r>
    </w:p>
    <w:p w14:paraId="40D73817">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5.安全监控智能化</w:t>
      </w:r>
    </w:p>
    <w:p w14:paraId="5E4FF38A">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合理利用先进的科学技术，加强车辆和驾驶员动态管理，对车辆超速、超载等违章行为进行监控，确保行车安全和驾驶人员的生命安全。</w:t>
      </w:r>
    </w:p>
    <w:p w14:paraId="05ECF238">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坚持运输行业管理，整顿和规范运输秩序</w:t>
      </w:r>
    </w:p>
    <w:p w14:paraId="2A328483">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以“统一开放、公平竞争、规范有序”为中心，监理道路运输市场体系。在道路运输业管理工作中。严厉打击无牌、无证等非法运营行为，净化收运队伍。</w:t>
      </w:r>
    </w:p>
    <w:p w14:paraId="2297CC7A">
      <w:pPr>
        <w:pStyle w:val="3"/>
        <w:numPr>
          <w:ilvl w:val="0"/>
          <w:numId w:val="7"/>
        </w:numPr>
        <w:bidi w:val="0"/>
        <w:rPr>
          <w:rFonts w:hint="eastAsia"/>
          <w:lang w:val="en-US" w:eastAsia="zh-CN"/>
        </w:rPr>
      </w:pPr>
      <w:bookmarkStart w:id="65" w:name="_Toc11233"/>
      <w:bookmarkStart w:id="66" w:name="_Toc29895"/>
      <w:r>
        <w:rPr>
          <w:rFonts w:hint="eastAsia"/>
          <w:lang w:val="en-US" w:eastAsia="zh-CN"/>
        </w:rPr>
        <w:t>收运信息化管理</w:t>
      </w:r>
      <w:bookmarkEnd w:id="65"/>
      <w:bookmarkEnd w:id="66"/>
    </w:p>
    <w:p w14:paraId="3C2F5A0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1.收运流程信息监管</w:t>
      </w:r>
    </w:p>
    <w:p w14:paraId="5EF7A08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车辆监控系统由车载卫星定位系统和车载影像系统等组成，并应能接入城市建筑垃圾大数据监管平台。监控系统可实时查询每台车辆的精确位置、运输时间、行驶速度、行驶路线等信息，且可设置电子围栏，进行线路控制；并可预设车速，实现车辆超速报警功能，实现精准管理。</w:t>
      </w:r>
    </w:p>
    <w:p w14:paraId="13FF1DC6">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车辆监控系统对车辆收运路线的整个过程进行在线监控，对异常作业问题进行在线预警。通过在建筑垃圾运输车辆加装后盖开启传感器设备，对车辆在非产生点、处置点开启后盖的行为进行实时报警。通过对开启状态的实时监控，可有效遏制车辆随意倾倒行为的发生，对无主垃圾的产生源进行有效追踪和处罚，通过共享公安已安装的建筑垃圾车辆GPS数据，对车辆收运位置、收运轨迹等进行动态监控。计划新增车辆智能化管理设备的车辆统一要求安装卫星定位终端。后期根据实际情况，通过车辆安装重量传感器，对车辆实时载重情况进行全程动态监测，同时系统可根据单车的核定载重量进行实时分析，并产生预警信息。</w:t>
      </w:r>
    </w:p>
    <w:p w14:paraId="5703E1AA">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2.收运需求信息发布</w:t>
      </w:r>
    </w:p>
    <w:p w14:paraId="5D2CA570">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完善社会力量建设霍山县建筑垃圾信息化平台建设，细化建筑垃圾类别。增加宣传力度，鼓励建筑垃圾产生企业、建筑垃圾处置企业和建筑垃圾运输企业发布供求信息，使建筑垃圾收运体系更加信息化发展。</w:t>
      </w:r>
    </w:p>
    <w:p w14:paraId="20CF2A37">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3.建筑垃圾运输车辆信用系统</w:t>
      </w:r>
    </w:p>
    <w:p w14:paraId="686F2D45">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根据违章的性质和类别进行统分，严重者列入黑名单，设定禁止运输期限，对使用黑名单车辆的企业和工地进行相应处罚。</w:t>
      </w:r>
    </w:p>
    <w:p w14:paraId="5160F100">
      <w:pPr>
        <w:pStyle w:val="3"/>
        <w:numPr>
          <w:ilvl w:val="0"/>
          <w:numId w:val="7"/>
        </w:numPr>
        <w:bidi w:val="0"/>
        <w:rPr>
          <w:rFonts w:hint="eastAsia"/>
          <w:lang w:val="en-US" w:eastAsia="zh-CN"/>
        </w:rPr>
      </w:pPr>
      <w:bookmarkStart w:id="67" w:name="_Toc23085"/>
      <w:bookmarkStart w:id="68" w:name="_Toc22253"/>
      <w:r>
        <w:rPr>
          <w:rFonts w:hint="eastAsia"/>
          <w:lang w:val="en-US" w:eastAsia="zh-CN"/>
        </w:rPr>
        <w:t>收运线路</w:t>
      </w:r>
      <w:bookmarkEnd w:id="67"/>
      <w:bookmarkEnd w:id="68"/>
    </w:p>
    <w:p w14:paraId="2B0B33F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建筑垃圾运输车辆属于特殊行业运输车辆，在霍山县范围内运输需要由建筑垃圾产生企业向霍山县公安交警部门申报，收运线路由霍山县公安交警部门根据项目报批的所在地拟定，制定的原则有：</w:t>
      </w:r>
    </w:p>
    <w:p w14:paraId="05A2088B">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（1）就近运输、减少成本；</w:t>
      </w:r>
    </w:p>
    <w:p w14:paraId="0137E293">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（2）允许全天收运，但限行时段和限行路段除外；</w:t>
      </w:r>
    </w:p>
    <w:p w14:paraId="18C79876">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（3）允许相邻城区协同推进资源化利用的跨区收运。</w:t>
      </w:r>
    </w:p>
    <w:p w14:paraId="606221BB">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综上，本规划要求建筑垃圾收运路线必须严格按照报审运输路线行驶，不得在公安交警部门规定的限行路段、限行时间内通行。</w:t>
      </w:r>
    </w:p>
    <w:p w14:paraId="7992640C">
      <w:pPr>
        <w:pStyle w:val="3"/>
        <w:numPr>
          <w:ilvl w:val="0"/>
          <w:numId w:val="7"/>
        </w:numPr>
        <w:bidi w:val="0"/>
        <w:rPr>
          <w:rFonts w:hint="eastAsia"/>
          <w:lang w:val="en-US" w:eastAsia="zh-CN"/>
        </w:rPr>
      </w:pPr>
      <w:bookmarkStart w:id="69" w:name="_Toc11327"/>
      <w:bookmarkStart w:id="70" w:name="_Toc6568"/>
      <w:r>
        <w:rPr>
          <w:rFonts w:hint="eastAsia"/>
          <w:lang w:val="en-US" w:eastAsia="zh-CN"/>
        </w:rPr>
        <w:t>收运设施规划</w:t>
      </w:r>
      <w:bookmarkEnd w:id="69"/>
      <w:bookmarkEnd w:id="70"/>
    </w:p>
    <w:p w14:paraId="4017E57A">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1.分类收集点</w:t>
      </w:r>
    </w:p>
    <w:p w14:paraId="2106594D">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针对装修垃圾的收集，设置装修垃圾分类收集点。城区分类收集点结合生活垃圾收集点进行布置，各乡镇根据实际情况布置装修垃圾分类收集点。工程垃圾、拆除垃圾和工程渣土（含泥浆）收集点设在施工场地，由施工单位进行分类收集、运输和处置，不再单独设置收集点。</w:t>
      </w:r>
    </w:p>
    <w:p w14:paraId="4C5D4213">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（1）布置原则</w:t>
      </w:r>
    </w:p>
    <w:p w14:paraId="1BD5CE2D">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便收利运：考虑群众的投放习惯，结合最佳收运路径，科学合理地布点。</w:t>
      </w:r>
    </w:p>
    <w:p w14:paraId="004F2E3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分类收集：在建筑垃圾分类收集点设立醒目的标识牌，要求分类袋装，不得混入生活垃圾和有害有毒危险废弃物。</w:t>
      </w:r>
    </w:p>
    <w:p w14:paraId="61607FB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安全可行：落实建筑垃圾防尘、防渗及防溢措施。及时清运，隔离作业防止扩散污染周围环境。</w:t>
      </w:r>
    </w:p>
    <w:p w14:paraId="2F792E8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（2）技术要求</w:t>
      </w:r>
    </w:p>
    <w:p w14:paraId="0C5686B8">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装修垃圾分类收集点主要用于收集居民区装饰、维修及拆除等过程中产生的装修垃圾。每个小区、行政村（社区）原则上都应设置1座建筑垃圾分类收集点，新建居住小区应在规划建设时同步配套设置若干场地作为分类收集点，并与小区一并投入使用，新建公用区域的分类收集点可在工地临时设置。场地平整并硬质化，装卸垃圾时应洒水降尘。居民将装修垃圾进行分类装袋捆扎，堆放到指定的分类收集点，由居民或物业公司定期收运至建筑垃圾转运调配场或资源化利用场进行处理。要求新建小区的建筑垃圾分类收集点应每周至少进行一次收运，建成五年以上的小区的建筑垃圾分类收集点应每月至少进行一次收运。</w:t>
      </w:r>
    </w:p>
    <w:p w14:paraId="27CCE0C6">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（3）恢复和利用</w:t>
      </w:r>
    </w:p>
    <w:p w14:paraId="40B346F3">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分类收集点属于临时用地，对于完成转运后不再投入使用的场地进行修复及土地重新利用：</w:t>
      </w:r>
    </w:p>
    <w:p w14:paraId="65FC601B">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场地土壤检测和修复目的。对场地进行土壤检测，根据《土壤环境质量建设用地土壤污染风险管控标准（试行）》（GB36600—2018）规定：工业用地土壤污染物浓度控制要求取样、分析、给出调查报告，并制定修复方案进行场地修复，使之达到该标准中工业用地的要求，实现地块的重新利用。</w:t>
      </w:r>
    </w:p>
    <w:p w14:paraId="11E1D50E">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2）常用修复技术根据。《污染场地土壤修复技术导则》（HJ25.4-2019）规定：常用的污染场地修复技术包括挖掘、稳定/固化、化学淋洗、气提、电动、热处理、生物修复等。</w:t>
      </w:r>
    </w:p>
    <w:p w14:paraId="5DC60D1C">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3）土地重新利用。场址土方填筑完成并验收合格后，即可进行地块规划设计，然后进行场地平整、路网建设、通水、通电等基础建设，建设完成后即可进行土地的重新利用。</w:t>
      </w:r>
    </w:p>
    <w:p w14:paraId="311DF53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（3）建设规模</w:t>
      </w:r>
    </w:p>
    <w:p w14:paraId="71168D17">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结合居民的生活垃圾收集点进行布置，各乡镇根据建筑垃圾产生情况建设装修垃圾分类收集点。</w:t>
      </w:r>
    </w:p>
    <w:p w14:paraId="5008184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（4）运营与维护</w:t>
      </w:r>
    </w:p>
    <w:p w14:paraId="78B9A585">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1）居民将打包好的建筑垃圾自行投放至分类收集点内，保持场地整洁，无撒漏垃圾，无堆积杂物。</w:t>
      </w:r>
    </w:p>
    <w:p w14:paraId="5416B69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2）建立健全各项管理制度，设施标识标牌齐全，便于分类堆放。</w:t>
      </w:r>
    </w:p>
    <w:p w14:paraId="571CC30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3）堆放一定数量后，由居民或者物业公司联系收运企业将建筑垃圾清运到指定的资源化处理厂和消纳场。可根据堆积量灵活调整清运频次，保障居民有整洁卫生的环境。</w:t>
      </w:r>
    </w:p>
    <w:p w14:paraId="115D571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4）收运车辆应根据进场证明进场，实行“一车一单”制度，分类收集点管理人员应对清运车辆进行登记、驾驶员签字确认。</w:t>
      </w:r>
    </w:p>
    <w:p w14:paraId="2DE8F7B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5）严禁将生活垃圾、工业固废、危险废物等混入建筑垃圾，根据情节严重程度，报有关部门处理。</w:t>
      </w:r>
    </w:p>
    <w:p w14:paraId="5453CE5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6）应保持场地内通道畅通、干净，规范设置交通指示标志，危险路段应设置危险标志，管理人员需及时排查和处理各种安全隐患，做到安全规范堆放建筑垃圾。</w:t>
      </w:r>
    </w:p>
    <w:p w14:paraId="593E09E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2.建筑垃圾转运调配场</w:t>
      </w:r>
    </w:p>
    <w:p w14:paraId="26F90676">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针对霍山县产生的建筑垃圾，设置建筑垃圾转运调配场。工程垃圾、装修垃圾、拆除垃圾通过建筑垃圾转运调配场转运至消纳及资源化利用处置场进行处置。工程渣土（含泥浆）转运至消纳场进行处置。</w:t>
      </w:r>
    </w:p>
    <w:p w14:paraId="356AB498">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建筑垃圾转运调配场主要用于建筑垃圾（包括工程渣土）的集中、前端分拣，及暂时无法进行利用的建筑垃圾和运输距离远、需要中转的建筑垃圾的临时堆放。建筑垃圾转运调配场内可设置分拣场地，将进场垃圾中可利用的物质分拣出来分类堆放，待分拣完成后，有价值的物质进入废品回收体系，其他可资源化利用的建筑垃圾运输至建筑垃圾资源化利用厂，装修垃圾分拣后的危险废弃物及有害垃圾进入危废处理设施。</w:t>
      </w:r>
    </w:p>
    <w:p w14:paraId="648C79DD">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（1）布置原则</w:t>
      </w:r>
    </w:p>
    <w:p w14:paraId="25BC9235">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统筹设置：综合考虑产生量、收（转）运能力及运距、处置方式、环境影响、群众意愿等因素，科学选点，适当规模、适当数量设置，力求设置数量与实际需求基本匹配。</w:t>
      </w:r>
    </w:p>
    <w:p w14:paraId="1D330434">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严格控制：严格遵守国家、省市有关法律法规规定，按规定的要求开展报批管理，经审核、批准后方可设置。禁止未经批准擅自设置，切实加强对违规堆放场所的日常监管，依法严查违规设置、不规范设置、安全环保管理不到位等突出问题，确保设置规范、管理到位。</w:t>
      </w:r>
    </w:p>
    <w:p w14:paraId="727E625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安全运行：遵循“安全第一”原则，严格按照法律法规、规定的安全管理要求。建设运行主体单位必须制定安全、环保事故处置预案，明确现场管理安全环保责任，落实场所安全环保管理措施，常态化组织安全环保隐患排查及整改，严防发生安全生产事故和环境污染。</w:t>
      </w:r>
    </w:p>
    <w:p w14:paraId="12E9919D">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（2）技术要求</w:t>
      </w:r>
    </w:p>
    <w:p w14:paraId="75CAAEB3">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1）建筑垃圾可采取露天或室内堆放方式，露天堆放的建筑垃圾应及时覆盖。</w:t>
      </w:r>
    </w:p>
    <w:p w14:paraId="063874B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2）建筑垃圾堆放高度高出地坪不宜超过3米，当超过3米时，应进行堆体和地基稳定性验算，保证堆体和地基的稳定安全。当堆场场地附近有挖方工程时，应进行堆体和挖方边坡稳定性验算，保证挖方工程安全。</w:t>
      </w:r>
    </w:p>
    <w:p w14:paraId="5B9B469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3）建筑垃圾转运调配场应采用硬化地坪，其标高应高于周围地坪标高15厘米以上，建筑垃圾转运调配场四周应设置排水沟，并满足场地雨水导排要求。</w:t>
      </w:r>
    </w:p>
    <w:p w14:paraId="05E18DD8">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4）建筑垃圾转运调配场应分类设置并标记明显。</w:t>
      </w:r>
    </w:p>
    <w:p w14:paraId="082218E0">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5）建筑垃圾转运调配场内应设置场区道路，连接场内各堆放区与场外市政道路。</w:t>
      </w:r>
    </w:p>
    <w:p w14:paraId="20CD7957">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6）建筑垃圾转运调配场应配备装载机、推土机等作业机械，配备机械数量应与作业需求相适应。</w:t>
      </w:r>
    </w:p>
    <w:p w14:paraId="5C3412C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7）生产管理区应设置在分类堆放区的上风向，宜设置办公用房等设施。中、大型规模的中转调配场宜设置作业设备、运输车辆的维修车间等设施。</w:t>
      </w:r>
    </w:p>
    <w:p w14:paraId="63B3C83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3.规划布局</w:t>
      </w:r>
    </w:p>
    <w:p w14:paraId="5FF8E7BA">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规划保留提升霍山县建筑垃圾综合利用厂，新建霍山县装修及大件垃圾资源化利用厂，解决装修垃圾处理难题，改善环境质量。</w:t>
      </w:r>
    </w:p>
    <w:p w14:paraId="0D66808F">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（1）霍山县建筑垃圾综合利用厂</w:t>
      </w:r>
    </w:p>
    <w:p w14:paraId="482B2FBE">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建设规模及内容：项目总建筑面积规划为37130m</w:t>
      </w:r>
      <w:r>
        <w:rPr>
          <w:rFonts w:hint="eastAsia" w:ascii="仿宋" w:hAnsi="仿宋" w:eastAsia="仿宋" w:cs="仿宋"/>
          <w:color w:val="000000" w:themeColor="text1"/>
          <w:sz w:val="28"/>
          <w:szCs w:val="36"/>
          <w:highlight w:val="none"/>
          <w:vertAlign w:val="superscript"/>
          <w:lang w:val="en-US" w:eastAsia="zh-CN"/>
          <w14:textFill>
            <w14:solidFill>
              <w14:schemeClr w14:val="tx1"/>
            </w14:solidFill>
          </w14:textFill>
        </w:rPr>
        <w:t>2</w:t>
      </w:r>
      <w:r>
        <w:rPr>
          <w:rFonts w:hint="eastAsia" w:ascii="仿宋" w:hAnsi="仿宋" w:eastAsia="仿宋" w:cs="仿宋"/>
          <w:color w:val="000000" w:themeColor="text1"/>
          <w:sz w:val="28"/>
          <w:szCs w:val="36"/>
          <w:highlight w:val="none"/>
          <w:lang w:val="en-US" w:eastAsia="zh-CN"/>
          <w14:textFill>
            <w14:solidFill>
              <w14:schemeClr w14:val="tx1"/>
            </w14:solidFill>
          </w14:textFill>
        </w:rPr>
        <w:t>，其中生产厂房30000m</w:t>
      </w:r>
      <w:r>
        <w:rPr>
          <w:rFonts w:hint="eastAsia" w:ascii="仿宋" w:hAnsi="仿宋" w:eastAsia="仿宋" w:cs="仿宋"/>
          <w:color w:val="000000" w:themeColor="text1"/>
          <w:sz w:val="28"/>
          <w:szCs w:val="36"/>
          <w:highlight w:val="none"/>
          <w:vertAlign w:val="superscript"/>
          <w:lang w:val="en-US" w:eastAsia="zh-CN"/>
          <w14:textFill>
            <w14:solidFill>
              <w14:schemeClr w14:val="tx1"/>
            </w14:solidFill>
          </w14:textFill>
        </w:rPr>
        <w:t>2</w:t>
      </w:r>
      <w:r>
        <w:rPr>
          <w:rFonts w:hint="eastAsia" w:ascii="仿宋" w:hAnsi="仿宋" w:eastAsia="仿宋" w:cs="仿宋"/>
          <w:color w:val="000000" w:themeColor="text1"/>
          <w:sz w:val="28"/>
          <w:szCs w:val="36"/>
          <w:highlight w:val="none"/>
          <w:lang w:val="en-US" w:eastAsia="zh-CN"/>
          <w14:textFill>
            <w14:solidFill>
              <w14:schemeClr w14:val="tx1"/>
            </w14:solidFill>
          </w14:textFill>
        </w:rPr>
        <w:t>、公用及配套工程7130m</w:t>
      </w:r>
      <w:r>
        <w:rPr>
          <w:rFonts w:hint="eastAsia" w:ascii="仿宋" w:hAnsi="仿宋" w:eastAsia="仿宋" w:cs="仿宋"/>
          <w:color w:val="000000" w:themeColor="text1"/>
          <w:sz w:val="28"/>
          <w:szCs w:val="36"/>
          <w:highlight w:val="none"/>
          <w:vertAlign w:val="superscript"/>
          <w:lang w:val="en-US" w:eastAsia="zh-CN"/>
          <w14:textFill>
            <w14:solidFill>
              <w14:schemeClr w14:val="tx1"/>
            </w14:solidFill>
          </w14:textFill>
        </w:rPr>
        <w:t>2</w:t>
      </w:r>
      <w:r>
        <w:rPr>
          <w:rFonts w:hint="eastAsia" w:ascii="仿宋" w:hAnsi="仿宋" w:eastAsia="仿宋" w:cs="仿宋"/>
          <w:color w:val="000000" w:themeColor="text1"/>
          <w:sz w:val="28"/>
          <w:szCs w:val="36"/>
          <w:highlight w:val="none"/>
          <w:lang w:val="en-US" w:eastAsia="zh-CN"/>
          <w14:textFill>
            <w14:solidFill>
              <w14:schemeClr w14:val="tx1"/>
            </w14:solidFill>
          </w14:textFill>
        </w:rPr>
        <w:t>，新上符合国家产业政策的日处理2000吨、年处理60万吨建筑垃圾生产设备、处理能力300万吨的再生骨料生产线二条以及透水砖(砌块)容生产线二条。</w:t>
      </w:r>
    </w:p>
    <w:p w14:paraId="327D4153">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年新增生产能力：年利用60万吨建筑垃圾，年产3000万块透水砖、20万立方米砌块及年产300万吨再生骨料。</w:t>
      </w:r>
    </w:p>
    <w:p w14:paraId="300728A8">
      <w:pPr>
        <w:keepNext w:val="0"/>
        <w:keepLines w:val="0"/>
        <w:pageBreakBefore w:val="0"/>
        <w:widowControl w:val="0"/>
        <w:numPr>
          <w:ilvl w:val="0"/>
          <w:numId w:val="8"/>
        </w:numPr>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霍山县装修及大件垃圾资源化利用厂</w:t>
      </w:r>
    </w:p>
    <w:p w14:paraId="61182A3F">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建设规模及内容：</w:t>
      </w:r>
      <w:r>
        <w:rPr>
          <w:rFonts w:hint="eastAsia" w:ascii="仿宋" w:hAnsi="仿宋" w:eastAsia="仿宋" w:cs="仿宋"/>
          <w:color w:val="000000" w:themeColor="text1"/>
          <w:sz w:val="28"/>
          <w:szCs w:val="36"/>
          <w:highlight w:val="none"/>
          <w:lang w:val="zh-CN" w:eastAsia="zh-CN"/>
          <w14:textFill>
            <w14:solidFill>
              <w14:schemeClr w14:val="tx1"/>
            </w14:solidFill>
          </w14:textFill>
        </w:rPr>
        <w:t>本项目总建筑面积规划为约</w:t>
      </w:r>
      <w:r>
        <w:rPr>
          <w:rFonts w:hint="eastAsia" w:ascii="仿宋" w:hAnsi="仿宋" w:eastAsia="仿宋" w:cs="仿宋"/>
          <w:color w:val="000000" w:themeColor="text1"/>
          <w:sz w:val="28"/>
          <w:szCs w:val="36"/>
          <w:highlight w:val="none"/>
          <w:lang w:val="en-US" w:eastAsia="zh-CN"/>
          <w14:textFill>
            <w14:solidFill>
              <w14:schemeClr w14:val="tx1"/>
            </w14:solidFill>
          </w14:textFill>
        </w:rPr>
        <w:t>1800㎡，</w:t>
      </w:r>
      <w:r>
        <w:rPr>
          <w:rFonts w:hint="eastAsia" w:ascii="仿宋" w:hAnsi="仿宋" w:eastAsia="仿宋" w:cs="仿宋"/>
          <w:color w:val="000000" w:themeColor="text1"/>
          <w:sz w:val="28"/>
          <w:szCs w:val="36"/>
          <w:highlight w:val="none"/>
          <w:lang w:val="zh-CN" w:eastAsia="zh-CN"/>
          <w14:textFill>
            <w14:solidFill>
              <w14:schemeClr w14:val="tx1"/>
            </w14:solidFill>
          </w14:textFill>
        </w:rPr>
        <w:t>其中生产厂房约</w:t>
      </w:r>
      <w:r>
        <w:rPr>
          <w:rFonts w:hint="eastAsia" w:ascii="仿宋" w:hAnsi="仿宋" w:eastAsia="仿宋" w:cs="仿宋"/>
          <w:color w:val="000000" w:themeColor="text1"/>
          <w:sz w:val="28"/>
          <w:szCs w:val="36"/>
          <w:highlight w:val="none"/>
          <w:lang w:val="en-US" w:eastAsia="zh-CN"/>
          <w14:textFill>
            <w14:solidFill>
              <w14:schemeClr w14:val="tx1"/>
            </w14:solidFill>
          </w14:textFill>
        </w:rPr>
        <w:t>1000㎡、公用及配套设施800㎡。新上一条符合国家产业政策日处理300吨，年处理约10万吨建筑装修垃圾（含大件垃圾）破碎分拣及资源化利用生产线一条。</w:t>
      </w:r>
    </w:p>
    <w:p w14:paraId="3935D1BE">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工艺流程：装修垃圾→预处理（分拣、破碎、筛分）→资源化处理（焚烧、热解、发酵等）→再生产品生产（再生砖、再生混凝土、再生骨料等）。</w:t>
      </w:r>
    </w:p>
    <w:tbl>
      <w:tblPr>
        <w:tblStyle w:val="12"/>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81"/>
        <w:gridCol w:w="1831"/>
        <w:gridCol w:w="1732"/>
        <w:gridCol w:w="2901"/>
        <w:gridCol w:w="1277"/>
      </w:tblGrid>
      <w:tr w14:paraId="45432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5000" w:type="pct"/>
            <w:gridSpan w:val="5"/>
            <w:tcBorders>
              <w:top w:val="single" w:color="000008" w:sz="6" w:space="0"/>
              <w:left w:val="single" w:color="000008" w:sz="6" w:space="0"/>
              <w:bottom w:val="single" w:color="000008" w:sz="6" w:space="0"/>
              <w:right w:val="single" w:color="000008" w:sz="6" w:space="0"/>
            </w:tcBorders>
            <w:shd w:val="clear" w:color="auto" w:fill="FFFFFF"/>
            <w:tcMar>
              <w:left w:w="108" w:type="dxa"/>
              <w:right w:w="108" w:type="dxa"/>
            </w:tcMar>
            <w:vAlign w:val="center"/>
          </w:tcPr>
          <w:p w14:paraId="3D728FEC">
            <w:pPr>
              <w:pStyle w:val="11"/>
              <w:keepNext w:val="0"/>
              <w:keepLines w:val="0"/>
              <w:widowControl/>
              <w:suppressLineNumbers w:val="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中心城区建筑垃圾规划一览表</w:t>
            </w:r>
          </w:p>
        </w:tc>
      </w:tr>
      <w:tr w14:paraId="52AFC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459" w:type="pct"/>
            <w:tcBorders>
              <w:top w:val="single" w:color="000008" w:sz="6" w:space="0"/>
              <w:left w:val="single" w:color="000008" w:sz="6" w:space="0"/>
              <w:bottom w:val="single" w:color="000008" w:sz="6" w:space="0"/>
              <w:right w:val="single" w:color="000008" w:sz="6" w:space="0"/>
            </w:tcBorders>
            <w:shd w:val="clear" w:color="auto" w:fill="FFFFFF"/>
            <w:tcMar>
              <w:left w:w="108" w:type="dxa"/>
              <w:right w:w="108" w:type="dxa"/>
            </w:tcMar>
            <w:vAlign w:val="center"/>
          </w:tcPr>
          <w:p w14:paraId="730D7A72">
            <w:pPr>
              <w:pStyle w:val="11"/>
              <w:keepNext w:val="0"/>
              <w:keepLines w:val="0"/>
              <w:widowControl/>
              <w:suppressLineNumbers w:val="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序号</w:t>
            </w:r>
          </w:p>
        </w:tc>
        <w:tc>
          <w:tcPr>
            <w:tcW w:w="1074" w:type="pct"/>
            <w:tcBorders>
              <w:top w:val="single" w:color="000008" w:sz="6" w:space="0"/>
              <w:left w:val="single" w:color="000008" w:sz="6" w:space="0"/>
              <w:bottom w:val="single" w:color="000008" w:sz="6" w:space="0"/>
              <w:right w:val="single" w:color="000008" w:sz="6" w:space="0"/>
            </w:tcBorders>
            <w:shd w:val="clear" w:color="auto" w:fill="FFFFFF"/>
            <w:tcMar>
              <w:left w:w="108" w:type="dxa"/>
              <w:right w:w="108" w:type="dxa"/>
            </w:tcMar>
            <w:vAlign w:val="center"/>
          </w:tcPr>
          <w:p w14:paraId="68CE4EE2">
            <w:pPr>
              <w:pStyle w:val="11"/>
              <w:keepNext w:val="0"/>
              <w:keepLines w:val="0"/>
              <w:widowControl/>
              <w:suppressLineNumbers w:val="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项目名称</w:t>
            </w:r>
          </w:p>
        </w:tc>
        <w:tc>
          <w:tcPr>
            <w:tcW w:w="1016" w:type="pct"/>
            <w:tcBorders>
              <w:top w:val="single" w:color="000008" w:sz="6" w:space="0"/>
              <w:left w:val="single" w:color="000008" w:sz="6" w:space="0"/>
              <w:bottom w:val="single" w:color="000008" w:sz="6" w:space="0"/>
              <w:right w:val="single" w:color="000008" w:sz="6" w:space="0"/>
            </w:tcBorders>
            <w:shd w:val="clear" w:color="auto" w:fill="FFFFFF"/>
            <w:tcMar>
              <w:left w:w="108" w:type="dxa"/>
              <w:right w:w="108" w:type="dxa"/>
            </w:tcMar>
            <w:vAlign w:val="center"/>
          </w:tcPr>
          <w:p w14:paraId="3618B9B2">
            <w:pPr>
              <w:pStyle w:val="11"/>
              <w:keepNext w:val="0"/>
              <w:keepLines w:val="0"/>
              <w:widowControl/>
              <w:suppressLineNumbers w:val="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zh-CN" w:eastAsia="zh-CN" w:bidi="ar"/>
              </w:rPr>
              <w:t>总建筑面积</w:t>
            </w:r>
            <w:r>
              <w:rPr>
                <w:rFonts w:hint="eastAsia" w:ascii="仿宋" w:hAnsi="仿宋" w:eastAsia="仿宋" w:cs="仿宋"/>
                <w:i w:val="0"/>
                <w:iCs w:val="0"/>
                <w:color w:val="000000"/>
                <w:kern w:val="0"/>
                <w:sz w:val="24"/>
                <w:szCs w:val="24"/>
                <w:u w:val="none"/>
                <w:lang w:val="en-US" w:eastAsia="zh-CN" w:bidi="ar"/>
              </w:rPr>
              <w:t>（㎡）</w:t>
            </w:r>
          </w:p>
        </w:tc>
        <w:tc>
          <w:tcPr>
            <w:tcW w:w="1702" w:type="pct"/>
            <w:tcBorders>
              <w:top w:val="single" w:color="000008" w:sz="6" w:space="0"/>
              <w:left w:val="single" w:color="000008" w:sz="6" w:space="0"/>
              <w:bottom w:val="single" w:color="000008" w:sz="6" w:space="0"/>
              <w:right w:val="single" w:color="000008" w:sz="6" w:space="0"/>
            </w:tcBorders>
            <w:shd w:val="clear" w:color="auto" w:fill="FFFFFF"/>
            <w:tcMar>
              <w:left w:w="108" w:type="dxa"/>
              <w:right w:w="108" w:type="dxa"/>
            </w:tcMar>
            <w:vAlign w:val="center"/>
          </w:tcPr>
          <w:p w14:paraId="66C9578E">
            <w:pPr>
              <w:pStyle w:val="11"/>
              <w:keepNext w:val="0"/>
              <w:keepLines w:val="0"/>
              <w:widowControl/>
              <w:suppressLineNumbers w:val="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位置</w:t>
            </w:r>
          </w:p>
        </w:tc>
        <w:tc>
          <w:tcPr>
            <w:tcW w:w="746" w:type="pct"/>
            <w:tcBorders>
              <w:top w:val="single" w:color="000008" w:sz="6" w:space="0"/>
              <w:left w:val="single" w:color="000008" w:sz="6" w:space="0"/>
              <w:bottom w:val="single" w:color="000008" w:sz="6" w:space="0"/>
              <w:right w:val="single" w:color="000008" w:sz="6" w:space="0"/>
            </w:tcBorders>
            <w:shd w:val="clear" w:color="auto" w:fill="FFFFFF"/>
            <w:tcMar>
              <w:left w:w="108" w:type="dxa"/>
              <w:right w:w="108" w:type="dxa"/>
            </w:tcMar>
            <w:vAlign w:val="center"/>
          </w:tcPr>
          <w:p w14:paraId="5FFEC3E6">
            <w:pPr>
              <w:pStyle w:val="11"/>
              <w:keepNext w:val="0"/>
              <w:keepLines w:val="0"/>
              <w:widowControl/>
              <w:suppressLineNumbers w:val="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备注</w:t>
            </w:r>
          </w:p>
        </w:tc>
      </w:tr>
      <w:tr w14:paraId="53E13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459" w:type="pct"/>
            <w:tcBorders>
              <w:top w:val="single" w:color="000008" w:sz="6" w:space="0"/>
              <w:left w:val="single" w:color="000008" w:sz="6" w:space="0"/>
              <w:bottom w:val="single" w:color="000008" w:sz="6" w:space="0"/>
              <w:right w:val="single" w:color="000008" w:sz="6" w:space="0"/>
            </w:tcBorders>
            <w:shd w:val="clear" w:color="auto" w:fill="FFFFFF"/>
            <w:tcMar>
              <w:left w:w="108" w:type="dxa"/>
              <w:right w:w="108" w:type="dxa"/>
            </w:tcMar>
            <w:vAlign w:val="center"/>
          </w:tcPr>
          <w:p w14:paraId="095163A4">
            <w:pPr>
              <w:pStyle w:val="11"/>
              <w:keepNext w:val="0"/>
              <w:keepLines w:val="0"/>
              <w:widowControl/>
              <w:suppressLineNumbers w:val="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1074" w:type="pct"/>
            <w:tcBorders>
              <w:top w:val="single" w:color="000008" w:sz="6" w:space="0"/>
              <w:left w:val="single" w:color="000008" w:sz="6" w:space="0"/>
              <w:bottom w:val="single" w:color="000008" w:sz="6" w:space="0"/>
              <w:right w:val="single" w:color="000008" w:sz="6" w:space="0"/>
            </w:tcBorders>
            <w:shd w:val="clear" w:color="auto" w:fill="FFFFFF"/>
            <w:tcMar>
              <w:left w:w="108" w:type="dxa"/>
              <w:right w:w="108" w:type="dxa"/>
            </w:tcMar>
            <w:vAlign w:val="center"/>
          </w:tcPr>
          <w:p w14:paraId="1E16A81C">
            <w:pPr>
              <w:pStyle w:val="11"/>
              <w:keepNext w:val="0"/>
              <w:keepLines w:val="0"/>
              <w:widowControl/>
              <w:suppressLineNumbers w:val="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霍山县建筑垃圾综合利用厂</w:t>
            </w:r>
          </w:p>
        </w:tc>
        <w:tc>
          <w:tcPr>
            <w:tcW w:w="1016" w:type="pct"/>
            <w:tcBorders>
              <w:top w:val="single" w:color="000008" w:sz="6" w:space="0"/>
              <w:left w:val="single" w:color="000008" w:sz="6" w:space="0"/>
              <w:bottom w:val="single" w:color="000008" w:sz="6" w:space="0"/>
              <w:right w:val="single" w:color="000008" w:sz="6" w:space="0"/>
            </w:tcBorders>
            <w:shd w:val="clear" w:color="auto" w:fill="FFFFFF"/>
            <w:tcMar>
              <w:left w:w="108" w:type="dxa"/>
              <w:right w:w="108" w:type="dxa"/>
            </w:tcMar>
            <w:vAlign w:val="center"/>
          </w:tcPr>
          <w:p w14:paraId="3C753E02">
            <w:pPr>
              <w:pStyle w:val="11"/>
              <w:keepNext w:val="0"/>
              <w:keepLines w:val="0"/>
              <w:widowControl/>
              <w:suppressLineNumbers w:val="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37130</w:t>
            </w:r>
          </w:p>
        </w:tc>
        <w:tc>
          <w:tcPr>
            <w:tcW w:w="1702" w:type="pct"/>
            <w:tcBorders>
              <w:top w:val="single" w:color="000008" w:sz="6" w:space="0"/>
              <w:left w:val="single" w:color="000008" w:sz="6" w:space="0"/>
              <w:bottom w:val="single" w:color="000008" w:sz="6" w:space="0"/>
              <w:right w:val="single" w:color="000008" w:sz="6" w:space="0"/>
            </w:tcBorders>
            <w:shd w:val="clear" w:color="auto" w:fill="FFFFFF"/>
            <w:tcMar>
              <w:left w:w="108" w:type="dxa"/>
              <w:right w:w="108" w:type="dxa"/>
            </w:tcMar>
            <w:vAlign w:val="center"/>
          </w:tcPr>
          <w:p w14:paraId="5F1C7A76">
            <w:pPr>
              <w:pStyle w:val="11"/>
              <w:keepNext w:val="0"/>
              <w:keepLines w:val="0"/>
              <w:widowControl/>
              <w:suppressLineNumbers w:val="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霍山经济开发区大河厂路以北、海创公司以西。</w:t>
            </w:r>
          </w:p>
        </w:tc>
        <w:tc>
          <w:tcPr>
            <w:tcW w:w="746" w:type="pct"/>
            <w:tcBorders>
              <w:top w:val="single" w:color="000008" w:sz="6" w:space="0"/>
              <w:left w:val="single" w:color="000008" w:sz="6" w:space="0"/>
              <w:bottom w:val="single" w:color="000008" w:sz="6" w:space="0"/>
              <w:right w:val="single" w:color="000008" w:sz="6" w:space="0"/>
            </w:tcBorders>
            <w:shd w:val="clear" w:color="auto" w:fill="FFFFFF"/>
            <w:tcMar>
              <w:left w:w="108" w:type="dxa"/>
              <w:right w:w="108" w:type="dxa"/>
            </w:tcMar>
            <w:vAlign w:val="center"/>
          </w:tcPr>
          <w:p w14:paraId="323B308C">
            <w:pPr>
              <w:pStyle w:val="11"/>
              <w:keepNext w:val="0"/>
              <w:keepLines w:val="0"/>
              <w:widowControl/>
              <w:suppressLineNumbers w:val="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现状保留提升</w:t>
            </w:r>
          </w:p>
        </w:tc>
      </w:tr>
      <w:tr w14:paraId="047AD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459" w:type="pct"/>
            <w:tcBorders>
              <w:top w:val="single" w:color="000008" w:sz="6" w:space="0"/>
              <w:left w:val="single" w:color="000008" w:sz="6" w:space="0"/>
              <w:bottom w:val="single" w:color="000008" w:sz="6" w:space="0"/>
              <w:right w:val="single" w:color="000008" w:sz="6" w:space="0"/>
            </w:tcBorders>
            <w:shd w:val="clear" w:color="auto" w:fill="FFFFFF"/>
            <w:tcMar>
              <w:left w:w="108" w:type="dxa"/>
              <w:right w:w="108" w:type="dxa"/>
            </w:tcMar>
            <w:vAlign w:val="center"/>
          </w:tcPr>
          <w:p w14:paraId="24566E0A">
            <w:pPr>
              <w:pStyle w:val="11"/>
              <w:keepNext w:val="0"/>
              <w:keepLines w:val="0"/>
              <w:widowControl/>
              <w:suppressLineNumbers w:val="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074" w:type="pct"/>
            <w:tcBorders>
              <w:top w:val="single" w:color="000008" w:sz="6" w:space="0"/>
              <w:left w:val="single" w:color="000008" w:sz="6" w:space="0"/>
              <w:bottom w:val="single" w:color="000008" w:sz="6" w:space="0"/>
              <w:right w:val="single" w:color="000008" w:sz="6" w:space="0"/>
            </w:tcBorders>
            <w:shd w:val="clear" w:color="auto" w:fill="FFFFFF"/>
            <w:tcMar>
              <w:left w:w="108" w:type="dxa"/>
              <w:right w:w="108" w:type="dxa"/>
            </w:tcMar>
            <w:vAlign w:val="center"/>
          </w:tcPr>
          <w:p w14:paraId="60C71066">
            <w:pPr>
              <w:pStyle w:val="11"/>
              <w:keepNext w:val="0"/>
              <w:keepLines w:val="0"/>
              <w:widowControl/>
              <w:suppressLineNumbers w:val="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霍山县装修及大件垃圾资源化利用厂</w:t>
            </w:r>
          </w:p>
        </w:tc>
        <w:tc>
          <w:tcPr>
            <w:tcW w:w="1016" w:type="pct"/>
            <w:tcBorders>
              <w:top w:val="single" w:color="000008" w:sz="6" w:space="0"/>
              <w:left w:val="single" w:color="000008" w:sz="6" w:space="0"/>
              <w:bottom w:val="single" w:color="000008" w:sz="6" w:space="0"/>
              <w:right w:val="single" w:color="000008" w:sz="6" w:space="0"/>
            </w:tcBorders>
            <w:shd w:val="clear" w:color="auto" w:fill="FFFFFF"/>
            <w:tcMar>
              <w:left w:w="108" w:type="dxa"/>
              <w:right w:w="108" w:type="dxa"/>
            </w:tcMar>
            <w:vAlign w:val="center"/>
          </w:tcPr>
          <w:p w14:paraId="3115D6E6">
            <w:pPr>
              <w:pStyle w:val="11"/>
              <w:keepNext w:val="0"/>
              <w:keepLines w:val="0"/>
              <w:widowControl/>
              <w:suppressLineNumbers w:val="0"/>
              <w:jc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1800</w:t>
            </w:r>
          </w:p>
        </w:tc>
        <w:tc>
          <w:tcPr>
            <w:tcW w:w="1702" w:type="pct"/>
            <w:tcBorders>
              <w:top w:val="single" w:color="000008" w:sz="6" w:space="0"/>
              <w:left w:val="single" w:color="000008" w:sz="6" w:space="0"/>
              <w:bottom w:val="single" w:color="000008" w:sz="6" w:space="0"/>
              <w:right w:val="single" w:color="000008" w:sz="6" w:space="0"/>
            </w:tcBorders>
            <w:shd w:val="clear" w:color="auto" w:fill="FFFFFF"/>
            <w:tcMar>
              <w:left w:w="108" w:type="dxa"/>
              <w:right w:w="108" w:type="dxa"/>
            </w:tcMar>
            <w:vAlign w:val="center"/>
          </w:tcPr>
          <w:p w14:paraId="58C7DB6C">
            <w:pPr>
              <w:pStyle w:val="11"/>
              <w:keepNext w:val="0"/>
              <w:keepLines w:val="0"/>
              <w:widowControl/>
              <w:suppressLineNumbers w:val="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霍山县外环路与幽芳路交口东北侧500米长岭岗林场。</w:t>
            </w:r>
          </w:p>
        </w:tc>
        <w:tc>
          <w:tcPr>
            <w:tcW w:w="746" w:type="pct"/>
            <w:tcBorders>
              <w:top w:val="single" w:color="000008" w:sz="6" w:space="0"/>
              <w:left w:val="single" w:color="000008" w:sz="6" w:space="0"/>
              <w:bottom w:val="single" w:color="000008" w:sz="6" w:space="0"/>
              <w:right w:val="single" w:color="000008" w:sz="6" w:space="0"/>
            </w:tcBorders>
            <w:shd w:val="clear" w:color="auto" w:fill="FFFFFF"/>
            <w:tcMar>
              <w:left w:w="108" w:type="dxa"/>
              <w:right w:w="108" w:type="dxa"/>
            </w:tcMar>
            <w:vAlign w:val="center"/>
          </w:tcPr>
          <w:p w14:paraId="7868CA55">
            <w:pPr>
              <w:pStyle w:val="11"/>
              <w:keepNext w:val="0"/>
              <w:keepLines w:val="0"/>
              <w:widowControl/>
              <w:suppressLineNumbers w:val="0"/>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近期新建</w:t>
            </w:r>
          </w:p>
        </w:tc>
      </w:tr>
    </w:tbl>
    <w:p w14:paraId="23885B4B">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4.选址要求</w:t>
      </w:r>
    </w:p>
    <w:p w14:paraId="22CB89D7">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依据“多规合一”要求，结合《霍山县国土空间总体规划（2021-2035年）》中的“三区三线”，用地选址禁止占用永久基本农田和生态红线等，建筑垃圾转运调配场的用地性质可以为临时性用地。市自然资源和规划局应当会同行政审批部门、住房和城乡建设局、城市管理局、生态环境局等相关部门商定建筑垃圾转运调配场选址。</w:t>
      </w:r>
    </w:p>
    <w:p w14:paraId="4BFDFDC5">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5.运营与维护</w:t>
      </w:r>
    </w:p>
    <w:p w14:paraId="4FE1631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1）应建立健全各项管理制度，设立专职管理人员，负责日常监管，督促生产运营管理。</w:t>
      </w:r>
    </w:p>
    <w:p w14:paraId="3E58186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2）转运车辆进出应执行“一车一单”的制度，经核准证件后，才可放行。</w:t>
      </w:r>
    </w:p>
    <w:p w14:paraId="6A908E8D">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3）无关人员不得进入场内进行捡拾废品等活动。</w:t>
      </w:r>
    </w:p>
    <w:p w14:paraId="5C31E4CD">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4）应配备与施工规模相适应的分类堆放区和作业人员。</w:t>
      </w:r>
    </w:p>
    <w:p w14:paraId="2A84FE26">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5）应配备相应的作业机械、照明、消防、降尘、降噪、排水等设施设备。</w:t>
      </w:r>
    </w:p>
    <w:p w14:paraId="24A849AE">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6）应定期保养和及时维修站内设备设施。</w:t>
      </w:r>
    </w:p>
    <w:p w14:paraId="7409870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7）进场的建筑垃圾应根据工程渣土、工程泥浆、工程垃圾、拆除垃圾和装修垃圾的标准分类堆放，并设置明显的分类堆放标志。</w:t>
      </w:r>
    </w:p>
    <w:p w14:paraId="4BC616A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8）转运调配场内堆放时可采取室内或露天方式，露天堆放的建筑垃圾应及时遮盖。</w:t>
      </w:r>
    </w:p>
    <w:p w14:paraId="48393094">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sectPr>
          <w:footerReference r:id="rId3" w:type="default"/>
          <w:pgSz w:w="11906" w:h="16839"/>
          <w:pgMar w:top="1440" w:right="1800" w:bottom="1440" w:left="1800" w:header="0" w:footer="1097" w:gutter="0"/>
          <w:cols w:space="720" w:num="1"/>
        </w:sectPr>
      </w:pPr>
    </w:p>
    <w:p w14:paraId="362DF905">
      <w:pPr>
        <w:pStyle w:val="2"/>
        <w:numPr>
          <w:ilvl w:val="0"/>
          <w:numId w:val="1"/>
        </w:numPr>
        <w:bidi w:val="0"/>
        <w:rPr>
          <w:rFonts w:hint="default"/>
          <w:lang w:val="en-US" w:eastAsia="zh-CN"/>
        </w:rPr>
      </w:pPr>
      <w:bookmarkStart w:id="71" w:name="_Toc29845"/>
      <w:bookmarkStart w:id="72" w:name="_Toc7193"/>
      <w:r>
        <w:rPr>
          <w:rFonts w:hint="eastAsia"/>
          <w:lang w:val="en-US" w:eastAsia="zh-CN"/>
        </w:rPr>
        <w:t>建筑垃圾利用及处置规划</w:t>
      </w:r>
      <w:bookmarkEnd w:id="71"/>
      <w:bookmarkEnd w:id="72"/>
    </w:p>
    <w:p w14:paraId="4B2BCC37">
      <w:pPr>
        <w:pStyle w:val="3"/>
        <w:numPr>
          <w:ilvl w:val="0"/>
          <w:numId w:val="9"/>
        </w:numPr>
        <w:bidi w:val="0"/>
        <w:rPr>
          <w:rFonts w:hint="eastAsia"/>
          <w:lang w:val="en-US" w:eastAsia="zh-CN"/>
        </w:rPr>
      </w:pPr>
      <w:bookmarkStart w:id="73" w:name="_Toc8094"/>
      <w:bookmarkStart w:id="74" w:name="_Toc26772"/>
      <w:r>
        <w:rPr>
          <w:rFonts w:hint="eastAsia"/>
          <w:lang w:val="en-US" w:eastAsia="zh-CN"/>
        </w:rPr>
        <w:t>处置方式</w:t>
      </w:r>
      <w:bookmarkEnd w:id="73"/>
      <w:bookmarkEnd w:id="74"/>
    </w:p>
    <w:p w14:paraId="176158E6">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（一）</w:t>
      </w: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无害化处置</w:t>
      </w:r>
    </w:p>
    <w:p w14:paraId="3A46284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w:t>
      </w: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工程回填</w:t>
      </w:r>
    </w:p>
    <w:p w14:paraId="51F3B9C6">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工程回填是指利用路基施工、桩基填料、地基基础、土地平整、堆山造景、综合管廊、矿山石场治理等生态修复工程项目回填消纳建筑垃圾，主要是消纳工程渣土。建设工地的渣土回填是最常用的建筑垃圾处理方法。将建筑垃圾加工成市政管网的回填材料是建筑垃圾回填的另一种重要途径，给水、雨水、污水、电力、通信、燃气等市政行业的管网铺设、维护过程中不可避免地要实施回填作业，如果能够将建筑垃圾加工成合乎要求的回填材料以</w:t>
      </w: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代替</w:t>
      </w: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粗砂、砾石等传统的回填材料，即可大大减少建筑垃圾的填埋量。</w:t>
      </w:r>
    </w:p>
    <w:p w14:paraId="1F67995D">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w:t>
      </w: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固定消纳</w:t>
      </w:r>
    </w:p>
    <w:p w14:paraId="24CEDA15">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由于建筑垃圾属于惰性无机物，因此可采用陆域安全堆填进行无害化处置，也是目前最为成熟、最主要的处理方法，是一类保障设施。但目前采取陆域安全堆填方式存在两个方面的问题：一是采用陆域安全堆填方式处理建筑垃圾将占用大量土地资源，这与</w:t>
      </w: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霍山县</w:t>
      </w: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土地资源紧缺存在矛盾，若占用建设用地贮存建筑垃圾显然是不合理的，且占用生态绿地处理建筑垃圾显然又是对生态环境的破坏；二是即使在陆域安全堆填方式暂时可行、必要的前提下，由于面临着基本农田保护、自然景观保护、国家森林公园保护、水源保护、河道及水库保护等的多重限制，消纳场的选址也是捉襟见肘、日渐困难。因此，可将固定消纳场定位为服务政府重大建设工程的应急储备设施或建筑垃圾中暂时无法综合利用的惰性组分的兜底设施。</w:t>
      </w:r>
    </w:p>
    <w:p w14:paraId="11A479E5">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（二）</w:t>
      </w: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资源化利用</w:t>
      </w:r>
    </w:p>
    <w:p w14:paraId="1AF648E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w:t>
      </w: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制造再生建材</w:t>
      </w:r>
    </w:p>
    <w:p w14:paraId="2B3240E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可通过对建筑垃圾科学</w:t>
      </w: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地</w:t>
      </w: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分类、分拣、破碎及筛分后，结合各种产品质量要求，加入适量的水泥和添加剂，生产出各种新型环保建材，实现循环经济。</w:t>
      </w:r>
    </w:p>
    <w:p w14:paraId="784DC54B">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w:t>
      </w: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泥砂分离</w:t>
      </w:r>
    </w:p>
    <w:p w14:paraId="1EDAA957">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可将工程渣土分选分离生产出砂粒（含泥量一般需小于3%），用作建筑用砂（应符合国家标准《建设用砂》（GB/T14684-2022）等相关标准要求），还可将工程渣土分离出的黏土与园林垃圾腐殖质土混合制备园林种植土，实现固废协同资源化利用。</w:t>
      </w:r>
    </w:p>
    <w:p w14:paraId="6DF52B08">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w:t>
      </w: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环保烧结</w:t>
      </w:r>
    </w:p>
    <w:p w14:paraId="7D9DE45C">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可将工程渣土经过环保烧结工艺处理，生产出符合《环保烧结普通砖》（GB/T5101-2017）、《环保烧结空心砖和空心砌块》（GB/T13545-2014）等标准的烧结制品，实现建筑垃圾资源利用最大化。</w:t>
      </w:r>
    </w:p>
    <w:p w14:paraId="5F267770">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jc w:val="center"/>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建筑垃圾处置方式规划表</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5"/>
        <w:gridCol w:w="1700"/>
        <w:gridCol w:w="3250"/>
        <w:gridCol w:w="2817"/>
      </w:tblGrid>
      <w:tr w14:paraId="27D28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75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3957538C">
            <w:pPr>
              <w:keepNext w:val="0"/>
              <w:keepLines w:val="0"/>
              <w:widowControl/>
              <w:suppressLineNumbers w:val="0"/>
              <w:jc w:val="center"/>
              <w:textAlignment w:val="top"/>
              <w:rPr>
                <w:rFonts w:hint="eastAsia" w:ascii="仿宋" w:hAnsi="仿宋" w:eastAsia="仿宋" w:cs="仿宋"/>
                <w:b w:val="0"/>
                <w:i w:val="0"/>
                <w:iCs w:val="0"/>
                <w:color w:val="000000"/>
                <w:kern w:val="0"/>
                <w:sz w:val="24"/>
                <w:szCs w:val="24"/>
                <w:u w:val="none"/>
                <w:lang w:val="en-US" w:eastAsia="zh-CN" w:bidi="ar"/>
              </w:rPr>
            </w:pPr>
            <w:r>
              <w:rPr>
                <w:rFonts w:hint="eastAsia" w:ascii="仿宋" w:hAnsi="仿宋" w:eastAsia="仿宋" w:cs="仿宋"/>
                <w:b w:val="0"/>
                <w:i w:val="0"/>
                <w:iCs w:val="0"/>
                <w:color w:val="000000"/>
                <w:kern w:val="0"/>
                <w:sz w:val="24"/>
                <w:szCs w:val="24"/>
                <w:u w:val="none"/>
                <w:lang w:val="en-US" w:eastAsia="zh-CN" w:bidi="ar"/>
              </w:rPr>
              <w:t>序号</w:t>
            </w:r>
          </w:p>
        </w:tc>
        <w:tc>
          <w:tcPr>
            <w:tcW w:w="17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B3581B">
            <w:pPr>
              <w:keepNext w:val="0"/>
              <w:keepLines w:val="0"/>
              <w:widowControl/>
              <w:suppressLineNumbers w:val="0"/>
              <w:jc w:val="center"/>
              <w:textAlignment w:val="top"/>
              <w:rPr>
                <w:rFonts w:hint="eastAsia" w:ascii="仿宋" w:hAnsi="仿宋" w:eastAsia="仿宋" w:cs="仿宋"/>
                <w:b w:val="0"/>
                <w:i w:val="0"/>
                <w:iCs w:val="0"/>
                <w:color w:val="000000"/>
                <w:kern w:val="0"/>
                <w:sz w:val="24"/>
                <w:szCs w:val="24"/>
                <w:u w:val="none"/>
                <w:lang w:val="en-US" w:eastAsia="zh-CN" w:bidi="ar"/>
              </w:rPr>
            </w:pPr>
            <w:r>
              <w:rPr>
                <w:rFonts w:hint="eastAsia" w:ascii="仿宋" w:hAnsi="仿宋" w:eastAsia="仿宋" w:cs="仿宋"/>
                <w:b w:val="0"/>
                <w:i w:val="0"/>
                <w:iCs w:val="0"/>
                <w:color w:val="000000"/>
                <w:kern w:val="0"/>
                <w:sz w:val="24"/>
                <w:szCs w:val="24"/>
                <w:u w:val="none"/>
                <w:lang w:val="en-US" w:eastAsia="zh-CN" w:bidi="ar"/>
              </w:rPr>
              <w:t>建筑垃圾类别</w:t>
            </w:r>
          </w:p>
        </w:tc>
        <w:tc>
          <w:tcPr>
            <w:tcW w:w="32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BC0862">
            <w:pPr>
              <w:keepNext w:val="0"/>
              <w:keepLines w:val="0"/>
              <w:widowControl/>
              <w:suppressLineNumbers w:val="0"/>
              <w:jc w:val="center"/>
              <w:textAlignment w:val="top"/>
              <w:rPr>
                <w:rFonts w:hint="eastAsia" w:ascii="仿宋" w:hAnsi="仿宋" w:eastAsia="仿宋" w:cs="仿宋"/>
                <w:b w:val="0"/>
                <w:i w:val="0"/>
                <w:iCs w:val="0"/>
                <w:color w:val="000000"/>
                <w:kern w:val="0"/>
                <w:sz w:val="24"/>
                <w:szCs w:val="24"/>
                <w:u w:val="none"/>
                <w:lang w:val="en-US" w:eastAsia="zh-CN" w:bidi="ar"/>
              </w:rPr>
            </w:pPr>
            <w:r>
              <w:rPr>
                <w:rFonts w:hint="eastAsia" w:ascii="仿宋" w:hAnsi="仿宋" w:eastAsia="仿宋" w:cs="仿宋"/>
                <w:b w:val="0"/>
                <w:i w:val="0"/>
                <w:iCs w:val="0"/>
                <w:color w:val="000000"/>
                <w:kern w:val="0"/>
                <w:sz w:val="24"/>
                <w:szCs w:val="24"/>
                <w:u w:val="none"/>
                <w:lang w:val="en-US" w:eastAsia="zh-CN" w:bidi="ar"/>
              </w:rPr>
              <w:t>排放去向规划（指导性）</w:t>
            </w:r>
          </w:p>
        </w:tc>
        <w:tc>
          <w:tcPr>
            <w:tcW w:w="28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F583C3">
            <w:pPr>
              <w:keepNext w:val="0"/>
              <w:keepLines w:val="0"/>
              <w:widowControl/>
              <w:suppressLineNumbers w:val="0"/>
              <w:jc w:val="center"/>
              <w:textAlignment w:val="top"/>
              <w:rPr>
                <w:rFonts w:hint="eastAsia" w:ascii="仿宋" w:hAnsi="仿宋" w:eastAsia="仿宋" w:cs="仿宋"/>
                <w:b w:val="0"/>
                <w:i w:val="0"/>
                <w:iCs w:val="0"/>
                <w:color w:val="000000"/>
                <w:kern w:val="0"/>
                <w:sz w:val="24"/>
                <w:szCs w:val="24"/>
                <w:u w:val="none"/>
                <w:lang w:val="en-US" w:eastAsia="zh-CN" w:bidi="ar"/>
              </w:rPr>
            </w:pPr>
            <w:r>
              <w:rPr>
                <w:rFonts w:hint="eastAsia" w:ascii="仿宋" w:hAnsi="仿宋" w:eastAsia="仿宋" w:cs="仿宋"/>
                <w:b w:val="0"/>
                <w:i w:val="0"/>
                <w:iCs w:val="0"/>
                <w:color w:val="000000"/>
                <w:kern w:val="0"/>
                <w:sz w:val="24"/>
                <w:szCs w:val="24"/>
                <w:u w:val="none"/>
                <w:lang w:val="en-US" w:eastAsia="zh-CN" w:bidi="ar"/>
              </w:rPr>
              <w:t>主要处理方式</w:t>
            </w:r>
          </w:p>
        </w:tc>
      </w:tr>
      <w:tr w14:paraId="6FB9D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5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DDD61D7">
            <w:pPr>
              <w:keepNext w:val="0"/>
              <w:keepLines w:val="0"/>
              <w:widowControl/>
              <w:suppressLineNumbers w:val="0"/>
              <w:jc w:val="center"/>
              <w:textAlignment w:val="top"/>
              <w:rPr>
                <w:rFonts w:hint="eastAsia" w:ascii="仿宋" w:hAnsi="仿宋" w:eastAsia="仿宋" w:cs="仿宋"/>
                <w:b w:val="0"/>
                <w:i w:val="0"/>
                <w:iCs w:val="0"/>
                <w:color w:val="000000"/>
                <w:kern w:val="0"/>
                <w:sz w:val="24"/>
                <w:szCs w:val="24"/>
                <w:u w:val="none"/>
                <w:lang w:val="en-US" w:eastAsia="zh-CN" w:bidi="ar"/>
              </w:rPr>
            </w:pPr>
            <w:r>
              <w:rPr>
                <w:rFonts w:hint="eastAsia" w:ascii="仿宋" w:hAnsi="仿宋" w:eastAsia="仿宋" w:cs="仿宋"/>
                <w:b w:val="0"/>
                <w:i w:val="0"/>
                <w:iCs w:val="0"/>
                <w:color w:val="000000"/>
                <w:kern w:val="0"/>
                <w:sz w:val="24"/>
                <w:szCs w:val="24"/>
                <w:u w:val="none"/>
                <w:lang w:val="en-US" w:eastAsia="zh-CN" w:bidi="ar"/>
              </w:rPr>
              <w:t>1</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2FA80DD">
            <w:pPr>
              <w:keepNext w:val="0"/>
              <w:keepLines w:val="0"/>
              <w:widowControl/>
              <w:suppressLineNumbers w:val="0"/>
              <w:jc w:val="center"/>
              <w:textAlignment w:val="top"/>
              <w:rPr>
                <w:rFonts w:hint="eastAsia" w:ascii="仿宋" w:hAnsi="仿宋" w:eastAsia="仿宋" w:cs="仿宋"/>
                <w:b w:val="0"/>
                <w:i w:val="0"/>
                <w:iCs w:val="0"/>
                <w:color w:val="000000"/>
                <w:kern w:val="0"/>
                <w:sz w:val="24"/>
                <w:szCs w:val="24"/>
                <w:u w:val="none"/>
                <w:lang w:val="en-US" w:eastAsia="zh-CN" w:bidi="ar"/>
              </w:rPr>
            </w:pPr>
            <w:r>
              <w:rPr>
                <w:rFonts w:hint="eastAsia" w:ascii="仿宋" w:hAnsi="仿宋" w:eastAsia="仿宋" w:cs="仿宋"/>
                <w:b w:val="0"/>
                <w:i w:val="0"/>
                <w:iCs w:val="0"/>
                <w:color w:val="000000"/>
                <w:kern w:val="0"/>
                <w:sz w:val="24"/>
                <w:szCs w:val="24"/>
                <w:u w:val="none"/>
                <w:lang w:val="en-US" w:eastAsia="zh-CN" w:bidi="ar"/>
              </w:rPr>
              <w:t>工程垃圾</w:t>
            </w:r>
          </w:p>
        </w:tc>
        <w:tc>
          <w:tcPr>
            <w:tcW w:w="325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1B938F6">
            <w:pPr>
              <w:keepNext w:val="0"/>
              <w:keepLines w:val="0"/>
              <w:widowControl/>
              <w:suppressLineNumbers w:val="0"/>
              <w:jc w:val="center"/>
              <w:textAlignment w:val="top"/>
              <w:rPr>
                <w:rFonts w:hint="eastAsia" w:ascii="仿宋" w:hAnsi="仿宋" w:eastAsia="仿宋" w:cs="仿宋"/>
                <w:b w:val="0"/>
                <w:i w:val="0"/>
                <w:iCs w:val="0"/>
                <w:color w:val="000000"/>
                <w:kern w:val="0"/>
                <w:sz w:val="24"/>
                <w:szCs w:val="24"/>
                <w:u w:val="none"/>
                <w:lang w:val="en-US" w:eastAsia="zh-CN" w:bidi="ar"/>
              </w:rPr>
            </w:pPr>
            <w:r>
              <w:rPr>
                <w:rFonts w:hint="eastAsia" w:ascii="仿宋" w:hAnsi="仿宋" w:eastAsia="仿宋" w:cs="仿宋"/>
                <w:b w:val="0"/>
                <w:i w:val="0"/>
                <w:iCs w:val="0"/>
                <w:color w:val="000000"/>
                <w:kern w:val="0"/>
                <w:sz w:val="24"/>
                <w:szCs w:val="24"/>
                <w:u w:val="none"/>
                <w:lang w:val="en-US" w:eastAsia="zh-CN" w:bidi="ar"/>
              </w:rPr>
              <w:t>资源化处理设施、原位资源化处理、临时消纳场</w:t>
            </w:r>
          </w:p>
        </w:tc>
        <w:tc>
          <w:tcPr>
            <w:tcW w:w="281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FC3404E">
            <w:pPr>
              <w:keepNext w:val="0"/>
              <w:keepLines w:val="0"/>
              <w:widowControl/>
              <w:suppressLineNumbers w:val="0"/>
              <w:jc w:val="center"/>
              <w:textAlignment w:val="top"/>
              <w:rPr>
                <w:rFonts w:hint="eastAsia" w:ascii="仿宋" w:hAnsi="仿宋" w:eastAsia="仿宋" w:cs="仿宋"/>
                <w:b w:val="0"/>
                <w:i w:val="0"/>
                <w:iCs w:val="0"/>
                <w:color w:val="000000"/>
                <w:kern w:val="0"/>
                <w:sz w:val="24"/>
                <w:szCs w:val="24"/>
                <w:u w:val="none"/>
                <w:lang w:val="en-US" w:eastAsia="zh-CN" w:bidi="ar"/>
              </w:rPr>
            </w:pPr>
            <w:r>
              <w:rPr>
                <w:rFonts w:hint="eastAsia" w:ascii="仿宋" w:hAnsi="仿宋" w:eastAsia="仿宋" w:cs="仿宋"/>
                <w:b w:val="0"/>
                <w:i w:val="0"/>
                <w:iCs w:val="0"/>
                <w:color w:val="000000"/>
                <w:kern w:val="0"/>
                <w:sz w:val="24"/>
                <w:szCs w:val="24"/>
                <w:u w:val="none"/>
                <w:lang w:val="en-US" w:eastAsia="zh-CN" w:bidi="ar"/>
              </w:rPr>
              <w:t>固定式资源化处理+移动式资源化处理，无资源化处理条件的填埋消纳</w:t>
            </w:r>
          </w:p>
        </w:tc>
      </w:tr>
      <w:tr w14:paraId="5CDF0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5F1631">
            <w:pPr>
              <w:jc w:val="center"/>
              <w:rPr>
                <w:rFonts w:hint="eastAsia" w:ascii="仿宋" w:hAnsi="仿宋" w:eastAsia="仿宋" w:cs="仿宋"/>
                <w:b w:val="0"/>
                <w:i w:val="0"/>
                <w:iCs w:val="0"/>
                <w:color w:val="000000"/>
                <w:kern w:val="0"/>
                <w:sz w:val="24"/>
                <w:szCs w:val="24"/>
                <w:u w:val="none"/>
                <w:lang w:val="en-US" w:eastAsia="zh-CN" w:bidi="ar"/>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406FC5">
            <w:pPr>
              <w:jc w:val="center"/>
              <w:rPr>
                <w:rFonts w:hint="eastAsia" w:ascii="仿宋" w:hAnsi="仿宋" w:eastAsia="仿宋" w:cs="仿宋"/>
                <w:b w:val="0"/>
                <w:i w:val="0"/>
                <w:iCs w:val="0"/>
                <w:color w:val="000000"/>
                <w:kern w:val="0"/>
                <w:sz w:val="24"/>
                <w:szCs w:val="24"/>
                <w:u w:val="none"/>
                <w:lang w:val="en-US" w:eastAsia="zh-CN" w:bidi="ar"/>
              </w:rPr>
            </w:pPr>
          </w:p>
        </w:tc>
        <w:tc>
          <w:tcPr>
            <w:tcW w:w="325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5E0B24">
            <w:pPr>
              <w:jc w:val="center"/>
              <w:rPr>
                <w:rFonts w:hint="eastAsia" w:ascii="仿宋" w:hAnsi="仿宋" w:eastAsia="仿宋" w:cs="仿宋"/>
                <w:b w:val="0"/>
                <w:i w:val="0"/>
                <w:iCs w:val="0"/>
                <w:color w:val="000000"/>
                <w:kern w:val="0"/>
                <w:sz w:val="24"/>
                <w:szCs w:val="24"/>
                <w:u w:val="none"/>
                <w:lang w:val="en-US" w:eastAsia="zh-CN" w:bidi="ar"/>
              </w:rPr>
            </w:pPr>
          </w:p>
        </w:tc>
        <w:tc>
          <w:tcPr>
            <w:tcW w:w="28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FF4AF7">
            <w:pPr>
              <w:jc w:val="center"/>
              <w:rPr>
                <w:rFonts w:hint="eastAsia" w:ascii="仿宋" w:hAnsi="仿宋" w:eastAsia="仿宋" w:cs="仿宋"/>
                <w:b w:val="0"/>
                <w:i w:val="0"/>
                <w:iCs w:val="0"/>
                <w:color w:val="000000"/>
                <w:kern w:val="0"/>
                <w:sz w:val="24"/>
                <w:szCs w:val="24"/>
                <w:u w:val="none"/>
                <w:lang w:val="en-US" w:eastAsia="zh-CN" w:bidi="ar"/>
              </w:rPr>
            </w:pPr>
          </w:p>
        </w:tc>
      </w:tr>
      <w:tr w14:paraId="17866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5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B8B4E82">
            <w:pPr>
              <w:keepNext w:val="0"/>
              <w:keepLines w:val="0"/>
              <w:widowControl/>
              <w:suppressLineNumbers w:val="0"/>
              <w:jc w:val="center"/>
              <w:textAlignment w:val="top"/>
              <w:rPr>
                <w:rFonts w:hint="eastAsia" w:ascii="仿宋" w:hAnsi="仿宋" w:eastAsia="仿宋" w:cs="仿宋"/>
                <w:b w:val="0"/>
                <w:i w:val="0"/>
                <w:iCs w:val="0"/>
                <w:color w:val="000000"/>
                <w:kern w:val="0"/>
                <w:sz w:val="24"/>
                <w:szCs w:val="24"/>
                <w:u w:val="none"/>
                <w:lang w:val="en-US" w:eastAsia="zh-CN" w:bidi="ar"/>
              </w:rPr>
            </w:pPr>
            <w:r>
              <w:rPr>
                <w:rFonts w:hint="eastAsia" w:ascii="仿宋" w:hAnsi="仿宋" w:eastAsia="仿宋" w:cs="仿宋"/>
                <w:b w:val="0"/>
                <w:i w:val="0"/>
                <w:iCs w:val="0"/>
                <w:color w:val="000000"/>
                <w:kern w:val="0"/>
                <w:sz w:val="24"/>
                <w:szCs w:val="24"/>
                <w:u w:val="none"/>
                <w:lang w:val="en-US" w:eastAsia="zh-CN" w:bidi="ar"/>
              </w:rPr>
              <w:t>2</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ABEE3EA">
            <w:pPr>
              <w:keepNext w:val="0"/>
              <w:keepLines w:val="0"/>
              <w:widowControl/>
              <w:suppressLineNumbers w:val="0"/>
              <w:jc w:val="center"/>
              <w:textAlignment w:val="top"/>
              <w:rPr>
                <w:rFonts w:hint="eastAsia" w:ascii="仿宋" w:hAnsi="仿宋" w:eastAsia="仿宋" w:cs="仿宋"/>
                <w:b w:val="0"/>
                <w:i w:val="0"/>
                <w:iCs w:val="0"/>
                <w:color w:val="000000"/>
                <w:kern w:val="0"/>
                <w:sz w:val="24"/>
                <w:szCs w:val="24"/>
                <w:u w:val="none"/>
                <w:lang w:val="en-US" w:eastAsia="zh-CN" w:bidi="ar"/>
              </w:rPr>
            </w:pPr>
            <w:r>
              <w:rPr>
                <w:rFonts w:hint="eastAsia" w:ascii="仿宋" w:hAnsi="仿宋" w:eastAsia="仿宋" w:cs="仿宋"/>
                <w:b w:val="0"/>
                <w:i w:val="0"/>
                <w:iCs w:val="0"/>
                <w:color w:val="000000"/>
                <w:kern w:val="0"/>
                <w:sz w:val="24"/>
                <w:szCs w:val="24"/>
                <w:u w:val="none"/>
                <w:lang w:val="en-US" w:eastAsia="zh-CN" w:bidi="ar"/>
              </w:rPr>
              <w:t>拆除垃圾</w:t>
            </w:r>
          </w:p>
        </w:tc>
        <w:tc>
          <w:tcPr>
            <w:tcW w:w="325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2B4BBD5">
            <w:pPr>
              <w:keepNext w:val="0"/>
              <w:keepLines w:val="0"/>
              <w:widowControl/>
              <w:suppressLineNumbers w:val="0"/>
              <w:jc w:val="center"/>
              <w:textAlignment w:val="top"/>
              <w:rPr>
                <w:rFonts w:hint="eastAsia" w:ascii="仿宋" w:hAnsi="仿宋" w:eastAsia="仿宋" w:cs="仿宋"/>
                <w:b w:val="0"/>
                <w:i w:val="0"/>
                <w:iCs w:val="0"/>
                <w:color w:val="000000"/>
                <w:kern w:val="0"/>
                <w:sz w:val="24"/>
                <w:szCs w:val="24"/>
                <w:u w:val="none"/>
                <w:lang w:val="en-US" w:eastAsia="zh-CN" w:bidi="ar"/>
              </w:rPr>
            </w:pPr>
            <w:r>
              <w:rPr>
                <w:rFonts w:hint="eastAsia" w:ascii="仿宋" w:hAnsi="仿宋" w:eastAsia="仿宋" w:cs="仿宋"/>
                <w:b w:val="0"/>
                <w:i w:val="0"/>
                <w:iCs w:val="0"/>
                <w:color w:val="000000"/>
                <w:kern w:val="0"/>
                <w:sz w:val="24"/>
                <w:szCs w:val="24"/>
                <w:u w:val="none"/>
                <w:lang w:val="en-US" w:eastAsia="zh-CN" w:bidi="ar"/>
              </w:rPr>
              <w:t>资源化处理设施、原位资源化处理、临时消纳场</w:t>
            </w:r>
          </w:p>
        </w:tc>
        <w:tc>
          <w:tcPr>
            <w:tcW w:w="281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0E7AAAD">
            <w:pPr>
              <w:keepNext w:val="0"/>
              <w:keepLines w:val="0"/>
              <w:widowControl/>
              <w:suppressLineNumbers w:val="0"/>
              <w:jc w:val="center"/>
              <w:textAlignment w:val="top"/>
              <w:rPr>
                <w:rFonts w:hint="eastAsia" w:ascii="仿宋" w:hAnsi="仿宋" w:eastAsia="仿宋" w:cs="仿宋"/>
                <w:b w:val="0"/>
                <w:i w:val="0"/>
                <w:iCs w:val="0"/>
                <w:color w:val="000000"/>
                <w:kern w:val="0"/>
                <w:sz w:val="24"/>
                <w:szCs w:val="24"/>
                <w:u w:val="none"/>
                <w:lang w:val="en-US" w:eastAsia="zh-CN" w:bidi="ar"/>
              </w:rPr>
            </w:pPr>
            <w:r>
              <w:rPr>
                <w:rFonts w:hint="eastAsia" w:ascii="仿宋" w:hAnsi="仿宋" w:eastAsia="仿宋" w:cs="仿宋"/>
                <w:b w:val="0"/>
                <w:i w:val="0"/>
                <w:iCs w:val="0"/>
                <w:color w:val="000000"/>
                <w:kern w:val="0"/>
                <w:sz w:val="24"/>
                <w:szCs w:val="24"/>
                <w:u w:val="none"/>
                <w:lang w:val="en-US" w:eastAsia="zh-CN" w:bidi="ar"/>
              </w:rPr>
              <w:t>固定式资源化处理+移动式资源化处理，无资源化处理条件的填埋消纳</w:t>
            </w:r>
          </w:p>
        </w:tc>
      </w:tr>
      <w:tr w14:paraId="66414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3CF3C7">
            <w:pPr>
              <w:jc w:val="center"/>
              <w:rPr>
                <w:rFonts w:hint="eastAsia" w:ascii="仿宋" w:hAnsi="仿宋" w:eastAsia="仿宋" w:cs="仿宋"/>
                <w:b w:val="0"/>
                <w:i w:val="0"/>
                <w:iCs w:val="0"/>
                <w:color w:val="000000"/>
                <w:kern w:val="0"/>
                <w:sz w:val="24"/>
                <w:szCs w:val="24"/>
                <w:u w:val="none"/>
                <w:lang w:val="en-US" w:eastAsia="zh-CN" w:bidi="ar"/>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719C03">
            <w:pPr>
              <w:jc w:val="center"/>
              <w:rPr>
                <w:rFonts w:hint="eastAsia" w:ascii="仿宋" w:hAnsi="仿宋" w:eastAsia="仿宋" w:cs="仿宋"/>
                <w:b w:val="0"/>
                <w:i w:val="0"/>
                <w:iCs w:val="0"/>
                <w:color w:val="000000"/>
                <w:kern w:val="0"/>
                <w:sz w:val="24"/>
                <w:szCs w:val="24"/>
                <w:u w:val="none"/>
                <w:lang w:val="en-US" w:eastAsia="zh-CN" w:bidi="ar"/>
              </w:rPr>
            </w:pPr>
          </w:p>
        </w:tc>
        <w:tc>
          <w:tcPr>
            <w:tcW w:w="325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25090B">
            <w:pPr>
              <w:jc w:val="center"/>
              <w:rPr>
                <w:rFonts w:hint="eastAsia" w:ascii="仿宋" w:hAnsi="仿宋" w:eastAsia="仿宋" w:cs="仿宋"/>
                <w:b w:val="0"/>
                <w:i w:val="0"/>
                <w:iCs w:val="0"/>
                <w:color w:val="000000"/>
                <w:kern w:val="0"/>
                <w:sz w:val="24"/>
                <w:szCs w:val="24"/>
                <w:u w:val="none"/>
                <w:lang w:val="en-US" w:eastAsia="zh-CN" w:bidi="ar"/>
              </w:rPr>
            </w:pPr>
          </w:p>
        </w:tc>
        <w:tc>
          <w:tcPr>
            <w:tcW w:w="28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544D45">
            <w:pPr>
              <w:jc w:val="center"/>
              <w:rPr>
                <w:rFonts w:hint="eastAsia" w:ascii="仿宋" w:hAnsi="仿宋" w:eastAsia="仿宋" w:cs="仿宋"/>
                <w:b w:val="0"/>
                <w:i w:val="0"/>
                <w:iCs w:val="0"/>
                <w:color w:val="000000"/>
                <w:kern w:val="0"/>
                <w:sz w:val="24"/>
                <w:szCs w:val="24"/>
                <w:u w:val="none"/>
                <w:lang w:val="en-US" w:eastAsia="zh-CN" w:bidi="ar"/>
              </w:rPr>
            </w:pPr>
          </w:p>
        </w:tc>
      </w:tr>
      <w:tr w14:paraId="6D8E0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5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81B1F5B">
            <w:pPr>
              <w:keepNext w:val="0"/>
              <w:keepLines w:val="0"/>
              <w:widowControl/>
              <w:suppressLineNumbers w:val="0"/>
              <w:jc w:val="center"/>
              <w:textAlignment w:val="top"/>
              <w:rPr>
                <w:rFonts w:hint="eastAsia" w:ascii="仿宋" w:hAnsi="仿宋" w:eastAsia="仿宋" w:cs="仿宋"/>
                <w:b w:val="0"/>
                <w:i w:val="0"/>
                <w:iCs w:val="0"/>
                <w:color w:val="000000"/>
                <w:kern w:val="0"/>
                <w:sz w:val="24"/>
                <w:szCs w:val="24"/>
                <w:u w:val="none"/>
                <w:lang w:val="en-US" w:eastAsia="zh-CN" w:bidi="ar"/>
              </w:rPr>
            </w:pPr>
            <w:r>
              <w:rPr>
                <w:rFonts w:hint="eastAsia" w:ascii="仿宋" w:hAnsi="仿宋" w:eastAsia="仿宋" w:cs="仿宋"/>
                <w:b w:val="0"/>
                <w:i w:val="0"/>
                <w:iCs w:val="0"/>
                <w:color w:val="000000"/>
                <w:kern w:val="0"/>
                <w:sz w:val="24"/>
                <w:szCs w:val="24"/>
                <w:u w:val="none"/>
                <w:lang w:val="en-US" w:eastAsia="zh-CN" w:bidi="ar"/>
              </w:rPr>
              <w:t>3</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0D5CC10">
            <w:pPr>
              <w:keepNext w:val="0"/>
              <w:keepLines w:val="0"/>
              <w:widowControl/>
              <w:suppressLineNumbers w:val="0"/>
              <w:jc w:val="center"/>
              <w:textAlignment w:val="top"/>
              <w:rPr>
                <w:rFonts w:hint="eastAsia" w:ascii="仿宋" w:hAnsi="仿宋" w:eastAsia="仿宋" w:cs="仿宋"/>
                <w:b w:val="0"/>
                <w:i w:val="0"/>
                <w:iCs w:val="0"/>
                <w:color w:val="000000"/>
                <w:kern w:val="0"/>
                <w:sz w:val="24"/>
                <w:szCs w:val="24"/>
                <w:u w:val="none"/>
                <w:lang w:val="en-US" w:eastAsia="zh-CN" w:bidi="ar"/>
              </w:rPr>
            </w:pPr>
            <w:r>
              <w:rPr>
                <w:rFonts w:hint="eastAsia" w:ascii="仿宋" w:hAnsi="仿宋" w:eastAsia="仿宋" w:cs="仿宋"/>
                <w:b w:val="0"/>
                <w:i w:val="0"/>
                <w:iCs w:val="0"/>
                <w:color w:val="000000"/>
                <w:kern w:val="0"/>
                <w:sz w:val="24"/>
                <w:szCs w:val="24"/>
                <w:u w:val="none"/>
                <w:lang w:val="en-US" w:eastAsia="zh-CN" w:bidi="ar"/>
              </w:rPr>
              <w:t>装修垃圾</w:t>
            </w:r>
          </w:p>
        </w:tc>
        <w:tc>
          <w:tcPr>
            <w:tcW w:w="325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FA8AC88">
            <w:pPr>
              <w:keepNext w:val="0"/>
              <w:keepLines w:val="0"/>
              <w:widowControl/>
              <w:suppressLineNumbers w:val="0"/>
              <w:jc w:val="center"/>
              <w:textAlignment w:val="top"/>
              <w:rPr>
                <w:rFonts w:hint="eastAsia" w:ascii="仿宋" w:hAnsi="仿宋" w:eastAsia="仿宋" w:cs="仿宋"/>
                <w:b w:val="0"/>
                <w:i w:val="0"/>
                <w:iCs w:val="0"/>
                <w:color w:val="000000"/>
                <w:kern w:val="0"/>
                <w:sz w:val="24"/>
                <w:szCs w:val="24"/>
                <w:u w:val="none"/>
                <w:lang w:val="en-US" w:eastAsia="zh-CN" w:bidi="ar"/>
              </w:rPr>
            </w:pPr>
            <w:r>
              <w:rPr>
                <w:rFonts w:hint="eastAsia" w:ascii="仿宋" w:hAnsi="仿宋" w:eastAsia="仿宋" w:cs="仿宋"/>
                <w:b w:val="0"/>
                <w:i w:val="0"/>
                <w:iCs w:val="0"/>
                <w:color w:val="000000"/>
                <w:kern w:val="0"/>
                <w:sz w:val="24"/>
                <w:szCs w:val="24"/>
                <w:u w:val="none"/>
                <w:lang w:val="en-US" w:eastAsia="zh-CN" w:bidi="ar"/>
              </w:rPr>
              <w:t>临时消纳场、资源化处理设施</w:t>
            </w:r>
          </w:p>
        </w:tc>
        <w:tc>
          <w:tcPr>
            <w:tcW w:w="281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DDB7E46">
            <w:pPr>
              <w:keepNext w:val="0"/>
              <w:keepLines w:val="0"/>
              <w:widowControl/>
              <w:suppressLineNumbers w:val="0"/>
              <w:jc w:val="center"/>
              <w:textAlignment w:val="top"/>
              <w:rPr>
                <w:rFonts w:hint="eastAsia" w:ascii="仿宋" w:hAnsi="仿宋" w:eastAsia="仿宋" w:cs="仿宋"/>
                <w:b w:val="0"/>
                <w:i w:val="0"/>
                <w:iCs w:val="0"/>
                <w:color w:val="000000"/>
                <w:kern w:val="0"/>
                <w:sz w:val="24"/>
                <w:szCs w:val="24"/>
                <w:u w:val="none"/>
                <w:lang w:val="en-US" w:eastAsia="zh-CN" w:bidi="ar"/>
              </w:rPr>
            </w:pPr>
            <w:r>
              <w:rPr>
                <w:rFonts w:hint="eastAsia" w:ascii="仿宋" w:hAnsi="仿宋" w:eastAsia="仿宋" w:cs="仿宋"/>
                <w:b w:val="0"/>
                <w:i w:val="0"/>
                <w:iCs w:val="0"/>
                <w:color w:val="000000"/>
                <w:kern w:val="0"/>
                <w:sz w:val="24"/>
                <w:szCs w:val="24"/>
                <w:u w:val="none"/>
                <w:lang w:val="en-US" w:eastAsia="zh-CN" w:bidi="ar"/>
              </w:rPr>
              <w:t>填埋消纳+资源化处理</w:t>
            </w:r>
          </w:p>
        </w:tc>
      </w:tr>
      <w:tr w14:paraId="4283F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A66BDF">
            <w:pPr>
              <w:jc w:val="center"/>
              <w:rPr>
                <w:rFonts w:hint="eastAsia" w:ascii="仿宋" w:hAnsi="仿宋" w:eastAsia="仿宋" w:cs="仿宋"/>
                <w:b w:val="0"/>
                <w:i w:val="0"/>
                <w:iCs w:val="0"/>
                <w:color w:val="000000"/>
                <w:kern w:val="0"/>
                <w:sz w:val="24"/>
                <w:szCs w:val="24"/>
                <w:u w:val="none"/>
                <w:lang w:val="en-US" w:eastAsia="zh-CN" w:bidi="ar"/>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8088A3">
            <w:pPr>
              <w:jc w:val="center"/>
              <w:rPr>
                <w:rFonts w:hint="eastAsia" w:ascii="仿宋" w:hAnsi="仿宋" w:eastAsia="仿宋" w:cs="仿宋"/>
                <w:b w:val="0"/>
                <w:i w:val="0"/>
                <w:iCs w:val="0"/>
                <w:color w:val="000000"/>
                <w:kern w:val="0"/>
                <w:sz w:val="24"/>
                <w:szCs w:val="24"/>
                <w:u w:val="none"/>
                <w:lang w:val="en-US" w:eastAsia="zh-CN" w:bidi="ar"/>
              </w:rPr>
            </w:pPr>
          </w:p>
        </w:tc>
        <w:tc>
          <w:tcPr>
            <w:tcW w:w="325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1B186D">
            <w:pPr>
              <w:jc w:val="center"/>
              <w:rPr>
                <w:rFonts w:hint="eastAsia" w:ascii="仿宋" w:hAnsi="仿宋" w:eastAsia="仿宋" w:cs="仿宋"/>
                <w:b w:val="0"/>
                <w:i w:val="0"/>
                <w:iCs w:val="0"/>
                <w:color w:val="000000"/>
                <w:kern w:val="0"/>
                <w:sz w:val="24"/>
                <w:szCs w:val="24"/>
                <w:u w:val="none"/>
                <w:lang w:val="en-US" w:eastAsia="zh-CN" w:bidi="ar"/>
              </w:rPr>
            </w:pPr>
          </w:p>
        </w:tc>
        <w:tc>
          <w:tcPr>
            <w:tcW w:w="28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13B340">
            <w:pPr>
              <w:jc w:val="center"/>
              <w:rPr>
                <w:rFonts w:hint="eastAsia" w:ascii="仿宋" w:hAnsi="仿宋" w:eastAsia="仿宋" w:cs="仿宋"/>
                <w:b w:val="0"/>
                <w:i w:val="0"/>
                <w:iCs w:val="0"/>
                <w:color w:val="000000"/>
                <w:kern w:val="0"/>
                <w:sz w:val="24"/>
                <w:szCs w:val="24"/>
                <w:u w:val="none"/>
                <w:lang w:val="en-US" w:eastAsia="zh-CN" w:bidi="ar"/>
              </w:rPr>
            </w:pPr>
          </w:p>
        </w:tc>
      </w:tr>
      <w:tr w14:paraId="252DF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5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9DABED8">
            <w:pPr>
              <w:keepNext w:val="0"/>
              <w:keepLines w:val="0"/>
              <w:widowControl/>
              <w:suppressLineNumbers w:val="0"/>
              <w:jc w:val="center"/>
              <w:textAlignment w:val="top"/>
              <w:rPr>
                <w:rFonts w:hint="eastAsia" w:ascii="仿宋" w:hAnsi="仿宋" w:eastAsia="仿宋" w:cs="仿宋"/>
                <w:b w:val="0"/>
                <w:i w:val="0"/>
                <w:iCs w:val="0"/>
                <w:color w:val="000000"/>
                <w:kern w:val="0"/>
                <w:sz w:val="24"/>
                <w:szCs w:val="24"/>
                <w:u w:val="none"/>
                <w:lang w:val="en-US" w:eastAsia="zh-CN" w:bidi="ar"/>
              </w:rPr>
            </w:pPr>
            <w:r>
              <w:rPr>
                <w:rFonts w:hint="eastAsia" w:ascii="仿宋" w:hAnsi="仿宋" w:eastAsia="仿宋" w:cs="仿宋"/>
                <w:b w:val="0"/>
                <w:i w:val="0"/>
                <w:iCs w:val="0"/>
                <w:color w:val="000000"/>
                <w:kern w:val="0"/>
                <w:sz w:val="24"/>
                <w:szCs w:val="24"/>
                <w:u w:val="none"/>
                <w:lang w:val="en-US" w:eastAsia="zh-CN" w:bidi="ar"/>
              </w:rPr>
              <w:t>4</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C283DAD">
            <w:pPr>
              <w:keepNext w:val="0"/>
              <w:keepLines w:val="0"/>
              <w:widowControl/>
              <w:suppressLineNumbers w:val="0"/>
              <w:jc w:val="center"/>
              <w:textAlignment w:val="top"/>
              <w:rPr>
                <w:rFonts w:hint="eastAsia" w:ascii="仿宋" w:hAnsi="仿宋" w:eastAsia="仿宋" w:cs="仿宋"/>
                <w:b w:val="0"/>
                <w:i w:val="0"/>
                <w:iCs w:val="0"/>
                <w:color w:val="000000"/>
                <w:kern w:val="0"/>
                <w:sz w:val="24"/>
                <w:szCs w:val="24"/>
                <w:u w:val="none"/>
                <w:lang w:val="en-US" w:eastAsia="zh-CN" w:bidi="ar"/>
              </w:rPr>
            </w:pPr>
            <w:r>
              <w:rPr>
                <w:rFonts w:hint="eastAsia" w:ascii="仿宋" w:hAnsi="仿宋" w:eastAsia="仿宋" w:cs="仿宋"/>
                <w:b w:val="0"/>
                <w:i w:val="0"/>
                <w:iCs w:val="0"/>
                <w:color w:val="000000"/>
                <w:kern w:val="0"/>
                <w:sz w:val="24"/>
                <w:szCs w:val="24"/>
                <w:u w:val="none"/>
                <w:lang w:val="en-US" w:eastAsia="zh-CN" w:bidi="ar"/>
              </w:rPr>
              <w:t>工程渣土</w:t>
            </w:r>
          </w:p>
        </w:tc>
        <w:tc>
          <w:tcPr>
            <w:tcW w:w="325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6B76F2D">
            <w:pPr>
              <w:keepNext w:val="0"/>
              <w:keepLines w:val="0"/>
              <w:widowControl/>
              <w:suppressLineNumbers w:val="0"/>
              <w:jc w:val="center"/>
              <w:textAlignment w:val="top"/>
              <w:rPr>
                <w:rFonts w:hint="eastAsia" w:ascii="仿宋" w:hAnsi="仿宋" w:eastAsia="仿宋" w:cs="仿宋"/>
                <w:b w:val="0"/>
                <w:i w:val="0"/>
                <w:iCs w:val="0"/>
                <w:color w:val="000000"/>
                <w:kern w:val="0"/>
                <w:sz w:val="24"/>
                <w:szCs w:val="24"/>
                <w:u w:val="none"/>
                <w:lang w:val="en-US" w:eastAsia="zh-CN" w:bidi="ar"/>
              </w:rPr>
            </w:pPr>
            <w:r>
              <w:rPr>
                <w:rFonts w:hint="eastAsia" w:ascii="仿宋" w:hAnsi="仿宋" w:eastAsia="仿宋" w:cs="仿宋"/>
                <w:b w:val="0"/>
                <w:i w:val="0"/>
                <w:iCs w:val="0"/>
                <w:color w:val="000000"/>
                <w:kern w:val="0"/>
                <w:sz w:val="24"/>
                <w:szCs w:val="24"/>
                <w:u w:val="none"/>
                <w:lang w:val="en-US" w:eastAsia="zh-CN" w:bidi="ar"/>
              </w:rPr>
              <w:t>可控自行调配、临时消纳场</w:t>
            </w:r>
          </w:p>
        </w:tc>
        <w:tc>
          <w:tcPr>
            <w:tcW w:w="281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8D63E3D">
            <w:pPr>
              <w:keepNext w:val="0"/>
              <w:keepLines w:val="0"/>
              <w:widowControl/>
              <w:suppressLineNumbers w:val="0"/>
              <w:jc w:val="center"/>
              <w:textAlignment w:val="top"/>
              <w:rPr>
                <w:rFonts w:hint="eastAsia" w:ascii="仿宋" w:hAnsi="仿宋" w:eastAsia="仿宋" w:cs="仿宋"/>
                <w:b w:val="0"/>
                <w:i w:val="0"/>
                <w:iCs w:val="0"/>
                <w:color w:val="000000"/>
                <w:kern w:val="0"/>
                <w:sz w:val="24"/>
                <w:szCs w:val="24"/>
                <w:u w:val="none"/>
                <w:lang w:val="en-US" w:eastAsia="zh-CN" w:bidi="ar"/>
              </w:rPr>
            </w:pPr>
            <w:r>
              <w:rPr>
                <w:rFonts w:hint="eastAsia" w:ascii="仿宋" w:hAnsi="仿宋" w:eastAsia="仿宋" w:cs="仿宋"/>
                <w:b w:val="0"/>
                <w:i w:val="0"/>
                <w:iCs w:val="0"/>
                <w:color w:val="000000"/>
                <w:kern w:val="0"/>
                <w:sz w:val="24"/>
                <w:szCs w:val="24"/>
                <w:u w:val="none"/>
                <w:lang w:val="en-US" w:eastAsia="zh-CN" w:bidi="ar"/>
              </w:rPr>
              <w:t>综合利用+填埋消纳</w:t>
            </w:r>
          </w:p>
        </w:tc>
      </w:tr>
      <w:tr w14:paraId="7973B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329733">
            <w:pPr>
              <w:jc w:val="center"/>
              <w:rPr>
                <w:rFonts w:hint="eastAsia" w:ascii="仿宋" w:hAnsi="仿宋" w:eastAsia="仿宋" w:cs="仿宋"/>
                <w:b w:val="0"/>
                <w:i w:val="0"/>
                <w:iCs w:val="0"/>
                <w:color w:val="000000"/>
                <w:kern w:val="0"/>
                <w:sz w:val="24"/>
                <w:szCs w:val="24"/>
                <w:u w:val="none"/>
                <w:lang w:val="en-US" w:eastAsia="zh-CN" w:bidi="ar"/>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3BBD06">
            <w:pPr>
              <w:jc w:val="center"/>
              <w:rPr>
                <w:rFonts w:hint="eastAsia" w:ascii="仿宋" w:hAnsi="仿宋" w:eastAsia="仿宋" w:cs="仿宋"/>
                <w:b w:val="0"/>
                <w:i w:val="0"/>
                <w:iCs w:val="0"/>
                <w:color w:val="000000"/>
                <w:kern w:val="0"/>
                <w:sz w:val="24"/>
                <w:szCs w:val="24"/>
                <w:u w:val="none"/>
                <w:lang w:val="en-US" w:eastAsia="zh-CN" w:bidi="ar"/>
              </w:rPr>
            </w:pPr>
          </w:p>
        </w:tc>
        <w:tc>
          <w:tcPr>
            <w:tcW w:w="325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DC21A9">
            <w:pPr>
              <w:jc w:val="center"/>
              <w:rPr>
                <w:rFonts w:hint="eastAsia" w:ascii="仿宋" w:hAnsi="仿宋" w:eastAsia="仿宋" w:cs="仿宋"/>
                <w:b w:val="0"/>
                <w:i w:val="0"/>
                <w:iCs w:val="0"/>
                <w:color w:val="000000"/>
                <w:kern w:val="0"/>
                <w:sz w:val="24"/>
                <w:szCs w:val="24"/>
                <w:u w:val="none"/>
                <w:lang w:val="en-US" w:eastAsia="zh-CN" w:bidi="ar"/>
              </w:rPr>
            </w:pPr>
          </w:p>
        </w:tc>
        <w:tc>
          <w:tcPr>
            <w:tcW w:w="28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63C084">
            <w:pPr>
              <w:jc w:val="center"/>
              <w:rPr>
                <w:rFonts w:hint="eastAsia" w:ascii="仿宋" w:hAnsi="仿宋" w:eastAsia="仿宋" w:cs="仿宋"/>
                <w:b w:val="0"/>
                <w:i w:val="0"/>
                <w:iCs w:val="0"/>
                <w:color w:val="000000"/>
                <w:kern w:val="0"/>
                <w:sz w:val="24"/>
                <w:szCs w:val="24"/>
                <w:u w:val="none"/>
                <w:lang w:val="en-US" w:eastAsia="zh-CN" w:bidi="ar"/>
              </w:rPr>
            </w:pPr>
          </w:p>
        </w:tc>
      </w:tr>
      <w:tr w14:paraId="2EFA3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5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BB6DE44">
            <w:pPr>
              <w:keepNext w:val="0"/>
              <w:keepLines w:val="0"/>
              <w:widowControl/>
              <w:suppressLineNumbers w:val="0"/>
              <w:jc w:val="center"/>
              <w:textAlignment w:val="top"/>
              <w:rPr>
                <w:rFonts w:hint="eastAsia" w:ascii="仿宋" w:hAnsi="仿宋" w:eastAsia="仿宋" w:cs="仿宋"/>
                <w:b w:val="0"/>
                <w:i w:val="0"/>
                <w:iCs w:val="0"/>
                <w:color w:val="000000"/>
                <w:kern w:val="0"/>
                <w:sz w:val="24"/>
                <w:szCs w:val="24"/>
                <w:u w:val="none"/>
                <w:lang w:val="en-US" w:eastAsia="zh-CN" w:bidi="ar"/>
              </w:rPr>
            </w:pPr>
            <w:r>
              <w:rPr>
                <w:rFonts w:hint="eastAsia" w:ascii="仿宋" w:hAnsi="仿宋" w:eastAsia="仿宋" w:cs="仿宋"/>
                <w:b w:val="0"/>
                <w:i w:val="0"/>
                <w:iCs w:val="0"/>
                <w:color w:val="000000"/>
                <w:kern w:val="0"/>
                <w:sz w:val="24"/>
                <w:szCs w:val="24"/>
                <w:u w:val="none"/>
                <w:lang w:val="en-US" w:eastAsia="zh-CN" w:bidi="ar"/>
              </w:rPr>
              <w:t>5</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EC76B08">
            <w:pPr>
              <w:keepNext w:val="0"/>
              <w:keepLines w:val="0"/>
              <w:widowControl/>
              <w:suppressLineNumbers w:val="0"/>
              <w:jc w:val="center"/>
              <w:textAlignment w:val="top"/>
              <w:rPr>
                <w:rFonts w:hint="eastAsia" w:ascii="仿宋" w:hAnsi="仿宋" w:eastAsia="仿宋" w:cs="仿宋"/>
                <w:b w:val="0"/>
                <w:i w:val="0"/>
                <w:iCs w:val="0"/>
                <w:color w:val="000000"/>
                <w:kern w:val="0"/>
                <w:sz w:val="24"/>
                <w:szCs w:val="24"/>
                <w:u w:val="none"/>
                <w:lang w:val="en-US" w:eastAsia="zh-CN" w:bidi="ar"/>
              </w:rPr>
            </w:pPr>
            <w:r>
              <w:rPr>
                <w:rFonts w:hint="eastAsia" w:ascii="仿宋" w:hAnsi="仿宋" w:eastAsia="仿宋" w:cs="仿宋"/>
                <w:b w:val="0"/>
                <w:i w:val="0"/>
                <w:iCs w:val="0"/>
                <w:color w:val="000000"/>
                <w:kern w:val="0"/>
                <w:sz w:val="24"/>
                <w:szCs w:val="24"/>
                <w:u w:val="none"/>
                <w:lang w:val="en-US" w:eastAsia="zh-CN" w:bidi="ar"/>
              </w:rPr>
              <w:t>工程泥浆</w:t>
            </w:r>
          </w:p>
        </w:tc>
        <w:tc>
          <w:tcPr>
            <w:tcW w:w="325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2034F38">
            <w:pPr>
              <w:keepNext w:val="0"/>
              <w:keepLines w:val="0"/>
              <w:widowControl/>
              <w:suppressLineNumbers w:val="0"/>
              <w:jc w:val="center"/>
              <w:textAlignment w:val="top"/>
              <w:rPr>
                <w:rFonts w:hint="eastAsia" w:ascii="仿宋" w:hAnsi="仿宋" w:eastAsia="仿宋" w:cs="仿宋"/>
                <w:b w:val="0"/>
                <w:i w:val="0"/>
                <w:iCs w:val="0"/>
                <w:color w:val="000000"/>
                <w:kern w:val="0"/>
                <w:sz w:val="24"/>
                <w:szCs w:val="24"/>
                <w:u w:val="none"/>
                <w:lang w:val="en-US" w:eastAsia="zh-CN" w:bidi="ar"/>
              </w:rPr>
            </w:pPr>
            <w:r>
              <w:rPr>
                <w:rFonts w:hint="eastAsia" w:ascii="仿宋" w:hAnsi="仿宋" w:eastAsia="仿宋" w:cs="仿宋"/>
                <w:b w:val="0"/>
                <w:i w:val="0"/>
                <w:iCs w:val="0"/>
                <w:color w:val="000000"/>
                <w:kern w:val="0"/>
                <w:sz w:val="24"/>
                <w:szCs w:val="24"/>
                <w:u w:val="none"/>
                <w:lang w:val="en-US" w:eastAsia="zh-CN" w:bidi="ar"/>
              </w:rPr>
              <w:t>临时消纳场、原位处理并综合利用</w:t>
            </w:r>
          </w:p>
        </w:tc>
        <w:tc>
          <w:tcPr>
            <w:tcW w:w="281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CD41FEE">
            <w:pPr>
              <w:keepNext w:val="0"/>
              <w:keepLines w:val="0"/>
              <w:widowControl/>
              <w:suppressLineNumbers w:val="0"/>
              <w:jc w:val="center"/>
              <w:textAlignment w:val="top"/>
              <w:rPr>
                <w:rFonts w:hint="eastAsia" w:ascii="仿宋" w:hAnsi="仿宋" w:eastAsia="仿宋" w:cs="仿宋"/>
                <w:b w:val="0"/>
                <w:i w:val="0"/>
                <w:iCs w:val="0"/>
                <w:color w:val="000000"/>
                <w:kern w:val="0"/>
                <w:sz w:val="24"/>
                <w:szCs w:val="24"/>
                <w:u w:val="none"/>
                <w:lang w:val="en-US" w:eastAsia="zh-CN" w:bidi="ar"/>
              </w:rPr>
            </w:pPr>
            <w:r>
              <w:rPr>
                <w:rFonts w:hint="eastAsia" w:ascii="仿宋" w:hAnsi="仿宋" w:eastAsia="仿宋" w:cs="仿宋"/>
                <w:b w:val="0"/>
                <w:i w:val="0"/>
                <w:iCs w:val="0"/>
                <w:color w:val="000000"/>
                <w:kern w:val="0"/>
                <w:sz w:val="24"/>
                <w:szCs w:val="24"/>
                <w:u w:val="none"/>
                <w:lang w:val="en-US" w:eastAsia="zh-CN" w:bidi="ar"/>
              </w:rPr>
              <w:t>填埋消纳，有条件的可以进行综合利用</w:t>
            </w:r>
          </w:p>
        </w:tc>
      </w:tr>
      <w:tr w14:paraId="392CF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5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065B13">
            <w:pPr>
              <w:jc w:val="center"/>
              <w:rPr>
                <w:rFonts w:hint="eastAsia" w:ascii="仿宋" w:hAnsi="仿宋" w:eastAsia="仿宋" w:cs="仿宋"/>
                <w:b w:val="0"/>
                <w:i w:val="0"/>
                <w:iCs w:val="0"/>
                <w:color w:val="000000"/>
                <w:sz w:val="24"/>
                <w:szCs w:val="24"/>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04FC9F">
            <w:pPr>
              <w:jc w:val="center"/>
              <w:rPr>
                <w:rFonts w:hint="eastAsia" w:ascii="仿宋" w:hAnsi="仿宋" w:eastAsia="仿宋" w:cs="仿宋"/>
                <w:b w:val="0"/>
                <w:i w:val="0"/>
                <w:iCs w:val="0"/>
                <w:color w:val="000000"/>
                <w:sz w:val="24"/>
                <w:szCs w:val="24"/>
                <w:u w:val="none"/>
              </w:rPr>
            </w:pPr>
          </w:p>
        </w:tc>
        <w:tc>
          <w:tcPr>
            <w:tcW w:w="325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8C858C">
            <w:pPr>
              <w:jc w:val="center"/>
              <w:rPr>
                <w:rFonts w:hint="eastAsia" w:ascii="仿宋" w:hAnsi="仿宋" w:eastAsia="仿宋" w:cs="仿宋"/>
                <w:b w:val="0"/>
                <w:i w:val="0"/>
                <w:iCs w:val="0"/>
                <w:color w:val="000000"/>
                <w:sz w:val="24"/>
                <w:szCs w:val="24"/>
                <w:u w:val="none"/>
              </w:rPr>
            </w:pPr>
          </w:p>
        </w:tc>
        <w:tc>
          <w:tcPr>
            <w:tcW w:w="28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390562">
            <w:pPr>
              <w:jc w:val="center"/>
              <w:rPr>
                <w:rFonts w:hint="eastAsia" w:ascii="仿宋" w:hAnsi="仿宋" w:eastAsia="仿宋" w:cs="仿宋"/>
                <w:b w:val="0"/>
                <w:i w:val="0"/>
                <w:iCs w:val="0"/>
                <w:color w:val="000000"/>
                <w:sz w:val="24"/>
                <w:szCs w:val="24"/>
                <w:u w:val="none"/>
              </w:rPr>
            </w:pPr>
          </w:p>
        </w:tc>
      </w:tr>
    </w:tbl>
    <w:p w14:paraId="491EE53D">
      <w:pPr>
        <w:pStyle w:val="3"/>
        <w:numPr>
          <w:ilvl w:val="0"/>
          <w:numId w:val="9"/>
        </w:numPr>
        <w:bidi w:val="0"/>
        <w:rPr>
          <w:rFonts w:hint="eastAsia"/>
          <w:lang w:val="en-US" w:eastAsia="zh-CN"/>
        </w:rPr>
      </w:pPr>
      <w:bookmarkStart w:id="75" w:name="_Toc4945"/>
      <w:bookmarkStart w:id="76" w:name="_Toc15169"/>
      <w:r>
        <w:rPr>
          <w:rFonts w:hint="eastAsia"/>
          <w:lang w:val="en-US" w:eastAsia="zh-CN"/>
        </w:rPr>
        <w:t>处置策略和方案</w:t>
      </w:r>
      <w:bookmarkEnd w:id="75"/>
      <w:bookmarkEnd w:id="76"/>
    </w:p>
    <w:p w14:paraId="1EDE8A26">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（一）处置策略</w:t>
      </w:r>
    </w:p>
    <w:p w14:paraId="33774B4E">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1、工程垃圾和装修垃圾</w:t>
      </w:r>
    </w:p>
    <w:p w14:paraId="3D0A3E6E">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1）特点分析</w:t>
      </w:r>
    </w:p>
    <w:p w14:paraId="2CF0348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楼盘开发及各类装修等垃圾主要由散落的砂浆和混凝土、剔凿产生的砖石和混凝土碎块、打桩截下的钢筋混凝土桩头、废金属料、竹木材、各种包装材料组成。随着我国城市化进程的发展，装修垃圾产生量增长所带来的环境和社会问题愈发凸显。其作为建筑垃圾重要且较为特殊的部分，组成成分具有不稳定性、复杂性及污染性。根据性质不同，可将装修垃圾概括为四大类：可进行资源回收的非惰性组分、可资源化利用的惰性组分、危险废物及可燃轻物质。</w:t>
      </w:r>
    </w:p>
    <w:p w14:paraId="422CC3A7">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2）综合利用</w:t>
      </w:r>
    </w:p>
    <w:p w14:paraId="48112DDA">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工程垃圾和装修垃圾的组分不稳定且相对复杂，部分含有一定量的有毒有害成分，尤其装修垃圾的资源化利用具有明显公益性，因此需政府给予一定的政策支持，如在资源化利用设施建设用地上给予划拨，将装修垃圾、工程垃圾和拆除垃圾的处置打包进行特许经营，或是将装修垃圾的处置与大件垃圾处置、再生资源的回收等收益高的内容统筹考虑。</w:t>
      </w:r>
    </w:p>
    <w:p w14:paraId="46685AB6">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在资源化利用设施内进行分类分选后，工程垃圾和装修垃圾中的金属、木材、塑料、纸、塑料等可进行回收利用的组分进入再生资源回收渠道；混凝土、沥青、砖瓦、陶瓷等可资源化利用的惰性组分按照拆除垃圾的资源化利用方式进行利用；矿物油、废日光灯管、废油漆渣、废有机溶剂等危险废物进入危废处置渠道；纸片、布料、木屑等可燃轻物质进入生活垃圾处置渠道。</w:t>
      </w:r>
    </w:p>
    <w:p w14:paraId="3D1F7FAA">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2、拆除垃圾</w:t>
      </w:r>
    </w:p>
    <w:p w14:paraId="500EA7B4">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1）特点分析</w:t>
      </w:r>
    </w:p>
    <w:p w14:paraId="0C1FA046">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我国拆除垃圾特点，主要为：</w:t>
      </w:r>
    </w:p>
    <w:p w14:paraId="45DE6975">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由于我国建筑物平均使用寿命只为设计寿命的50%不到，被拆建筑大多为七80年代的旧建筑物，达70%以上；</w:t>
      </w:r>
    </w:p>
    <w:p w14:paraId="73799DFE">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建筑物多以烧结黏土砖和混凝土预制构件组合的混合结构为主，砌筑抹面以水泥砂浆、水泥石灰砂浆为主，在市郊周边仍有极少使用石灰泥浆。</w:t>
      </w:r>
    </w:p>
    <w:p w14:paraId="6704D2EA">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80年代后期建筑，建筑结构、建筑材料均发生了质的变化。除多层砖混合结构外，大量发展了全混凝土现浇框架剪力墙结构、混凝土框架结构、钢结构等。废旧建筑物垃圾现状见图，各组分参考含量见表。</w:t>
      </w:r>
    </w:p>
    <w:p w14:paraId="06FD64F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jc w:val="center"/>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拆除垃圾成分含量（参考）</w:t>
      </w:r>
    </w:p>
    <w:p w14:paraId="5863396F">
      <w:pPr>
        <w:spacing w:line="66" w:lineRule="exact"/>
        <w:rPr>
          <w:rFonts w:hint="eastAsia" w:ascii="宋体" w:hAnsi="宋体" w:eastAsia="宋体" w:cs="宋体"/>
        </w:rPr>
      </w:pPr>
    </w:p>
    <w:tbl>
      <w:tblPr>
        <w:tblStyle w:val="23"/>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98"/>
        <w:gridCol w:w="732"/>
        <w:gridCol w:w="980"/>
        <w:gridCol w:w="799"/>
        <w:gridCol w:w="810"/>
        <w:gridCol w:w="924"/>
        <w:gridCol w:w="855"/>
        <w:gridCol w:w="1305"/>
        <w:gridCol w:w="810"/>
      </w:tblGrid>
      <w:tr w14:paraId="66787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660" w:type="pct"/>
            <w:tcBorders>
              <w:top w:val="single" w:color="000000" w:sz="4" w:space="0"/>
              <w:left w:val="single" w:color="000000" w:sz="4" w:space="0"/>
              <w:bottom w:val="single" w:color="000000" w:sz="4" w:space="0"/>
              <w:right w:val="single" w:color="000000" w:sz="4" w:space="0"/>
              <w:tl2br w:val="nil"/>
            </w:tcBorders>
            <w:shd w:val="clear" w:color="auto" w:fill="FFFFFF"/>
            <w:vAlign w:val="top"/>
          </w:tcPr>
          <w:p w14:paraId="17C85E52">
            <w:pPr>
              <w:pStyle w:val="22"/>
              <w:bidi w:val="0"/>
              <w:rPr>
                <w:rFonts w:hint="eastAsia" w:ascii="宋体" w:hAnsi="宋体" w:eastAsia="宋体" w:cs="宋体"/>
                <w:b w:val="0"/>
              </w:rPr>
            </w:pPr>
            <w:r>
              <w:rPr>
                <w:rFonts w:hint="eastAsia" w:ascii="宋体" w:hAnsi="宋体" w:eastAsia="宋体" w:cs="宋体"/>
                <w:b w:val="0"/>
              </w:rPr>
              <w:t>混凝土</w:t>
            </w:r>
          </w:p>
        </w:tc>
        <w:tc>
          <w:tcPr>
            <w:tcW w:w="440" w:type="pct"/>
            <w:tcBorders>
              <w:top w:val="single" w:color="000000" w:sz="4" w:space="0"/>
              <w:left w:val="single" w:color="000000" w:sz="4" w:space="0"/>
              <w:bottom w:val="single" w:color="000000" w:sz="4" w:space="0"/>
              <w:right w:val="single" w:color="000000" w:sz="4" w:space="0"/>
            </w:tcBorders>
            <w:shd w:val="clear" w:color="auto" w:fill="FFFFFF"/>
            <w:vAlign w:val="top"/>
          </w:tcPr>
          <w:p w14:paraId="3BBE1B48">
            <w:pPr>
              <w:pStyle w:val="22"/>
              <w:bidi w:val="0"/>
              <w:rPr>
                <w:rFonts w:hint="eastAsia" w:ascii="宋体" w:hAnsi="宋体" w:eastAsia="宋体" w:cs="宋体"/>
                <w:b w:val="0"/>
              </w:rPr>
            </w:pPr>
            <w:r>
              <w:rPr>
                <w:rFonts w:hint="eastAsia" w:ascii="宋体" w:hAnsi="宋体" w:eastAsia="宋体" w:cs="宋体"/>
                <w:b w:val="0"/>
              </w:rPr>
              <w:t>渣土</w:t>
            </w:r>
          </w:p>
        </w:tc>
        <w:tc>
          <w:tcPr>
            <w:tcW w:w="589" w:type="pct"/>
            <w:tcBorders>
              <w:top w:val="single" w:color="000000" w:sz="4" w:space="0"/>
              <w:left w:val="single" w:color="000000" w:sz="4" w:space="0"/>
              <w:bottom w:val="single" w:color="000000" w:sz="4" w:space="0"/>
              <w:right w:val="single" w:color="000000" w:sz="4" w:space="0"/>
            </w:tcBorders>
            <w:shd w:val="clear" w:color="auto" w:fill="FFFFFF"/>
            <w:vAlign w:val="top"/>
          </w:tcPr>
          <w:p w14:paraId="7018E7F0">
            <w:pPr>
              <w:pStyle w:val="22"/>
              <w:bidi w:val="0"/>
              <w:rPr>
                <w:rFonts w:hint="eastAsia" w:ascii="宋体" w:hAnsi="宋体" w:eastAsia="宋体" w:cs="宋体"/>
                <w:b w:val="0"/>
              </w:rPr>
            </w:pPr>
            <w:r>
              <w:rPr>
                <w:rFonts w:hint="eastAsia" w:ascii="宋体" w:hAnsi="宋体" w:eastAsia="宋体" w:cs="宋体"/>
                <w:b w:val="0"/>
              </w:rPr>
              <w:t>碎砖石</w:t>
            </w:r>
          </w:p>
        </w:tc>
        <w:tc>
          <w:tcPr>
            <w:tcW w:w="480" w:type="pct"/>
            <w:tcBorders>
              <w:top w:val="single" w:color="000000" w:sz="4" w:space="0"/>
              <w:left w:val="single" w:color="000000" w:sz="4" w:space="0"/>
              <w:bottom w:val="single" w:color="000000" w:sz="4" w:space="0"/>
              <w:right w:val="single" w:color="000000" w:sz="4" w:space="0"/>
            </w:tcBorders>
            <w:shd w:val="clear" w:color="auto" w:fill="FFFFFF"/>
            <w:vAlign w:val="top"/>
          </w:tcPr>
          <w:p w14:paraId="76F347B0">
            <w:pPr>
              <w:pStyle w:val="22"/>
              <w:bidi w:val="0"/>
              <w:rPr>
                <w:rFonts w:hint="eastAsia" w:ascii="宋体" w:hAnsi="宋体" w:eastAsia="宋体" w:cs="宋体"/>
                <w:b w:val="0"/>
              </w:rPr>
            </w:pPr>
            <w:r>
              <w:rPr>
                <w:rFonts w:hint="eastAsia" w:ascii="宋体" w:hAnsi="宋体" w:eastAsia="宋体" w:cs="宋体"/>
                <w:b w:val="0"/>
              </w:rPr>
              <w:t>木材</w:t>
            </w:r>
          </w:p>
        </w:tc>
        <w:tc>
          <w:tcPr>
            <w:tcW w:w="487" w:type="pct"/>
            <w:tcBorders>
              <w:top w:val="single" w:color="000000" w:sz="4" w:space="0"/>
              <w:left w:val="single" w:color="000000" w:sz="4" w:space="0"/>
              <w:bottom w:val="single" w:color="000000" w:sz="4" w:space="0"/>
              <w:right w:val="single" w:color="000000" w:sz="4" w:space="0"/>
            </w:tcBorders>
            <w:shd w:val="clear" w:color="auto" w:fill="FFFFFF"/>
            <w:vAlign w:val="top"/>
          </w:tcPr>
          <w:p w14:paraId="01CAA2F7">
            <w:pPr>
              <w:pStyle w:val="22"/>
              <w:bidi w:val="0"/>
              <w:rPr>
                <w:rFonts w:hint="eastAsia" w:ascii="宋体" w:hAnsi="宋体" w:eastAsia="宋体" w:cs="宋体"/>
                <w:b w:val="0"/>
              </w:rPr>
            </w:pPr>
            <w:r>
              <w:rPr>
                <w:rFonts w:hint="eastAsia" w:ascii="宋体" w:hAnsi="宋体" w:eastAsia="宋体" w:cs="宋体"/>
                <w:b w:val="0"/>
              </w:rPr>
              <w:t>玻璃</w:t>
            </w:r>
          </w:p>
        </w:tc>
        <w:tc>
          <w:tcPr>
            <w:tcW w:w="555" w:type="pct"/>
            <w:tcBorders>
              <w:top w:val="single" w:color="000000" w:sz="4" w:space="0"/>
              <w:left w:val="single" w:color="000000" w:sz="4" w:space="0"/>
              <w:bottom w:val="single" w:color="000000" w:sz="4" w:space="0"/>
              <w:right w:val="single" w:color="000000" w:sz="4" w:space="0"/>
            </w:tcBorders>
            <w:shd w:val="clear" w:color="auto" w:fill="FFFFFF"/>
            <w:vAlign w:val="top"/>
          </w:tcPr>
          <w:p w14:paraId="3D0A674C">
            <w:pPr>
              <w:pStyle w:val="22"/>
              <w:bidi w:val="0"/>
              <w:rPr>
                <w:rFonts w:hint="eastAsia" w:ascii="宋体" w:hAnsi="宋体" w:eastAsia="宋体" w:cs="宋体"/>
                <w:b w:val="0"/>
              </w:rPr>
            </w:pPr>
            <w:r>
              <w:rPr>
                <w:rFonts w:hint="eastAsia" w:ascii="宋体" w:hAnsi="宋体" w:eastAsia="宋体" w:cs="宋体"/>
                <w:b w:val="0"/>
              </w:rPr>
              <w:t>废金属</w:t>
            </w:r>
          </w:p>
        </w:tc>
        <w:tc>
          <w:tcPr>
            <w:tcW w:w="514" w:type="pct"/>
            <w:tcBorders>
              <w:top w:val="single" w:color="000000" w:sz="4" w:space="0"/>
              <w:left w:val="single" w:color="000000" w:sz="4" w:space="0"/>
              <w:bottom w:val="single" w:color="000000" w:sz="4" w:space="0"/>
              <w:right w:val="single" w:color="000000" w:sz="4" w:space="0"/>
            </w:tcBorders>
            <w:shd w:val="clear" w:color="auto" w:fill="FFFFFF"/>
            <w:vAlign w:val="top"/>
          </w:tcPr>
          <w:p w14:paraId="75089032">
            <w:pPr>
              <w:pStyle w:val="22"/>
              <w:bidi w:val="0"/>
              <w:rPr>
                <w:rFonts w:hint="eastAsia" w:ascii="宋体" w:hAnsi="宋体" w:eastAsia="宋体" w:cs="宋体"/>
                <w:b w:val="0"/>
              </w:rPr>
            </w:pPr>
            <w:r>
              <w:rPr>
                <w:rFonts w:hint="eastAsia" w:ascii="宋体" w:hAnsi="宋体" w:eastAsia="宋体" w:cs="宋体"/>
                <w:b w:val="0"/>
              </w:rPr>
              <w:t>塑料</w:t>
            </w:r>
          </w:p>
        </w:tc>
        <w:tc>
          <w:tcPr>
            <w:tcW w:w="784" w:type="pct"/>
            <w:tcBorders>
              <w:top w:val="single" w:color="000000" w:sz="4" w:space="0"/>
              <w:left w:val="single" w:color="000000" w:sz="4" w:space="0"/>
              <w:bottom w:val="single" w:color="000000" w:sz="4" w:space="0"/>
              <w:right w:val="single" w:color="000000" w:sz="4" w:space="0"/>
            </w:tcBorders>
            <w:shd w:val="clear" w:color="auto" w:fill="FFFFFF"/>
            <w:vAlign w:val="top"/>
          </w:tcPr>
          <w:p w14:paraId="54BC2ECE">
            <w:pPr>
              <w:pStyle w:val="22"/>
              <w:bidi w:val="0"/>
              <w:rPr>
                <w:rFonts w:hint="eastAsia" w:ascii="宋体" w:hAnsi="宋体" w:eastAsia="宋体" w:cs="宋体"/>
                <w:b w:val="0"/>
              </w:rPr>
            </w:pPr>
            <w:r>
              <w:rPr>
                <w:rFonts w:hint="eastAsia" w:ascii="宋体" w:hAnsi="宋体" w:eastAsia="宋体" w:cs="宋体"/>
                <w:b w:val="0"/>
              </w:rPr>
              <w:t>有机杂质</w:t>
            </w:r>
          </w:p>
        </w:tc>
        <w:tc>
          <w:tcPr>
            <w:tcW w:w="487" w:type="pct"/>
            <w:tcBorders>
              <w:top w:val="single" w:color="000000" w:sz="4" w:space="0"/>
              <w:left w:val="single" w:color="000000" w:sz="4" w:space="0"/>
              <w:bottom w:val="single" w:color="000000" w:sz="4" w:space="0"/>
              <w:right w:val="single" w:color="000000" w:sz="4" w:space="0"/>
            </w:tcBorders>
            <w:shd w:val="clear" w:color="auto" w:fill="FFFFFF"/>
            <w:vAlign w:val="top"/>
          </w:tcPr>
          <w:p w14:paraId="04149C9D">
            <w:pPr>
              <w:pStyle w:val="22"/>
              <w:bidi w:val="0"/>
              <w:rPr>
                <w:rFonts w:hint="eastAsia" w:ascii="宋体" w:hAnsi="宋体" w:eastAsia="宋体" w:cs="宋体"/>
                <w:b w:val="0"/>
              </w:rPr>
            </w:pPr>
            <w:r>
              <w:rPr>
                <w:rFonts w:hint="eastAsia" w:ascii="宋体" w:hAnsi="宋体" w:eastAsia="宋体" w:cs="宋体"/>
                <w:b w:val="0"/>
              </w:rPr>
              <w:t>其他</w:t>
            </w:r>
          </w:p>
        </w:tc>
      </w:tr>
      <w:tr w14:paraId="5FA3D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660" w:type="pct"/>
            <w:tcBorders>
              <w:top w:val="single" w:color="000000" w:sz="4" w:space="0"/>
              <w:left w:val="single" w:color="000000" w:sz="4" w:space="0"/>
              <w:bottom w:val="single" w:color="000000" w:sz="4" w:space="0"/>
              <w:right w:val="single" w:color="000000" w:sz="4" w:space="0"/>
            </w:tcBorders>
            <w:shd w:val="clear" w:color="auto" w:fill="FFFFFF"/>
            <w:vAlign w:val="top"/>
          </w:tcPr>
          <w:p w14:paraId="4214B321">
            <w:pPr>
              <w:pStyle w:val="22"/>
              <w:bidi w:val="0"/>
              <w:rPr>
                <w:rFonts w:hint="eastAsia" w:ascii="宋体" w:hAnsi="宋体" w:eastAsia="宋体" w:cs="宋体"/>
                <w:b w:val="0"/>
              </w:rPr>
            </w:pPr>
            <w:r>
              <w:rPr>
                <w:rFonts w:hint="eastAsia" w:ascii="宋体" w:hAnsi="宋体" w:eastAsia="宋体" w:cs="宋体"/>
                <w:b w:val="0"/>
              </w:rPr>
              <w:t>54.0%</w:t>
            </w:r>
          </w:p>
        </w:tc>
        <w:tc>
          <w:tcPr>
            <w:tcW w:w="440" w:type="pct"/>
            <w:tcBorders>
              <w:top w:val="single" w:color="000000" w:sz="4" w:space="0"/>
              <w:left w:val="single" w:color="000000" w:sz="4" w:space="0"/>
              <w:bottom w:val="single" w:color="000000" w:sz="4" w:space="0"/>
              <w:right w:val="single" w:color="000000" w:sz="4" w:space="0"/>
            </w:tcBorders>
            <w:shd w:val="clear" w:color="auto" w:fill="FFFFFF"/>
            <w:vAlign w:val="top"/>
          </w:tcPr>
          <w:p w14:paraId="0F0440F5">
            <w:pPr>
              <w:pStyle w:val="22"/>
              <w:bidi w:val="0"/>
              <w:rPr>
                <w:rFonts w:hint="eastAsia" w:ascii="宋体" w:hAnsi="宋体" w:eastAsia="宋体" w:cs="宋体"/>
                <w:b w:val="0"/>
              </w:rPr>
            </w:pPr>
            <w:r>
              <w:rPr>
                <w:rFonts w:hint="eastAsia" w:ascii="宋体" w:hAnsi="宋体" w:eastAsia="宋体" w:cs="宋体"/>
                <w:b w:val="0"/>
              </w:rPr>
              <w:t>9.0%</w:t>
            </w:r>
          </w:p>
        </w:tc>
        <w:tc>
          <w:tcPr>
            <w:tcW w:w="589" w:type="pct"/>
            <w:tcBorders>
              <w:top w:val="single" w:color="000000" w:sz="4" w:space="0"/>
              <w:left w:val="single" w:color="000000" w:sz="4" w:space="0"/>
              <w:bottom w:val="single" w:color="000000" w:sz="4" w:space="0"/>
              <w:right w:val="single" w:color="000000" w:sz="4" w:space="0"/>
            </w:tcBorders>
            <w:shd w:val="clear" w:color="auto" w:fill="FFFFFF"/>
            <w:vAlign w:val="top"/>
          </w:tcPr>
          <w:p w14:paraId="22A08FE1">
            <w:pPr>
              <w:pStyle w:val="22"/>
              <w:bidi w:val="0"/>
              <w:rPr>
                <w:rFonts w:hint="eastAsia" w:ascii="宋体" w:hAnsi="宋体" w:eastAsia="宋体" w:cs="宋体"/>
                <w:b w:val="0"/>
              </w:rPr>
            </w:pPr>
            <w:r>
              <w:rPr>
                <w:rFonts w:hint="eastAsia" w:ascii="宋体" w:hAnsi="宋体" w:eastAsia="宋体" w:cs="宋体"/>
                <w:b w:val="0"/>
              </w:rPr>
              <w:t>13.0%</w:t>
            </w:r>
          </w:p>
        </w:tc>
        <w:tc>
          <w:tcPr>
            <w:tcW w:w="480" w:type="pct"/>
            <w:tcBorders>
              <w:top w:val="single" w:color="000000" w:sz="4" w:space="0"/>
              <w:left w:val="single" w:color="000000" w:sz="4" w:space="0"/>
              <w:bottom w:val="single" w:color="000000" w:sz="4" w:space="0"/>
              <w:right w:val="single" w:color="000000" w:sz="4" w:space="0"/>
            </w:tcBorders>
            <w:shd w:val="clear" w:color="auto" w:fill="FFFFFF"/>
            <w:vAlign w:val="top"/>
          </w:tcPr>
          <w:p w14:paraId="034E20C1">
            <w:pPr>
              <w:pStyle w:val="22"/>
              <w:bidi w:val="0"/>
              <w:rPr>
                <w:rFonts w:hint="eastAsia" w:ascii="宋体" w:hAnsi="宋体" w:eastAsia="宋体" w:cs="宋体"/>
                <w:b w:val="0"/>
              </w:rPr>
            </w:pPr>
            <w:r>
              <w:rPr>
                <w:rFonts w:hint="eastAsia" w:ascii="宋体" w:hAnsi="宋体" w:eastAsia="宋体" w:cs="宋体"/>
                <w:b w:val="0"/>
              </w:rPr>
              <w:t>8.0%</w:t>
            </w:r>
          </w:p>
        </w:tc>
        <w:tc>
          <w:tcPr>
            <w:tcW w:w="487" w:type="pct"/>
            <w:tcBorders>
              <w:top w:val="single" w:color="000000" w:sz="4" w:space="0"/>
              <w:left w:val="single" w:color="000000" w:sz="4" w:space="0"/>
              <w:bottom w:val="single" w:color="000000" w:sz="4" w:space="0"/>
              <w:right w:val="single" w:color="000000" w:sz="4" w:space="0"/>
            </w:tcBorders>
            <w:shd w:val="clear" w:color="auto" w:fill="FFFFFF"/>
            <w:vAlign w:val="top"/>
          </w:tcPr>
          <w:p w14:paraId="5F32450D">
            <w:pPr>
              <w:pStyle w:val="22"/>
              <w:bidi w:val="0"/>
              <w:rPr>
                <w:rFonts w:hint="eastAsia" w:ascii="宋体" w:hAnsi="宋体" w:eastAsia="宋体" w:cs="宋体"/>
                <w:b w:val="0"/>
              </w:rPr>
            </w:pPr>
            <w:r>
              <w:rPr>
                <w:rFonts w:hint="eastAsia" w:ascii="宋体" w:hAnsi="宋体" w:eastAsia="宋体" w:cs="宋体"/>
                <w:b w:val="0"/>
              </w:rPr>
              <w:t>2.0%</w:t>
            </w:r>
          </w:p>
        </w:tc>
        <w:tc>
          <w:tcPr>
            <w:tcW w:w="555" w:type="pct"/>
            <w:tcBorders>
              <w:top w:val="single" w:color="000000" w:sz="4" w:space="0"/>
              <w:left w:val="single" w:color="000000" w:sz="4" w:space="0"/>
              <w:bottom w:val="single" w:color="000000" w:sz="4" w:space="0"/>
              <w:right w:val="single" w:color="000000" w:sz="4" w:space="0"/>
            </w:tcBorders>
            <w:shd w:val="clear" w:color="auto" w:fill="FFFFFF"/>
            <w:vAlign w:val="top"/>
          </w:tcPr>
          <w:p w14:paraId="730AF433">
            <w:pPr>
              <w:pStyle w:val="22"/>
              <w:bidi w:val="0"/>
              <w:rPr>
                <w:rFonts w:hint="eastAsia" w:ascii="宋体" w:hAnsi="宋体" w:eastAsia="宋体" w:cs="宋体"/>
                <w:b w:val="0"/>
              </w:rPr>
            </w:pPr>
            <w:r>
              <w:rPr>
                <w:rFonts w:hint="eastAsia" w:ascii="宋体" w:hAnsi="宋体" w:eastAsia="宋体" w:cs="宋体"/>
                <w:b w:val="0"/>
              </w:rPr>
              <w:t>7.5%</w:t>
            </w:r>
          </w:p>
        </w:tc>
        <w:tc>
          <w:tcPr>
            <w:tcW w:w="514" w:type="pct"/>
            <w:tcBorders>
              <w:top w:val="single" w:color="000000" w:sz="4" w:space="0"/>
              <w:left w:val="single" w:color="000000" w:sz="4" w:space="0"/>
              <w:bottom w:val="single" w:color="000000" w:sz="4" w:space="0"/>
              <w:right w:val="single" w:color="000000" w:sz="4" w:space="0"/>
            </w:tcBorders>
            <w:shd w:val="clear" w:color="auto" w:fill="FFFFFF"/>
            <w:vAlign w:val="top"/>
          </w:tcPr>
          <w:p w14:paraId="2F5019FD">
            <w:pPr>
              <w:pStyle w:val="22"/>
              <w:bidi w:val="0"/>
              <w:rPr>
                <w:rFonts w:hint="eastAsia" w:ascii="宋体" w:hAnsi="宋体" w:eastAsia="宋体" w:cs="宋体"/>
                <w:b w:val="0"/>
              </w:rPr>
            </w:pPr>
            <w:r>
              <w:rPr>
                <w:rFonts w:hint="eastAsia" w:ascii="宋体" w:hAnsi="宋体" w:eastAsia="宋体" w:cs="宋体"/>
                <w:b w:val="0"/>
              </w:rPr>
              <w:t>1.0%</w:t>
            </w:r>
          </w:p>
        </w:tc>
        <w:tc>
          <w:tcPr>
            <w:tcW w:w="784" w:type="pct"/>
            <w:tcBorders>
              <w:top w:val="single" w:color="000000" w:sz="4" w:space="0"/>
              <w:left w:val="single" w:color="000000" w:sz="4" w:space="0"/>
              <w:bottom w:val="single" w:color="000000" w:sz="4" w:space="0"/>
              <w:right w:val="single" w:color="000000" w:sz="4" w:space="0"/>
            </w:tcBorders>
            <w:shd w:val="clear" w:color="auto" w:fill="FFFFFF"/>
            <w:vAlign w:val="top"/>
          </w:tcPr>
          <w:p w14:paraId="250F6C55">
            <w:pPr>
              <w:pStyle w:val="22"/>
              <w:bidi w:val="0"/>
              <w:rPr>
                <w:rFonts w:hint="eastAsia" w:ascii="宋体" w:hAnsi="宋体" w:eastAsia="宋体" w:cs="宋体"/>
                <w:b w:val="0"/>
              </w:rPr>
            </w:pPr>
            <w:r>
              <w:rPr>
                <w:rFonts w:hint="eastAsia" w:ascii="宋体" w:hAnsi="宋体" w:eastAsia="宋体" w:cs="宋体"/>
                <w:b w:val="0"/>
              </w:rPr>
              <w:t>1.5%</w:t>
            </w:r>
          </w:p>
        </w:tc>
        <w:tc>
          <w:tcPr>
            <w:tcW w:w="487" w:type="pct"/>
            <w:tcBorders>
              <w:top w:val="single" w:color="000000" w:sz="4" w:space="0"/>
              <w:left w:val="single" w:color="000000" w:sz="4" w:space="0"/>
              <w:bottom w:val="single" w:color="000000" w:sz="4" w:space="0"/>
              <w:right w:val="single" w:color="000000" w:sz="4" w:space="0"/>
            </w:tcBorders>
            <w:shd w:val="clear" w:color="auto" w:fill="FFFFFF"/>
            <w:vAlign w:val="top"/>
          </w:tcPr>
          <w:p w14:paraId="7C628F68">
            <w:pPr>
              <w:pStyle w:val="22"/>
              <w:bidi w:val="0"/>
              <w:rPr>
                <w:rFonts w:hint="eastAsia" w:ascii="宋体" w:hAnsi="宋体" w:eastAsia="宋体" w:cs="宋体"/>
                <w:b w:val="0"/>
              </w:rPr>
            </w:pPr>
            <w:r>
              <w:rPr>
                <w:rFonts w:hint="eastAsia" w:ascii="宋体" w:hAnsi="宋体" w:eastAsia="宋体" w:cs="宋体"/>
                <w:b w:val="0"/>
              </w:rPr>
              <w:t>4.0%</w:t>
            </w:r>
          </w:p>
        </w:tc>
      </w:tr>
    </w:tbl>
    <w:p w14:paraId="21DCD89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由于拆除垃圾资源化利用市场化程度较高，社会资本有着强烈的意愿参与，因此其处置遵循“能用尽用、特许经营、监督规范、市场运营”的原则解决。为引导市场良性竞争和确保拆除垃圾得到有效地无害化、资源化利用和减量化处理，政府可通过采取政策和制度的设计，统筹优化资源化利用设施布局，引导规范资源化利用设施的运营，扶持建筑垃圾资源化利用行业健康发展。</w:t>
      </w:r>
    </w:p>
    <w:p w14:paraId="02F9D39C">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2）综合利用</w:t>
      </w:r>
    </w:p>
    <w:p w14:paraId="51850D1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拆除垃圾中的混凝土、砖瓦等经破碎加工后可作为生产再生建材的原材料，是一类具有很大资源化利用空间的建筑垃圾，拆除垃圾品质越高意味着市场价值越高。因此，拆除垃圾应优先选择资源化利用。不可利用的可燃物进去垃圾焚烧发电厂。</w:t>
      </w:r>
    </w:p>
    <w:p w14:paraId="3C786A7D">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3、工程渣土</w:t>
      </w:r>
    </w:p>
    <w:p w14:paraId="2B708B53">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1）特点分析</w:t>
      </w:r>
    </w:p>
    <w:p w14:paraId="5B97550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对于工程渣土比较成熟的处理方式主要有基坑回填、道路工程、场地地坪抬高等岩土工程，少量去往资源化利用厂。</w:t>
      </w:r>
    </w:p>
    <w:p w14:paraId="6465CC0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2）综合利用</w:t>
      </w:r>
    </w:p>
    <w:p w14:paraId="6E242BE0">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源头减量后，将不可避免产生的工程渣土进行综合利用。工程渣土根据土质性质的不同，可采取不同的资源化利用技术：</w:t>
      </w:r>
    </w:p>
    <w:p w14:paraId="6B0B00FE">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①泥沙分离，通过筛分、水洗、压滤等环节，将工程渣土分为泥、砂两个部分，将分离出的黏土与园林垃圾堆肥腐殖质土混合制备园林种植土为解决这一问题提供了有效路径。</w:t>
      </w:r>
    </w:p>
    <w:p w14:paraId="310F2FE3">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②固化和压制，通过添加固化增强剂和干燥防裂剂，压制生产为建筑用砖、再生砌砖、免烧瓷砖、文化装饰砖等产品，目前处于试验阶段。</w:t>
      </w:r>
    </w:p>
    <w:p w14:paraId="4E8ECD07">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③环保烧结，以黏土为原料，经成型和高温焙烧制得用于承重和非承重结构的各类块材、板材。</w:t>
      </w:r>
    </w:p>
    <w:p w14:paraId="2DCC3E93">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④按照土质特性进行分类利用，即挑选出其中适合种植的种植土和制作陶瓷的陶瓷土等，这对土质要求高，分类利用率比较低。</w:t>
      </w:r>
    </w:p>
    <w:p w14:paraId="0DA54244">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（二）处置方案</w:t>
      </w:r>
    </w:p>
    <w:p w14:paraId="0B175390">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工程渣土、工程泥浆可用于无害化堆填处置、域内平衡、跨区域调剂平衡、生态修复利用、场地平整和其他资源化利用。工程泥浆应在产生工程泥浆的现场采用压滤的处理工艺，将固液相分开。液相检测达标后排放，不达标需重新处理；固相尽量用于原位回填，无法回填的部分运往渣土消纳场处置。</w:t>
      </w:r>
    </w:p>
    <w:p w14:paraId="2A9B2786">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装修垃圾及工程垃圾可用于资源化利用和无害化堆填处置。</w:t>
      </w:r>
    </w:p>
    <w:p w14:paraId="042790C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拆除垃圾可用于资源化利用和无害化堆填处置。</w:t>
      </w:r>
    </w:p>
    <w:p w14:paraId="5149FF96">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本次规划引导建筑垃圾在源头减量的基础上优先考虑资源化利用，处理及利用优先次序宜按下表：</w:t>
      </w:r>
    </w:p>
    <w:p w14:paraId="1CAF989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jc w:val="center"/>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建筑垃圾处置和利用优先次序</w:t>
      </w:r>
    </w:p>
    <w:tbl>
      <w:tblPr>
        <w:tblStyle w:val="23"/>
        <w:tblW w:w="501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455"/>
        <w:gridCol w:w="5878"/>
      </w:tblGrid>
      <w:tr w14:paraId="128D6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473" w:type="pc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15CC5D86">
            <w:pPr>
              <w:pStyle w:val="22"/>
              <w:bidi w:val="0"/>
              <w:jc w:val="center"/>
              <w:rPr>
                <w:rFonts w:hint="eastAsia" w:ascii="宋体" w:hAnsi="宋体" w:eastAsia="宋体" w:cs="宋体"/>
                <w:b w:val="0"/>
              </w:rPr>
            </w:pPr>
            <w:r>
              <w:rPr>
                <w:rFonts w:hint="eastAsia" w:ascii="宋体" w:hAnsi="宋体" w:eastAsia="宋体" w:cs="宋体"/>
                <w:b w:val="0"/>
              </w:rPr>
              <w:t>类型</w:t>
            </w:r>
          </w:p>
        </w:tc>
        <w:tc>
          <w:tcPr>
            <w:tcW w:w="35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F56709">
            <w:pPr>
              <w:pStyle w:val="22"/>
              <w:bidi w:val="0"/>
              <w:jc w:val="center"/>
              <w:rPr>
                <w:rFonts w:hint="eastAsia" w:ascii="宋体" w:hAnsi="宋体" w:eastAsia="宋体" w:cs="宋体"/>
                <w:b w:val="0"/>
              </w:rPr>
            </w:pPr>
            <w:r>
              <w:rPr>
                <w:rFonts w:hint="eastAsia" w:ascii="宋体" w:hAnsi="宋体" w:eastAsia="宋体" w:cs="宋体"/>
                <w:b w:val="0"/>
              </w:rPr>
              <w:t>处置和利用优先顺序</w:t>
            </w:r>
          </w:p>
        </w:tc>
      </w:tr>
      <w:tr w14:paraId="13CF3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1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C9853B">
            <w:pPr>
              <w:pStyle w:val="22"/>
              <w:bidi w:val="0"/>
              <w:jc w:val="center"/>
              <w:rPr>
                <w:rFonts w:hint="eastAsia" w:ascii="宋体" w:hAnsi="宋体" w:eastAsia="宋体" w:cs="宋体"/>
                <w:b w:val="0"/>
              </w:rPr>
            </w:pPr>
            <w:r>
              <w:rPr>
                <w:rFonts w:hint="eastAsia" w:ascii="宋体" w:hAnsi="宋体" w:eastAsia="宋体" w:cs="宋体"/>
                <w:b w:val="0"/>
              </w:rPr>
              <w:t>工程垃圾、装修垃圾</w:t>
            </w:r>
          </w:p>
        </w:tc>
        <w:tc>
          <w:tcPr>
            <w:tcW w:w="35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11BFD4">
            <w:pPr>
              <w:pStyle w:val="22"/>
              <w:bidi w:val="0"/>
              <w:jc w:val="center"/>
              <w:rPr>
                <w:rFonts w:hint="eastAsia" w:ascii="宋体" w:hAnsi="宋体" w:eastAsia="宋体" w:cs="宋体"/>
                <w:b w:val="0"/>
              </w:rPr>
            </w:pPr>
            <w:r>
              <w:rPr>
                <w:rFonts w:hint="eastAsia" w:ascii="宋体" w:hAnsi="宋体" w:eastAsia="宋体" w:cs="宋体"/>
                <w:b w:val="0"/>
              </w:rPr>
              <w:t>资源化利用、无害化堆填</w:t>
            </w:r>
          </w:p>
        </w:tc>
      </w:tr>
      <w:tr w14:paraId="0844E3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1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39D53A">
            <w:pPr>
              <w:pStyle w:val="22"/>
              <w:bidi w:val="0"/>
              <w:jc w:val="center"/>
              <w:rPr>
                <w:rFonts w:hint="eastAsia" w:ascii="宋体" w:hAnsi="宋体" w:eastAsia="宋体" w:cs="宋体"/>
                <w:b w:val="0"/>
              </w:rPr>
            </w:pPr>
            <w:r>
              <w:rPr>
                <w:rFonts w:hint="eastAsia" w:ascii="宋体" w:hAnsi="宋体" w:eastAsia="宋体" w:cs="宋体"/>
                <w:b w:val="0"/>
              </w:rPr>
              <w:t>拆除垃圾</w:t>
            </w:r>
          </w:p>
        </w:tc>
        <w:tc>
          <w:tcPr>
            <w:tcW w:w="35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572CAB">
            <w:pPr>
              <w:pStyle w:val="22"/>
              <w:bidi w:val="0"/>
              <w:jc w:val="center"/>
              <w:rPr>
                <w:rFonts w:hint="eastAsia" w:ascii="宋体" w:hAnsi="宋体" w:eastAsia="宋体" w:cs="宋体"/>
                <w:b w:val="0"/>
              </w:rPr>
            </w:pPr>
            <w:r>
              <w:rPr>
                <w:rFonts w:hint="eastAsia" w:ascii="宋体" w:hAnsi="宋体" w:eastAsia="宋体" w:cs="宋体"/>
                <w:b w:val="0"/>
              </w:rPr>
              <w:t>资源化利用、无害化堆填</w:t>
            </w:r>
          </w:p>
        </w:tc>
      </w:tr>
      <w:tr w14:paraId="64E149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1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00DABA">
            <w:pPr>
              <w:pStyle w:val="22"/>
              <w:bidi w:val="0"/>
              <w:ind w:firstLine="240" w:firstLineChars="100"/>
              <w:jc w:val="both"/>
              <w:rPr>
                <w:rFonts w:hint="eastAsia" w:ascii="宋体" w:hAnsi="宋体" w:eastAsia="宋体" w:cs="宋体"/>
                <w:b w:val="0"/>
              </w:rPr>
            </w:pPr>
            <w:r>
              <w:rPr>
                <w:rFonts w:hint="eastAsia" w:ascii="宋体" w:hAnsi="宋体" w:eastAsia="宋体" w:cs="宋体"/>
                <w:b w:val="0"/>
              </w:rPr>
              <w:t>工程渣土、工程泥浆</w:t>
            </w:r>
          </w:p>
        </w:tc>
        <w:tc>
          <w:tcPr>
            <w:tcW w:w="352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9360D6">
            <w:pPr>
              <w:pStyle w:val="22"/>
              <w:bidi w:val="0"/>
              <w:jc w:val="center"/>
              <w:rPr>
                <w:rFonts w:hint="eastAsia" w:ascii="宋体" w:hAnsi="宋体" w:eastAsia="宋体" w:cs="宋体"/>
                <w:b w:val="0"/>
              </w:rPr>
            </w:pPr>
            <w:r>
              <w:rPr>
                <w:rFonts w:hint="eastAsia" w:ascii="宋体" w:hAnsi="宋体" w:eastAsia="宋体" w:cs="宋体"/>
                <w:b w:val="0"/>
              </w:rPr>
              <w:t>综合利用（域内土方平衡、生态修复利用、跨区调剂平衡）、无害化堆填、资源化利用</w:t>
            </w:r>
          </w:p>
        </w:tc>
      </w:tr>
    </w:tbl>
    <w:p w14:paraId="26B92C59">
      <w:pPr>
        <w:pStyle w:val="3"/>
        <w:numPr>
          <w:ilvl w:val="0"/>
          <w:numId w:val="9"/>
        </w:numPr>
        <w:bidi w:val="0"/>
        <w:rPr>
          <w:rFonts w:hint="eastAsia"/>
          <w:lang w:val="en-US" w:eastAsia="zh-CN"/>
        </w:rPr>
      </w:pPr>
      <w:bookmarkStart w:id="77" w:name="_Toc4817"/>
      <w:bookmarkStart w:id="78" w:name="_Toc5888"/>
      <w:r>
        <w:rPr>
          <w:rFonts w:hint="eastAsia"/>
          <w:lang w:val="en-US" w:eastAsia="zh-CN"/>
        </w:rPr>
        <w:t>处</w:t>
      </w:r>
      <w:bookmarkEnd w:id="77"/>
      <w:r>
        <w:rPr>
          <w:rFonts w:hint="eastAsia"/>
          <w:lang w:val="en-US" w:eastAsia="zh-CN"/>
        </w:rPr>
        <w:t>置规划</w:t>
      </w:r>
      <w:bookmarkEnd w:id="78"/>
    </w:p>
    <w:p w14:paraId="011A4DAF">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1、建筑垃圾资源化利用处置场选址原则</w:t>
      </w:r>
    </w:p>
    <w:p w14:paraId="25606132">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（1）应符合《霍山县国土空间总体规划（2021-2035年）》以及国家现行有关标准的规定。</w:t>
      </w:r>
    </w:p>
    <w:p w14:paraId="3525D675">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（2）应与当地的大气防护、水土资源保护、自然保护及生态平衡要求相一致。</w:t>
      </w:r>
    </w:p>
    <w:p w14:paraId="261A8A75">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（3）工程地质与水文地质条件应满足设施建设和运行的要求，不应选在发震断层、滑坡、泥石流、沼泽、流沙及采矿陷落区等地区。</w:t>
      </w:r>
    </w:p>
    <w:p w14:paraId="6E902B51">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（4）应交通方便，运距合理，并应综合考虑服务区域内建筑垃圾存量及增量估算情况、建筑垃圾收集运输能力，资源化利用厂还应考虑产品出路、预留发展等因素。</w:t>
      </w:r>
    </w:p>
    <w:p w14:paraId="112F60BF">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（5）应有良好的电力、给水和排水条件。</w:t>
      </w:r>
    </w:p>
    <w:p w14:paraId="0AED7326">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（6）应位于地下水贫乏地区、环境保护目标区域的地下水流向下游地区及夏季主导风向下风向。</w:t>
      </w:r>
    </w:p>
    <w:p w14:paraId="4CAE2070">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（7）厂址不应受洪水、潮水或内涝的威胁。当必须建在该类地区时，应有可靠的防洪、排涝措施，其防洪标准应符合现行国家标准《防洪标准（GB50201-2014）》的有关规定。</w:t>
      </w:r>
    </w:p>
    <w:p w14:paraId="200327EF">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8）宜在城市规划建成区外设置，应选具有自然低洼地势的山坳、采石场废坑、符合防洪要求、具备运输条件、土地及地下水利用价值低的地区，并不得设置在水源保护区、地下蕴矿区及影响城市安全的区域内，距居民居住区及人畜供水点不应小于0.5千米（不含0.5千米）。</w:t>
      </w:r>
    </w:p>
    <w:p w14:paraId="67A241F5">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2、霍山县装修及大件垃圾资源化利用厂规划</w:t>
      </w:r>
    </w:p>
    <w:p w14:paraId="1EF41178">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(1)项目名称：霍山县大件及装修垃圾资源化利用项目。</w:t>
      </w:r>
    </w:p>
    <w:p w14:paraId="352F7789">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(2)项目建设地点：六安市霍山县外环路与幽芳路交口东北侧500米长岭岗林场。</w:t>
      </w:r>
    </w:p>
    <w:p w14:paraId="5F8B6B16">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(3)项目建设内容与规模:本项目总建筑面积规划为约1800㎡，其中生产厂房约1000㎡、公用及配套设施800㎡。新上一条符合国家产业政策日处理300吨，年处理约10万吨建筑装修垃圾（含大件垃圾）破碎分拣及资源化利用生产线一条。</w:t>
      </w:r>
    </w:p>
    <w:p w14:paraId="17B157BA">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(4)用地性质：环卫用地。</w:t>
      </w:r>
    </w:p>
    <w:p w14:paraId="0D5AC8D0">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(5)服务范围：霍山县中心城区。</w:t>
      </w:r>
    </w:p>
    <w:p w14:paraId="2AEA00D5">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jc w:val="left"/>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(6)处置场规划选址红线图如下：</w:t>
      </w:r>
      <w:r>
        <w:rPr>
          <w:rFonts w:hint="eastAsia" w:ascii="宋体" w:hAnsi="宋体" w:eastAsia="宋体" w:cs="宋体"/>
          <w:lang w:val="en-US" w:eastAsia="zh-CN"/>
        </w:rPr>
        <w:drawing>
          <wp:inline distT="0" distB="0" distL="114300" distR="114300">
            <wp:extent cx="5267325" cy="3021330"/>
            <wp:effectExtent l="0" t="0" r="9525" b="7620"/>
            <wp:docPr id="4" name="图片 4" descr="垃圾填埋场新建厂房坐标20240914_t3-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垃圾填埋场新建厂房坐标20240914_t3-Model"/>
                    <pic:cNvPicPr>
                      <a:picLocks noChangeAspect="1"/>
                    </pic:cNvPicPr>
                  </pic:nvPicPr>
                  <pic:blipFill>
                    <a:blip r:embed="rId12"/>
                    <a:stretch>
                      <a:fillRect/>
                    </a:stretch>
                  </pic:blipFill>
                  <pic:spPr>
                    <a:xfrm>
                      <a:off x="0" y="0"/>
                      <a:ext cx="5267325" cy="3021330"/>
                    </a:xfrm>
                    <a:prstGeom prst="rect">
                      <a:avLst/>
                    </a:prstGeom>
                  </pic:spPr>
                </pic:pic>
              </a:graphicData>
            </a:graphic>
          </wp:inline>
        </w:drawing>
      </w:r>
    </w:p>
    <w:p w14:paraId="46708C13">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（二）建筑垃圾资源化利用工艺流程</w:t>
      </w:r>
    </w:p>
    <w:p w14:paraId="4E086B7F">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建筑垃圾的资源化利用主要是通过对建筑垃圾分级破碎、筛分，生产出取代部分天然砂石的再生骨料，一部分骨料作为企业深加工原材料，用以生产标砖、砌块、预拌砂浆、道路材料和复合材料等产品，剩余部分作为商品骨料销往其他混凝土搅拌站、预拌砂浆站、道路结构基础回填等。</w:t>
      </w:r>
    </w:p>
    <w:p w14:paraId="5D5A8F45">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通过破碎筛分后的再生骨料产品输送至再生产品生产线，包括砖胎模、墙板生产线、道路材料搅拌站、预拌砂浆生产线以及混凝土原料。这些生产线合理布局，保证各生产线有机链接，使得从初始原料到最终产品形成网络式生产模式，从而将建筑垃圾最大程度转化为各类再生环保新型建材产品。</w:t>
      </w:r>
    </w:p>
    <w:p w14:paraId="2B3B5643">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建筑垃圾资源化工艺流程总图</w:t>
      </w:r>
    </w:p>
    <w:p w14:paraId="350FC368">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200"/>
        <w:textAlignment w:val="auto"/>
        <w:rPr>
          <w:rFonts w:hint="eastAsia" w:ascii="宋体" w:hAnsi="宋体" w:eastAsia="宋体" w:cs="宋体"/>
        </w:rPr>
      </w:pPr>
      <w:r>
        <w:drawing>
          <wp:anchor distT="0" distB="0" distL="114300" distR="114300" simplePos="0" relativeHeight="251659264" behindDoc="0" locked="0" layoutInCell="1" allowOverlap="1">
            <wp:simplePos x="0" y="0"/>
            <wp:positionH relativeFrom="column">
              <wp:posOffset>446405</wp:posOffset>
            </wp:positionH>
            <wp:positionV relativeFrom="paragraph">
              <wp:posOffset>119380</wp:posOffset>
            </wp:positionV>
            <wp:extent cx="4279900" cy="2941320"/>
            <wp:effectExtent l="0" t="0" r="6350" b="11430"/>
            <wp:wrapSquare wrapText="bothSides"/>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3"/>
                    <a:stretch>
                      <a:fillRect/>
                    </a:stretch>
                  </pic:blipFill>
                  <pic:spPr>
                    <a:xfrm>
                      <a:off x="0" y="0"/>
                      <a:ext cx="4279900" cy="2941320"/>
                    </a:xfrm>
                    <a:prstGeom prst="rect">
                      <a:avLst/>
                    </a:prstGeom>
                    <a:noFill/>
                    <a:ln>
                      <a:noFill/>
                    </a:ln>
                  </pic:spPr>
                </pic:pic>
              </a:graphicData>
            </a:graphic>
          </wp:anchor>
        </w:drawing>
      </w:r>
    </w:p>
    <w:p w14:paraId="53B2E2CD">
      <w:pPr>
        <w:keepNext w:val="0"/>
        <w:keepLines w:val="0"/>
        <w:pageBreakBefore w:val="0"/>
        <w:widowControl w:val="0"/>
        <w:kinsoku/>
        <w:wordWrap/>
        <w:overflowPunct/>
        <w:topLinePunct w:val="0"/>
        <w:autoSpaceDE/>
        <w:autoSpaceDN/>
        <w:bidi w:val="0"/>
        <w:adjustRightInd w:val="0"/>
        <w:snapToGrid w:val="0"/>
        <w:spacing w:after="0" w:line="360" w:lineRule="auto"/>
        <w:ind w:firstLine="562" w:firstLineChars="200"/>
        <w:textAlignment w:val="auto"/>
        <w:rPr>
          <w:rFonts w:hint="eastAsia" w:ascii="方正仿宋_GB2312" w:hAnsi="方正仿宋_GB2312" w:eastAsia="方正仿宋_GB2312" w:cs="方正仿宋_GB2312"/>
          <w:b/>
          <w:bCs/>
          <w:color w:val="FF0000"/>
          <w:sz w:val="28"/>
          <w:szCs w:val="36"/>
          <w:highlight w:val="none"/>
          <w:lang w:val="en-US" w:eastAsia="zh-CN"/>
        </w:rPr>
      </w:pPr>
    </w:p>
    <w:p w14:paraId="62A525AA">
      <w:pPr>
        <w:keepNext w:val="0"/>
        <w:keepLines w:val="0"/>
        <w:pageBreakBefore w:val="0"/>
        <w:widowControl w:val="0"/>
        <w:kinsoku/>
        <w:wordWrap/>
        <w:overflowPunct/>
        <w:topLinePunct w:val="0"/>
        <w:autoSpaceDE/>
        <w:autoSpaceDN/>
        <w:bidi w:val="0"/>
        <w:adjustRightInd w:val="0"/>
        <w:snapToGrid w:val="0"/>
        <w:spacing w:after="0" w:line="360" w:lineRule="auto"/>
        <w:ind w:firstLine="562" w:firstLineChars="200"/>
        <w:textAlignment w:val="auto"/>
        <w:rPr>
          <w:rFonts w:hint="eastAsia" w:ascii="方正仿宋_GB2312" w:hAnsi="方正仿宋_GB2312" w:eastAsia="方正仿宋_GB2312" w:cs="方正仿宋_GB2312"/>
          <w:b/>
          <w:bCs/>
          <w:color w:val="FF0000"/>
          <w:sz w:val="28"/>
          <w:szCs w:val="36"/>
          <w:highlight w:val="none"/>
          <w:lang w:val="en-US" w:eastAsia="zh-CN"/>
        </w:rPr>
      </w:pPr>
    </w:p>
    <w:p w14:paraId="4E69F20D">
      <w:pPr>
        <w:keepNext w:val="0"/>
        <w:keepLines w:val="0"/>
        <w:pageBreakBefore w:val="0"/>
        <w:widowControl w:val="0"/>
        <w:kinsoku/>
        <w:wordWrap/>
        <w:overflowPunct/>
        <w:topLinePunct w:val="0"/>
        <w:autoSpaceDE/>
        <w:autoSpaceDN/>
        <w:bidi w:val="0"/>
        <w:adjustRightInd w:val="0"/>
        <w:snapToGrid w:val="0"/>
        <w:spacing w:after="0" w:line="360" w:lineRule="auto"/>
        <w:ind w:firstLine="562" w:firstLineChars="200"/>
        <w:textAlignment w:val="auto"/>
        <w:rPr>
          <w:rFonts w:hint="eastAsia" w:ascii="方正仿宋_GB2312" w:hAnsi="方正仿宋_GB2312" w:eastAsia="方正仿宋_GB2312" w:cs="方正仿宋_GB2312"/>
          <w:b/>
          <w:bCs/>
          <w:color w:val="FF0000"/>
          <w:sz w:val="28"/>
          <w:szCs w:val="36"/>
          <w:highlight w:val="none"/>
          <w:lang w:val="en-US" w:eastAsia="zh-CN"/>
        </w:rPr>
      </w:pPr>
    </w:p>
    <w:p w14:paraId="50C90743">
      <w:pPr>
        <w:keepNext w:val="0"/>
        <w:keepLines w:val="0"/>
        <w:pageBreakBefore w:val="0"/>
        <w:widowControl w:val="0"/>
        <w:kinsoku/>
        <w:wordWrap/>
        <w:overflowPunct/>
        <w:topLinePunct w:val="0"/>
        <w:autoSpaceDE/>
        <w:autoSpaceDN/>
        <w:bidi w:val="0"/>
        <w:adjustRightInd w:val="0"/>
        <w:snapToGrid w:val="0"/>
        <w:spacing w:after="0" w:line="360" w:lineRule="auto"/>
        <w:ind w:firstLine="562" w:firstLineChars="200"/>
        <w:textAlignment w:val="auto"/>
        <w:rPr>
          <w:rFonts w:hint="eastAsia" w:ascii="方正仿宋_GB2312" w:hAnsi="方正仿宋_GB2312" w:eastAsia="方正仿宋_GB2312" w:cs="方正仿宋_GB2312"/>
          <w:b/>
          <w:bCs/>
          <w:color w:val="FF0000"/>
          <w:sz w:val="28"/>
          <w:szCs w:val="36"/>
          <w:highlight w:val="none"/>
          <w:lang w:val="en-US" w:eastAsia="zh-CN"/>
        </w:rPr>
      </w:pPr>
    </w:p>
    <w:p w14:paraId="68B99B5C">
      <w:pPr>
        <w:keepNext w:val="0"/>
        <w:keepLines w:val="0"/>
        <w:pageBreakBefore w:val="0"/>
        <w:widowControl w:val="0"/>
        <w:kinsoku/>
        <w:wordWrap/>
        <w:overflowPunct/>
        <w:topLinePunct w:val="0"/>
        <w:autoSpaceDE/>
        <w:autoSpaceDN/>
        <w:bidi w:val="0"/>
        <w:adjustRightInd w:val="0"/>
        <w:snapToGrid w:val="0"/>
        <w:spacing w:after="0" w:line="360" w:lineRule="auto"/>
        <w:ind w:firstLine="562" w:firstLineChars="200"/>
        <w:textAlignment w:val="auto"/>
        <w:rPr>
          <w:rFonts w:hint="eastAsia" w:ascii="方正仿宋_GB2312" w:hAnsi="方正仿宋_GB2312" w:eastAsia="方正仿宋_GB2312" w:cs="方正仿宋_GB2312"/>
          <w:b/>
          <w:bCs/>
          <w:color w:val="FF0000"/>
          <w:sz w:val="28"/>
          <w:szCs w:val="36"/>
          <w:highlight w:val="none"/>
          <w:lang w:val="en-US" w:eastAsia="zh-CN"/>
        </w:rPr>
      </w:pPr>
    </w:p>
    <w:p w14:paraId="657679FA">
      <w:pPr>
        <w:keepNext w:val="0"/>
        <w:keepLines w:val="0"/>
        <w:pageBreakBefore w:val="0"/>
        <w:widowControl w:val="0"/>
        <w:kinsoku/>
        <w:wordWrap/>
        <w:overflowPunct/>
        <w:topLinePunct w:val="0"/>
        <w:autoSpaceDE/>
        <w:autoSpaceDN/>
        <w:bidi w:val="0"/>
        <w:adjustRightInd w:val="0"/>
        <w:snapToGrid w:val="0"/>
        <w:spacing w:after="0" w:line="360" w:lineRule="auto"/>
        <w:ind w:firstLine="562" w:firstLineChars="200"/>
        <w:textAlignment w:val="auto"/>
        <w:rPr>
          <w:rFonts w:hint="eastAsia" w:ascii="方正仿宋_GB2312" w:hAnsi="方正仿宋_GB2312" w:eastAsia="方正仿宋_GB2312" w:cs="方正仿宋_GB2312"/>
          <w:b/>
          <w:bCs/>
          <w:color w:val="FF0000"/>
          <w:sz w:val="28"/>
          <w:szCs w:val="36"/>
          <w:highlight w:val="none"/>
          <w:lang w:val="en-US" w:eastAsia="zh-CN"/>
        </w:rPr>
      </w:pPr>
    </w:p>
    <w:p w14:paraId="79005ED9">
      <w:pPr>
        <w:keepNext w:val="0"/>
        <w:keepLines w:val="0"/>
        <w:pageBreakBefore w:val="0"/>
        <w:widowControl w:val="0"/>
        <w:kinsoku/>
        <w:wordWrap/>
        <w:overflowPunct/>
        <w:topLinePunct w:val="0"/>
        <w:autoSpaceDE/>
        <w:autoSpaceDN/>
        <w:bidi w:val="0"/>
        <w:adjustRightInd w:val="0"/>
        <w:snapToGrid w:val="0"/>
        <w:spacing w:after="0" w:line="360" w:lineRule="auto"/>
        <w:ind w:firstLine="562" w:firstLineChars="200"/>
        <w:textAlignment w:val="auto"/>
        <w:rPr>
          <w:rFonts w:hint="eastAsia" w:ascii="方正仿宋_GB2312" w:hAnsi="方正仿宋_GB2312" w:eastAsia="方正仿宋_GB2312" w:cs="方正仿宋_GB2312"/>
          <w:b/>
          <w:bCs/>
          <w:color w:val="FF0000"/>
          <w:sz w:val="28"/>
          <w:szCs w:val="36"/>
          <w:highlight w:val="none"/>
          <w:lang w:val="en-US" w:eastAsia="zh-CN"/>
        </w:rPr>
      </w:pPr>
    </w:p>
    <w:p w14:paraId="71036052">
      <w:pPr>
        <w:keepNext w:val="0"/>
        <w:keepLines w:val="0"/>
        <w:pageBreakBefore w:val="0"/>
        <w:widowControl w:val="0"/>
        <w:kinsoku/>
        <w:wordWrap/>
        <w:overflowPunct/>
        <w:topLinePunct w:val="0"/>
        <w:autoSpaceDE/>
        <w:autoSpaceDN/>
        <w:bidi w:val="0"/>
        <w:adjustRightInd w:val="0"/>
        <w:snapToGrid w:val="0"/>
        <w:spacing w:after="0" w:line="360" w:lineRule="auto"/>
        <w:ind w:firstLine="562" w:firstLineChars="200"/>
        <w:textAlignment w:val="auto"/>
        <w:rPr>
          <w:rFonts w:hint="eastAsia" w:ascii="方正仿宋_GB2312" w:hAnsi="方正仿宋_GB2312" w:eastAsia="方正仿宋_GB2312" w:cs="方正仿宋_GB2312"/>
          <w:b/>
          <w:bCs/>
          <w:color w:val="FF0000"/>
          <w:sz w:val="28"/>
          <w:szCs w:val="36"/>
          <w:highlight w:val="none"/>
          <w:lang w:val="en-US" w:eastAsia="zh-CN"/>
        </w:rPr>
      </w:pPr>
    </w:p>
    <w:p w14:paraId="6F1E1919">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（三）建筑垃圾资源化利用产品</w:t>
      </w:r>
    </w:p>
    <w:p w14:paraId="3644F93B">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（1）再生骨料</w:t>
      </w:r>
    </w:p>
    <w:p w14:paraId="06814112">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经建筑垃圾处理系统后分选可得到不同粒径的再生骨料，再生骨料可作为生产再生绿色建材的原料使用，若用于生产再生绿色建材的再生骨料有剩余，可用于外售盈利。</w:t>
      </w:r>
    </w:p>
    <w:p w14:paraId="781D965E">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（2）道路无机材料</w:t>
      </w:r>
    </w:p>
    <w:p w14:paraId="5CCEAEF2">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道路无机材料也叫无机混合料，主要用途是用于道路垫层。建筑垃圾加以筛分、破碎后一定的粒径可以制成路基垫层原料。建筑垃圾处理后筛分出的渣土可掺入水泥和粉煤灰，加水拌匀碾压制成二灰土，可作为路用承重材料。</w:t>
      </w:r>
    </w:p>
    <w:p w14:paraId="5634F15D">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建筑垃圾骨料可作为路基填充料，当其中砖石块含量较多，其粉碎后的骨料，首先根据现行的行业标准《公路工程集料实验规程》的有关规定进行试验，当其性能满足相应公路设计的相关要求时，用于路基垫层。</w:t>
      </w:r>
    </w:p>
    <w:p w14:paraId="1320D0A5">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（3）再生烧结砖、混凝土砖</w:t>
      </w:r>
    </w:p>
    <w:p w14:paraId="4AA5A3FE">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建筑垃圾再生骨料可以用于生产符合标准再生混凝土砖，包含地面材料生态透水砖、浇筑透水砖、透水路牙砖三种生态透水砖，被广泛用于广场、人行道、慢车道、露天广场、园林、护坡、护基、高速公路和立交桥等。工程渣土中的青泥、红泥可以用于制作符合标准的再生烧结多孔砖，目前生产技术成熟。</w:t>
      </w:r>
    </w:p>
    <w:p w14:paraId="73A8133A">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（4）预拌混凝土</w:t>
      </w:r>
    </w:p>
    <w:p w14:paraId="47FCFD49">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预拌混凝土是在工厂或车间集中搅拌运送到建筑工地的混凝土。混凝土集中搅拌有利于采用先进的工艺技术，实行专业化生产管理。设备利用率高，计量准确，将配合好的干料装入混凝土搅拌输送车，因而产品质量好、材料消耗少、工效高、成本较低，又能改善劳动条件，减少环境污染。</w:t>
      </w:r>
    </w:p>
    <w:p w14:paraId="4069F056">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建筑垃圾经破碎筛分后的再生细骨料可以部分替代天然砂石用于生产再生预拌混凝土。</w:t>
      </w:r>
    </w:p>
    <w:p w14:paraId="649ACA35">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（5）装配式建筑预制构件</w:t>
      </w:r>
    </w:p>
    <w:p w14:paraId="6625B1CF">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混凝土预制构件是指在工厂中通过标准化、机械化方式加工生产的混凝土制品。无需工地现场制模、现场浇注和现场养护，预制件尺寸及特性的标准化能显著加快安装速度和建筑工程进度。2016年9月27日国务院出台《国务院办公厅关于大力发展装配式建筑的指导意见》，对大力发展装配式建筑、</w:t>
      </w:r>
    </w:p>
    <w:p w14:paraId="1EF8C13A">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（6）再生种植土</w:t>
      </w:r>
    </w:p>
    <w:p w14:paraId="41724918">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将建筑废物分选、粉碎后剩余的淤泥、石粉为原料，添加其他各种废物（主要包括污水处理厂的污泥，酒厂、食品厂的废渣）和泥炭土微量元素，按一定的质量比例，经混合搅拌而成建筑垃圾再生种植土，除具备天然土壤的特性外，还具有肥效高、透气好和保水强的特点。</w:t>
      </w:r>
    </w:p>
    <w:p w14:paraId="435E822B">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（7）其他</w:t>
      </w:r>
    </w:p>
    <w:p w14:paraId="0911F83F">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渣土可用于筑路施工、桩基填料、地基基础等。对于废弃木材类建筑垃圾，尚未明显破坏的木材可以直接再用于重建建筑，破损严重的木质构件可作为木质再生板材或造纸等的原材料。废钢材、废钢筋及其他废金属材料可再利用或回炉加工。</w:t>
      </w:r>
    </w:p>
    <w:p w14:paraId="2A3EBD07">
      <w:pPr>
        <w:pStyle w:val="2"/>
        <w:numPr>
          <w:ilvl w:val="0"/>
          <w:numId w:val="1"/>
        </w:numPr>
        <w:bidi w:val="0"/>
        <w:rPr>
          <w:rFonts w:hint="default"/>
          <w:lang w:val="en-US" w:eastAsia="zh-CN"/>
        </w:rPr>
      </w:pPr>
      <w:bookmarkStart w:id="79" w:name="_Toc30089"/>
      <w:bookmarkStart w:id="80" w:name="_Toc30734"/>
      <w:r>
        <w:rPr>
          <w:rFonts w:hint="eastAsia"/>
          <w:lang w:val="en-US" w:eastAsia="zh-CN"/>
        </w:rPr>
        <w:t>建筑垃圾存量治理规划</w:t>
      </w:r>
      <w:bookmarkEnd w:id="79"/>
      <w:bookmarkEnd w:id="80"/>
    </w:p>
    <w:p w14:paraId="17C2CFCE">
      <w:pPr>
        <w:pStyle w:val="3"/>
        <w:numPr>
          <w:ilvl w:val="0"/>
          <w:numId w:val="10"/>
        </w:numPr>
        <w:bidi w:val="0"/>
        <w:rPr>
          <w:rFonts w:hint="eastAsia"/>
          <w:lang w:val="en-US" w:eastAsia="zh-CN"/>
        </w:rPr>
      </w:pPr>
      <w:bookmarkStart w:id="81" w:name="_Toc14149"/>
      <w:bookmarkStart w:id="82" w:name="_Toc18587"/>
      <w:r>
        <w:rPr>
          <w:rFonts w:hint="eastAsia"/>
          <w:lang w:val="en-US" w:eastAsia="zh-CN"/>
        </w:rPr>
        <w:t>建立健全顶层制度设计</w:t>
      </w:r>
      <w:bookmarkEnd w:id="81"/>
      <w:bookmarkEnd w:id="82"/>
    </w:p>
    <w:p w14:paraId="54F0900B">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1、专项规划编制</w:t>
      </w:r>
    </w:p>
    <w:p w14:paraId="0CB2BA23">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县</w:t>
      </w:r>
      <w:r>
        <w:rPr>
          <w:rFonts w:hint="default" w:ascii="仿宋" w:hAnsi="仿宋" w:eastAsia="仿宋" w:cs="仿宋"/>
          <w:color w:val="000000" w:themeColor="text1"/>
          <w:sz w:val="28"/>
          <w:szCs w:val="36"/>
          <w:highlight w:val="none"/>
          <w:lang w:val="en-US" w:eastAsia="zh-CN"/>
          <w14:textFill>
            <w14:solidFill>
              <w14:schemeClr w14:val="tx1"/>
            </w14:solidFill>
          </w14:textFill>
        </w:rPr>
        <w:t>级层面专项规划：</w:t>
      </w:r>
      <w:r>
        <w:rPr>
          <w:rFonts w:hint="eastAsia" w:ascii="仿宋" w:hAnsi="仿宋" w:eastAsia="仿宋" w:cs="仿宋"/>
          <w:color w:val="000000" w:themeColor="text1"/>
          <w:sz w:val="28"/>
          <w:szCs w:val="36"/>
          <w:highlight w:val="none"/>
          <w:lang w:val="en-US" w:eastAsia="zh-CN"/>
          <w14:textFill>
            <w14:solidFill>
              <w14:schemeClr w14:val="tx1"/>
            </w14:solidFill>
          </w14:textFill>
        </w:rPr>
        <w:t>结合霍山县</w:t>
      </w:r>
      <w:r>
        <w:rPr>
          <w:rFonts w:hint="default" w:ascii="仿宋" w:hAnsi="仿宋" w:eastAsia="仿宋" w:cs="仿宋"/>
          <w:color w:val="000000" w:themeColor="text1"/>
          <w:sz w:val="28"/>
          <w:szCs w:val="36"/>
          <w:highlight w:val="none"/>
          <w:lang w:val="en-US" w:eastAsia="zh-CN"/>
          <w14:textFill>
            <w14:solidFill>
              <w14:schemeClr w14:val="tx1"/>
            </w14:solidFill>
          </w14:textFill>
        </w:rPr>
        <w:t>中心城区环卫专项规划的编制，将中心城区建筑垃圾非正规堆埋点的转运收集与处理设施，以及各类垃圾的环卫收集转运与处理处置设施等纳入规划统筹。同时将编制的《</w:t>
      </w:r>
      <w:r>
        <w:rPr>
          <w:rFonts w:hint="eastAsia" w:ascii="仿宋" w:hAnsi="仿宋" w:eastAsia="仿宋" w:cs="仿宋"/>
          <w:color w:val="000000" w:themeColor="text1"/>
          <w:sz w:val="28"/>
          <w:szCs w:val="36"/>
          <w:highlight w:val="none"/>
          <w:lang w:val="en-US" w:eastAsia="zh-CN"/>
          <w14:textFill>
            <w14:solidFill>
              <w14:schemeClr w14:val="tx1"/>
            </w14:solidFill>
          </w14:textFill>
        </w:rPr>
        <w:t>霍山县</w:t>
      </w:r>
      <w:r>
        <w:rPr>
          <w:rFonts w:hint="default" w:ascii="仿宋" w:hAnsi="仿宋" w:eastAsia="仿宋" w:cs="仿宋"/>
          <w:color w:val="000000" w:themeColor="text1"/>
          <w:sz w:val="28"/>
          <w:szCs w:val="36"/>
          <w:highlight w:val="none"/>
          <w:lang w:val="en-US" w:eastAsia="zh-CN"/>
          <w14:textFill>
            <w14:solidFill>
              <w14:schemeClr w14:val="tx1"/>
            </w14:solidFill>
          </w14:textFill>
        </w:rPr>
        <w:t>建筑垃圾污染环境防治</w:t>
      </w:r>
      <w:r>
        <w:rPr>
          <w:rFonts w:hint="eastAsia" w:ascii="仿宋" w:hAnsi="仿宋" w:eastAsia="仿宋" w:cs="仿宋"/>
          <w:color w:val="000000" w:themeColor="text1"/>
          <w:sz w:val="28"/>
          <w:szCs w:val="36"/>
          <w:highlight w:val="none"/>
          <w:lang w:val="en-US" w:eastAsia="zh-CN"/>
          <w14:textFill>
            <w14:solidFill>
              <w14:schemeClr w14:val="tx1"/>
            </w14:solidFill>
          </w14:textFill>
        </w:rPr>
        <w:t>专项</w:t>
      </w:r>
      <w:r>
        <w:rPr>
          <w:rFonts w:hint="default" w:ascii="仿宋" w:hAnsi="仿宋" w:eastAsia="仿宋" w:cs="仿宋"/>
          <w:color w:val="000000" w:themeColor="text1"/>
          <w:sz w:val="28"/>
          <w:szCs w:val="36"/>
          <w:highlight w:val="none"/>
          <w:lang w:val="en-US" w:eastAsia="zh-CN"/>
          <w14:textFill>
            <w14:solidFill>
              <w14:schemeClr w14:val="tx1"/>
            </w14:solidFill>
          </w14:textFill>
        </w:rPr>
        <w:t>规划（202</w:t>
      </w:r>
      <w:r>
        <w:rPr>
          <w:rFonts w:hint="eastAsia" w:ascii="仿宋" w:hAnsi="仿宋" w:eastAsia="仿宋" w:cs="仿宋"/>
          <w:color w:val="000000" w:themeColor="text1"/>
          <w:sz w:val="28"/>
          <w:szCs w:val="36"/>
          <w:highlight w:val="none"/>
          <w:lang w:val="en-US" w:eastAsia="zh-CN"/>
          <w14:textFill>
            <w14:solidFill>
              <w14:schemeClr w14:val="tx1"/>
            </w14:solidFill>
          </w14:textFill>
        </w:rPr>
        <w:t>4</w:t>
      </w:r>
      <w:r>
        <w:rPr>
          <w:rFonts w:hint="default" w:ascii="仿宋" w:hAnsi="仿宋" w:eastAsia="仿宋" w:cs="仿宋"/>
          <w:color w:val="000000" w:themeColor="text1"/>
          <w:sz w:val="28"/>
          <w:szCs w:val="36"/>
          <w:highlight w:val="none"/>
          <w:lang w:val="en-US" w:eastAsia="zh-CN"/>
          <w14:textFill>
            <w14:solidFill>
              <w14:schemeClr w14:val="tx1"/>
            </w14:solidFill>
          </w14:textFill>
        </w:rPr>
        <w:t>-2035年）》，作为构建</w:t>
      </w:r>
      <w:r>
        <w:rPr>
          <w:rFonts w:hint="eastAsia" w:ascii="仿宋" w:hAnsi="仿宋" w:eastAsia="仿宋" w:cs="仿宋"/>
          <w:color w:val="000000" w:themeColor="text1"/>
          <w:sz w:val="28"/>
          <w:szCs w:val="36"/>
          <w:highlight w:val="none"/>
          <w:lang w:val="en-US" w:eastAsia="zh-CN"/>
          <w14:textFill>
            <w14:solidFill>
              <w14:schemeClr w14:val="tx1"/>
            </w14:solidFill>
          </w14:textFill>
        </w:rPr>
        <w:t>霍山县</w:t>
      </w:r>
      <w:r>
        <w:rPr>
          <w:rFonts w:hint="default" w:ascii="仿宋" w:hAnsi="仿宋" w:eastAsia="仿宋" w:cs="仿宋"/>
          <w:color w:val="000000" w:themeColor="text1"/>
          <w:sz w:val="28"/>
          <w:szCs w:val="36"/>
          <w:highlight w:val="none"/>
          <w:lang w:val="en-US" w:eastAsia="zh-CN"/>
          <w14:textFill>
            <w14:solidFill>
              <w14:schemeClr w14:val="tx1"/>
            </w14:solidFill>
          </w14:textFill>
        </w:rPr>
        <w:t>建筑垃圾转运调配设施、资源化利用设施、堆填处理设施和填埋处理设施的综合利用设施模式，以及指导</w:t>
      </w:r>
      <w:r>
        <w:rPr>
          <w:rFonts w:hint="eastAsia" w:ascii="仿宋" w:hAnsi="仿宋" w:eastAsia="仿宋" w:cs="仿宋"/>
          <w:color w:val="000000" w:themeColor="text1"/>
          <w:sz w:val="28"/>
          <w:szCs w:val="36"/>
          <w:highlight w:val="none"/>
          <w:lang w:val="en-US" w:eastAsia="zh-CN"/>
          <w14:textFill>
            <w14:solidFill>
              <w14:schemeClr w14:val="tx1"/>
            </w14:solidFill>
          </w14:textFill>
        </w:rPr>
        <w:t>霍山县</w:t>
      </w:r>
      <w:r>
        <w:rPr>
          <w:rFonts w:hint="default" w:ascii="仿宋" w:hAnsi="仿宋" w:eastAsia="仿宋" w:cs="仿宋"/>
          <w:color w:val="000000" w:themeColor="text1"/>
          <w:sz w:val="28"/>
          <w:szCs w:val="36"/>
          <w:highlight w:val="none"/>
          <w:lang w:val="en-US" w:eastAsia="zh-CN"/>
          <w14:textFill>
            <w14:solidFill>
              <w14:schemeClr w14:val="tx1"/>
            </w14:solidFill>
          </w14:textFill>
        </w:rPr>
        <w:t>建筑垃圾收运与处理的法定治理文件。</w:t>
      </w:r>
    </w:p>
    <w:p w14:paraId="3C353AC4">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辖属各县专项规划：市域辖区</w:t>
      </w:r>
      <w:r>
        <w:rPr>
          <w:rFonts w:hint="eastAsia" w:ascii="仿宋" w:hAnsi="仿宋" w:eastAsia="仿宋" w:cs="仿宋"/>
          <w:color w:val="000000" w:themeColor="text1"/>
          <w:sz w:val="28"/>
          <w:szCs w:val="36"/>
          <w:highlight w:val="none"/>
          <w:lang w:val="en-US" w:eastAsia="zh-CN"/>
          <w14:textFill>
            <w14:solidFill>
              <w14:schemeClr w14:val="tx1"/>
            </w14:solidFill>
          </w14:textFill>
        </w:rPr>
        <w:t>4</w:t>
      </w:r>
      <w:r>
        <w:rPr>
          <w:rFonts w:hint="default" w:ascii="仿宋" w:hAnsi="仿宋" w:eastAsia="仿宋" w:cs="仿宋"/>
          <w:color w:val="000000" w:themeColor="text1"/>
          <w:sz w:val="28"/>
          <w:szCs w:val="36"/>
          <w:highlight w:val="none"/>
          <w:lang w:val="en-US" w:eastAsia="zh-CN"/>
          <w14:textFill>
            <w14:solidFill>
              <w14:schemeClr w14:val="tx1"/>
            </w14:solidFill>
          </w14:textFill>
        </w:rPr>
        <w:t>县应积极启动编制各县建筑垃圾污染环境防治工作规划，充分与市级建筑垃圾污染环境防治工作规划相衔接，严格落实规划目标指标要求，并将各县建筑垃圾污染环境防治工作规划作为本县建筑垃圾治理的有效指导依据。</w:t>
      </w:r>
    </w:p>
    <w:p w14:paraId="7ABF8C5F">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2、出台建筑垃圾管理办法</w:t>
      </w:r>
    </w:p>
    <w:p w14:paraId="59B2630C">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bookmarkStart w:id="83" w:name="_Toc30566"/>
      <w:r>
        <w:rPr>
          <w:rFonts w:hint="eastAsia" w:ascii="仿宋" w:hAnsi="仿宋" w:eastAsia="仿宋" w:cs="仿宋"/>
          <w:color w:val="000000" w:themeColor="text1"/>
          <w:sz w:val="28"/>
          <w:szCs w:val="36"/>
          <w:highlight w:val="none"/>
          <w:lang w:val="en-US" w:eastAsia="zh-CN"/>
          <w14:textFill>
            <w14:solidFill>
              <w14:schemeClr w14:val="tx1"/>
            </w14:solidFill>
          </w14:textFill>
        </w:rPr>
        <w:t>《霍山县建筑垃圾管理实施办法》已经2017年业经县政府第5次常务会议审议通过。</w:t>
      </w:r>
    </w:p>
    <w:p w14:paraId="4D26ACC7">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霍山县</w:t>
      </w:r>
      <w:r>
        <w:rPr>
          <w:rFonts w:hint="default" w:ascii="仿宋" w:hAnsi="仿宋" w:eastAsia="仿宋" w:cs="仿宋"/>
          <w:color w:val="000000" w:themeColor="text1"/>
          <w:sz w:val="28"/>
          <w:szCs w:val="36"/>
          <w:highlight w:val="none"/>
          <w:lang w:val="en-US" w:eastAsia="zh-CN"/>
          <w14:textFill>
            <w14:solidFill>
              <w14:schemeClr w14:val="tx1"/>
            </w14:solidFill>
          </w14:textFill>
        </w:rPr>
        <w:t>城市管理局作为</w:t>
      </w:r>
      <w:r>
        <w:rPr>
          <w:rFonts w:hint="eastAsia" w:ascii="仿宋" w:hAnsi="仿宋" w:eastAsia="仿宋" w:cs="仿宋"/>
          <w:color w:val="000000" w:themeColor="text1"/>
          <w:sz w:val="28"/>
          <w:szCs w:val="36"/>
          <w:highlight w:val="none"/>
          <w:lang w:val="en-US" w:eastAsia="zh-CN"/>
          <w14:textFill>
            <w14:solidFill>
              <w14:schemeClr w14:val="tx1"/>
            </w14:solidFill>
          </w14:textFill>
        </w:rPr>
        <w:t>霍山县</w:t>
      </w:r>
      <w:r>
        <w:rPr>
          <w:rFonts w:hint="default" w:ascii="仿宋" w:hAnsi="仿宋" w:eastAsia="仿宋" w:cs="仿宋"/>
          <w:color w:val="000000" w:themeColor="text1"/>
          <w:sz w:val="28"/>
          <w:szCs w:val="36"/>
          <w:highlight w:val="none"/>
          <w:lang w:val="en-US" w:eastAsia="zh-CN"/>
          <w14:textFill>
            <w14:solidFill>
              <w14:schemeClr w14:val="tx1"/>
            </w14:solidFill>
          </w14:textFill>
        </w:rPr>
        <w:t>建筑垃圾的行政主管部门应积极</w:t>
      </w:r>
      <w:r>
        <w:rPr>
          <w:rFonts w:hint="eastAsia" w:ascii="仿宋" w:hAnsi="仿宋" w:eastAsia="仿宋" w:cs="仿宋"/>
          <w:color w:val="000000" w:themeColor="text1"/>
          <w:sz w:val="28"/>
          <w:szCs w:val="36"/>
          <w:highlight w:val="none"/>
          <w:lang w:val="en-US" w:eastAsia="zh-CN"/>
          <w14:textFill>
            <w14:solidFill>
              <w14:schemeClr w14:val="tx1"/>
            </w14:solidFill>
          </w14:textFill>
        </w:rPr>
        <w:t>修编</w:t>
      </w:r>
      <w:r>
        <w:rPr>
          <w:rFonts w:hint="default" w:ascii="仿宋" w:hAnsi="仿宋" w:eastAsia="仿宋" w:cs="仿宋"/>
          <w:color w:val="000000" w:themeColor="text1"/>
          <w:sz w:val="28"/>
          <w:szCs w:val="36"/>
          <w:highlight w:val="none"/>
          <w:lang w:val="en-US" w:eastAsia="zh-CN"/>
          <w14:textFill>
            <w14:solidFill>
              <w14:schemeClr w14:val="tx1"/>
            </w14:solidFill>
          </w14:textFill>
        </w:rPr>
        <w:t>新时期的</w:t>
      </w:r>
      <w:r>
        <w:rPr>
          <w:rFonts w:hint="eastAsia" w:ascii="仿宋" w:hAnsi="仿宋" w:eastAsia="仿宋" w:cs="仿宋"/>
          <w:color w:val="000000" w:themeColor="text1"/>
          <w:sz w:val="28"/>
          <w:szCs w:val="36"/>
          <w:highlight w:val="none"/>
          <w:lang w:val="en-US" w:eastAsia="zh-CN"/>
          <w14:textFill>
            <w14:solidFill>
              <w14:schemeClr w14:val="tx1"/>
            </w14:solidFill>
          </w14:textFill>
        </w:rPr>
        <w:t>《霍山县建筑垃圾管理实施办法》</w:t>
      </w:r>
      <w:r>
        <w:rPr>
          <w:rFonts w:hint="default" w:ascii="仿宋" w:hAnsi="仿宋" w:eastAsia="仿宋" w:cs="仿宋"/>
          <w:color w:val="000000" w:themeColor="text1"/>
          <w:sz w:val="28"/>
          <w:szCs w:val="36"/>
          <w:highlight w:val="none"/>
          <w:lang w:val="en-US" w:eastAsia="zh-CN"/>
          <w14:textFill>
            <w14:solidFill>
              <w14:schemeClr w14:val="tx1"/>
            </w14:solidFill>
          </w14:textFill>
        </w:rPr>
        <w:t>，作为指导</w:t>
      </w:r>
      <w:r>
        <w:rPr>
          <w:rFonts w:hint="eastAsia" w:ascii="仿宋" w:hAnsi="仿宋" w:eastAsia="仿宋" w:cs="仿宋"/>
          <w:color w:val="000000" w:themeColor="text1"/>
          <w:sz w:val="28"/>
          <w:szCs w:val="36"/>
          <w:highlight w:val="none"/>
          <w:lang w:val="en-US" w:eastAsia="zh-CN"/>
          <w14:textFill>
            <w14:solidFill>
              <w14:schemeClr w14:val="tx1"/>
            </w14:solidFill>
          </w14:textFill>
        </w:rPr>
        <w:t>霍山县</w:t>
      </w:r>
      <w:r>
        <w:rPr>
          <w:rFonts w:hint="default" w:ascii="仿宋" w:hAnsi="仿宋" w:eastAsia="仿宋" w:cs="仿宋"/>
          <w:color w:val="000000" w:themeColor="text1"/>
          <w:sz w:val="28"/>
          <w:szCs w:val="36"/>
          <w:highlight w:val="none"/>
          <w:lang w:val="en-US" w:eastAsia="zh-CN"/>
          <w14:textFill>
            <w14:solidFill>
              <w14:schemeClr w14:val="tx1"/>
            </w14:solidFill>
          </w14:textFill>
        </w:rPr>
        <w:t>中心城区及各县区建筑垃圾治理管理的执法依据之一，满足新时期</w:t>
      </w:r>
      <w:r>
        <w:rPr>
          <w:rFonts w:hint="eastAsia" w:ascii="仿宋" w:hAnsi="仿宋" w:eastAsia="仿宋" w:cs="仿宋"/>
          <w:color w:val="000000" w:themeColor="text1"/>
          <w:sz w:val="28"/>
          <w:szCs w:val="36"/>
          <w:highlight w:val="none"/>
          <w:lang w:val="en-US" w:eastAsia="zh-CN"/>
          <w14:textFill>
            <w14:solidFill>
              <w14:schemeClr w14:val="tx1"/>
            </w14:solidFill>
          </w14:textFill>
        </w:rPr>
        <w:t>霍山县</w:t>
      </w:r>
      <w:r>
        <w:rPr>
          <w:rFonts w:hint="default" w:ascii="仿宋" w:hAnsi="仿宋" w:eastAsia="仿宋" w:cs="仿宋"/>
          <w:color w:val="000000" w:themeColor="text1"/>
          <w:sz w:val="28"/>
          <w:szCs w:val="36"/>
          <w:highlight w:val="none"/>
          <w:lang w:val="en-US" w:eastAsia="zh-CN"/>
          <w14:textFill>
            <w14:solidFill>
              <w14:schemeClr w14:val="tx1"/>
            </w14:solidFill>
          </w14:textFill>
        </w:rPr>
        <w:t>绿色高质量发展要求。</w:t>
      </w:r>
    </w:p>
    <w:p w14:paraId="35ED5A92">
      <w:pPr>
        <w:pStyle w:val="3"/>
        <w:numPr>
          <w:ilvl w:val="0"/>
          <w:numId w:val="10"/>
        </w:numPr>
        <w:bidi w:val="0"/>
        <w:rPr>
          <w:rFonts w:hint="default"/>
          <w:lang w:val="en-US" w:eastAsia="zh-CN"/>
        </w:rPr>
      </w:pPr>
      <w:bookmarkStart w:id="84" w:name="_Toc7785"/>
      <w:r>
        <w:rPr>
          <w:rFonts w:hint="eastAsia"/>
          <w:lang w:val="en-US" w:eastAsia="zh-CN"/>
        </w:rPr>
        <w:t>制定完善治理工作机制</w:t>
      </w:r>
      <w:bookmarkEnd w:id="83"/>
      <w:bookmarkEnd w:id="84"/>
    </w:p>
    <w:p w14:paraId="6156024B">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1、</w:t>
      </w:r>
      <w:r>
        <w:rPr>
          <w:rFonts w:hint="default" w:ascii="仿宋" w:hAnsi="仿宋" w:eastAsia="仿宋" w:cs="仿宋"/>
          <w:color w:val="000000" w:themeColor="text1"/>
          <w:sz w:val="28"/>
          <w:szCs w:val="36"/>
          <w:highlight w:val="none"/>
          <w:lang w:val="en-US" w:eastAsia="zh-CN"/>
          <w14:textFill>
            <w14:solidFill>
              <w14:schemeClr w14:val="tx1"/>
            </w14:solidFill>
          </w14:textFill>
        </w:rPr>
        <w:t>摸底排查</w:t>
      </w:r>
    </w:p>
    <w:p w14:paraId="2A8D7573">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霍山县</w:t>
      </w:r>
      <w:r>
        <w:rPr>
          <w:rFonts w:hint="default" w:ascii="仿宋" w:hAnsi="仿宋" w:eastAsia="仿宋" w:cs="仿宋"/>
          <w:color w:val="000000" w:themeColor="text1"/>
          <w:sz w:val="28"/>
          <w:szCs w:val="36"/>
          <w:highlight w:val="none"/>
          <w:lang w:val="en-US" w:eastAsia="zh-CN"/>
          <w14:textFill>
            <w14:solidFill>
              <w14:schemeClr w14:val="tx1"/>
            </w14:solidFill>
          </w14:textFill>
        </w:rPr>
        <w:t>及所辖各区县按属地管理原则，全域开展地毯式排查，建立建筑垃圾乱堆乱倒排查点位清单；根据排查点位位置、堆体规模、组分、周边环境、水文地质条件及侧向和底部渗透等情况，评估污染程度、风险等级，区分“稳定”“存在安全隐患”两大类，建立问题鉴定清单。</w:t>
      </w:r>
    </w:p>
    <w:p w14:paraId="53025BF6">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2、</w:t>
      </w:r>
      <w:r>
        <w:rPr>
          <w:rFonts w:hint="default" w:ascii="仿宋" w:hAnsi="仿宋" w:eastAsia="仿宋" w:cs="仿宋"/>
          <w:color w:val="000000" w:themeColor="text1"/>
          <w:sz w:val="28"/>
          <w:szCs w:val="36"/>
          <w:highlight w:val="none"/>
          <w:lang w:val="en-US" w:eastAsia="zh-CN"/>
          <w14:textFill>
            <w14:solidFill>
              <w14:schemeClr w14:val="tx1"/>
            </w14:solidFill>
          </w14:textFill>
        </w:rPr>
        <w:t>全面治理</w:t>
      </w:r>
    </w:p>
    <w:p w14:paraId="32B3ADE6">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default" w:ascii="仿宋" w:hAnsi="仿宋" w:eastAsia="仿宋" w:cs="仿宋"/>
          <w:color w:val="000000" w:themeColor="text1"/>
          <w:sz w:val="28"/>
          <w:szCs w:val="36"/>
          <w:highlight w:val="none"/>
          <w:lang w:val="en-US" w:eastAsia="zh-CN"/>
          <w14:textFill>
            <w14:solidFill>
              <w14:schemeClr w14:val="tx1"/>
            </w14:solidFill>
          </w14:textFill>
        </w:rPr>
        <w:t>根据鉴定结果，一点一策制定整治方案，分类施策，明确整治目标任务、具体措施、责任要求和进度安排，建立整治任务清单；按照治理一处、核实一处、销号一处的要求，严格对标开展建筑垃圾治理成效复核和销号工作。各非正规垃圾堆放点位应于202</w:t>
      </w:r>
      <w:r>
        <w:rPr>
          <w:rFonts w:hint="eastAsia" w:ascii="仿宋" w:hAnsi="仿宋" w:eastAsia="仿宋" w:cs="仿宋"/>
          <w:color w:val="000000" w:themeColor="text1"/>
          <w:sz w:val="28"/>
          <w:szCs w:val="36"/>
          <w:highlight w:val="none"/>
          <w:lang w:val="en-US" w:eastAsia="zh-CN"/>
          <w14:textFill>
            <w14:solidFill>
              <w14:schemeClr w14:val="tx1"/>
            </w14:solidFill>
          </w14:textFill>
        </w:rPr>
        <w:t>5</w:t>
      </w:r>
      <w:r>
        <w:rPr>
          <w:rFonts w:hint="default" w:ascii="仿宋" w:hAnsi="仿宋" w:eastAsia="仿宋" w:cs="仿宋"/>
          <w:color w:val="000000" w:themeColor="text1"/>
          <w:sz w:val="28"/>
          <w:szCs w:val="36"/>
          <w:highlight w:val="none"/>
          <w:lang w:val="en-US" w:eastAsia="zh-CN"/>
          <w14:textFill>
            <w14:solidFill>
              <w14:schemeClr w14:val="tx1"/>
            </w14:solidFill>
          </w14:textFill>
        </w:rPr>
        <w:t>年12月底前全部完成治理。</w:t>
      </w:r>
    </w:p>
    <w:p w14:paraId="4B8B5A5D">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3、</w:t>
      </w:r>
      <w:r>
        <w:rPr>
          <w:rFonts w:hint="default" w:ascii="仿宋" w:hAnsi="仿宋" w:eastAsia="仿宋" w:cs="仿宋"/>
          <w:color w:val="000000" w:themeColor="text1"/>
          <w:sz w:val="28"/>
          <w:szCs w:val="36"/>
          <w:highlight w:val="none"/>
          <w:lang w:val="en-US" w:eastAsia="zh-CN"/>
          <w14:textFill>
            <w14:solidFill>
              <w14:schemeClr w14:val="tx1"/>
            </w14:solidFill>
          </w14:textFill>
        </w:rPr>
        <w:t>巩固提升</w:t>
      </w:r>
    </w:p>
    <w:p w14:paraId="19ABABC5">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default"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霍山县</w:t>
      </w:r>
      <w:r>
        <w:rPr>
          <w:rFonts w:hint="default" w:ascii="仿宋" w:hAnsi="仿宋" w:eastAsia="仿宋" w:cs="仿宋"/>
          <w:color w:val="000000" w:themeColor="text1"/>
          <w:sz w:val="28"/>
          <w:szCs w:val="36"/>
          <w:highlight w:val="none"/>
          <w:lang w:val="en-US" w:eastAsia="zh-CN"/>
          <w14:textFill>
            <w14:solidFill>
              <w14:schemeClr w14:val="tx1"/>
            </w14:solidFill>
          </w14:textFill>
        </w:rPr>
        <w:t>及所辖各区县应进一步细化部门职责分工，建立健全督察检查、联合执法机制，健全完善建筑垃圾长效管理“四清一责任”工作机制。</w:t>
      </w:r>
    </w:p>
    <w:p w14:paraId="3FC6EA49">
      <w:pPr>
        <w:rPr>
          <w:rFonts w:hint="default"/>
          <w:lang w:val="en-US" w:eastAsia="zh-CN"/>
        </w:rPr>
      </w:pPr>
    </w:p>
    <w:p w14:paraId="583EC1A3">
      <w:pPr>
        <w:rPr>
          <w:rFonts w:hint="default"/>
          <w:lang w:val="en-US" w:eastAsia="zh-CN"/>
        </w:rPr>
      </w:pPr>
    </w:p>
    <w:p w14:paraId="51E7232D">
      <w:pPr>
        <w:rPr>
          <w:rFonts w:hint="default"/>
          <w:lang w:val="en-US" w:eastAsia="zh-CN"/>
        </w:rPr>
      </w:pPr>
    </w:p>
    <w:p w14:paraId="58B75AD6">
      <w:pPr>
        <w:rPr>
          <w:rFonts w:hint="default"/>
          <w:lang w:val="en-US" w:eastAsia="zh-CN"/>
        </w:rPr>
      </w:pPr>
    </w:p>
    <w:p w14:paraId="726EEEB2">
      <w:pPr>
        <w:rPr>
          <w:rFonts w:hint="default"/>
          <w:lang w:val="en-US" w:eastAsia="zh-CN"/>
        </w:rPr>
      </w:pPr>
    </w:p>
    <w:p w14:paraId="71D0628C">
      <w:pPr>
        <w:rPr>
          <w:rFonts w:hint="default"/>
          <w:lang w:val="en-US" w:eastAsia="zh-CN"/>
        </w:rPr>
      </w:pPr>
    </w:p>
    <w:p w14:paraId="2CEA45D7">
      <w:pPr>
        <w:rPr>
          <w:rFonts w:hint="default"/>
          <w:lang w:val="en-US" w:eastAsia="zh-CN"/>
        </w:rPr>
      </w:pPr>
      <w:r>
        <w:rPr>
          <w:rFonts w:hint="default"/>
          <w:lang w:val="en-US" w:eastAsia="zh-CN"/>
        </w:rPr>
        <w:br w:type="page"/>
      </w:r>
    </w:p>
    <w:p w14:paraId="721AE00D">
      <w:pPr>
        <w:pStyle w:val="2"/>
        <w:numPr>
          <w:ilvl w:val="0"/>
          <w:numId w:val="1"/>
        </w:numPr>
        <w:bidi w:val="0"/>
        <w:rPr>
          <w:rFonts w:hint="default"/>
          <w:lang w:val="en-US" w:eastAsia="zh-CN"/>
        </w:rPr>
      </w:pPr>
      <w:bookmarkStart w:id="85" w:name="_Toc26101"/>
      <w:bookmarkStart w:id="86" w:name="_Toc22226"/>
      <w:r>
        <w:rPr>
          <w:rFonts w:hint="eastAsia"/>
          <w:lang w:val="en-US" w:eastAsia="zh-CN"/>
        </w:rPr>
        <w:t>建筑垃圾监督管理规划</w:t>
      </w:r>
      <w:bookmarkEnd w:id="85"/>
      <w:bookmarkEnd w:id="86"/>
    </w:p>
    <w:p w14:paraId="01B28F4C">
      <w:pPr>
        <w:pStyle w:val="3"/>
        <w:numPr>
          <w:ilvl w:val="0"/>
          <w:numId w:val="11"/>
        </w:numPr>
        <w:bidi w:val="0"/>
        <w:rPr>
          <w:rFonts w:hint="default"/>
          <w:lang w:val="en-US" w:eastAsia="zh-CN"/>
        </w:rPr>
      </w:pPr>
      <w:bookmarkStart w:id="87" w:name="_Toc4264"/>
      <w:bookmarkStart w:id="88" w:name="_Toc3979"/>
      <w:r>
        <w:rPr>
          <w:rFonts w:hint="eastAsia"/>
          <w:lang w:val="en-US" w:eastAsia="zh-CN"/>
        </w:rPr>
        <w:t>部门职责</w:t>
      </w:r>
      <w:bookmarkEnd w:id="87"/>
      <w:bookmarkEnd w:id="88"/>
    </w:p>
    <w:p w14:paraId="568A7974">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建筑垃圾全过程管理涉及面广、环节多，牵涉到社会、经济、环境等各个方面，涉及城管、住建、公安、交通、财政、环保等各个部门，做好这项工作，需要政府的强力领导、多部门的协调联动和全社会的共同参与。协调联动既要加强住建系统如园林绿化、市政管理等内部各部门间的协调，形成合力，也要强化与公安、交通、财政、环保等政府各部门间的协调，争取支持。建立健全协调联动机制，主要领导要亲自推动，认真研究落实政策措施，明确责任，加大力度，使这项工作能够迅速推开、逐步规范。</w:t>
      </w:r>
    </w:p>
    <w:p w14:paraId="0DF1A875">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根据省内部分城市先进管理体系经验建议，根据《霍山县建筑垃圾管理实施办法》，县城市管理委员会各成员单位应齐抓共管、各司其职。</w:t>
      </w:r>
    </w:p>
    <w:p w14:paraId="32DA9C87">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城市管理执法部门：负责建筑垃圾处置、建筑垃圾弃置场地、建筑垃圾运输企业设置核准，负责建筑垃圾安全监管工作，对违法倾倒或者抛洒建筑垃圾污染路面的行为进行查处。</w:t>
      </w:r>
    </w:p>
    <w:p w14:paraId="61582AA1">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公安机关交通管理部门：负责对建筑垃圾运输车辆道路，交通安全监督管理，对违反《中华人民共和国道路交通安全法》的行为进行查处。</w:t>
      </w:r>
    </w:p>
    <w:p w14:paraId="4D398EDF">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住房和城乡建设、水利、交通部门：负责施工现场的文明施工管理，监督落实工地出入口冲洗保洁措施，对违反文明施工管理的违法行为进行查处。</w:t>
      </w:r>
    </w:p>
    <w:p w14:paraId="3DEFDC29">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交通运输部门：负责对道路货物运输经营者、运营车辆和运营驾驶人员货运市场准入的监督管理，对建筑垃圾运输车辆擅自改装在公路上超限运输和污染损坏公路的行为进行查处。</w:t>
      </w:r>
    </w:p>
    <w:p w14:paraId="6F006B02">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农机管理部门：负责城区运载建筑垃圾的农用经营车辆的管理，配合相关部门在城区对飞扬撒漏行为的治理和处罚。</w:t>
      </w:r>
    </w:p>
    <w:p w14:paraId="07718CED">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安全生产监督管理部门：负责将建筑垃圾安全生产工作纳入相关单位年度安全生产目标管理考评内容，依法加强建筑垃圾综合安全监管。</w:t>
      </w:r>
    </w:p>
    <w:p w14:paraId="42AB9B38">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监察机关：负责建筑垃圾运输管理和执法活动中不履行法定职责和违纪违规行为的查处。</w:t>
      </w:r>
    </w:p>
    <w:p w14:paraId="2D039ADF">
      <w:pPr>
        <w:pStyle w:val="3"/>
        <w:numPr>
          <w:ilvl w:val="0"/>
          <w:numId w:val="11"/>
        </w:numPr>
        <w:bidi w:val="0"/>
        <w:rPr>
          <w:rFonts w:hint="eastAsia"/>
          <w:lang w:val="en-US" w:eastAsia="zh-CN"/>
        </w:rPr>
      </w:pPr>
      <w:bookmarkStart w:id="89" w:name="_Toc32052"/>
      <w:bookmarkStart w:id="90" w:name="_Toc14303"/>
      <w:r>
        <w:rPr>
          <w:rFonts w:hint="eastAsia"/>
          <w:lang w:val="en-US" w:eastAsia="zh-CN"/>
        </w:rPr>
        <w:t>制度落实与建设</w:t>
      </w:r>
      <w:bookmarkEnd w:id="89"/>
      <w:bookmarkEnd w:id="90"/>
    </w:p>
    <w:p w14:paraId="2D6EDC1D">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1、落实建筑垃圾处置核准和建筑垃圾处理方案备案</w:t>
      </w:r>
    </w:p>
    <w:p w14:paraId="7036DBAE">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目前，霍山县结合工程建设项目审批改革，将城市建筑垃圾处置核准（含排放、准运、受纳）纳入霍山县工程建设项目无差别服务“市内通办”事项清单，对审批材料进行了市内统一。但在建筑垃圾排放环节，城市建筑垃圾处置核准申办率基本处于空白，这对于管理部门掌握建筑垃圾产生量、去向极为不利。为进一步落实建筑垃圾处置核准，提供以下方式供参考。</w:t>
      </w:r>
    </w:p>
    <w:p w14:paraId="70D83415">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（1）审批前置</w:t>
      </w:r>
    </w:p>
    <w:p w14:paraId="6E41A216">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审批前置：利用建筑施工、管线、道路开挖前期报批等环节，建立健全建筑垃圾处置核准手续，明确责任单位和责任人。</w:t>
      </w:r>
    </w:p>
    <w:p w14:paraId="2032EB77">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（2）审批联单制度（联审联批机制）</w:t>
      </w:r>
    </w:p>
    <w:p w14:paraId="6D042567">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审批联单制度：将规范处置建筑垃圾的管理要求列入施工合同，建设（拆迁）单位开工前必须提出申请，并报送建筑垃圾处理方案，明确建筑垃圾的种类、方量、处置方式和处置场所，经核准通过并发放《城市建筑垃圾处置核准证》后方可处置建筑垃圾。</w:t>
      </w:r>
    </w:p>
    <w:p w14:paraId="0BBE97CF">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2、源头减量</w:t>
      </w:r>
    </w:p>
    <w:p w14:paraId="09DCC11D">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按照住房和城乡建设部《关于推进建筑垃圾减量化的指导意见》，建立健全建筑垃圾减量化工作机制，促进源头分类、循环利用、减量排放。</w:t>
      </w:r>
    </w:p>
    <w:p w14:paraId="6A124254">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推行拆除与建筑垃圾资源化利用一体化管理，对拆除项目产生的建筑垃圾采取现场移动式破碎设备或运到固定式资源化利用点进行处理，以减少建筑垃圾排放。</w:t>
      </w:r>
    </w:p>
    <w:p w14:paraId="797FA665">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3、进一步规范运输行为</w:t>
      </w:r>
    </w:p>
    <w:p w14:paraId="3F4B79BF">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为规范建筑垃圾运输行业管理，引导和促进运输企业加强管理、保障安全、诚信经营、优质服务，建立和健全建筑垃圾运输行业进入和退出机制，根据《城市建筑垃圾管理规定》《霍山县建筑垃圾管理实施办法》和《霍山县建筑垃圾运输企业管理暂行规定》，结合霍山县实际，制定《霍山县建筑垃圾（渣土）运输企业考核暂行办法》。</w:t>
      </w:r>
    </w:p>
    <w:p w14:paraId="146E9191">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强化队伍管理。一方面从运输车辆达标、建筑垃圾准运证办理，违规行驶、超标排放、车辆定位和传感器装置无效等方面入手，对运输车辆驾驶员每月记分，每月排名，每月通报，严格奖惩，激励驾驶人员安全、文明、规范驾驶。另一方面建立建筑垃圾运输企业市场退出机制。</w:t>
      </w:r>
    </w:p>
    <w:p w14:paraId="36CF06AD">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强化人员培训。进一步加大建筑垃圾管理执法队伍培训力度，所有执法人员培训上岗，定期开展集中学习培训，邀请交警部门等单位业务骨干给执法人员进行讲课，传授工作经验和业务技能。</w:t>
      </w:r>
    </w:p>
    <w:p w14:paraId="23CBB80F">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建立淘汰退出机制。霍山县出台《霍山县建筑垃圾（渣土）运输企业车辆考核标准》《霍山县建筑垃圾（渣土）运输企业考核标准》，所属建筑垃圾运输车辆企业存在不按规定时间、路线行驶等违规行为的，将扣除本企业相应的分值，情节严重的直接清退出建筑垃圾运输市场。</w:t>
      </w:r>
    </w:p>
    <w:p w14:paraId="4A27E114">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4、大力推进资源化利用</w:t>
      </w:r>
    </w:p>
    <w:p w14:paraId="6A55443F">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加大政策扶持。落实国家、省有关建筑垃圾资源化利用、再生节能建筑材料、再生资源增值税减免等优惠政策；探索出台《霍山县建筑垃圾资源化产品推广实施办法》及实施细则，明确建筑垃圾再生利用的类别、要求和标准，拓宽再生产品使用范围；研究制定装修垃圾的收费制度和标准；在资金扶持政策、绿色建材及两型产品政府采购目录、资源化企业审批等方面，针对性出台支持政策。</w:t>
      </w:r>
    </w:p>
    <w:p w14:paraId="518D6E75">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大力推广资源化产品。在政府投资、国有资金控股或占主导地位建设的公共设施、市政基础设施等项目，鼓励使用符合技术指标、满足设计要求的建筑垃圾资源化产品。</w:t>
      </w:r>
    </w:p>
    <w:p w14:paraId="5FCCC574">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5、健全联合执法工作机制</w:t>
      </w:r>
    </w:p>
    <w:p w14:paraId="5E297DB7">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信息互通。对发现的问题线索，各部门应实现信息互通，形成共同管理机制，全力推进城市管理联合执法，切实解决建筑垃圾运输管理存在的问题。</w:t>
      </w:r>
    </w:p>
    <w:p w14:paraId="05907C7D">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执法前置。对辖区内建筑垃圾运输企业和工地项目负责人进行事前约谈，针对运输资格、路线审批、工地出入口建设、消纳场所规范等内容，向运输单位、施工单位提出明确要求，促使管理对象自觉规范运输和处置建筑垃圾，做到严格管理、文明清运。</w:t>
      </w:r>
    </w:p>
    <w:p w14:paraId="455F0EB1">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加快建设智慧化监管，提高执法效率。加快建立建筑垃圾全过程信息化平台，缓解基层执法监管压力，提高执法效率。</w:t>
      </w:r>
    </w:p>
    <w:p w14:paraId="24AA7FCC">
      <w:pPr>
        <w:pStyle w:val="3"/>
        <w:numPr>
          <w:ilvl w:val="0"/>
          <w:numId w:val="11"/>
        </w:numPr>
        <w:bidi w:val="0"/>
        <w:rPr>
          <w:rFonts w:hint="default"/>
          <w:lang w:val="en-US" w:eastAsia="zh-CN"/>
        </w:rPr>
      </w:pPr>
      <w:bookmarkStart w:id="91" w:name="_Toc27895"/>
      <w:bookmarkStart w:id="92" w:name="_Toc29612"/>
      <w:r>
        <w:rPr>
          <w:rFonts w:hint="eastAsia"/>
          <w:lang w:val="en-US" w:eastAsia="zh-CN"/>
        </w:rPr>
        <w:t>智能管理信息系统规划</w:t>
      </w:r>
      <w:bookmarkEnd w:id="91"/>
      <w:bookmarkEnd w:id="92"/>
    </w:p>
    <w:p w14:paraId="2949A633">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建筑垃圾信息管理系统的建设可分为两部分，一是建筑垃圾收运管理系统，二是建筑垃圾排放及资源化产品管理系统。</w:t>
      </w:r>
    </w:p>
    <w:p w14:paraId="1006D8D6">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（一）建筑垃圾收运管理系统</w:t>
      </w:r>
    </w:p>
    <w:p w14:paraId="1D92F5AB">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建立建筑垃圾收运管理系统。根据现有的或准备出台的建筑垃圾运输管理办法建立准入制度，并建立对应的建筑垃圾运输单位信息库，建筑垃圾运输司机信息库，建筑垃圾运输车辆信息库，建筑垃圾消纳场信息库。</w:t>
      </w:r>
    </w:p>
    <w:p w14:paraId="0656A395">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建立建筑垃圾运输车辆“两点一线”实时管理。“两点一线”管理的“两点”是指，出土工地，和建筑垃圾消纳场，“一线”主要指建筑垃圾运输车辆的行经路线及路线上的车辆行为。两点一线管理主要包含如下几个管理模块：一是建筑运输车辆出入场管理。二是建筑垃圾运输消纳场管理。三是建筑垃圾运输线路管理。</w:t>
      </w:r>
    </w:p>
    <w:p w14:paraId="494561BA">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实现移动办公功能。为建筑垃圾运输管理信息系统同期开发配套上述功能的移动端APP，实现移动办公。实时查询信息及实时接受违规报警信息。另外建筑垃圾运输车辆的移动端APP除具备申报手续接收报警信息等功能外，还将具备下载同步电子证照电子许可证等相关信息，并可在线查询公司、车辆、人员实时状态。</w:t>
      </w:r>
    </w:p>
    <w:p w14:paraId="1F81CB3B">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实现多系统互联，多平台调用数据。建设、交通运输、生态环境等部门提供建筑垃圾管理相关信息，实现职能部门数据共享。</w:t>
      </w:r>
    </w:p>
    <w:p w14:paraId="466D810A">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实现智能监控。通过智能车载终端、各种传感器、摄像头，利用4Gvpn专网，对建筑垃圾运输车辆的位置、行驶速度、空重载、举升、密闭及车外环境进行记录及监控，自动智能判别车辆违规情况并上报系统，实现建筑垃圾运输车辆的智能化监控。</w:t>
      </w:r>
    </w:p>
    <w:p w14:paraId="51F78FDD">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（二）建筑垃圾排放及资源化产品管理系统</w:t>
      </w:r>
    </w:p>
    <w:p w14:paraId="7A01C59F">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建筑垃圾排放及资源化产品管理系统，用户主体包括建设业主、施工单位、建筑垃圾资源化利用设施、建筑垃圾受纳场、相关行政部门、社会公众等。该类系统实现信息共享与交互、在线交易为目标，是一个信息集成度非常高的管理信息系统。</w:t>
      </w:r>
    </w:p>
    <w:p w14:paraId="426F9906">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b/>
          <w:sz w:val="32"/>
          <w:szCs w:val="20"/>
          <w:lang w:val="en-US" w:eastAsia="zh-CN"/>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建筑垃圾产生单位在系统平台上发布将要产生的建筑垃圾种类、数量、所处地理位置、企业基本信息等信息。建筑垃圾需求方如：建筑回填工地、建筑垃圾受纳场、资源化处理单位等浏览此平台，查询供需信息，与产生源进行议价及委托订单。用户通过系统以快捷的方式完成整个建筑垃圾交易过程。交易信息在保护用户合法隐私的情况下纳入统计管理。当系统运行一段时间后，将会积累大量、全面的交易数据，通过利用统计分析功能模块对历史数据进行挖掘、分析，为政府和企业提供决策支持。</w:t>
      </w:r>
    </w:p>
    <w:p w14:paraId="65CE442F">
      <w:pPr>
        <w:rPr>
          <w:rFonts w:hint="eastAsia"/>
          <w:b/>
          <w:sz w:val="32"/>
          <w:szCs w:val="20"/>
          <w:lang w:val="en-US" w:eastAsia="zh-CN"/>
        </w:rPr>
      </w:pPr>
      <w:r>
        <w:rPr>
          <w:rFonts w:hint="eastAsia"/>
          <w:b/>
          <w:sz w:val="32"/>
          <w:szCs w:val="20"/>
          <w:lang w:val="en-US" w:eastAsia="zh-CN"/>
        </w:rPr>
        <w:br w:type="page"/>
      </w:r>
    </w:p>
    <w:p w14:paraId="204BD315">
      <w:pPr>
        <w:pStyle w:val="2"/>
        <w:numPr>
          <w:ilvl w:val="0"/>
          <w:numId w:val="1"/>
        </w:numPr>
        <w:bidi w:val="0"/>
        <w:rPr>
          <w:rFonts w:hint="default"/>
          <w:lang w:val="en-US" w:eastAsia="zh-CN"/>
        </w:rPr>
      </w:pPr>
      <w:bookmarkStart w:id="93" w:name="_Toc11108"/>
      <w:bookmarkStart w:id="94" w:name="_Toc32031"/>
      <w:r>
        <w:rPr>
          <w:rFonts w:hint="eastAsia"/>
          <w:lang w:val="en-US" w:eastAsia="zh-CN"/>
        </w:rPr>
        <w:t>建筑垃圾资源化利用产业发展规划</w:t>
      </w:r>
      <w:bookmarkEnd w:id="93"/>
      <w:bookmarkEnd w:id="94"/>
    </w:p>
    <w:p w14:paraId="5D74033E">
      <w:pPr>
        <w:pStyle w:val="3"/>
        <w:numPr>
          <w:ilvl w:val="0"/>
          <w:numId w:val="12"/>
        </w:numPr>
        <w:bidi w:val="0"/>
        <w:rPr>
          <w:rFonts w:hint="eastAsia"/>
          <w:lang w:val="en-US" w:eastAsia="zh-CN"/>
        </w:rPr>
      </w:pPr>
      <w:bookmarkStart w:id="95" w:name="_Toc32048"/>
      <w:bookmarkStart w:id="96" w:name="_Toc22687"/>
      <w:r>
        <w:rPr>
          <w:rFonts w:hint="eastAsia"/>
          <w:lang w:val="en-US" w:eastAsia="zh-CN"/>
        </w:rPr>
        <w:t>建筑垃圾产业体系</w:t>
      </w:r>
      <w:bookmarkEnd w:id="95"/>
      <w:bookmarkEnd w:id="96"/>
    </w:p>
    <w:p w14:paraId="1DFC44E7">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1、建筑垃圾产业体系的定义</w:t>
      </w:r>
    </w:p>
    <w:p w14:paraId="1330AEAD">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根据对建筑垃圾处理产业的剖析及对产业化概念的界定，其产业化内涵为：一是从产业属性看，建筑垃圾处理应由政府统包统管的纯粹公益事业，转变为独立企业提供的社会服务产业。二是管理体制实行政企分开，政府从产业的投资者、建设者、运营者转变为市场的监督者、管理者，主要加强对建筑垃圾处理产业的管制，以确保建筑垃圾处理产业稳定地发展。三是从经营主体看，建筑垃圾处理企业实行企业化经营，不再直接靠财政拨款生存，而是通过建筑垃圾处理收费及销售建筑垃圾再生产品，在市场中生存发展。四是从市场结构看，建筑垃圾处理行业要降低进入壁垒，打破独家垄断，允许社会资金投资建筑垃圾处理设施，实行投资主体多元化。因此，我国建筑垃圾产业化的发展必须改革传统的建筑垃圾处理管理体制，使企业在政府监督管理下能够企业化经营、市场化运作。</w:t>
      </w:r>
    </w:p>
    <w:p w14:paraId="1254E05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霍山县建筑垃圾产业体系应由建筑垃圾治理全流程各环节衍生出的建筑垃圾治理相关产业链构成。其中包括源头减量环节相关的装配式建筑产业、绿色建筑产业、建筑垃圾（土方）资源交易产业等；由分类与收运环节衍生出的建筑垃圾分类回收产业、建筑垃圾运输产业等；以及由利用处置环节衍生出的资源化利用产业和终端消纳环节衍生出的填埋消纳产业等。</w:t>
      </w:r>
    </w:p>
    <w:p w14:paraId="7726BBD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2、建筑垃圾产业链规划</w:t>
      </w:r>
    </w:p>
    <w:p w14:paraId="6147B475">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建筑垃圾处理产业链是在建筑活动完成(资源价值的大部分转移)之后，通过对副产品(建筑垃圾)进行合理配置和利用，实现建筑垃圾资源残值的开发，将其转移到再生建材中，即建立回收——加工——再利用一条龙式的产业关联，实现资源价值转移的最大化。通过对建筑垃圾处理产业的分析及产业链概念的认识，在此构建建筑垃圾处理产业链模型。</w:t>
      </w:r>
    </w:p>
    <w:p w14:paraId="4E5539A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建筑垃圾处理产业链呈现以下两个特征：</w:t>
      </w:r>
    </w:p>
    <w:p w14:paraId="6537F655">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(1)产业链更长。建筑垃圾产业生产方式本身拉长了产业链条。在这一过程中原来被废弃的建筑垃圾由于进行了回收加工和无害处理，增加了生产环节，价值链相应得到延伸，同样的资源创造出更大的价值。</w:t>
      </w:r>
    </w:p>
    <w:p w14:paraId="597AEA4A">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价值链节点交叉、方向迂回情况增加。传统产业链通常是线性的，即围绕某一种产品进行流水线式的价值传递。建筑垃圾产业模式下，建筑原材料资源的价值利用更加充分，同样的资源未被多次利用，物质循环带来生产迂回，资源的多重开发导致资源的使用价值细分，产业链出现多次交叉。因此，建筑垃圾产业链的形状可能会呈现出网状、环形等特点。</w:t>
      </w:r>
    </w:p>
    <w:p w14:paraId="62AA66EC">
      <w:pPr>
        <w:pStyle w:val="3"/>
        <w:numPr>
          <w:ilvl w:val="0"/>
          <w:numId w:val="12"/>
        </w:numPr>
        <w:bidi w:val="0"/>
        <w:rPr>
          <w:rFonts w:hint="eastAsia"/>
          <w:lang w:val="en-US" w:eastAsia="zh-CN"/>
        </w:rPr>
      </w:pPr>
      <w:bookmarkStart w:id="97" w:name="_Toc11775"/>
      <w:bookmarkStart w:id="98" w:name="_Toc25413"/>
      <w:r>
        <w:rPr>
          <w:rFonts w:hint="eastAsia"/>
          <w:lang w:val="en-US" w:eastAsia="zh-CN"/>
        </w:rPr>
        <w:t>建筑垃圾资源利用规划</w:t>
      </w:r>
      <w:bookmarkEnd w:id="97"/>
      <w:bookmarkEnd w:id="98"/>
    </w:p>
    <w:p w14:paraId="56596898">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1、建筑垃圾资源处理方式</w:t>
      </w:r>
    </w:p>
    <w:p w14:paraId="25CFC3AA">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建筑垃圾资源处理方式主要分为直接利用和资源化再生利用两种模式。</w:t>
      </w:r>
    </w:p>
    <w:p w14:paraId="41C3450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直接利用。如分选处理、一般性回填等。建筑垃圾分选主要将砖瓦、混凝土、沥青混凝土、渣土、金属、木材、塑料、生活垃圾、有害垃圾分类。其中，砖瓦、混凝土、沥青混凝土可进行中级和高级利用。而金属、木材、塑料也可以回收利用。一般性回填主要利用砖瓦、混凝土、沥青混凝土、渣土等惰性且土力学特性较好的建筑垃圾。</w:t>
      </w:r>
    </w:p>
    <w:p w14:paraId="492A799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资源化再生利用。如加工成骨料、生产新型墙体材料、还原成水泥、沥青等再利用。可回收的建筑垃圾由获得许可证的公司经营管理，加工成骨料生产新型墙体材料等。新型墙体材料的生产工序主要包括粗选、破碎、筛分、磁选、风选等。主要骨料产品包括0~15mm砖再生集料，0~5mm混凝土再生砂，5~15mm、15~25mm、25~40mm的混凝土再生料。这些骨料具有空隙率高的特点，适合生产混凝土砌块，建筑隔声、保温、防火、防水墙板及建筑装饰砖等墙体材料。</w:t>
      </w:r>
    </w:p>
    <w:p w14:paraId="0FF1A7BE">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总之建筑垃圾的最终处理方式有很多种，不同处理方法之间的成本也不尽相同，如何合理地选择处理方式是建筑垃圾资源化利用厂成本管理的主要方面。</w:t>
      </w:r>
    </w:p>
    <w:p w14:paraId="36386C88">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2、建筑垃圾直接利用</w:t>
      </w:r>
    </w:p>
    <w:p w14:paraId="3F4296EB">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（1）工程渣土、工程泥浆的直接利用</w:t>
      </w:r>
    </w:p>
    <w:p w14:paraId="30C6FEAD">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工程渣土的利用的主要方式有：堆土造景、采石场/山体复绿、复垦耕地、公路路基等。</w:t>
      </w:r>
    </w:p>
    <w:p w14:paraId="367F3647">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堆土造景：采用堆坡造景方式，如道路旁防护绿地以30度角的斜坡堆起，则可以使得绿化面积增加约15%，而将坡做成弧形，则增加面积更多。同时在现代都市中，基本会以种植草坪、矮灌木、高大乔木的方式逐步递进，以强调城市景观绿化层次感，而在斜坡或是弧形坡面上种植多层次植物，空间则更为立体，景观造型更为丰富。</w:t>
      </w:r>
    </w:p>
    <w:p w14:paraId="430F988B">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采石场/山体复绿：工程渣土作为采石场、破坏山体的堆土复绿，用于生态恢复。根据采石区域的高度、坡度等三维空间特征，通过垂直绿化、分层台地式覆土种植、缓坡地直接覆土种植等方式恢复被破坏自然生态面貌。</w:t>
      </w:r>
    </w:p>
    <w:p w14:paraId="7E8F48AD">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耕地复垦：工程渣土的土虽然大都是有机质很少的生土，但这些土只要不是化工厂等污染地块挖出的，就都是未经污染的，虽然不含有腐殖质，但可以用人工的方式解决这一问题，如秸秆腐烂后混入其中，使城市弃土成为富含有机质的泥土。把经过处理的城市弃土运到农村用于耕地复垦，或者低洼低产农田的改造或耕地复垦。</w:t>
      </w:r>
    </w:p>
    <w:p w14:paraId="6EC3BB6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公路路基：工程渣土可作为公路路基的垫层材料使用。</w:t>
      </w:r>
    </w:p>
    <w:p w14:paraId="0256354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工程回填：作为工程所需的回填材料进行回填利用。</w:t>
      </w:r>
    </w:p>
    <w:p w14:paraId="17272424">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垃圾填埋场覆土：工程渣土还可以作为生活垃圾填埋场的间层覆土，也可以作为生活垃圾填埋场、建筑垃圾填埋场和临时消纳场封场和生态恢复的覆土进行利用。</w:t>
      </w:r>
    </w:p>
    <w:p w14:paraId="74FF6F9B">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（2）工程垃圾、拆除垃圾的直接利用</w:t>
      </w:r>
    </w:p>
    <w:p w14:paraId="53F71A83">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工程垃圾、拆除垃圾中主要为混凝土、砖块等，它们具有很稳定的结构、能够长时间地保持一定的硬度；将其用于建设中的地基可以避免风化等外界环境的干扰，起到加固地基的作用。对于它们的利用方法主要有：</w:t>
      </w:r>
    </w:p>
    <w:p w14:paraId="67388310">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用作渣土桩填料。建筑垃圾渣土桩是通过一定的动力设备将重锤拉高到适当高度后，失去拉力向下冲击地基，在地基坑中放入适量的以建筑垃圾为主要原料的混凝土，经过夯实处理后能够满足加固地基的要求。</w:t>
      </w:r>
    </w:p>
    <w:p w14:paraId="2F30C5C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用作夯扩桩填料。建筑垃圾夯扩桩的施工方法是采用细长锤在护筒通过打击而下沉，然后在护筒内将处理好的建筑垃圾等材料放入并且夯实，形成负荷载体，最后放入钢筋并且浇筑为混凝土桩。这种由建筑垃圾构成的桩基本上能够满足现在建筑的各种要求。</w:t>
      </w:r>
    </w:p>
    <w:p w14:paraId="271C2454">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建筑物拆除垃圾中完整尺寸的砖块经收集整理一般用于建筑施工工地的围墙、公路防护墙建设等。</w:t>
      </w:r>
    </w:p>
    <w:p w14:paraId="59C8E975">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在城市兴建大型建筑、广场、市政设施时，将其作为回填材料来使用。</w:t>
      </w:r>
    </w:p>
    <w:p w14:paraId="22887EFB">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装修垃圾的直接利用</w:t>
      </w:r>
    </w:p>
    <w:p w14:paraId="16890CB4">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装修垃圾成分复杂，一般需要经过垃圾分类之后才能进行直接利用。其中主要能够直接利用的材料有砖块、混凝土、竹木、金属等。</w:t>
      </w:r>
    </w:p>
    <w:p w14:paraId="3087E7D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竹木可用作模板、支撑柱的木材拆卸后，一般可以继续周转使用。对于大尺寸的竹木，经过简单加工后可以作为其他材料继续使用。对于不符合尺寸的废木材木棒以及锯末等可作为造纸原料和燃料使用，也可以作为堆肥原料和防护工程的覆盖物使用。对于废木料可以作为黏土、木料和水泥等的原料来使用制成复合材料，与普通混凝土相比，该复合材料具有质量轻，且热传导低等优点，因而可以将其作为特殊的绝热材料使用，还可将破碎的木材制造人造木砖，用于建筑门窗的安装。金属经除漆等可以直接作为原材料回收利用。</w:t>
      </w:r>
    </w:p>
    <w:p w14:paraId="068EAE75">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（3）建筑垃圾资源化再生利用</w:t>
      </w:r>
    </w:p>
    <w:p w14:paraId="0360411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建筑垃圾的资源化再生利用主要可用于生产再生骨料、再生砖、再生砌块、再生景观石、再生混凝土、再生稳定碎石、再生预拌砂浆等。</w:t>
      </w:r>
    </w:p>
    <w:p w14:paraId="0B1747FC">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建筑垃圾资源化再生利用控制要求</w:t>
      </w:r>
    </w:p>
    <w:p w14:paraId="122AA777">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（1）再生产品利用总体要求</w:t>
      </w:r>
    </w:p>
    <w:p w14:paraId="64D3C146">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1）再生产品用于建设项目时应满足相关标准的规定，并应遵循下列原则：</w:t>
      </w:r>
    </w:p>
    <w:p w14:paraId="2BA3B787">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产品同等性能条件下，鼓励优先采用再生产品。</w:t>
      </w:r>
    </w:p>
    <w:p w14:paraId="2A7CDD77">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建设项目范围内的地面道路和停车场，鼓励优先采用再生产品。</w:t>
      </w:r>
    </w:p>
    <w:p w14:paraId="0E19392A">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建设项目的基础垫层、围墙、管井、管沟、挡土坡及市政道路的路基垫层等部位，可采用再生产品。</w:t>
      </w:r>
    </w:p>
    <w:p w14:paraId="7EDE1CBA">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政府投资的建设项目鼓励优先采用再生产品。</w:t>
      </w:r>
    </w:p>
    <w:p w14:paraId="6AB84078">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2）再生材料的使用和管理，应符合下列规定:</w:t>
      </w:r>
    </w:p>
    <w:p w14:paraId="5CE8C368">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不同类别、不同粒径的再生材料应分开运输和堆放。</w:t>
      </w:r>
    </w:p>
    <w:p w14:paraId="5A41EC6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再生材料和天然材料应分开堆放。</w:t>
      </w:r>
    </w:p>
    <w:p w14:paraId="78588FD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再生材料的生产原料及使用情况等信息应加以规范记录。</w:t>
      </w:r>
    </w:p>
    <w:p w14:paraId="52C0978C">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再生制品应具有清晰的产品标识。</w:t>
      </w:r>
    </w:p>
    <w:p w14:paraId="249B148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w:t>
      </w: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w:t>
      </w: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）再生材料应用要求</w:t>
      </w:r>
    </w:p>
    <w:p w14:paraId="15A5D257">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1）被污染或腐蚀的建筑垃圾不得用于制备再生材料，再生材料的放射性应符合现行国家标准《建筑材料放射性核素限量》GB65660的规定。</w:t>
      </w:r>
    </w:p>
    <w:p w14:paraId="12C08FDA">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2）用于生产混凝土的再生粗骨料，其颗粒级配、性能指标应符合现行国家标准《混凝土用再生粗骨料》GB/T25177的规定。</w:t>
      </w:r>
    </w:p>
    <w:p w14:paraId="19B931D8">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3）用于生产混凝土和砂浆的再生细骨料，其颗粒级配、性能指标应符合现行国家标准《混凝土和砂浆用再生细骨料》GB/T25176的规定。</w:t>
      </w:r>
    </w:p>
    <w:p w14:paraId="16BF5998">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4）用于生产沥青混合料和道路用无机混合料的再生骨料，其颗粒级配、性能指标应符合国家现行标准《再生沥青混凝土》GB/T25033、《道路用建筑垃圾再生骨料无机混合料》JC/T2281的规定。</w:t>
      </w:r>
    </w:p>
    <w:p w14:paraId="1E100155">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5）用作混凝土掺合料的活性再生粉料，其性能指标应符合现行行业标准《废混凝土再生技术规范》SB/T11177的规定。</w:t>
      </w:r>
    </w:p>
    <w:p w14:paraId="3375E89C">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6）再生骨料可用于生产预拌混凝土、砂浆、砌块、砖、混凝土预制构件等，并应符合现行行业标准《再生骨料应用技术规程》JGJ/T240的要求。</w:t>
      </w:r>
    </w:p>
    <w:p w14:paraId="067D75A0">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7）再生骨料用作混凝土梁、板、柱、剪力墙、楼梯的原材料时，其性能指标应符合国家现行标准《混凝土结构设计规范》GB50010、《混凝土结构耐久性设计规范》GB/T50476和《普通混凝土配合比设计规程》JGJ55、《再生骨料混凝土耐久性控制技术规程》CECS385等的规定。</w:t>
      </w:r>
    </w:p>
    <w:p w14:paraId="2B273AA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8）再生骨料用作城市透水路面、停车场等透水混凝土的原材料时，其性能指标应符合现行行业标准《再生骨料透水混凝土应用技术规程》CJJ/T253的规定。</w:t>
      </w:r>
    </w:p>
    <w:p w14:paraId="5B1B0A56">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w:t>
      </w: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w:t>
      </w: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）再生</w:t>
      </w: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制品</w:t>
      </w: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应用要求</w:t>
      </w:r>
    </w:p>
    <w:p w14:paraId="06934F7C">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1）再生骨料混凝土应用于工程结构时，应满足国家现行标准《工程施工废弃物再生利用技术规范》GB/T50743、《再生骨料应用技术规程》JGJ/T240的相关规定。</w:t>
      </w:r>
    </w:p>
    <w:p w14:paraId="64B55677">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2）再生混合料应用于城镇道路时，应满足现行行业标准《城镇道路沥青路面再生利用技术规程》CJJT43、《城镇道路工程施工与质量验收规范》CJJ1的规定。</w:t>
      </w:r>
    </w:p>
    <w:p w14:paraId="3A81A4D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3）非烧结再生制品，包括混凝土实心砖、混凝土多孔砖、混凝土空心砖、普通混凝土小型空心砌块、透水路面砖和透水路面板等，其工程应用应符合下列规定：</w:t>
      </w:r>
    </w:p>
    <w:p w14:paraId="0AF01FF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用于园林景观道路、非重载道路或广场时，其产品性能应分别符合国家现行标准《混凝土实心砖》GB/T21144、《承重混凝土多孔砖》GB25779、《非承重混凝土空心砖》GB/T24492、《普通混凝土小型砌块》GB/T8239、《透水路面砖和透水路面板》GB/T25993等的规定。</w:t>
      </w:r>
    </w:p>
    <w:p w14:paraId="6F06AA84">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非烧结再生制品用于墙体时，其产品性能还应符合国家现行标准《混凝土小型空心砌块建筑技术规程》JGJT14、《混凝土砖建筑技术规范》CECS257、《混凝土多孔砖建筑技术规程》DB33/1014的规定。</w:t>
      </w:r>
    </w:p>
    <w:p w14:paraId="2CCAC00C">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4）烧结再生砖和砌块可用于非承重墙体，其产品性能应符合现行国家标准《烧结多孔砖和多孔砌块》GB13544、《烧结空心砖和空心砌块》GB/T13545的规定。</w:t>
      </w:r>
    </w:p>
    <w:p w14:paraId="6906B00C">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5）再生陶粒和陶砂可用于园林绿化。用于填充墙和建筑墙体、楼（屋）面隔热保温层的原材料时，其质量及性能应符合现行国家标准《轻集料及其试验方法》GB/T17431.1的规定。</w:t>
      </w:r>
    </w:p>
    <w:p w14:paraId="2BFE9C9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6）再生园林种植土可用于通用种植土和草坪土，其质量应符合现行行业标准《绿化种植土壤》CJ/T340的规定。</w:t>
      </w:r>
    </w:p>
    <w:p w14:paraId="42AD8F84">
      <w:pPr>
        <w:pStyle w:val="3"/>
        <w:numPr>
          <w:ilvl w:val="0"/>
          <w:numId w:val="12"/>
        </w:numPr>
        <w:bidi w:val="0"/>
        <w:rPr>
          <w:rFonts w:hint="eastAsia"/>
          <w:lang w:val="en-US" w:eastAsia="zh-CN"/>
        </w:rPr>
      </w:pPr>
      <w:bookmarkStart w:id="99" w:name="_Toc7639"/>
      <w:bookmarkStart w:id="100" w:name="_Toc171"/>
      <w:r>
        <w:rPr>
          <w:rFonts w:hint="eastAsia"/>
          <w:lang w:val="en-US" w:eastAsia="zh-CN"/>
        </w:rPr>
        <w:t>建筑垃圾产业化运营与管理</w:t>
      </w:r>
      <w:bookmarkEnd w:id="99"/>
      <w:bookmarkEnd w:id="100"/>
    </w:p>
    <w:p w14:paraId="7EB47934">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1、建筑垃圾产业化运营方法</w:t>
      </w:r>
    </w:p>
    <w:p w14:paraId="45A0964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（1）市场化运作</w:t>
      </w:r>
    </w:p>
    <w:p w14:paraId="540CA77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建筑垃圾资源化利用厂的建设需要大量资金，如果仅靠政府资金来建设的话，由于政府的自身财政有限，投资规模难以满足目前的建筑垃圾处理需求；与此同时，建筑垃圾处理公司由于其自身的管理问题和运行体系问题，使得公司的运营成本较高。因此，要促进霍山县建筑垃圾处理产业的发展，必然要引入多方的资源和多种管理发展模式，但由于建筑垃圾处理行业具有特殊的行业性质，必须考虑其自身具有的垄断性、有限竞争性和公益性的特点。综合以上因素，需要对霍山县建筑垃圾资源化利用厂采用特许经营方式，这种经营方式具有如下优点：</w:t>
      </w:r>
    </w:p>
    <w:p w14:paraId="3BD3F0FA">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1）减轻政府财政的负担</w:t>
      </w:r>
    </w:p>
    <w:p w14:paraId="77407BA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建筑垃圾处理公司通过特许经营，引入民间资本个人资本和外国资本进入该领域，在不同资本共存的条件下促进其经营方式的改变，改变建筑垃圾处理目前的弊端，改善目前的经营体制。政府可以通过建筑垃圾处理特许经营的方式减轻自身的财政负担和压力，另外通过这种方式还可以促进整个建筑处理行业的发展，使得国有资产在整个产业发展中，有更多的机会和实力投入到更加紧迫的相关技术领域。</w:t>
      </w:r>
    </w:p>
    <w:p w14:paraId="59AF7473">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2）引进先进的建设技术和管理经验</w:t>
      </w:r>
    </w:p>
    <w:p w14:paraId="4A8CDF58">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政府对建筑垃圾资源化利用厂项目实行公开招标，通过公开招标，能从同行业中筛选出管理经验以及运营机制良好的企业，有利于建筑垃圾处理先进技术与管理水平的引进，同时通过公开招标，也可以使具有市场竞争力的一些国外企业前来投标，项目通过特许经营的方式引进国外比较先进的经验，利用本土行业整体发展。</w:t>
      </w:r>
    </w:p>
    <w:p w14:paraId="4BF1DC73">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3）提高建筑垃圾处理运营效率</w:t>
      </w:r>
    </w:p>
    <w:p w14:paraId="3BF707D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政府通过转让建筑垃圾经营权的方式进行招标，投标公司为了在特许经营期间收回成本并获取回报，必须凭借其先进技术和管理水平保证建筑垃圾资源化利用厂正常运行。建筑垃圾资源化利用厂特许经营者通过与政府签订特许经营合同，为了在合同期内追求利润的最大化，必将从成本、效率以及管理方法上不断优化，在保证工程质量的前提下，尽可能地缩减成本开支，尽量争取工程提前竣工，使建筑垃圾资源化利用厂尽早投入运营。</w:t>
      </w:r>
    </w:p>
    <w:p w14:paraId="7B4CCD0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4）促进建筑垃圾处理的良性发展</w:t>
      </w:r>
    </w:p>
    <w:p w14:paraId="2A8AB49D">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在政府的授权下，建筑垃圾资源化利用厂特许经营者获得建筑垃圾处理项目的经营与管理权，为了追求利益的最大化，必将不断地提高管理水平与管理经验，借鉴国内外在该领域比较成熟的运营模式与方法，提高了建筑垃圾处理项目的盈利能力，实现该产业的良性发展。</w:t>
      </w:r>
    </w:p>
    <w:p w14:paraId="1647922C">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（2）政府补偿扶持</w:t>
      </w:r>
    </w:p>
    <w:p w14:paraId="143522FC">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霍山县政府对霍山县从事建筑垃圾处理相关产业进行补偿扶持，其主要目的是通过政府提供资金、免税或其他税收优惠、低息贷款、贷款担保等形式，对企业进行适当的补贴，使建筑垃圾资源化利用相关企业得到健康发展，减少建筑垃圾的最终排放，降低由此带来的生态环境压力，使市民生活环境得到改善。</w:t>
      </w:r>
    </w:p>
    <w:p w14:paraId="468C5D44">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1、建筑垃圾处理设施建设模式</w:t>
      </w:r>
    </w:p>
    <w:p w14:paraId="15B43404">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（1）BOT模式</w:t>
      </w:r>
    </w:p>
    <w:p w14:paraId="64B9F263">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BOT模式简单意义上来讲，就是私人投资者在政府的授权下对公共基础设施项目进行投资建造，项目建成后自主运营受益，合同期满后再移交政府的一种资源合理利用的新模式，建筑垃圾资源化利用厂的投资建设同样可以利用这种模式，BOT的运作过程见图，BOT模式下的建筑垃圾资源化利用厂的建设，其实质也是在充分利用资源的基础上，使得建筑垃圾资源化利用厂的建设与经营市场化。建筑垃圾资源化利用厂使用BOT运营模式，符合我国目前所处的阶段与国情：</w:t>
      </w:r>
    </w:p>
    <w:p w14:paraId="6BB3222A">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1）从我国财政开支上来讲，通过BOT模式的运营管理，有利于把社会上闲散资金与国外可利用的资金吸纳进来，进而可以减轻政府的财政负担；</w:t>
      </w:r>
    </w:p>
    <w:p w14:paraId="3D224095">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2）对于政府来讲，社会闲散资金以及部分国外资金注入可以降低政府的风险，同时也有利于项目资金的控制与管理；</w:t>
      </w:r>
    </w:p>
    <w:p w14:paraId="2F3B2D8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3）通过政府行为的市场化，可以刺激相应建筑垃圾资源化利用厂经营者在保证质量的前提下改善管理理念与方法，缩短工期，最终使广大民众受益。</w:t>
      </w:r>
    </w:p>
    <w:p w14:paraId="27E787E6">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drawing>
          <wp:inline distT="0" distB="0" distL="114300" distR="114300">
            <wp:extent cx="5271135" cy="1791335"/>
            <wp:effectExtent l="0" t="0" r="5715" b="1841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4"/>
                    <a:stretch>
                      <a:fillRect/>
                    </a:stretch>
                  </pic:blipFill>
                  <pic:spPr>
                    <a:xfrm>
                      <a:off x="0" y="0"/>
                      <a:ext cx="5271135" cy="1791335"/>
                    </a:xfrm>
                    <a:prstGeom prst="rect">
                      <a:avLst/>
                    </a:prstGeom>
                    <a:noFill/>
                    <a:ln>
                      <a:noFill/>
                    </a:ln>
                  </pic:spPr>
                </pic:pic>
              </a:graphicData>
            </a:graphic>
          </wp:inline>
        </w:drawing>
      </w:r>
    </w:p>
    <w:p w14:paraId="0826AE1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（2）TOT模式</w:t>
      </w:r>
    </w:p>
    <w:p w14:paraId="0E7FAE94">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TOT模式是如今比较常见的特许经营方式，建筑垃圾资源化利用厂采用TOT运营模式比较常见。政府先建造建筑垃圾资源化利用厂然后政府再将建造好的建筑垃圾处理厂以TOT的模式承包给投资者运营管理一定的时间，投资人通过承接政府已建好的垃圾处理厂取得收益，收回投资，到合同期满后，投资者再将建筑垃圾资源化利用厂移交给政府。TOT运营模式见图：</w:t>
      </w:r>
    </w:p>
    <w:p w14:paraId="0BDE83AC">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textAlignment w:val="auto"/>
      </w:pPr>
      <w:r>
        <w:drawing>
          <wp:inline distT="0" distB="0" distL="114300" distR="114300">
            <wp:extent cx="5273675" cy="1939925"/>
            <wp:effectExtent l="0" t="0" r="3175" b="317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5"/>
                    <a:stretch>
                      <a:fillRect/>
                    </a:stretch>
                  </pic:blipFill>
                  <pic:spPr>
                    <a:xfrm>
                      <a:off x="0" y="0"/>
                      <a:ext cx="5273675" cy="1939925"/>
                    </a:xfrm>
                    <a:prstGeom prst="rect">
                      <a:avLst/>
                    </a:prstGeom>
                    <a:noFill/>
                    <a:ln>
                      <a:noFill/>
                    </a:ln>
                  </pic:spPr>
                </pic:pic>
              </a:graphicData>
            </a:graphic>
          </wp:inline>
        </w:drawing>
      </w:r>
    </w:p>
    <w:p w14:paraId="787BC1AE">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（3）PPP模式</w:t>
      </w:r>
    </w:p>
    <w:p w14:paraId="21744C2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PPP是指公共部门通过与私人部门建立伙伴关系来提供公共产品或服务的一种方式。PPP存在的基础是合同、特许权协议和经营权的归属。PPP模式下主要的项目参与方有：政府公共部门，私人投资者，特许经营公司(SpecialPurposeCompany，简称SPC)，金融机构等。PPP模式的思路：政府部门或地方政府通过政府采购形式与中标单位组成的SPC签订特许合同，由SPC负责筹资建设和经营。政府通常与提供贷款的金融机构达成～个直接协议，来确保SPC能比较顺利地获得金融机构的贷款。特许权期满以后SPC将项目移交给政府。PPP运作思路如图所示。</w:t>
      </w:r>
    </w:p>
    <w:p w14:paraId="47D023A4">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建筑垃圾处理产业化发展可以利用PPP模式进行建设和运营。即政府将建筑垃圾处理设施建设的特许经营权授予承包商，承包商在特许权期内负责项目设计、融资、建设和运营，并通过经营再生产品、收取处理费，回收成本、偿还债务、赚取合理利润，特许期结束后将项目所有权无偿移交政府或相关部门。PPP模式可以有效解决政府财政资金短缺的问题，同时由于私人企业介入较早，能够借助承包人先进技术和管理经验等优势，确保项目能够高效地运作，有效地控制预算成本、节约开支，高效地利用社会资源。</w:t>
      </w:r>
    </w:p>
    <w:p w14:paraId="28032A36">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drawing>
          <wp:inline distT="0" distB="0" distL="114300" distR="114300">
            <wp:extent cx="5227955" cy="2943225"/>
            <wp:effectExtent l="0" t="0" r="10795" b="952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6"/>
                    <a:stretch>
                      <a:fillRect/>
                    </a:stretch>
                  </pic:blipFill>
                  <pic:spPr>
                    <a:xfrm>
                      <a:off x="0" y="0"/>
                      <a:ext cx="5227955" cy="2943225"/>
                    </a:xfrm>
                    <a:prstGeom prst="rect">
                      <a:avLst/>
                    </a:prstGeom>
                    <a:noFill/>
                    <a:ln>
                      <a:noFill/>
                    </a:ln>
                  </pic:spPr>
                </pic:pic>
              </a:graphicData>
            </a:graphic>
          </wp:inline>
        </w:drawing>
      </w:r>
    </w:p>
    <w:p w14:paraId="4E334CBD">
      <w:pPr>
        <w:pStyle w:val="3"/>
        <w:numPr>
          <w:ilvl w:val="0"/>
          <w:numId w:val="12"/>
        </w:numPr>
        <w:bidi w:val="0"/>
        <w:rPr>
          <w:rFonts w:hint="eastAsia"/>
          <w:lang w:val="en-US" w:eastAsia="zh-CN"/>
        </w:rPr>
      </w:pPr>
      <w:bookmarkStart w:id="101" w:name="_Toc2243"/>
      <w:bookmarkStart w:id="102" w:name="_Toc4683"/>
      <w:r>
        <w:rPr>
          <w:rFonts w:hint="eastAsia"/>
          <w:lang w:val="en-US" w:eastAsia="zh-CN"/>
        </w:rPr>
        <w:t>建筑垃圾资源化利用补偿的方式</w:t>
      </w:r>
      <w:bookmarkEnd w:id="101"/>
      <w:bookmarkEnd w:id="102"/>
    </w:p>
    <w:p w14:paraId="067D3A0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1、补偿实现形式</w:t>
      </w:r>
    </w:p>
    <w:p w14:paraId="0268CE97">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霍山县政府作为地方政府，它的政策应当是基于全市人民的利益考虑与全民利益保持一致。在霍山县城镇化过程中产生大量的建筑垃圾，霍山县政府作为公共利益的代表，有责任和义务消除这种环境外部负效应，需要将这一部分建筑垃圾得到有效利用，在具体手段和措施上，由政府运用法律、行政、经济等手段，对产生建筑垃圾的企业使其对造成的环境问题进行补偿，对从事建筑垃圾运输和资源化利用的企业进行补偿和扶持，使其发展壮大，将因大量城市化建设产生大量建筑垃圾这一外部环境因素得到解决。政府和企业之间的补偿关系是政府对企业行为的监督、规范和管理的关系。</w:t>
      </w:r>
    </w:p>
    <w:p w14:paraId="45D29855">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补偿问题涉及四个相关的重要特征一是时间性，即补偿的时间维度；二是区域性，即补偿的空间维度；三是涉及的责任（利益）主体；四是补偿目标、行为和效果，这种关系的主要形式如下表所示。</w:t>
      </w:r>
    </w:p>
    <w:p w14:paraId="700193B8">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drawing>
          <wp:inline distT="0" distB="0" distL="114300" distR="114300">
            <wp:extent cx="5269865" cy="2630170"/>
            <wp:effectExtent l="0" t="0" r="6985" b="1778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7"/>
                    <a:stretch>
                      <a:fillRect/>
                    </a:stretch>
                  </pic:blipFill>
                  <pic:spPr>
                    <a:xfrm>
                      <a:off x="0" y="0"/>
                      <a:ext cx="5269865" cy="2630170"/>
                    </a:xfrm>
                    <a:prstGeom prst="rect">
                      <a:avLst/>
                    </a:prstGeom>
                    <a:noFill/>
                    <a:ln>
                      <a:noFill/>
                    </a:ln>
                  </pic:spPr>
                </pic:pic>
              </a:graphicData>
            </a:graphic>
          </wp:inline>
        </w:drawing>
      </w:r>
    </w:p>
    <w:p w14:paraId="01B81F2A">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根据以上观点确定霍山县建筑垃圾资源化过程中需要进行的补偿主体有：建筑垃圾产生企业，建筑垃圾运输企业和建筑垃圾资源化利用企业。</w:t>
      </w:r>
    </w:p>
    <w:p w14:paraId="338BEC63">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2、对建筑垃圾产生部门的政策及限制措施</w:t>
      </w:r>
    </w:p>
    <w:p w14:paraId="2A8E118E">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（1）建筑施工垃圾限量排放</w:t>
      </w:r>
    </w:p>
    <w:p w14:paraId="5C853846">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对霍山县建筑施工企业在生产过程中产生建筑垃圾情况进行详细调研和统计，并据此制定出相应的产量和排放定额。运用单位建筑面积产生建筑垃圾的指标对不同建筑企业的生产管理水平进行评价，如此才能推进建筑企业的生产管理综合水平，使得建筑垃圾在源头上得到有效控制。</w:t>
      </w:r>
    </w:p>
    <w:p w14:paraId="26375637">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（2）建筑垃圾处置计划纳入工程施工招标文件</w:t>
      </w:r>
    </w:p>
    <w:p w14:paraId="210D62B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在设置项目招投标文件时，应对建筑垃圾处理安排提出明确要求，此项条款应包括建筑垃圾现场回收、分类、再处理和利用等细则。同时提高在评标过程中此项内容的评标权重，使之成为投标价格、施工质量、进度工期、施工组织涉及和企业品牌之外的另一个重要因素。还应考虑该投标单位对建筑垃圾处置的计划详细程度。这样做使建筑垃圾处置与工程项目紧密联系起来，增加了项目决策层对建筑垃圾处理的重视程度，有利于建筑垃圾的资源化利用，从而减少建筑垃圾的源头排放，实现了建筑垃圾源头削减的目标。</w:t>
      </w:r>
    </w:p>
    <w:p w14:paraId="7E88EDE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（3）建立建筑垃圾处置保证金制度</w:t>
      </w:r>
    </w:p>
    <w:p w14:paraId="4F4929A3">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1）设立建筑垃圾处置保证金的目的</w:t>
      </w:r>
    </w:p>
    <w:p w14:paraId="6FD17CE0">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霍山县建筑垃圾运输过程中使用“黑车”现象严重，建筑垃圾运输车辆乱拉乱卸情况时有发生，为促使建筑垃圾产生单位正规有效地处理建筑垃圾便于建筑垃圾管理设立建筑垃圾处置保证金制度。</w:t>
      </w:r>
    </w:p>
    <w:p w14:paraId="4BB3474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2）明确建筑垃圾处置保证金的取费标准</w:t>
      </w:r>
    </w:p>
    <w:p w14:paraId="34455828">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建筑垃圾处理保证金的收费有两种模式，第一种模式是按照建筑工程总体造价的比例收取，这种模式通常对新建项目较为合适；第二种模式是按照预测的建筑垃圾产生量收取，这种模式对于拆除改造工程和装饰工程较为合理。因此，应将项目开发商和施工企业的经济承受能力和各自特点等因素进行综合考虑，制定出新建项目和拆迁改造项目的保证金标准。</w:t>
      </w:r>
    </w:p>
    <w:p w14:paraId="29F38356">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①建筑施工项目</w:t>
      </w:r>
    </w:p>
    <w:p w14:paraId="6E7FC31D">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通常来讲，新建项目的施工过程较长，施工过程中建筑垃圾会不断产生，对建筑垃圾的管理时间跨度比较大。并且工程项目建设过程中的分发包模式对于保证金的收取和管理造成了许多漏洞和缺陷，同时由于许多小型承包企业的经济能力不能够支撑此类保证金，因此新建项目的保证金应有总包单位统一缴纳，并且应当根据建筑垃圾的处理和回收情况，按照资金结算的情况按比例缴纳。</w:t>
      </w:r>
    </w:p>
    <w:p w14:paraId="0B6D8F94">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通常来说，项目的环保费用、土石方工程费用、场地平整等项目的费用约占项目总费用的2.8%；建筑垃圾处置保证金设置的目的就是从经济政策上对建筑企业和项目开发商进行约束和限制，强制其妥善处理项目建设过程中产生的垃圾。</w:t>
      </w:r>
    </w:p>
    <w:p w14:paraId="6F8BA39E">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综合各种因素，本文认为新建类项目的建筑垃圾保证金缴费应按照如下比例执行：</w:t>
      </w:r>
    </w:p>
    <w:p w14:paraId="4048527B">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1）3000万元以上的项目，按工程项目投标预算总额的1‰缴纳；</w:t>
      </w:r>
    </w:p>
    <w:p w14:paraId="76BB3445">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2）3000万元以下的项目，按工程项目投标预算总额的1.5‰缴纳。</w:t>
      </w:r>
    </w:p>
    <w:p w14:paraId="19E17F4C">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②建筑物拆迁及装饰装修类项目</w:t>
      </w:r>
    </w:p>
    <w:p w14:paraId="721F977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此类项目的承包方往往需要具备专业的拆迁资质，项目在拆除、改造、装修过程中的工期不长，但产生的建筑垃圾非常多，对于建筑垃圾的运输要求较高。根据不同的建筑结构类型和项目建筑面积能够对产生的建筑垃圾数量进行较为准确地预估，因此通常选择按照建筑垃圾数量缴纳保证金的方式。</w:t>
      </w:r>
    </w:p>
    <w:p w14:paraId="4820FA60">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霍山县工程预算定额标准中拆除工程的渣土运输预算基价中包括了垃圾消纳场的管理费。建筑垃圾处置保证金设置目的为约束建筑垃圾产生单位，促使其正规有效地处理建筑垃圾，因此费用不宜过高。建筑垃圾处置保证金=申报的建筑垃圾处置计划5元/吨</w:t>
      </w:r>
    </w:p>
    <w:p w14:paraId="065DE55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③设立建筑垃圾处置保证金制度</w:t>
      </w:r>
    </w:p>
    <w:p w14:paraId="055526C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为了保证建筑垃圾处置保证金制度的有效实施需要建立相应的法律制度，需将建筑垃圾处置保证金制度纳入《霍山县建筑垃圾管理实施办法》当中。</w:t>
      </w:r>
    </w:p>
    <w:p w14:paraId="78307FE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Ⅰ、保证金收取</w:t>
      </w:r>
    </w:p>
    <w:p w14:paraId="6BA7893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建筑垃圾的责任方首先按照规定缴纳建筑垃圾保证金到规定的银行账户，在获得存款证明后到相关责任单位申报建筑垃圾处理计划，同时签订市容卫生责任书。所有企业缴纳的保证金均应接受政府部门的审计和审查，保证建筑垃圾处置保证后续的缴纳和使用。</w:t>
      </w:r>
    </w:p>
    <w:p w14:paraId="5D120FA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Ⅱ、保证金返还</w:t>
      </w:r>
    </w:p>
    <w:p w14:paraId="62B2F3F7">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根据规定，建筑垃圾责任方一旦将所有建筑垃圾按照相应要求妥善处理后可以申请验收后退还保证金，具体退化比例如下：</w:t>
      </w:r>
    </w:p>
    <w:p w14:paraId="069A6E6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㈠、建筑垃圾产量与实际消纳量相差10%（含10%）的，退还100%；</w:t>
      </w:r>
    </w:p>
    <w:p w14:paraId="1A57CB7C">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㈡、建筑垃圾产量与实际消纳量相差30%以下（含30%）的，退还90%；</w:t>
      </w:r>
    </w:p>
    <w:p w14:paraId="16902403">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㈢、建筑垃圾产量与实际消纳量相差30%以上50%以下的，退还70%；</w:t>
      </w:r>
    </w:p>
    <w:p w14:paraId="49F7DC2A">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㈣、建筑垃圾产量与实际消纳量相差50%以上的，不予退还。</w:t>
      </w:r>
    </w:p>
    <w:p w14:paraId="2CF110FB">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3、对建筑垃圾资源化企业的政策及补偿方式</w:t>
      </w:r>
    </w:p>
    <w:p w14:paraId="362F922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（1）建筑垃圾称量备案</w:t>
      </w:r>
    </w:p>
    <w:p w14:paraId="19106F06">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建筑垃圾消纳场不得接收工业垃圾和生活垃圾，对进场的建筑垃圾进行称重，记录备案并定期上报本地所属建筑垃圾管理处。</w:t>
      </w:r>
    </w:p>
    <w:p w14:paraId="2B57117D">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（2）无害化处置管理</w:t>
      </w:r>
    </w:p>
    <w:p w14:paraId="12B27EEC">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对进场的建筑垃圾进行分类，剔除建筑垃圾中的有毒有害成分，将分解出来的有毒有害成分如含多氯联苯的照明镇流器等搜集整理，运到专业无害化处理厂处理。经过分选后的建筑垃圾，可以进行建筑垃圾资源化利用。</w:t>
      </w:r>
    </w:p>
    <w:p w14:paraId="140A8EA8">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（3）制定建筑垃圾消纳场运行规范，制定包括建筑垃圾消纳场的选址及环境影响评价、总体设计、建设方式、运行和管理规范等。</w:t>
      </w:r>
    </w:p>
    <w:p w14:paraId="3A2DD43C">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（4）提高建筑垃圾处置费</w:t>
      </w:r>
    </w:p>
    <w:p w14:paraId="48F27534">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b/>
          <w:sz w:val="32"/>
          <w:szCs w:val="20"/>
          <w:lang w:val="en-US" w:eastAsia="zh-CN"/>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排污收费就是根据排污者所排放污染物的数量和种类向排污者征收费用，使其污染外部不经济性内部化的一种经济手段。排污收费越高对应的排污量越少。排污收费的本质就是让排污者承担资源租金费用和排污损害费用，使这两部分外部不经济性的费用内部化，使污染物产生者要么自觉治理污染，要么以缴纳排污费的形式补偿环境资源的损失。在我国已开展的建筑垃圾资源化项目的试点城市中，不少试点城市出台有建筑垃圾资源化项目的管理办法，办法中均提及需探索建立建筑垃圾处理特许经营和收费管理等制度，以及明确提出项目享有财政补贴政策。一些城市还对建筑垃圾资源化利用产品出台优先使用的规范性文件，在城市公益性建设项目中，大量使用建筑垃圾再生产品。此外，在试点城市中，财政补贴政策大部分还在研究制定当中，而已出台补贴政策的则呈多样化方式，有的是给予固定式建筑垃圾资源化项目基本设施建设10-30%的财政补贴资金，有的是对生产经营活动的补贴，也有的是对处置成本的补贴，或是对产品销售的补贴等等，不一而足。</w:t>
      </w:r>
    </w:p>
    <w:p w14:paraId="087A3BE2">
      <w:pPr>
        <w:pStyle w:val="2"/>
        <w:numPr>
          <w:ilvl w:val="0"/>
          <w:numId w:val="1"/>
        </w:numPr>
        <w:bidi w:val="0"/>
        <w:rPr>
          <w:rFonts w:hint="default"/>
          <w:lang w:val="en-US" w:eastAsia="zh-CN"/>
        </w:rPr>
      </w:pPr>
      <w:bookmarkStart w:id="103" w:name="_Toc21938"/>
      <w:bookmarkStart w:id="104" w:name="_Toc14728"/>
      <w:r>
        <w:rPr>
          <w:rFonts w:hint="eastAsia"/>
          <w:lang w:val="en-US" w:eastAsia="zh-CN"/>
        </w:rPr>
        <w:t>环境保护与安全卫生</w:t>
      </w:r>
      <w:bookmarkEnd w:id="103"/>
      <w:bookmarkEnd w:id="104"/>
    </w:p>
    <w:p w14:paraId="46506F26">
      <w:pPr>
        <w:pStyle w:val="3"/>
        <w:numPr>
          <w:ilvl w:val="0"/>
          <w:numId w:val="13"/>
        </w:numPr>
        <w:bidi w:val="0"/>
        <w:rPr>
          <w:rFonts w:hint="eastAsia"/>
          <w:lang w:val="en-US" w:eastAsia="zh-CN"/>
        </w:rPr>
      </w:pPr>
      <w:bookmarkStart w:id="105" w:name="_Toc8987"/>
      <w:bookmarkStart w:id="106" w:name="_Toc20040"/>
      <w:r>
        <w:rPr>
          <w:rFonts w:hint="eastAsia"/>
          <w:lang w:val="en-US" w:eastAsia="zh-CN"/>
        </w:rPr>
        <w:t>环境保护总体要求</w:t>
      </w:r>
      <w:bookmarkEnd w:id="105"/>
      <w:bookmarkEnd w:id="106"/>
    </w:p>
    <w:p w14:paraId="323133B4">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1、建筑垃圾环境污染现状</w:t>
      </w:r>
    </w:p>
    <w:p w14:paraId="5CDE613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由于建筑垃圾的产生量较工程渣土产生量小很多，对环境造成的污染破坏主要体现在运输、处置阶段和封场阶段。</w:t>
      </w:r>
    </w:p>
    <w:p w14:paraId="0BA2386B">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（1）运输阶段</w:t>
      </w:r>
    </w:p>
    <w:p w14:paraId="139851B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中国许多城市都可以看到这样的情景：一辆辆满载建筑垃圾的大型载重车从施工场地呼啸而出，卷起阵阵扬尘。并且大多数的车辆没有经过任何冲洗，也不安装挡泥盖，运载的弃土高过车身挡板，极易将垃圾洒落在运输路线上。最终造成空气污染和破坏清洁卫生。</w:t>
      </w:r>
    </w:p>
    <w:p w14:paraId="7441149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（2）处置阶段</w:t>
      </w:r>
    </w:p>
    <w:p w14:paraId="49FBBB5D">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主要存在大气污染、噪音污染、水体污染、土壤污染和引发地质灾害五类破坏环境的现象。</w:t>
      </w:r>
    </w:p>
    <w:p w14:paraId="18D3020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大气污染：主要是除尘措施或设备不到位造成的扬尘污染和处置场消纳、焚烧建筑垃圾产生的恶臭污染物、锅炉大气污染对大气质量的破坏。</w:t>
      </w:r>
    </w:p>
    <w:p w14:paraId="4B004EE7">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噪音污染：主要是各种装卸、推产、压实等机械设备所产生的噪声和车辆行驶时产生的噪声污染。</w:t>
      </w:r>
    </w:p>
    <w:p w14:paraId="78A255EA">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水体污染：由于建筑垃圾的非法倾倒、堆放，造成地表和地下水的污染；同时在处置场填埋建筑垃圾也因为在渗滤液对场地周边地表水和地下水的污染。</w:t>
      </w:r>
    </w:p>
    <w:p w14:paraId="4CCFB3E8">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土壤污染：建筑垃圾中含有经防腐处理的废旧木材、含有汞的日光灯管、铜铁铝重金属、塑料制品等，它们直接进入土壤，会对土壤环境和农作物生长构成严重威胁，其中汞等重金属进入土壤和地下水源后，会对人体健康造成严重危害。另外建筑垃圾中含有大量不可降解的塑料袋和塑料餐盒被埋入地下，百年之后也难以降解。</w:t>
      </w:r>
    </w:p>
    <w:p w14:paraId="7CD9BFDA">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地质灾害：霍山县由于建筑垃圾非法倾倒、堆放而引发的地质灾害问题比较严重。如城市内河河道被弃土肆意填占导致水质污染、影响行洪等等。</w:t>
      </w:r>
    </w:p>
    <w:p w14:paraId="0AF987BB">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（3）封场阶段</w:t>
      </w:r>
    </w:p>
    <w:p w14:paraId="20388000">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在场地填满处置达到设计容量后，就应及时进行关闭和封场处理。虽然经过运营期间环保的监控处置，但如果封场后不经过再次有效的环境治理，还是会对填埋区及其周边生态产生无法弥补的破坏。导致填埋区及其周边土壤、水系、空气等均遭到污染而无法生产利用。</w:t>
      </w:r>
    </w:p>
    <w:p w14:paraId="3060AEC0">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2、环境保护原则</w:t>
      </w:r>
    </w:p>
    <w:p w14:paraId="4F75A85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（1）遵循可持续发展、环境与发展宏观综合决策原则，合理利用建筑垃圾资源，切实预防和控制建筑垃圾在运输和处置过程中造成的污染，为城镇创造良好的生态环境。</w:t>
      </w:r>
    </w:p>
    <w:p w14:paraId="00BF1BCB">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坚持“减量化”原则，即在建筑垃圾形成之前，就通过科学管理和有效地控制措施将其减量。严格控制各施工单位建筑垃圾的产生、运输和排放，使各环境功能区质量全面达到国家及地方各项环境质量标准。</w:t>
      </w:r>
    </w:p>
    <w:p w14:paraId="7D25CE2C">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（3）坚持“资源化”原则，综合治理，化害为利，变废为宝；坚持建设“三同步”，达到效益“三统一”，鼓励建筑垃圾综合利用，鼓励建设单位、施工单位优先采用建筑垃圾综合利用产品。</w:t>
      </w:r>
    </w:p>
    <w:p w14:paraId="5E1FF8C6">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（4）坚持“谁产出谁处置，谁污染谁负责”和“守法者奖，污染者罚”的原则，强化政府监管职能，加强科学防控。</w:t>
      </w:r>
    </w:p>
    <w:p w14:paraId="7B7252F6">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5）坚持“科学选址，安全建设”原则。处置场地内及周边需进行详细的地质调查，禁止在发现断裂构造通过、滑坡、泥石流、边坡垮塌、地层裂缝下陷等不良地质的区域设置建筑垃圾处置场。应选在满足承载力要求的地基上，以避免地基下沉的影响，特别是不均匀或局部下沉的影响。建筑垃圾处置设施选址不应设在珍贵动植物保护区和国家、省级自然保护区；文物古迹区，考古学、历史学、生物学研究考察区。禁止选在江河、湖泊、水库最高水位线以下的滩地和洪泛区。应选在工业区和居民集中区主导风向下风侧，场界距居民集中区500m以外；</w:t>
      </w:r>
    </w:p>
    <w:p w14:paraId="0701532E">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6）坚持“海绵城市”原则。霍山县正积极建设海绵城市，无论是对用地的开发，建筑垃圾消纳场的选址、使用和后期的维护阶段，都应符合海绵城市的建设要求，可实现自然积存、自然渗透、自然净化，按照消纳场所处的地形地貌，合理地规划消纳场容量，不可以破坏周边自然环境。</w:t>
      </w:r>
    </w:p>
    <w:p w14:paraId="61917EB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（7）严格建筑垃圾处置核准制度，处置建筑垃圾的单位，应当向城市人民政府市容环境卫生主管部门提出申请，获得城市建筑垃圾处置核准后，方可处置。</w:t>
      </w:r>
    </w:p>
    <w:p w14:paraId="22B7032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（8）建筑垃圾应按不同的产生源、种类、性质进行分别堆放、分流收运，分别处理。建筑垃圾收运、处置全过程严禁混入工业垃圾、生活垃圾和有毒有害垃圾。不得擅自设立处置场、消纳场收纳建筑垃圾。</w:t>
      </w:r>
    </w:p>
    <w:p w14:paraId="3F6AA62E">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3、环境保护总控制目标</w:t>
      </w:r>
    </w:p>
    <w:p w14:paraId="47057430">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（1）建筑垃圾资源化利用和填埋处置工程应有雨、污分流设施，防止污染周边环境。</w:t>
      </w:r>
    </w:p>
    <w:p w14:paraId="1718F1B8">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（2）建筑垃圾资源化处理工程应通过洒水降尘、封闭设备、局部抽吸等措施控制粉尘污染，并应符合下列规定：</w:t>
      </w:r>
    </w:p>
    <w:p w14:paraId="2499313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1)雾化洒水降尘措施洒水强度和频率根据温度、面积、建筑垃圾物料性质、风速等条件设置。</w:t>
      </w:r>
    </w:p>
    <w:p w14:paraId="6A4826FC">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2)局部抽吸换气次数不宜低于6次/h，含尘气体经过除尘装置处理后，排放应按现行国家标准《大气污染物综合排放标准》GB16297-1996规定执行。</w:t>
      </w:r>
    </w:p>
    <w:p w14:paraId="7F5AE0A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（3）建筑垃圾处理全过程噪声控制应符合下列规定：</w:t>
      </w:r>
    </w:p>
    <w:p w14:paraId="251053B7">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1)建筑垃圾收集、运输、处理系统应选取低噪声运输车辆，车辆在车厢开启、关闭、卸料时产生的噪声不应超过82dB(A)；</w:t>
      </w:r>
    </w:p>
    <w:p w14:paraId="7A0EFE3D">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2)宜通过建立缓冲带、设置噪声屏障或封闭车间控制处理工程噪声；</w:t>
      </w:r>
    </w:p>
    <w:p w14:paraId="222C277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3)资源化处理车间，宜采取隔声罩、隔声间或者在车间建筑内墙附加吸声材料等方式降低噪声；</w:t>
      </w:r>
    </w:p>
    <w:p w14:paraId="451F344D">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4)场（厂）界噪声应符合现行国家标准《工业企业厂界环境噪声排放标准》GB12348-2008的规定。</w:t>
      </w:r>
    </w:p>
    <w:p w14:paraId="4AB308B8">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（4）建筑垃圾处理工程的环境影响评价及环境污染防治应符合下列规定：</w:t>
      </w:r>
    </w:p>
    <w:p w14:paraId="6CADFB84">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1)在进行可行性研究的同时，应对建设项目的环境影响作出评价；</w:t>
      </w:r>
    </w:p>
    <w:p w14:paraId="6FC51D1E">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2)建设项目的环境污染防治设施，应与主体工程同时设计、同时施工、同时投产使用；</w:t>
      </w:r>
    </w:p>
    <w:p w14:paraId="688BB52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3)建筑垃圾处理作业过程中产生的各种污染物的防治与排放，应贯彻执行国家现行的环境保护法规和有关标准的规定。</w:t>
      </w:r>
    </w:p>
    <w:p w14:paraId="795A4A76">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5）建筑垃圾填埋库区应设置地下水本底监测井、污染扩散监测井、污染监测井。填埋场应进行水、气、土壤及噪声的本底监测和作业监测，填埋库区封场后应进行跟踪监测直至填埋体稳定。监测井和采样点的布设、监测项目、频率及分析方法应按现行国家相关标准执行。</w:t>
      </w:r>
    </w:p>
    <w:p w14:paraId="2B1638B7">
      <w:pPr>
        <w:pStyle w:val="3"/>
        <w:numPr>
          <w:ilvl w:val="0"/>
          <w:numId w:val="13"/>
        </w:numPr>
        <w:bidi w:val="0"/>
        <w:rPr>
          <w:rFonts w:hint="eastAsia"/>
          <w:lang w:val="en-US" w:eastAsia="zh-CN"/>
        </w:rPr>
      </w:pPr>
      <w:bookmarkStart w:id="107" w:name="_Toc12977"/>
      <w:bookmarkStart w:id="108" w:name="_Toc26575"/>
      <w:r>
        <w:rPr>
          <w:rFonts w:hint="eastAsia"/>
          <w:lang w:val="en-US" w:eastAsia="zh-CN"/>
        </w:rPr>
        <w:t>大气环境保护措施规划</w:t>
      </w:r>
      <w:bookmarkEnd w:id="107"/>
      <w:bookmarkEnd w:id="108"/>
    </w:p>
    <w:p w14:paraId="03526686">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目前霍山县建筑垃圾在产生、运输、处置三个阶段均会产生大量的扬尘，对区域内的大气环境造成不同程度的污染。对大气环境保护主要采取以下防治措施：</w:t>
      </w:r>
    </w:p>
    <w:p w14:paraId="5313819A">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（1）在建筑施工场地进行“三通一平”、开挖、回填土方前必须到相关部门办理工程弃土报建手续，实施时应严格执行。</w:t>
      </w:r>
    </w:p>
    <w:p w14:paraId="43640204">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建筑工地实行封闭管理，并应采用硬质围挡。围挡设置要达到安全、稳固、美观要求，城市主干道围挡应设置不低于2.5米，次要道路或其他区域应不低于1.8米。施工现场道路、加工区和生活区地面应进行硬化。建成区内新开工工程出入口必须使用可移动装配、周转使用的冲洗平台及清洗池，冲洗平台应设置于工地大门内侧车辆行进路线上，长度不小于8米，宽度不小于3.5米，其周边设置排水沟，排水沟与沉淀池相连，并按规定处置泥浆和废水排放。车辆进出必须通过冲洗平台及清洗池，保持出场车辆清洁，不得带泥污染市政道路。</w:t>
      </w:r>
    </w:p>
    <w:p w14:paraId="725A3945">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工程泥浆陆上运输应采用密闭罐车，水上运输应采用密闭分隔舱。其他建筑垃圾陆上运输宜采用密闭厢式货车，水上运输宜采用集装箱。建筑垃圾散装运输车或船表面应有效遮盖，建筑垃圾不得裸露和散落。</w:t>
      </w:r>
    </w:p>
    <w:p w14:paraId="358005F0">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（4）建筑垃圾运输车厢盖和集装箱盖宜采用机械密闭装置，开启、关闭动作应平稳灵活，车厢与集装箱底部宜采取防渗措施。</w:t>
      </w:r>
    </w:p>
    <w:p w14:paraId="5D96CAA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（5）建筑垃圾运输工具应容貌整洁、标志齐全，车厢、集装箱、车辆底盘、车轮、船舶无大块泥沙等附着物。</w:t>
      </w:r>
    </w:p>
    <w:p w14:paraId="161ED85E">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（6）建筑垃圾装载高度最高点应低于车厢栏板高度0.15m以上，车辆装载完毕后，厢盖应关闭到位，装载量不得超过车辆额定载重量。</w:t>
      </w:r>
    </w:p>
    <w:p w14:paraId="043E29AC">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7）转运调配场堆放区可采取室内或露天方式，并应采取有效的防尘、降噪措施。露天堆放的建筑垃圾应及时遮盖。转运调配场可根据后端处理处置设施的要求，配备相应的预处理设施，预处理设施宜设置在封闭车间内，并应采取有效的防尘措施。</w:t>
      </w:r>
    </w:p>
    <w:p w14:paraId="4924A614">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（8）建筑垃圾资源化利用厂应符合下列要求：</w:t>
      </w:r>
    </w:p>
    <w:p w14:paraId="6A55BAA8">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1)厂区中的建筑垃圾原料贮存堆场应保证堆体的安全稳定性，并应采取防尘措施，可根据后续工艺进行预湿；建筑垃圾卸料、上料及处理过程中易产生扬尘的环节应采取抑尘、降尘及除尘措施。</w:t>
      </w:r>
    </w:p>
    <w:p w14:paraId="4ADFD37E">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2)有条件的企业宜采用湿法工艺防尘。</w:t>
      </w:r>
    </w:p>
    <w:p w14:paraId="04B82B8D">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3)易产生扬尘的重点工序应采用高效抑尘收尘设施，物料落地处应采取有效抑尘措施。</w:t>
      </w:r>
    </w:p>
    <w:p w14:paraId="15111E8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4)应加强排风，风垦、吸尘罩及空气管路系统的设计应遵循低阻、大流量的原则。</w:t>
      </w:r>
    </w:p>
    <w:p w14:paraId="5D5A7ABD">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5)车间内应设计集中除尘设施，可采用布袋式除尘加静电除尘组合方式，除尘能力应与粉尘产生量相适应。</w:t>
      </w:r>
    </w:p>
    <w:p w14:paraId="0921AF20">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（9）资源化处理工程应通过洒水降尘、封闭设备、局部抽吸等措施控制粉尘污染，并应符合下列规定：</w:t>
      </w:r>
    </w:p>
    <w:p w14:paraId="46514F77">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1)雾化洒水降尘措施洒水强度和频率根据温度、面积、建筑垃圾物料性质、风速等条件设置。</w:t>
      </w:r>
    </w:p>
    <w:p w14:paraId="3E1FAA4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2)局部抽吸换气次数不宜低于6次/h，含尘气体经过除尘装置处理后，排放应按现行国家标准《大气污染物综合排放标准》GB16297-1996规定执行。</w:t>
      </w:r>
    </w:p>
    <w:p w14:paraId="515E955B">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（10）建筑垃圾填埋场、消纳场应符合下列要求：</w:t>
      </w:r>
    </w:p>
    <w:p w14:paraId="66107F1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1)在堆填现场主要出入口宜设置洗车台，外出车辆宜冲洗干净后进入市政道路。</w:t>
      </w:r>
    </w:p>
    <w:p w14:paraId="555AF8F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2)作业场所应采取抑尘措施。</w:t>
      </w:r>
    </w:p>
    <w:p w14:paraId="7365A226">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（11）对施工工地、建筑垃圾运输过程中扬尘污染控制管理：</w:t>
      </w:r>
    </w:p>
    <w:p w14:paraId="522BC6FA">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1)控制管理目标：随时保持施工现场、道路及周边环境干净、整洁，无扬尘污染。</w:t>
      </w:r>
    </w:p>
    <w:p w14:paraId="4857FF30">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2)控制管理责任方：施工、运输企业或个人。</w:t>
      </w:r>
    </w:p>
    <w:p w14:paraId="7FD4986E">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3)控制管理要点：</w:t>
      </w:r>
    </w:p>
    <w:p w14:paraId="54C5CFEB">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①控制管理责任方需及时划拨使用专款，落实控制扬尘的经费。</w:t>
      </w:r>
    </w:p>
    <w:p w14:paraId="4E2812CD">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②按规范要求，施工现场产生的垃圾及时清运，材料堆放整齐。</w:t>
      </w:r>
    </w:p>
    <w:p w14:paraId="7B36E4B7">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③土方进出工地时，在洗车池将车辆的车帮和车轮冲洗干净，并做好遮蔽、清洁工作。</w:t>
      </w:r>
    </w:p>
    <w:p w14:paraId="41651047">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④施工现场内堆放的水泥、灰土、砂石等易产生尘埃的物料，采取围栏、遮盖等措施防尘。</w:t>
      </w:r>
    </w:p>
    <w:p w14:paraId="39D8659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⑤工地上木工机械等易产生粉尘的设备安置在相对封闭的操作棚内，产生的木屑、废料等及时清理。</w:t>
      </w:r>
    </w:p>
    <w:p w14:paraId="454E7C25">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⑥工地在清扫时，适当洒水或采取其他防尘、吸尘等措施。</w:t>
      </w:r>
    </w:p>
    <w:p w14:paraId="479D891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4)控制措施：</w:t>
      </w:r>
    </w:p>
    <w:p w14:paraId="58EB17C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①由控制责任方落实控制扬尘的经费，保证扬尘控制经费专款专用。</w:t>
      </w:r>
    </w:p>
    <w:p w14:paraId="13F29BA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②建立扬尘控制责任制及制度，并做好分阶段作业扬尘控制。</w:t>
      </w:r>
    </w:p>
    <w:p w14:paraId="7F7B02AA">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③控制责任方指定安全文明施工负责人负责施工现场扬尘的管理工作，并建立扬尘控制档案，工作总结、实施方案、会议记录、宣传资料等。</w:t>
      </w:r>
    </w:p>
    <w:p w14:paraId="6FF03C6C">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④对参加本工程施工作业的所有人员进行保护环境、控制扬尘知识及重要性等有关方面的教育和宣传。扬尘控制措施和承诺的内容在工地四周醒目处进行公示。</w:t>
      </w:r>
    </w:p>
    <w:p w14:paraId="7BA9BD2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对控制扬尘工作的职责进行分解落实，使本工地的扬尘控制制度做到层层落实，控制到位。</w:t>
      </w:r>
    </w:p>
    <w:p w14:paraId="724049E7">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⑤施工场地已经进行了地面的硬化处理，因施工需要没有硬化的地方用绿网覆盖或其他措施，使泥土不裸露。临街及临居民小区作业面用绿色密目安全网进行全封闭处理。</w:t>
      </w:r>
    </w:p>
    <w:p w14:paraId="42195995">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⑥施工现场内堆放的水泥等易产生尘埃的物料进行封闭式管理，不允许露体堆放，灰土、砂石进行可靠围挡，并用绿色密目网随时进行覆盖。</w:t>
      </w:r>
    </w:p>
    <w:p w14:paraId="4B7798B7">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⑦建筑垃圾、工程渣土在24小时内不能清运出场的，设置临时堆场，堆场周围进行围挡、遮盖等防尘措施。散装物料、建筑垃圾在6m³以上采取密闭清运，施工场地清扫出的建筑垃圾、工程渣土采用袋装或密闭清运。</w:t>
      </w:r>
    </w:p>
    <w:p w14:paraId="0FD0E19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⑧运输车辆驶离工地前，必须将车辆的槽帮和车轮用高压水枪设备冲洗干净，并采取围挡、遮盖等防尘措施。严禁使用压缩空气清理车辆和地面上的泥土。</w:t>
      </w:r>
    </w:p>
    <w:p w14:paraId="7F2CF4B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⑨当清理建筑垃圾或废料时，采用洒水并有吸尘措施，不能采用翻竹篱笆、板铲拍打、空压机吹尘等会产生扬尘的方法清理。</w:t>
      </w:r>
    </w:p>
    <w:p w14:paraId="2FBFCCA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b/>
          <w:sz w:val="32"/>
          <w:szCs w:val="20"/>
          <w:lang w:val="en-US" w:eastAsia="zh-CN"/>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⑩工程完工30日内，平整工地场地和周围场地，清除积土、堆物并对裸露地面进行临时绿化或用绿网覆盖。</w:t>
      </w:r>
    </w:p>
    <w:p w14:paraId="7D086950">
      <w:pPr>
        <w:pStyle w:val="3"/>
        <w:numPr>
          <w:ilvl w:val="0"/>
          <w:numId w:val="13"/>
        </w:numPr>
        <w:bidi w:val="0"/>
        <w:rPr>
          <w:rFonts w:hint="eastAsia"/>
          <w:lang w:val="en-US" w:eastAsia="zh-CN"/>
        </w:rPr>
      </w:pPr>
      <w:bookmarkStart w:id="109" w:name="_Toc27932"/>
      <w:bookmarkStart w:id="110" w:name="_Toc8303"/>
      <w:r>
        <w:rPr>
          <w:rFonts w:hint="eastAsia"/>
          <w:lang w:val="en-US" w:eastAsia="zh-CN"/>
        </w:rPr>
        <w:t>噪声环境保护措施规划</w:t>
      </w:r>
      <w:bookmarkEnd w:id="109"/>
      <w:bookmarkEnd w:id="110"/>
    </w:p>
    <w:p w14:paraId="77560186">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严格控制施工工地在夜间进行产生环境噪声污染的建设施工。因生产工艺要求或者特殊需要必须连续作业，确需进行夜间施工的，必须到建设、环保部门办理《夜间施工许可证》，并在工地进出口悬挂，公告附近居民，与附近社区、居委会、物业小区居民进行沟通，求得市民的理解和支持。</w:t>
      </w:r>
    </w:p>
    <w:p w14:paraId="2E3BEC5A">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城管、环保等部门将按照建筑施工不同阶段，及时监测检查建筑施工现场场界环境噪声，督促落实防治措施，对未办理《夜间施工许可证》或未按照《夜间施工许可证》规定的时间进行施工，产生噪声污染的，将责令停工，给予警告，可并处一定数额的罚款。</w:t>
      </w:r>
    </w:p>
    <w:p w14:paraId="6BE843B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3、建筑垃圾收集、运输、处理系统应选取低噪声运输车辆，车辆在车厢开启、关闭、卸料时产生的噪声不应超过82dB(A)。</w:t>
      </w:r>
    </w:p>
    <w:p w14:paraId="2C2B23F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4、宜通过建立缓冲带、设置噪声屏障或封闭车间控制转运调配场、填埋场和资源化处理厂噪声。</w:t>
      </w:r>
    </w:p>
    <w:p w14:paraId="71E1A65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5、噪声大的建筑垃圾资源化处理车间，宜采取隔声罩、隔声间或者在车间建筑内墙附加吸声材料等方式降低噪声。</w:t>
      </w:r>
    </w:p>
    <w:p w14:paraId="7961A170">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6、建议各施工、运输单位选购低噪声的先进设备，加强对高噪声设备的管理和维护，并做好处置场区绿化工作。同时，运输中车辆应控制车速，减少鸣笛次数。</w:t>
      </w:r>
    </w:p>
    <w:p w14:paraId="751C426C">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7、造成噪声污染后，经执法部门责令停工而拒不停工的建设单位，执法部门发送《执法建议函》，同时将视情节作出吊销《施工许可证》、降低企业资质等级等处罚，并依法对相关责任人作出处罚。</w:t>
      </w:r>
    </w:p>
    <w:p w14:paraId="29E7C46E">
      <w:pPr>
        <w:pStyle w:val="3"/>
        <w:numPr>
          <w:ilvl w:val="0"/>
          <w:numId w:val="13"/>
        </w:numPr>
        <w:bidi w:val="0"/>
        <w:rPr>
          <w:rFonts w:hint="eastAsia"/>
          <w:lang w:val="en-US" w:eastAsia="zh-CN"/>
        </w:rPr>
      </w:pPr>
      <w:bookmarkStart w:id="111" w:name="_Toc13798"/>
      <w:bookmarkStart w:id="112" w:name="_Toc7165"/>
      <w:r>
        <w:rPr>
          <w:rFonts w:hint="eastAsia"/>
          <w:lang w:val="en-US" w:eastAsia="zh-CN"/>
        </w:rPr>
        <w:t>水环境保护措施规划</w:t>
      </w:r>
      <w:bookmarkEnd w:id="111"/>
      <w:bookmarkEnd w:id="112"/>
    </w:p>
    <w:p w14:paraId="368A8383">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1、建筑垃圾处置场、填埋场、消纳场选址不应设在地下水集中供水水源地及补给区；洪泛区和泄洪道。</w:t>
      </w:r>
    </w:p>
    <w:p w14:paraId="654E8A87">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为避免产生大的环境事故，建筑垃圾处置场、填埋场、消纳场应该避开以下区域：淤泥区、密集居住区，距公共场所或人畜供水点500米内、距飞机场10公里以内的地区，直接与航道相通的地区，地下水水位与场底垂直距离在1.0米以内的地区。</w:t>
      </w:r>
    </w:p>
    <w:p w14:paraId="2151B9AE">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由于建筑垃圾处置场、填埋场、消纳场单位面积上的垃圾和覆土数量很大，对地基荷载的要求应大于15千帕/㎡，否则填满垃圾后由于重力作用造成沉陷、塌方而破坏防渗衬层，造成垃圾渗滤液渗漏污染地下水。</w:t>
      </w:r>
    </w:p>
    <w:p w14:paraId="796D1E4E">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4、场址最好是独立的水文地质单元，以减少人工防渗投资。</w:t>
      </w:r>
    </w:p>
    <w:p w14:paraId="12711F76">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5、建筑垃圾填埋场、消纳场应建设渗滤液导排系统，确保填埋场、消纳场运行期间防渗衬层以上的渗滤液深度不大于30厘米。</w:t>
      </w:r>
    </w:p>
    <w:p w14:paraId="461739A5">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6、建筑垃圾处置场地应设置渗滤液处理设施，以在管理期内对渗滤液进行处理达标后部分用回喷泵进行回灌，部分排放。</w:t>
      </w:r>
    </w:p>
    <w:p w14:paraId="1D4D662D">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7、建筑垃圾中转调配、填埋消纳场、处置场所应有雨、污分流设施，防止污染周边环境。</w:t>
      </w:r>
    </w:p>
    <w:p w14:paraId="75DF75FA">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8、建筑垃圾治理建设项目既要防止渗滤液污染地下水，又要防止地下水侵入、浸泡垃圾体而增加污水量，采取有效措施对其做防渗处理，防止污水渗漏对地下水质造成严重污染影响；保护项目拟建场址附近地下水质量满足《地下水质量标准（GB/T14848-2017）》中的标准要求。建筑垃圾治理建设项目选址不应设在地下水集中供水水源地及补给区内，如选址地临近地下水集中供水水源地及补给区，场址附近地下水质量满足《地下水质量标准（GB/T14848-2017）》中的IV标准要求。</w:t>
      </w:r>
    </w:p>
    <w:p w14:paraId="731581E4">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9、严格控制垃圾渗滤液的产生量，对建筑垃圾治理建设项目排放的渗滤液进行处理后达标排放，保证垃圾渗滤液的排放不致使受纳水体的使用功能遭受影响；处理后的渗滤液水质应达到《污水综合排放标准》的标准才可排放，且不得直接排入二级以上生活饮用水地表水源保护区水域中。</w:t>
      </w:r>
    </w:p>
    <w:p w14:paraId="02E45AC7">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10、加强水质监测。对建筑垃圾建设项目产生的滤液进行检测，监测包括透明度、溶解氧（DO）、氨氮（NH3-N）、氧化还原电位（ORP）等4项指标；配合完成黑臭水体水质交叉监测工作。</w:t>
      </w:r>
    </w:p>
    <w:p w14:paraId="5772E538">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11、建筑垃圾填埋、消纳区应设置地下水本底监测井、污染扩散监测井、污染监测井，应进行水、气、土壤及噪声的本底监测和作业监测，场区封场后应进行跟踪监测直至填埋体稳定。监测井和采样点的布设、监测项目、频率及分析方法应按现行国家相关标准执行。</w:t>
      </w:r>
    </w:p>
    <w:p w14:paraId="7B12A3A3">
      <w:pPr>
        <w:pStyle w:val="3"/>
        <w:numPr>
          <w:ilvl w:val="0"/>
          <w:numId w:val="13"/>
        </w:numPr>
        <w:bidi w:val="0"/>
        <w:rPr>
          <w:rFonts w:hint="eastAsia"/>
          <w:lang w:val="en-US" w:eastAsia="zh-CN"/>
        </w:rPr>
      </w:pPr>
      <w:bookmarkStart w:id="113" w:name="_Toc30128"/>
      <w:bookmarkStart w:id="114" w:name="_Toc31963"/>
      <w:r>
        <w:rPr>
          <w:rFonts w:hint="eastAsia"/>
          <w:lang w:val="en-US" w:eastAsia="zh-CN"/>
        </w:rPr>
        <w:t>土壤环境保护措施规划</w:t>
      </w:r>
      <w:bookmarkEnd w:id="113"/>
      <w:bookmarkEnd w:id="114"/>
    </w:p>
    <w:p w14:paraId="7E0C1D4E">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1、应当编制土壤污染风险评估报告。主要包括下列内容：主要污染物状况；土壤及地下水污染范围；风险管控、修复的目标和基本要求等。</w:t>
      </w:r>
    </w:p>
    <w:p w14:paraId="25DD6288">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针对建筑垃圾对土壤带来的污染种类，应做好源头控制，实行垃圾分类回收，回收可再利用的资源，积极做好渗滤液导排系统和渗滤液处理设施，严格避免渗滤液流出防渗衬层之类的污染事故发生，做好填埋、消纳区植被覆盖，减轻污染。</w:t>
      </w:r>
    </w:p>
    <w:p w14:paraId="2F73BD00">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3、建筑垃圾治理建设项目各类涉及土地利用的规划和可能造成土壤污染的建设项目，应当依法进行环境影响评价。环境影响评价文件应当包括对土壤可能造成的不良影响及应当采取的相应预防措施等内容。</w:t>
      </w:r>
    </w:p>
    <w:p w14:paraId="09FB65F8">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4、建立土壤污染隐患排查制度，保证持续有效防止有毒有害物质渗漏、流失、扬散；进行土壤污染状况监测和定期评估，制定、实施自行监测方案，并将监测数据报生态环境主管部门。</w:t>
      </w:r>
    </w:p>
    <w:p w14:paraId="02756B5E">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5、严格控制有毒有害物质排放，土壤污染重点监管站（点）应当对监测数据的真实性和准确性负责，发现土壤污染重点监管单位监测数据异常，应当及时进行调查。并按年度向生态环境主管部门报告排放情况。</w:t>
      </w:r>
    </w:p>
    <w:p w14:paraId="643F5D7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6、建筑垃圾产生源头，如拆除设施、设备或者建筑物、构筑物的区域，应当采取相应的土壤污染防治措施。</w:t>
      </w:r>
    </w:p>
    <w:p w14:paraId="596FB027">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7、发生突发事件可能造成土壤污染的，地方人民政府及其有关部门和相关企业事业单位以及其他生产经营者应当立即采取应急措施，防止土壤污染，并依照法律法规做好土壤污染状况监测、调查和土壤污染风险评估、风险管控、修复等工作。</w:t>
      </w:r>
    </w:p>
    <w:p w14:paraId="75B6AFB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8、禁止向农用地排放重金属或者其他有毒有害物质含量超标的污水、污泥，以及可能造成土壤污染的建筑垃圾等。</w:t>
      </w:r>
    </w:p>
    <w:p w14:paraId="79C88218">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9、对不符合法律法规和相关标准要求的，应当根据监测结果，要求污水集中处理设施、固体废物处置设施运营单位采取相应改进措施。</w:t>
      </w:r>
    </w:p>
    <w:p w14:paraId="1ABAFA2B">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10、风险管控效果评估、修复效果评估活动，应当编制效果评估报告。效果评估报告应当主要包括是否达到土壤污染风险评估报告确定的风险管控、修复目标等内容。风险管控、修复活动完成后，需要实施后期管理的，土壤污染责任人应当按照要求实施后期管理。</w:t>
      </w:r>
    </w:p>
    <w:p w14:paraId="79A90890">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11、实施风险管控、修复活动，应当因地制宜、科学合理，提高针对性和有效性。实施风险管控、修复活动，不得对土壤和周边环境造成新的污染；风险管控、修复活动中产生的废水、废气和固体废物，应当按照规定进行处理、处置，并达到相关环境保护标准。</w:t>
      </w:r>
    </w:p>
    <w:p w14:paraId="7C70C00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12、修复施工单位转运污染土壤的，应当制定转运计划，将运输时间、方式、线路和污染土壤数量、去向、最终处置措施等，提前报所在地和接收地生态环境主管部门。</w:t>
      </w:r>
    </w:p>
    <w:p w14:paraId="373A060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13、未达到土壤污染风险评估报告确定的风险管控、修复目标的建设用地地块，禁止开工建设任何与风险管控、修复无关的项目。</w:t>
      </w:r>
    </w:p>
    <w:p w14:paraId="7E449F1C">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14、建筑垃圾治理建设项目用地用途变更为住宅、公共管理与公共服务用地的，变更前应当按照规定进行土壤污染状况调查。</w:t>
      </w:r>
    </w:p>
    <w:p w14:paraId="1D0EBA20">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b/>
          <w:sz w:val="32"/>
          <w:szCs w:val="20"/>
          <w:lang w:val="en-US" w:eastAsia="zh-CN"/>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15、建筑垃圾治理项目用地和周边环境用地土壤保护还应满足《中华人民共和国土壤污染防治法》和其他法律法规的相关规定。</w:t>
      </w:r>
    </w:p>
    <w:p w14:paraId="37B89F4A">
      <w:pPr>
        <w:pStyle w:val="3"/>
        <w:numPr>
          <w:ilvl w:val="0"/>
          <w:numId w:val="13"/>
        </w:numPr>
        <w:bidi w:val="0"/>
        <w:rPr>
          <w:rFonts w:hint="eastAsia"/>
          <w:lang w:val="en-US" w:eastAsia="zh-CN"/>
        </w:rPr>
      </w:pPr>
      <w:bookmarkStart w:id="115" w:name="_Toc3463"/>
      <w:bookmarkStart w:id="116" w:name="_Toc26527"/>
      <w:r>
        <w:rPr>
          <w:rFonts w:hint="eastAsia"/>
          <w:lang w:val="en-US" w:eastAsia="zh-CN"/>
        </w:rPr>
        <w:t>地质灾害防治措施规划</w:t>
      </w:r>
      <w:bookmarkEnd w:id="115"/>
      <w:bookmarkEnd w:id="116"/>
    </w:p>
    <w:p w14:paraId="03915F9B">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建筑资源化利用和填埋处置工程选址的工程地质与水文地质条件应满足设施建设和运行的要求，不应选在发震断层、滑坡、泥石流、沼泽、流沙及采矿陷落区等地区。</w:t>
      </w:r>
    </w:p>
    <w:p w14:paraId="729443C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加强建筑垃圾排放监管工作，对因职能部门监管不到位，致使因建筑垃圾造成地质灾害事故发生的，要追究部门负责人的责任。</w:t>
      </w:r>
    </w:p>
    <w:p w14:paraId="58E96C6B">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应重点加强对建筑垃圾处置场、消纳场水土保持措施的监督管理，要坚持“以防为主，防治结合”方针，努力防控灾害造成的损失。</w:t>
      </w:r>
    </w:p>
    <w:p w14:paraId="0A588996">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落实好《地质灾害防治条例》，认真将《地质灾害防治条例》贯穿于建筑垃圾处置场、消纳场的选址、建设和运营工作的始终。</w:t>
      </w:r>
    </w:p>
    <w:p w14:paraId="75EE87F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建筑垃圾处置区、消纳区应根据规划限高、地基承载力、车辆作业要求等因素，合理确定分层厚度、堆高高度、边坡坡度．并应进行整体稳定性核算。</w:t>
      </w:r>
    </w:p>
    <w:p w14:paraId="799C2B6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建筑垃圾消纳场雨期作业时，应采取措施防止地面水流人回填点内部，并应避免边坡塌方。</w:t>
      </w:r>
    </w:p>
    <w:p w14:paraId="1A50555E">
      <w:pPr>
        <w:pStyle w:val="3"/>
        <w:numPr>
          <w:ilvl w:val="0"/>
          <w:numId w:val="13"/>
        </w:numPr>
        <w:bidi w:val="0"/>
        <w:rPr>
          <w:rFonts w:hint="eastAsia"/>
          <w:lang w:val="en-US" w:eastAsia="zh-CN"/>
        </w:rPr>
      </w:pPr>
      <w:bookmarkStart w:id="117" w:name="_Toc3936"/>
      <w:bookmarkStart w:id="118" w:name="_Toc10075"/>
      <w:r>
        <w:rPr>
          <w:rFonts w:hint="eastAsia"/>
          <w:lang w:val="en-US" w:eastAsia="zh-CN"/>
        </w:rPr>
        <w:t>生态恢复规划</w:t>
      </w:r>
      <w:bookmarkEnd w:id="117"/>
      <w:bookmarkEnd w:id="118"/>
    </w:p>
    <w:p w14:paraId="3CFBED7A">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建筑垃圾消纳场封场后，虽然没有新垃圾补充进入，但是封场覆盖层下面的垃圾在相当长一段时间内依然进行着各种生化反应，场地仍然会产生不同程度的沉降，垃圾渗滤液及填埋气会继续产生。如封场后不加以适当的生态恢复，将形成了以生物多样性低、功能下降为特征的各式各样的退化生态系统，成为一个个难以痊愈的伤口，影响景观，破坏生态。在发达国家，关于建筑垃圾消纳场封场用地治理及恢复的法律体系正在逐渐形成，但是在发展中国家，对建筑垃圾消纳场封场用地的治理和恢复还没有得到重视。</w:t>
      </w:r>
    </w:p>
    <w:p w14:paraId="3E62675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1、生态恢复的意义</w:t>
      </w:r>
    </w:p>
    <w:p w14:paraId="09A38D13">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对建筑垃圾消纳场封场用地进行生态恢复是废弃物安全处理方法的一部分，是生态城市物质循环的一个组成部分，也是生态工业的一个组成分子，对其进行生态恢复是可持续发展原理的应用。建筑垃圾消纳场封场用地进行生态恢复之后，一方面削减了原有对生态环境的压力，另一方面使土地的利用价值得到恢复，在恢复过的土地上进行生态系统的恢复更可以改善当地的自然环境，为自然生态系统恢复活力创造良好的基础条件。伴随着我国城市化、工业化进程的不断加快，建筑垃圾的产生和排放也在高速增长，由于技术的推广和产业模式的限制，近期我国的建筑垃圾还不能做到完全资源化回收利用，建筑垃圾处置消纳仍然是建筑垃圾处理中的一个重要途径。建筑垃圾消纳场等场地的生态恢复符合生态资源循环再利用的准则，具有很大的社会、经济、生态效益。</w:t>
      </w:r>
    </w:p>
    <w:p w14:paraId="76D6F6C0">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（1）建筑垃圾封场生态恢复的社会效益</w:t>
      </w:r>
    </w:p>
    <w:p w14:paraId="5D8E578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建筑垃圾封场生态恢复有很大的社会效益，一方面建筑垃圾封场的生态恢复可以美化社会环境，避免对周边环境和居民带来影响和种种隐患。另一方面，建筑垃圾封场的生态恢复也可以节约土地资源，用地资源紧张，是节约建设用地和耕地的一种基本方法。建筑垃圾封场的生态恢复减少了土地的破坏和不良利用，且可以减少因土地占用而产生的移民，而建筑垃圾封场恢复后的管理还能够产生一定的劳动力需求，对社会的安定团结也起到了一定的作用。</w:t>
      </w:r>
    </w:p>
    <w:p w14:paraId="45AD534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（2）建筑垃圾封场生态恢复的经济效益</w:t>
      </w:r>
    </w:p>
    <w:p w14:paraId="3EB44177">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建筑垃圾消纳场封场的生态恢复顺应了发展循环经济的社会需求，可以促进工业产业链的重新组合。并为生态恢复单位带来可观的经济收益。一方面，建筑垃圾封场的生态恢复使土地生产力得以恢复，生态环境得以改善。另一方面，建筑垃圾封场的生态恢复也可以减少征用土地的费用，降低企业生产成本和经济负担。</w:t>
      </w:r>
    </w:p>
    <w:p w14:paraId="2041C860">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（3）建筑垃圾封场生态恢复的生态效益：</w:t>
      </w:r>
    </w:p>
    <w:p w14:paraId="066DA6C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对建筑垃圾封场进行生态恢复，可以带来巨大的生态效益。建筑垃圾场的生态恢复可以使被破坏的土地生态系统得到改善，促进整个自然生态系统的融洽与协调，并保持系统间的良性循环与平衡发展。建筑垃圾场的生态恢复可以削减污染，减轻污染带来的环境负面影响，改善当地的生态环境。建筑垃圾封场的生态恢复可以恢复植被和土壤，保证一定的植被覆盖率和土壤肥力，增加种类组成和生物多样性，实现生物群落的恢复，提高生态系统的生产力和自我维持能力。当生态系统被恢复之后，其带来的生态效益诸如扩大绿化面积、美化环境、调节气候、减少水土流失等是难以估量的。</w:t>
      </w:r>
    </w:p>
    <w:p w14:paraId="2528C54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2、生态恢复的原则</w:t>
      </w:r>
    </w:p>
    <w:p w14:paraId="7DA433B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进行建筑垃圾消纳场封场后的生态恢复要依照以下的原则进行。</w:t>
      </w:r>
    </w:p>
    <w:p w14:paraId="5DA7AAF4">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（1）自然原则。建筑垃圾消纳场封场用地的生态恢复受到自然环境的巨大影响，对建筑垃圾消纳场封场用地进行生态恢复必须首先考虑当地的各种自然特征、环境因素，因地制宜地进行。</w:t>
      </w:r>
    </w:p>
    <w:p w14:paraId="68E67E3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系统原则。建筑垃圾封场后的生态恢复是进行一个生态系统的恢复，必须遵循生态系统的规律，按照生态系统的原则和方法来建立。即建立合理的内容组成（种类丰富度及多度）、结构（植被和土壤的垂直结构）、格局（生态系统成分的水平安排）、异质性（各组分由多个变量组成）、功能（诸如水、能量、物质流动等基本生态过程的表现）。</w:t>
      </w:r>
    </w:p>
    <w:p w14:paraId="79754927">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无害化原则。对建筑垃圾封场后的生态恢复要首先考虑生态的手段，尽量使用对其他生态系统无害的手段对建筑垃圾消纳场封场用地进行生态恢复。以其他生态系统的损失作为本地生态恢复的代价，不符合生态恢复的内涵。</w:t>
      </w:r>
    </w:p>
    <w:p w14:paraId="00F069DB">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4）经济原则。对建筑垃圾封场后的生态恢复要实事求是，从区域资源的适宜性出发，考察区域社会经济特征，确定生态恢复的内容和重点，设计生态恢复方案，规划生态恢复项目，从地力，人力、财力三方面量力而行。</w:t>
      </w:r>
    </w:p>
    <w:p w14:paraId="6C4F6D6C">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5）管理和监督原则。对建筑垃圾封场后进行生态恢复之前，应该制定建筑垃圾消纳场封场用地生态恢复规划，在建筑垃圾封场进行生态恢复之后，应该对已经恢复的建筑垃圾消纳场进行有效的管理和监督，直到其生态系统功能和结构趋于完善为止。</w:t>
      </w:r>
    </w:p>
    <w:p w14:paraId="0A81120A">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3、封场后生态恢复技术措施</w:t>
      </w:r>
    </w:p>
    <w:p w14:paraId="3103183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（1）边坡整治</w:t>
      </w:r>
    </w:p>
    <w:p w14:paraId="70F08AB4">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由于建筑垃圾消纳场的选址不同造成了周边环境和消纳场建造特点的不同，一些消纳场边坡高差较大，坡角较陡，坡面参差不平，很大程度上影响了山体的自然景观，并且可能存在地质灾害隐患。采取必要的措施进行边坡整治，排除安全隐患是建筑垃圾消纳场封场后生态恢复的基础。</w:t>
      </w:r>
    </w:p>
    <w:p w14:paraId="61A57F34">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对于稳定边坡只需清除坡面松动、不牢固的破碎岩石;对于存在地质灾害隐患的边坡，应根据地貌、地层岩性、结构、水文地质等条件选择削坡减载、坡角支墩、挡土墙、抗滑桩、金属锚杆、锚索、危岩体爆破、注浆加固、排水工程、主坡面顶部修建防护栏杆、坡底外设置隔离围栏等措施对边坡进行整治，以提高边坡的稳定性和可靠性，防止事故发生。边坡的生态恢复不但能起到绿化、美化的效果，还可提高边坡的稳定性，起到生态护坡的作用。边坡生态环境恢复技术选择的主要依据是边坡的坡度，可采取的生态恢复技术如下:</w:t>
      </w:r>
    </w:p>
    <w:p w14:paraId="6CBA0B4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堆体整形顶面坡度不宜小于5%。边坡大于10%时宜采用多级台阶，台阶间边坡坡度不宜大于1:3，台阶宽度不宜小于2m。填埋场封场覆盖后，应及时采用植被逐步实施生态恢复，并应与周边环境相协调。</w:t>
      </w:r>
    </w:p>
    <w:p w14:paraId="76680CC0">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（2）土壤保护与恢复</w:t>
      </w:r>
    </w:p>
    <w:p w14:paraId="2DF692A6">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建筑垃圾消纳场土壤稀疏且物理、化学性状较差，难以直接满足植被恢复的需要，因此土壤保护与恢复是建筑垃圾消纳场封场用地生态恢复的重要内容。</w:t>
      </w:r>
    </w:p>
    <w:p w14:paraId="4DBB766B">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建筑垃圾消纳场填埋物种类多样，很多填埋物难以蕴藏水分，造成土壤的大量流失，难以为植物生长提供必要的水分和养分，因此需要改造水系，减少土壤流失。其重点是在利用建筑垃圾消纳场周围原有排水系统的基础上，进一步设计新的排水沟渠，将建筑垃圾消纳场的地表径流有序地归顺到附近的地表水系中。设计网状排水沟，雨水经排水沟汇集后排入就近的地表水系。建筑垃圾消纳场施工和营运中产生大量表土，其中含优势植物的种子、块根和块茎等繁殖体，可在生态恢复时尽量加以利用。建设过程中应制订表土挖掘、保存和利用计划。在地势较为平缓的山坳处设置专用的表土存放场，并覆盖塑料布，修挡土墙和排洪沟。使用一定时间或服务期满后，可利用这些土壤进行绿化，修复生态环境。</w:t>
      </w:r>
    </w:p>
    <w:p w14:paraId="1236D75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建筑垃圾消纳场表土的存储量一般不能满足生态恢复的需要，通常还需要大量引入客土。在引入客土时，不仅要注意有机质N、P、K等营养成分的含量和配比，还要注意土壤的级配，以增强客土的抗冲刷能力。城市污泥的植物营养素含量丰富，粘性、持水性和保水性较强，且富含微生物，有利于物质能量的循环，可作为客土引入。这样既降低了运输成本，也减少取土对环境的破坏。</w:t>
      </w:r>
    </w:p>
    <w:p w14:paraId="610C6B3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建筑垃圾消纳场中一些填埋含氯化物或碱活性骨料的区域具有较强的酸碱化学性质，需要利用化学方法改良土壤本底，以适合植物生长。可根据对土壤本底性质的测量和研究，适当选择酸化（添加炼铁残渣或有机质）、简化（添加碱石灰）、去除盐分（添加石膏）、去除毒物（EDTA配合）、营养物添加（合适的化肥、有机质）等一种或多种化学方法首先对土壤的理化性质进行改良恢复，方可进一步进行植被恢复。而填埋装修垃圾的区域由于有机物含量较高，性质接近生活垃圾，在其上进行制备恢复也将面临填埋气体、垃圾渗滤液、最终覆土层高温、干旱、贫瘠等诸多严峻的环境压力。土壤中填埋气体（CO2和CH4）的存在，可导致植物产生生长不良、高死亡率、植株矮化、生理失调等种种问题，是建筑垃圾消纳场植物生长的最主要的限制因子。可以在封场时建立填埋场导排气系统，减少最终覆土层中填埋气体的量以利于生态恢复。另外，选择耐旱植物也是一种实际可行的方法，实践证明浅根系的草本植物更能在填埋气体较多的地方生长。可以在种植草本植物1〜2年以后再开始种植乔灌木，因为如果草本植物因填埋气体的大量释放而无法生长时，其他深根系的植物类群更加难以幸免。而建筑垃圾渗滤液的组成比生活垃圾的组成相对简单、浓度也低于生活垃圾渗滤液，而垃圾渗滤液对生态恢复的植物群落的毒害作用主要取决于使用建筑垃圾渗滤液的方式和浓度。一些研究表明，如果通过稀释或降低施用的频率，将垃圾渗滤液中的有害成分控制在很低的水平，则其完全可以作为恢复植被的用水来减少水分胁迫对植物生长的影响。</w:t>
      </w:r>
    </w:p>
    <w:p w14:paraId="79892810">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（3）植被保护与恢复</w:t>
      </w:r>
    </w:p>
    <w:p w14:paraId="39486704">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建筑垃圾消纳场的建设导致的生态破坏严重，生态恢复不能只依靠原有植被，还需要引入人工植被。引入的人工植被应选择合适的植被种类，优化配置方式，重视栽培技术和栽后管理。</w:t>
      </w:r>
    </w:p>
    <w:p w14:paraId="64501E83">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建筑垃圾消纳场封场后，土壤物理性状较差且缺肥、缺水，同时考虑到地形、气候、光照、边坡特点等因素，应尽量选择耐贫瘠、耐干旱、生命力强、根系发达、保土能力强、抗病虫害能力强的乡土植物，以减少后期维护工作。群落结构配置应以草灌植物为主，优化配置乔-灌-藤-草。在背阴面种植对光照要求不高的乡土植物；在边坡上可种植攀缘植物和下垂植物；在台阶和缓坡进行乔-灌-藤-草混交，首先采取直播方式形成草灌群落，再种植以经济林为主的乔木，逐步营造乔灌群落；地表栽种多年生匍匐生长草类植物。</w:t>
      </w:r>
    </w:p>
    <w:p w14:paraId="1A3C5A7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采用适当的植被栽培技术，加强栽后管理，逐渐建立起稳定的植物群落。伴随着群落的形成与演替，植物群落的物种多样性呈逐渐增加的趋势，形成近似自然的稳定的生态系统。</w:t>
      </w:r>
    </w:p>
    <w:p w14:paraId="2B71AAA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4、封场后生态恢复的评价与管理</w:t>
      </w:r>
    </w:p>
    <w:p w14:paraId="5FBDBCD6">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在建筑垃圾消纳场封场进行了生态恢复之后，还应对生态恢复的结果进行评价。另外，还需对已经初步恢复的生态系统进行管理和监督，以使生态系统能够继续完善以达到自我恢复的功能。</w:t>
      </w:r>
    </w:p>
    <w:p w14:paraId="195198D4">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（1）生态恢复评价</w:t>
      </w:r>
    </w:p>
    <w:p w14:paraId="501E2CB7">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建筑垃圾消纳场封场生态恢复评价是指在一定的用途条件下，评定被恢复土地质量的高低以及被恢复土地对定利用项目的适宜性。建筑垃圾消纳场封场生态恢复的评价一方面可以为生态恢复工程的验收提供一定的依据，另一方面也可以为其他建筑垃圾消纳场封场生态恢复规划提供基础资料。建筑垃圾消纳场的生态恢复评价可以分为自然评价和经济评价两大类，其中自然评价又可以分成适宜度评价和质量评价两种。适宜度评价是对被恢复地在一定的条件下对不同土地利用方式的适宜程度进行评价；质量评价是对被恢复地的土质、坡度、土壤状况、排灌条件等土地质等方面进行的评价；经济评价是对被恢复地在某一用途上可能取得的经济效益进行综合评定，经济评价主要依据被恢复地上获得的效益与投入的人力、物力资源之间的对比关系，以生态恢复净收益作为评价标准进行。进行建筑垃圾消纳场封场后的生态恢复评价时，应该首先划分生态恢复地评价单元，然后选择评价因素，确定评价因素指标体系并选定指标标准，然后利用一定的数学方法评定本恢复地的生态恢复水平。目前用于实践的评价方法包括利用复垦用地结构多样性指数和生物多样性指数进行评价；利用专家系统的方法，对土地结构与植被的关系进行适宜度评价；利用最优控制理论及分步建模原理建立决策支持系统对生态恢复的效果进行评价；建立一体化模型对建筑垃圾消纳场生产与生态重建进行评价等。</w:t>
      </w:r>
    </w:p>
    <w:p w14:paraId="45A5C577">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此外，连续监测和科学的后续管理对于保证恢复效果的持久性也很重要。对建筑垃圾消纳场的生态修复本身就是一项系统工程，因此要加强对修复过程的管理。从生态恢复设计方案的选择，到建筑垃圾消纳场的封场覆盖材料的选择等都要进行全面系统的考虑。此外还要加强对消纳场内沼气和渗滤液的监测。采取切实有效的措施来减少其对植物生长的不良影响。加强管理还体现在要注意对修复植物进行及时的养护。因为建筑垃圾消纳场本身是一个很脆弱的生态体系，如果不注意对修复植物进行及时养护就会造成植物的大面积死亡，尤其是要关注对修复植物的灌溉方案，确保植物对水分的需求。另外，恢复后的土地用于农业生产仍是一个需要特别关注的问题，为作物吸收的毒害物质可能会对人类的健康产生威胁。因此，有必要建立起风险评价来揭示可能进入食物链的毒害物质的总量及其途径。</w:t>
      </w:r>
    </w:p>
    <w:p w14:paraId="38F3F453">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（2）生态恢复管理与利用</w:t>
      </w:r>
    </w:p>
    <w:p w14:paraId="58B92A23">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封场后的管理和利用应该符合下列要求：</w:t>
      </w:r>
    </w:p>
    <w:p w14:paraId="3365CAE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填埋场封场后应继续进行渗沥液导排和处理、填埋气体导排、环境与安全监测等运行管理，直至填埋体达到稳定。</w:t>
      </w:r>
    </w:p>
    <w:p w14:paraId="6692E66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填埋场封场后宜进行水土保持的相关维护工作。</w:t>
      </w:r>
    </w:p>
    <w:p w14:paraId="64C70EB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填埋场封场后的土地利用前应做出场地稳定化鉴定、土地利用论证，并经环境卫生、岩土、环保等部门鉴定。</w:t>
      </w:r>
    </w:p>
    <w:p w14:paraId="28BAF6E1">
      <w:pPr>
        <w:pStyle w:val="3"/>
        <w:numPr>
          <w:ilvl w:val="0"/>
          <w:numId w:val="13"/>
        </w:numPr>
        <w:bidi w:val="0"/>
        <w:rPr>
          <w:rFonts w:hint="eastAsia"/>
          <w:lang w:val="en-US" w:eastAsia="zh-CN"/>
        </w:rPr>
      </w:pPr>
      <w:bookmarkStart w:id="119" w:name="_Toc27456"/>
      <w:bookmarkStart w:id="120" w:name="_Toc17703"/>
      <w:r>
        <w:rPr>
          <w:rFonts w:hint="eastAsia"/>
          <w:lang w:val="en-US" w:eastAsia="zh-CN"/>
        </w:rPr>
        <w:t>安全卫生规划</w:t>
      </w:r>
      <w:bookmarkEnd w:id="119"/>
      <w:bookmarkEnd w:id="120"/>
    </w:p>
    <w:p w14:paraId="10DE38C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1、项目安全控制</w:t>
      </w:r>
    </w:p>
    <w:p w14:paraId="740D378C">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各类建筑垃圾处置设施的项目安全控制应符合以下要求：</w:t>
      </w:r>
    </w:p>
    <w:p w14:paraId="342F1BFE">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(1)对建筑垃圾处理工程项目设计方案均需要进行环境影响评价。</w:t>
      </w:r>
    </w:p>
    <w:p w14:paraId="2D232AF5">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建筑垃圾处置设施选址应符合当地城市总体规划、土地利用总体规划、环境卫生专项规划，以及今后编制的国土空间规划和国家现行有关标准的要求。建筑垃圾处置场、消纳场应选择具有自然低洼地势的山坳、采石场废坑等地点，并应满足交通方便、运距合理的要求。</w:t>
      </w:r>
    </w:p>
    <w:p w14:paraId="5ACCC49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(3)建筑垃圾处置场、消纳场选址不应设在下列地区：</w:t>
      </w:r>
    </w:p>
    <w:p w14:paraId="30A171E5">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1)地下水集中供水水源地及补给区：</w:t>
      </w:r>
    </w:p>
    <w:p w14:paraId="0932953A">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2)洪泛区和泄洪道；</w:t>
      </w:r>
    </w:p>
    <w:p w14:paraId="60F803B6">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3)活动的坍塌地带、尚未开采的地下蕴矿区、灰岩坑及溶岩洞区。</w:t>
      </w:r>
    </w:p>
    <w:p w14:paraId="4227F2C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(4)生活垃圾、危险废物不得进入临时消纳场、建筑垃圾填埋场和建筑垃圾资源化利用厂。</w:t>
      </w:r>
    </w:p>
    <w:p w14:paraId="60F6F38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(5)处置场地竣工，必须经原审批环境影响报告书（表）的环境保护行政主管部门验收合格后，方可投入生产或使用。</w:t>
      </w:r>
    </w:p>
    <w:p w14:paraId="0D42E09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(6)处置场的渗滤液水质达到《污水综合排放标准》GB8978-1996标准后方可排放，大气污染物排放应满足《大气污染物综合排放标准》GB16297-1996无组织排放要求。</w:t>
      </w:r>
    </w:p>
    <w:p w14:paraId="4086DFF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(7)处置场使用单位，应建立检查维护制度。定期检查维护堤、坝、挡土墙、导流渠等设施，发现有损坏可能或异常，应及时采取必要措施，以保障正常运行。</w:t>
      </w:r>
    </w:p>
    <w:p w14:paraId="445CE43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(8)处置场地使用单位，应建立档案制度。应将入场的一般工业固体废物的种类和数量以及。</w:t>
      </w:r>
    </w:p>
    <w:p w14:paraId="270AEA8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(9)下列资料，详细记录在案，长期保存，供随时查阅。</w:t>
      </w:r>
    </w:p>
    <w:p w14:paraId="69CC7A6A">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1)各种设施和设备的检查维护资料；</w:t>
      </w:r>
    </w:p>
    <w:p w14:paraId="6F0E3C5B">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2)地基下沉、坍塌、滑坡等的观测和处置资料；</w:t>
      </w:r>
    </w:p>
    <w:p w14:paraId="59C4BBF7">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3)渗滤液及其处理后的水污染物排放和大气污染物排放等的监测资料。</w:t>
      </w:r>
    </w:p>
    <w:p w14:paraId="2DE7DC13">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2、安全生产预防</w:t>
      </w:r>
    </w:p>
    <w:p w14:paraId="68CA949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各类建筑垃圾处置设施的安全生产预防控制应符合以下要求：</w:t>
      </w:r>
    </w:p>
    <w:p w14:paraId="580F4820">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(1)填埋场作业过程的安全卫生管理应符合现行国家标准《生产过程安全卫生要求总则》GB/T12801的有关规定。</w:t>
      </w:r>
    </w:p>
    <w:p w14:paraId="43B0092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(2)从事建筑垃圾收集、运输、处理的单位应对作业人员进行劳动安全卫生保护专业培训。</w:t>
      </w:r>
    </w:p>
    <w:p w14:paraId="22C643AE">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(3)建筑垃圾处理工程应按规定配置作业机械、劳动工具与职业病防护用品。</w:t>
      </w:r>
    </w:p>
    <w:p w14:paraId="7DB458CA">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(4)应在建筑垃圾处理工程现场设置劳动防护用品贮存室，定期进行盘库和补充；应定期对使用过的劳动防护用品进行清洗和消毒；应及时更换有破损的劳动防护用品。</w:t>
      </w:r>
    </w:p>
    <w:p w14:paraId="1AFEE86C">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(5)建筑垃圾处理工程应设道路行车指示、安全标志及环境卫生设施设置标志。</w:t>
      </w:r>
    </w:p>
    <w:p w14:paraId="1A46ED1A">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(6)建筑垃圾收集、运输、处理系统的环境保护与安全卫生除满足以上规定外，尚应符合国家现行相关标准的规定。</w:t>
      </w:r>
    </w:p>
    <w:p w14:paraId="6F5D4ADD">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(7)建筑垃圾堆放、堆填、填埋处置高度和边坡应符合安全稳定要求。</w:t>
      </w:r>
    </w:p>
    <w:p w14:paraId="4E61803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(8)建筑垃圾处理工程现场的劳动卫生应按现行国家标准《工业企业设计卫生标准》GBZ1、《生产过程安全卫生要求总则》GB/T12801的有关规定执行，并应结合作业特点采取有利于职业病防治和保护作业人员健康的措施。</w:t>
      </w:r>
    </w:p>
    <w:p w14:paraId="399290A7">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3、火灾防护</w:t>
      </w:r>
    </w:p>
    <w:p w14:paraId="10286346">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由于建筑垃圾处置场、消纳场大多远离市区，靠近山区或农村，场内和周边植被生长良好，区内的建筑垃圾含有部分的易燃物质，沼气浓度有可能局部较高，加之场区人员、车辆进出频繁，因此，预防火灾工作非常重要。各类建筑垃圾处置设施的火灾防护应符合以下要求：</w:t>
      </w:r>
    </w:p>
    <w:p w14:paraId="70B7A0EA">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(1)消防设施的设置应符合现行国家标准《建筑设计防火规范》GB50016和《建筑灭火器配置设计规范》GB50140的有关规定。</w:t>
      </w:r>
    </w:p>
    <w:p w14:paraId="6C13CA0C">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电气消防设计应符合现行国家标准《建筑设计防火规范》GB50016和《火灾自动报警系统设计规范》GB50116中的有关规定。(3)有条件的建筑垃圾处置场、消纳场可在场界周围设置10m的防火带，杜绝因场外的明火蔓延至消纳场。</w:t>
      </w:r>
    </w:p>
    <w:p w14:paraId="35186CBC">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(4)按国家规定要求配置防火设施和器材，并保持随时能使用。</w:t>
      </w:r>
    </w:p>
    <w:p w14:paraId="7E5BD2B3">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(5)对全场职工加强安全防火教育，做到人人懂安全、人人讲安全、人人会使用各种消防设施，并确保24小时通讯畅通。</w:t>
      </w:r>
    </w:p>
    <w:p w14:paraId="3CAFDA3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(6)制定场区防火工作应急预案，适时组织演练，做到紧急情况下能熟练处置。</w:t>
      </w:r>
    </w:p>
    <w:p w14:paraId="774B7FCE">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(7)保持与当地公安及消防部门的联系，杜绝消纳库区拾荒，严禁携带火种进入消纳作业区。</w:t>
      </w:r>
    </w:p>
    <w:p w14:paraId="0134B9E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(8)加强周边居民、村民的宣传教育，讲清防火工作的重要性和危害性，并做到与周边社区和村组织形成联动，确保一方有难，八方支援措施的落实。</w:t>
      </w:r>
    </w:p>
    <w:p w14:paraId="023F1574">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4、水灾防护</w:t>
      </w:r>
    </w:p>
    <w:p w14:paraId="5432285B">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因各类建筑垃圾处置设施根据地形而建，处置场、消纳场的雨水随地形而流，因此，保证场区地表水排水设施通畅尤为重要。各类建筑垃圾处置设施的水灾防护</w:t>
      </w:r>
    </w:p>
    <w:p w14:paraId="045DA885">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应符合以下要求：</w:t>
      </w:r>
    </w:p>
    <w:p w14:paraId="207190BB">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(1)各类建筑垃圾处置设施的选址应有可靠的防洪、排涝措施，其防洪标准应符合现行国家标准《防洪标准》GB50201-2014的有关规定。</w:t>
      </w:r>
    </w:p>
    <w:p w14:paraId="521F504B">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(2)在消纳库区要充分发挥好截洪沟截留雨水的功能，减少雨水流入消纳库区，减少渗滤液量，确保消纳作业正常运行。</w:t>
      </w:r>
    </w:p>
    <w:p w14:paraId="1729ACC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(3)按要求分区分单元科学，有序规范作业，保证消纳库区内不积水、垃圾堆体的相对稳定。</w:t>
      </w:r>
    </w:p>
    <w:p w14:paraId="12A44314">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(4)平时要巡查全场排水设施是否畅通，做到发现问题及时解决，特别是雨季来临前，要对全场排水设施进行一次维护、保养，确保雨污分流工作落到实处。场内存有相应的碎石土方，以备暴雨时急用。</w:t>
      </w:r>
    </w:p>
    <w:p w14:paraId="0F3D786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5、雷电防护</w:t>
      </w:r>
    </w:p>
    <w:p w14:paraId="04955BD7">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由于建筑垃圾处置、消纳作业在露天，加上地理环境的特点，全场尤其消纳库区工作人员在雷雨时间易被伤害，因此，各类建筑垃圾处置设施的雷电防护应符合</w:t>
      </w:r>
    </w:p>
    <w:p w14:paraId="43DE8563">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以下要求：</w:t>
      </w:r>
    </w:p>
    <w:p w14:paraId="201B490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（1）在建筑垃圾处置场所的全场最高处应安装防雷设施。</w:t>
      </w:r>
    </w:p>
    <w:p w14:paraId="270F6955">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（2）强雷时间可暂停建筑垃圾的进场工作和室外处理工作。</w:t>
      </w:r>
    </w:p>
    <w:p w14:paraId="133883B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6、职业病防治</w:t>
      </w:r>
    </w:p>
    <w:p w14:paraId="26011748">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建筑垃圾处置设施的工作人员，因长期在条件差、环境恶劣、有毒有害气体污染的环境下工作，对建筑垃圾处置设施职工的身体健康带来一定程度的影响。为了有效防治建筑垃圾处置设施职工的职业病，必须贯彻“安全第一，预防为主”和劳动保护条例的落实，确保职工身体健康。</w:t>
      </w:r>
    </w:p>
    <w:p w14:paraId="4B880FFD">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（1）加强职业病防治宣传教育，增强自我防护意识；</w:t>
      </w:r>
    </w:p>
    <w:p w14:paraId="5FF26460">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改善工作条件和作业环境，定期配发劳动保护用品；建筑垃圾处置场所应按照作业需求配置作业机械。并应配备必要的劳动工具和职业病防护用品。建筑垃圾处置作业现场应设置劳动防护用品贮存室。并应定期进行盘库和补充；对使用过的劳动防护用品应定期进行清洗和消毒；有破损的劳动防护用品应及时更换。</w:t>
      </w:r>
    </w:p>
    <w:p w14:paraId="379D84F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垃圾清运，应采用压缩式密封车辆以减少苍蝇的滋生。严格卫生消纳工艺的落实。即每天消纳的垃圾必须当天覆盖完毕，这能有效控制苍蝇的滋生。对场外带进或场内产生的蚊、蝇、鼠类带菌体，一方面要组织专业人员定期喷药消杀，另一方面加强填埋工序管理，及时清扫散落垃圾，及时清除场区内积水坑洼，减少蚊蝇的滋生地。对垃圾暴露面上的苍蝇，一般采用药物喷杀，喷杀时机最佳应选择在早晚黑暗天进行，但要注意药物对环境产生的副作用。还可用引诱的花蝇药物诱杀。在填埋场种植驱蝇植物，也是有效控制苍蝇密度的方法。在消纳场生活区，室外可采用低毒低残留药物喷雾和诱杀剂杀灭，还可用捕蝇笼诱捕，室内可采用粘蝇纸。药物应有专人保管，确保安全。</w:t>
      </w:r>
    </w:p>
    <w:p w14:paraId="7FADB02B">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（4）坚持每年一次职工身体检查，建立健康档案。</w:t>
      </w:r>
    </w:p>
    <w:p w14:paraId="5D6BD40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7、环境保护与安全卫生空间规划</w:t>
      </w:r>
    </w:p>
    <w:p w14:paraId="280F6598">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为了保证建筑垃圾治理全过程不对环境产生污染或影响，本规划根据霍山县建筑垃圾治理实际情况，在市区范围内根据不同服务区、不同功能和所处的不同治理阶段等，以及结合处置场、填埋场和消纳场等的规划布置，设置不同的等级的环境污染检测系统，并且划分了环境污染重点防护区和环境污染重点控制区，详细规划如下：</w:t>
      </w:r>
    </w:p>
    <w:p w14:paraId="03413590">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环境污染监测站：位于霍山县综合处置中心；主要负责对本填埋场、综合处置中心自身和周边用地的水、土、空气和噪音等环境的相关数据进行收集、统计和分析，并上报上一级管理系统，同时提供相关的信息服务。</w:t>
      </w:r>
    </w:p>
    <w:p w14:paraId="4F22B2C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环境污染监测点位于每个临时消纳场；主要负责对本临时消纳场自身和周边用地的水、土、空气和噪音等环境的相关数据进行收集、统计和分析，并上报上一级管理系统，同时提供相关的信息服务。</w:t>
      </w:r>
    </w:p>
    <w:p w14:paraId="62386683">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环境污染重点防护区：填埋场和临时消纳场周边区域；防止出现建筑垃圾对环境产生污染。</w:t>
      </w:r>
    </w:p>
    <w:p w14:paraId="52CDF796">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环境污染重点控制区：市区规划范围内居民主要居住区域；防止出现建筑垃圾对主要居民生活环境产生污染。</w:t>
      </w:r>
    </w:p>
    <w:p w14:paraId="0E321D34">
      <w:pPr>
        <w:rPr>
          <w:rFonts w:hint="eastAsia"/>
          <w:b/>
          <w:sz w:val="32"/>
          <w:szCs w:val="20"/>
          <w:lang w:val="en-US" w:eastAsia="zh-CN"/>
        </w:rPr>
      </w:pPr>
    </w:p>
    <w:p w14:paraId="16D38E56">
      <w:pPr>
        <w:pStyle w:val="2"/>
        <w:numPr>
          <w:ilvl w:val="0"/>
          <w:numId w:val="1"/>
        </w:numPr>
        <w:bidi w:val="0"/>
        <w:rPr>
          <w:rFonts w:hint="default"/>
          <w:lang w:val="en-US" w:eastAsia="zh-CN"/>
        </w:rPr>
      </w:pPr>
      <w:bookmarkStart w:id="121" w:name="_Toc27532"/>
      <w:bookmarkStart w:id="122" w:name="_Toc19635"/>
      <w:r>
        <w:rPr>
          <w:rFonts w:hint="eastAsia"/>
          <w:lang w:val="en-US" w:eastAsia="zh-CN"/>
        </w:rPr>
        <w:t>近期规划实施计划</w:t>
      </w:r>
      <w:bookmarkEnd w:id="121"/>
      <w:bookmarkEnd w:id="122"/>
    </w:p>
    <w:p w14:paraId="6B69C23C">
      <w:pPr>
        <w:pStyle w:val="3"/>
        <w:numPr>
          <w:ilvl w:val="0"/>
          <w:numId w:val="14"/>
        </w:numPr>
        <w:bidi w:val="0"/>
        <w:rPr>
          <w:rFonts w:hint="eastAsia"/>
          <w:b/>
          <w:sz w:val="28"/>
          <w:szCs w:val="22"/>
          <w:lang w:val="en-US" w:eastAsia="zh-CN"/>
        </w:rPr>
      </w:pPr>
      <w:bookmarkStart w:id="123" w:name="_Toc15787"/>
      <w:bookmarkStart w:id="124" w:name="_Toc29732"/>
      <w:r>
        <w:rPr>
          <w:rFonts w:hint="eastAsia"/>
          <w:b/>
          <w:sz w:val="28"/>
          <w:szCs w:val="22"/>
          <w:lang w:val="en-US" w:eastAsia="zh-CN"/>
        </w:rPr>
        <w:t>近期建设内容</w:t>
      </w:r>
      <w:bookmarkEnd w:id="123"/>
      <w:bookmarkEnd w:id="124"/>
    </w:p>
    <w:p w14:paraId="62E2296F">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近期建筑垃圾处理设施建设内容如下：</w:t>
      </w:r>
    </w:p>
    <w:p w14:paraId="54B2A780">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建筑垃圾资源化利用厂</w:t>
      </w:r>
    </w:p>
    <w:p w14:paraId="3DF7F2F9">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根据霍山县中心城区建筑垃圾量预测，规划中心城区范围内装修总量最高不超过9万吨</w:t>
      </w:r>
      <w:r>
        <w:rPr>
          <w:rFonts w:hint="default" w:ascii="仿宋" w:hAnsi="仿宋" w:eastAsia="仿宋" w:cs="仿宋"/>
          <w:color w:val="000000" w:themeColor="text1"/>
          <w:sz w:val="28"/>
          <w:szCs w:val="36"/>
          <w:highlight w:val="none"/>
          <w:lang w:val="en-US" w:eastAsia="zh-CN"/>
          <w14:textFill>
            <w14:solidFill>
              <w14:schemeClr w14:val="tx1"/>
            </w14:solidFill>
          </w14:textFill>
        </w:rPr>
        <w:t>/</w:t>
      </w:r>
      <w:r>
        <w:rPr>
          <w:rFonts w:hint="eastAsia" w:ascii="仿宋" w:hAnsi="仿宋" w:eastAsia="仿宋" w:cs="仿宋"/>
          <w:color w:val="000000" w:themeColor="text1"/>
          <w:sz w:val="28"/>
          <w:szCs w:val="36"/>
          <w:highlight w:val="none"/>
          <w:lang w:val="en-US" w:eastAsia="zh-CN"/>
          <w14:textFill>
            <w14:solidFill>
              <w14:schemeClr w14:val="tx1"/>
            </w14:solidFill>
          </w14:textFill>
        </w:rPr>
        <w:t>年，近期规划霍山县大件及装修垃圾资源化利用项目，规模为10万吨</w:t>
      </w:r>
      <w:r>
        <w:rPr>
          <w:rFonts w:hint="default" w:ascii="仿宋" w:hAnsi="仿宋" w:eastAsia="仿宋" w:cs="仿宋"/>
          <w:color w:val="000000" w:themeColor="text1"/>
          <w:sz w:val="28"/>
          <w:szCs w:val="36"/>
          <w:highlight w:val="none"/>
          <w:lang w:val="en-US" w:eastAsia="zh-CN"/>
          <w14:textFill>
            <w14:solidFill>
              <w14:schemeClr w14:val="tx1"/>
            </w14:solidFill>
          </w14:textFill>
        </w:rPr>
        <w:t>/</w:t>
      </w:r>
      <w:r>
        <w:rPr>
          <w:rFonts w:hint="eastAsia" w:ascii="仿宋" w:hAnsi="仿宋" w:eastAsia="仿宋" w:cs="仿宋"/>
          <w:color w:val="000000" w:themeColor="text1"/>
          <w:sz w:val="28"/>
          <w:szCs w:val="36"/>
          <w:highlight w:val="none"/>
          <w:lang w:val="en-US" w:eastAsia="zh-CN"/>
          <w14:textFill>
            <w14:solidFill>
              <w14:schemeClr w14:val="tx1"/>
            </w14:solidFill>
          </w14:textFill>
        </w:rPr>
        <w:t>年。</w:t>
      </w:r>
    </w:p>
    <w:p w14:paraId="2CABBA40">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560" w:firstLineChars="200"/>
        <w:textAlignment w:val="auto"/>
        <w:rPr>
          <w:rFonts w:hint="eastAsia" w:ascii="仿宋" w:hAnsi="仿宋" w:eastAsia="仿宋" w:cs="仿宋"/>
          <w:color w:val="000000" w:themeColor="text1"/>
          <w:sz w:val="28"/>
          <w:szCs w:val="36"/>
          <w:highlight w:val="none"/>
          <w:lang w:val="en-US" w:eastAsia="zh-CN"/>
          <w14:textFill>
            <w14:solidFill>
              <w14:schemeClr w14:val="tx1"/>
            </w14:solidFill>
          </w14:textFill>
        </w:rPr>
      </w:pPr>
      <w:r>
        <w:rPr>
          <w:rFonts w:hint="eastAsia" w:ascii="仿宋" w:hAnsi="仿宋" w:eastAsia="仿宋" w:cs="仿宋"/>
          <w:color w:val="000000" w:themeColor="text1"/>
          <w:sz w:val="28"/>
          <w:szCs w:val="36"/>
          <w:highlight w:val="none"/>
          <w:lang w:val="en-US" w:eastAsia="zh-CN"/>
          <w14:textFill>
            <w14:solidFill>
              <w14:schemeClr w14:val="tx1"/>
            </w14:solidFill>
          </w14:textFill>
        </w:rPr>
        <w:t>基本情况如下表：</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5"/>
        <w:gridCol w:w="2977"/>
        <w:gridCol w:w="1285"/>
        <w:gridCol w:w="1962"/>
      </w:tblGrid>
      <w:tr w14:paraId="3923D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47" w:type="pct"/>
            <w:vAlign w:val="center"/>
          </w:tcPr>
          <w:p w14:paraId="78D764B6">
            <w:pPr>
              <w:pStyle w:val="22"/>
              <w:keepNext w:val="0"/>
              <w:keepLines w:val="0"/>
              <w:pageBreakBefore w:val="0"/>
              <w:widowControl w:val="0"/>
              <w:kinsoku/>
              <w:wordWrap/>
              <w:overflowPunct/>
              <w:topLinePunct w:val="0"/>
              <w:autoSpaceDE/>
              <w:autoSpaceDN/>
              <w:bidi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建筑垃圾资源化利用厂名称</w:t>
            </w:r>
          </w:p>
        </w:tc>
        <w:tc>
          <w:tcPr>
            <w:tcW w:w="1747" w:type="pct"/>
            <w:vAlign w:val="center"/>
          </w:tcPr>
          <w:p w14:paraId="22380C30">
            <w:pPr>
              <w:pStyle w:val="22"/>
              <w:keepNext w:val="0"/>
              <w:keepLines w:val="0"/>
              <w:pageBreakBefore w:val="0"/>
              <w:widowControl w:val="0"/>
              <w:kinsoku/>
              <w:wordWrap/>
              <w:overflowPunct/>
              <w:topLinePunct w:val="0"/>
              <w:autoSpaceDE/>
              <w:autoSpaceDN/>
              <w:bidi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位置</w:t>
            </w:r>
          </w:p>
        </w:tc>
        <w:tc>
          <w:tcPr>
            <w:tcW w:w="754" w:type="pct"/>
            <w:vAlign w:val="center"/>
          </w:tcPr>
          <w:p w14:paraId="46C763AE">
            <w:pPr>
              <w:pStyle w:val="22"/>
              <w:keepNext w:val="0"/>
              <w:keepLines w:val="0"/>
              <w:pageBreakBefore w:val="0"/>
              <w:widowControl w:val="0"/>
              <w:kinsoku/>
              <w:wordWrap/>
              <w:overflowPunct/>
              <w:topLinePunct w:val="0"/>
              <w:autoSpaceDE/>
              <w:autoSpaceDN/>
              <w:bidi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总建筑面积（㎡）</w:t>
            </w:r>
          </w:p>
        </w:tc>
        <w:tc>
          <w:tcPr>
            <w:tcW w:w="1151" w:type="pct"/>
            <w:vAlign w:val="center"/>
          </w:tcPr>
          <w:p w14:paraId="35F3FE4F">
            <w:pPr>
              <w:pStyle w:val="22"/>
              <w:keepNext w:val="0"/>
              <w:keepLines w:val="0"/>
              <w:pageBreakBefore w:val="0"/>
              <w:widowControl w:val="0"/>
              <w:kinsoku/>
              <w:wordWrap/>
              <w:overflowPunct/>
              <w:topLinePunct w:val="0"/>
              <w:autoSpaceDE/>
              <w:autoSpaceDN/>
              <w:bidi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建筑垃圾处理量（万吨/年）</w:t>
            </w:r>
          </w:p>
        </w:tc>
      </w:tr>
      <w:tr w14:paraId="79D02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1347" w:type="pct"/>
            <w:vAlign w:val="center"/>
          </w:tcPr>
          <w:p w14:paraId="2D05C626">
            <w:pPr>
              <w:pStyle w:val="22"/>
              <w:keepNext w:val="0"/>
              <w:keepLines w:val="0"/>
              <w:pageBreakBefore w:val="0"/>
              <w:widowControl w:val="0"/>
              <w:kinsoku/>
              <w:wordWrap/>
              <w:overflowPunct/>
              <w:topLinePunct w:val="0"/>
              <w:autoSpaceDE/>
              <w:autoSpaceDN/>
              <w:bidi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霍山县装修及大件垃圾资源化利用厂</w:t>
            </w:r>
          </w:p>
        </w:tc>
        <w:tc>
          <w:tcPr>
            <w:tcW w:w="1747" w:type="pct"/>
            <w:vAlign w:val="center"/>
          </w:tcPr>
          <w:p w14:paraId="27F6CA14">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六安市霍山县外环路与幽芳路交口东北侧500米长岭岗林场</w:t>
            </w:r>
          </w:p>
        </w:tc>
        <w:tc>
          <w:tcPr>
            <w:tcW w:w="754" w:type="pct"/>
            <w:vAlign w:val="center"/>
          </w:tcPr>
          <w:p w14:paraId="50DA59F7">
            <w:pPr>
              <w:pStyle w:val="22"/>
              <w:keepNext w:val="0"/>
              <w:keepLines w:val="0"/>
              <w:pageBreakBefore w:val="0"/>
              <w:widowControl w:val="0"/>
              <w:kinsoku/>
              <w:wordWrap/>
              <w:overflowPunct/>
              <w:topLinePunct w:val="0"/>
              <w:autoSpaceDE/>
              <w:autoSpaceDN/>
              <w:bidi w:val="0"/>
              <w:spacing w:after="0" w:afterLines="0" w:line="240" w:lineRule="auto"/>
              <w:jc w:val="center"/>
              <w:textAlignment w:val="auto"/>
              <w:rPr>
                <w:rFonts w:hint="default"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1800</w:t>
            </w:r>
          </w:p>
        </w:tc>
        <w:tc>
          <w:tcPr>
            <w:tcW w:w="1151" w:type="pct"/>
            <w:vAlign w:val="center"/>
          </w:tcPr>
          <w:p w14:paraId="60131A74">
            <w:pPr>
              <w:pStyle w:val="22"/>
              <w:keepNext w:val="0"/>
              <w:keepLines w:val="0"/>
              <w:pageBreakBefore w:val="0"/>
              <w:widowControl w:val="0"/>
              <w:kinsoku/>
              <w:wordWrap/>
              <w:overflowPunct/>
              <w:topLinePunct w:val="0"/>
              <w:autoSpaceDE/>
              <w:autoSpaceDN/>
              <w:bidi w:val="0"/>
              <w:spacing w:after="0" w:afterLines="0" w:line="240" w:lineRule="auto"/>
              <w:jc w:val="center"/>
              <w:textAlignment w:val="auto"/>
              <w:rPr>
                <w:rFonts w:hint="eastAsia" w:ascii="仿宋" w:hAnsi="仿宋" w:eastAsia="仿宋" w:cs="仿宋"/>
                <w:i w:val="0"/>
                <w:iCs w:val="0"/>
                <w:snapToGrid/>
                <w:color w:val="000000"/>
                <w:kern w:val="0"/>
                <w:sz w:val="24"/>
                <w:szCs w:val="24"/>
                <w:u w:val="none"/>
                <w:lang w:val="en-US" w:eastAsia="zh-CN" w:bidi="ar"/>
              </w:rPr>
            </w:pPr>
            <w:r>
              <w:rPr>
                <w:rFonts w:hint="eastAsia" w:ascii="仿宋" w:hAnsi="仿宋" w:eastAsia="仿宋" w:cs="仿宋"/>
                <w:i w:val="0"/>
                <w:iCs w:val="0"/>
                <w:snapToGrid/>
                <w:color w:val="000000"/>
                <w:kern w:val="0"/>
                <w:sz w:val="24"/>
                <w:szCs w:val="24"/>
                <w:u w:val="none"/>
                <w:lang w:val="en-US" w:eastAsia="zh-CN" w:bidi="ar"/>
              </w:rPr>
              <w:t>10</w:t>
            </w:r>
          </w:p>
        </w:tc>
      </w:tr>
    </w:tbl>
    <w:p w14:paraId="0063C6AA">
      <w:pPr>
        <w:pStyle w:val="2"/>
        <w:numPr>
          <w:ilvl w:val="0"/>
          <w:numId w:val="1"/>
        </w:numPr>
        <w:bidi w:val="0"/>
        <w:rPr>
          <w:rFonts w:hint="default"/>
          <w:lang w:val="en-US" w:eastAsia="zh-CN"/>
        </w:rPr>
      </w:pPr>
      <w:bookmarkStart w:id="125" w:name="_Toc11828"/>
      <w:bookmarkStart w:id="126" w:name="_Toc5310"/>
      <w:r>
        <w:rPr>
          <w:rFonts w:hint="eastAsia"/>
          <w:lang w:val="en-US" w:eastAsia="zh-CN"/>
        </w:rPr>
        <w:t>保障措施与实施建议</w:t>
      </w:r>
      <w:bookmarkEnd w:id="125"/>
      <w:bookmarkEnd w:id="126"/>
    </w:p>
    <w:p w14:paraId="5EFE2250">
      <w:pPr>
        <w:pStyle w:val="3"/>
        <w:numPr>
          <w:ilvl w:val="0"/>
          <w:numId w:val="15"/>
        </w:numPr>
        <w:bidi w:val="0"/>
        <w:rPr>
          <w:rFonts w:hint="eastAsia"/>
          <w:lang w:val="en-US" w:eastAsia="zh-CN"/>
        </w:rPr>
      </w:pPr>
      <w:bookmarkStart w:id="127" w:name="_Toc28397"/>
      <w:bookmarkStart w:id="128" w:name="_Toc5059"/>
      <w:r>
        <w:rPr>
          <w:rFonts w:hint="eastAsia"/>
          <w:lang w:val="en-US" w:eastAsia="zh-CN"/>
        </w:rPr>
        <w:t>保障措施</w:t>
      </w:r>
      <w:bookmarkEnd w:id="127"/>
      <w:bookmarkEnd w:id="128"/>
    </w:p>
    <w:p w14:paraId="306CDE70">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1、加强法律法规建设，完善监督管理体系</w:t>
      </w:r>
    </w:p>
    <w:p w14:paraId="47098625">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目前，霍山县建筑垃圾处理设施缺乏，法规建设与实际管理存在一定差距，为此需不断总结建筑垃圾管理工作经验，加强建筑垃圾消纳管理、处置及综合利用等方面的法律法规及实施细则，使建筑垃圾管理工作有法可依，有章可循。</w:t>
      </w:r>
    </w:p>
    <w:p w14:paraId="1F036F28">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1）纳入各层次城市规划</w:t>
      </w:r>
    </w:p>
    <w:p w14:paraId="4A565BCE">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建议将建筑垃圾处理设施规划选址纳入国土空间规划的详细规划中，特别是法定性较强的法定图则，实行统一规划、分期建设。</w:t>
      </w:r>
    </w:p>
    <w:p w14:paraId="0B9D92D0">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霍山县正处于快速城市化的进程中，城市发展日新月异，规划只有结合城市发展新形势及时检讨更新，才能持续合理地指导建设。因此，应建立规划的动态管理与滚动调度机制，加强对规划实施的跟踪与回馈，建立效果评价制度，根据实际变化情况，适时修编规划，确保规划对城市建设的正确引导。</w:t>
      </w:r>
    </w:p>
    <w:p w14:paraId="03D62FC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2）出台相关法律法规</w:t>
      </w:r>
    </w:p>
    <w:p w14:paraId="423C69D6">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法律既是保障规划实施的有效工具，也是推动规划实施的强大动力，建立一套完整的与建筑垃圾收集、再生资源回收利用相关的法律法规、规章和规范文件，保障本规划的顺利实施。</w:t>
      </w:r>
    </w:p>
    <w:p w14:paraId="6EC5C028">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3）深化环卫体制改革，促进建筑垃圾产业化发展</w:t>
      </w:r>
    </w:p>
    <w:p w14:paraId="035AAEC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转变政府职能，实现政企分开、政事分开，积极引入市场机制，稳步推进环卫体制改革。认真执行国家的有关政策，促进城市建筑垃圾处理产业化发展。</w:t>
      </w:r>
    </w:p>
    <w:p w14:paraId="185464C0">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通过财政直接投入、补贴及税收优惠等方式，吸引社会资本参与城市建筑垃圾处理设施建设及运营，建立多渠道投融资体系。</w:t>
      </w:r>
    </w:p>
    <w:p w14:paraId="2473AEEC">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抓紧建立和完善政府支持城市建筑垃圾处理设施建设的价格、财税、金融、土地等政策，降低企业的生产和经营成本，扶持企业发展，减轻公众负担。</w:t>
      </w:r>
    </w:p>
    <w:p w14:paraId="0D7D0684">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4）加强环卫宣传工作</w:t>
      </w:r>
    </w:p>
    <w:p w14:paraId="211ACDF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环卫管理的最终目标在于建立一种可持续的固体废物管理策略，但它不可能脱离社会支持系统而由环卫部门单独实现。应加强环卫宣传工作，利用电视、广播、报纸、大型户外广告、课堂等多种形式开展有关垃圾减量化及分类收集的宣传活动，培养以节约为荣、以浪费为耻的社会道德氛围，在全社会树立以循环、共生和可持续发展为核心的价值观。</w:t>
      </w:r>
    </w:p>
    <w:p w14:paraId="5E882E43">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5）纳入诚信综合评价体系</w:t>
      </w:r>
    </w:p>
    <w:p w14:paraId="62F136C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住建部门应当将施工单位处置建筑垃圾的情况纳入建筑业企业诚信综合评价体系进行管理，并按照规定程序记入企业信用档案。</w:t>
      </w:r>
    </w:p>
    <w:p w14:paraId="62B15D7E">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2、强化执法和过程管理</w:t>
      </w:r>
    </w:p>
    <w:p w14:paraId="50A75E30">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执法部门加强对核准事项进行监督管理，对施工单位是否存在将建筑垃圾交给个人或者未经核准的运输单位清理运输处置进行核查，对运输单位是否按照核准事项要求实施运输活动进行监督。加大巡查力度，加大处罚力度，将处罚、教育与救济相结合。对乱倒建筑垃圾的违法行为进行处罚时，要求违法单位或个人对建筑垃圾进行自行清理。通过处罚让违法单位或个人认识到违法行为的危害性，并教育其树立遵纪守法行为准则，责令违法单位或个人对违法行为造成的后果采取补救措施，即将违法倾倒的建筑垃圾清理干净，并运送到指定消纳场所填埋，减少违法行为造成的环境和社会危害。</w:t>
      </w:r>
    </w:p>
    <w:p w14:paraId="31DCEB85">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1）明确管理职责，加强部门协调</w:t>
      </w:r>
    </w:p>
    <w:p w14:paraId="3E7977CD">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各级政府是规划实施的责任主体，切实加强领导，明确责任。各有关部门密切配合，分工负责，争取搞好霍山县建筑垃圾专项规划实施工作。发展改革部门要强化项目前期工作，加强项目执行中的稽查监督。建设部门要加强对城市建筑垃圾处理设施建设和运行的监管，确保项目按期建成，充分发挥效益。</w:t>
      </w:r>
    </w:p>
    <w:p w14:paraId="4359F900">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2）规范项目管理，加快设施建设</w:t>
      </w:r>
    </w:p>
    <w:p w14:paraId="502BE82C">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严格执行基础设施建设程序，加强项目的可行性研究和环境影响评价，保障项目顺利实施。建设等部门要切实加强建筑垃圾处理设施建设项目的施工图审查。</w:t>
      </w:r>
    </w:p>
    <w:p w14:paraId="6F35A74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建筑垃圾智能管理信息系统建立在线登记制度，在线准入制度，动态扣分制度，及黑名单制度。通过对公司、人员、车辆的信息登记、审核入库，实时在线跟踪实现对单位、人员、车辆的信息化管理。</w:t>
      </w:r>
    </w:p>
    <w:p w14:paraId="3F55F52B">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3）改革体制，转变政府管理方式</w:t>
      </w:r>
    </w:p>
    <w:p w14:paraId="1F4CE118">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进一步整合资源，创新体制，打破行政区划限制和部门分割，逐步实现区域资源共享，整合和优化配置，政府主管部门要进一步转变管理方式，从直接管理转变为宏观管理，引入市场机制，逐步实行处理设施的特许经营和委托运营。</w:t>
      </w:r>
    </w:p>
    <w:p w14:paraId="2394E0A3">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3、技术保障措施</w:t>
      </w:r>
    </w:p>
    <w:p w14:paraId="1E055EDD">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1）建立和完善技术标准与评估体系</w:t>
      </w:r>
    </w:p>
    <w:p w14:paraId="5EB47F34">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建筑垃圾处理技术适用性不仅取决于技术本身，而且取决于经济适用条件和环境标准要求。目前，我国建筑垃圾资源化技术的技术标准体系还不够健全，建立完善的建筑垃圾处理技术标准体系和评估体系可以客观地评价各种处理技术的水平，指导并促进霍山县建筑垃圾处理的健康发展。</w:t>
      </w:r>
    </w:p>
    <w:p w14:paraId="78C70363">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2）组织技术创新，解决关键技术问题</w:t>
      </w:r>
    </w:p>
    <w:p w14:paraId="1EC8A4A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针对建筑垃圾处理存在的关键技术问题，组织技术创新、示范和推广应用，组织实施关键技术与装备国产化示范工程，不断提高建筑垃圾资源化技术水平。</w:t>
      </w:r>
    </w:p>
    <w:p w14:paraId="6F32ADD6">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4、资金保障</w:t>
      </w:r>
    </w:p>
    <w:p w14:paraId="7DE420F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1）明确政府责任，加大政府投资</w:t>
      </w:r>
    </w:p>
    <w:p w14:paraId="774BBF25">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明确政府在建筑垃圾管理中的责任，强调建筑垃圾管理是政府理应为市民提供的公共服务之一。在建筑垃圾处理实施市场化运营的同时，应继续坚持政府作为建筑垃圾管理主要投资人的角色，加大政府投入资金的力度。</w:t>
      </w:r>
    </w:p>
    <w:p w14:paraId="0973C340">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2）通过市场化运营机制拓展资金来源</w:t>
      </w:r>
    </w:p>
    <w:p w14:paraId="7991F2D5">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在确立政府主要投资人的基础上，可通过市场化经营机制拓展资金来源，特别是在处理设施的建设投资方面，应多渠道、多层次地筹集资金，改变单一的资金来源。同时完善投资政策，本着“谁投资，谁收益”的原则，充分发挥市场作用，加快建筑垃圾处理产业化进程。</w:t>
      </w:r>
    </w:p>
    <w:p w14:paraId="187DB2D1">
      <w:pPr>
        <w:pStyle w:val="3"/>
        <w:numPr>
          <w:ilvl w:val="0"/>
          <w:numId w:val="15"/>
        </w:numPr>
        <w:bidi w:val="0"/>
        <w:rPr>
          <w:rFonts w:hint="default"/>
          <w:lang w:val="en-US" w:eastAsia="zh-CN"/>
        </w:rPr>
      </w:pPr>
      <w:bookmarkStart w:id="129" w:name="_Toc24761"/>
      <w:bookmarkStart w:id="130" w:name="_Toc17253"/>
      <w:r>
        <w:rPr>
          <w:rFonts w:hint="eastAsia"/>
          <w:lang w:val="en-US" w:eastAsia="zh-CN"/>
        </w:rPr>
        <w:t>实施建议</w:t>
      </w:r>
      <w:bookmarkEnd w:id="129"/>
      <w:bookmarkEnd w:id="130"/>
    </w:p>
    <w:p w14:paraId="517FBF94">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w:t>
      </w: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纳入规划统一管理平台</w:t>
      </w:r>
    </w:p>
    <w:p w14:paraId="14E81C2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随着城市化进程的推进，城市建设用地日趋紧张，建筑垃圾处置设施用地选址工作日益艰难。建筑垃圾处理设施的建设前期工作重点在于用地的规划与控制工作，将建筑垃圾处理设施纳入市规划统一管理平台，可以有利于站点规划用地的管理控制，减少与相关规划的矛盾，协调建筑垃圾处理设施用地与其他建设用地的关系，切实保障建筑垃圾处理设施建设用地。</w:t>
      </w:r>
    </w:p>
    <w:p w14:paraId="69C735F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w:t>
      </w: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与时俱进，建设信息化管理平台</w:t>
      </w:r>
    </w:p>
    <w:p w14:paraId="23B6901E">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1）建立健全的建筑垃圾管理信息平台</w:t>
      </w:r>
    </w:p>
    <w:p w14:paraId="28090B84">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①施工过程中产生的无法在工程区域内部实现平衡的外运余泥，可以通过交换调剂平台发布供给信息，与其他填土工程及时对接，最大程度地减少弃方现象；</w:t>
      </w:r>
    </w:p>
    <w:p w14:paraId="7771EF0D">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②引导建设单位、建筑垃圾处理设施，通过建筑垃圾管理信息平台，加强建筑垃圾的交换利用。</w:t>
      </w:r>
    </w:p>
    <w:p w14:paraId="4A33FD8B">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2）建立数字化城市管理信息系统</w:t>
      </w:r>
    </w:p>
    <w:p w14:paraId="23B00D6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建立数字化城市管理信息系统，实施建筑垃圾处置全过程信息化管理，实现建筑垃圾产生源头与收运过程及利用处置的实时动态监管，推动建筑垃圾管理进一步完善。</w:t>
      </w:r>
    </w:p>
    <w:p w14:paraId="72120260">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源头：建立建筑工地管理信息化采集系统。通过在建筑工地安装固定摄像头，对施工现场进行监控，进而掌握项目规模、排放建筑垃圾产量等信息。同时，建立建设项目在建管部门报建手续的信息与建筑垃圾排放申报核准信息互通机制。</w:t>
      </w:r>
    </w:p>
    <w:p w14:paraId="461863FA">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运输：建立建筑垃圾运输车辆信息化管理系统。通过利用3G技术对运输车辆运行进行全程监控，车辆只要点火启动，车上的GPS定位系统就将自动运行，全程监控车辆行进的路线和时速。同时，建立公安、交通部门的车辆信息和建筑垃圾运输行政许可信息与行政执法信息互通机制。</w:t>
      </w:r>
    </w:p>
    <w:p w14:paraId="6D3E0B2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终端处理：建立建筑垃圾处理设施管理信息化采集系统。通过在建筑垃圾处理设施按照固定摄像头，对设施的日常管理进行监控。</w:t>
      </w:r>
    </w:p>
    <w:p w14:paraId="6033BD14">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w:t>
      </w: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多方配合，实现源头减量化</w:t>
      </w:r>
    </w:p>
    <w:p w14:paraId="27E48FB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对于建筑垃圾的管理，发达地区或国家采取的都是“源头削减战略”。借鉴国内外发达地区先进管理经验，建筑垃圾源头管理措施可以总结为：</w:t>
      </w:r>
    </w:p>
    <w:p w14:paraId="74510C35">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①尽量避免产生建筑垃圾；</w:t>
      </w:r>
    </w:p>
    <w:p w14:paraId="0D94CDD4">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②无法避免产生建筑垃圾的情况下，</w:t>
      </w: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尽</w:t>
      </w: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可能减少产生量；</w:t>
      </w:r>
    </w:p>
    <w:p w14:paraId="62C0F03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③对于已经产生的建筑垃圾，可考虑通过技术手段（如粉碎大的混凝土块作为建筑骨料），对其进行再循环使用；</w:t>
      </w:r>
    </w:p>
    <w:p w14:paraId="0C53F124">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④经过上述控制阶段后，还要尽量减少大体积建筑垃圾，以便对建筑垃圾进行最后处置。</w:t>
      </w:r>
    </w:p>
    <w:p w14:paraId="4B0CACE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对建筑垃圾采取“源头削减战略”，主要通过在以下环节采取相关技术措施实现：</w:t>
      </w:r>
    </w:p>
    <w:p w14:paraId="3BD1EA1C">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①设计阶段进行减量化设计；</w:t>
      </w:r>
    </w:p>
    <w:p w14:paraId="69E9B69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②在施工阶段对建筑垃圾进行控制；</w:t>
      </w:r>
    </w:p>
    <w:p w14:paraId="290E48D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③在施工现场对建筑垃圾进行处理。</w:t>
      </w:r>
    </w:p>
    <w:p w14:paraId="139B6EFB">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借鉴国内外先进城市的成功管理经验，结合</w:t>
      </w: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霍山县</w:t>
      </w: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实际情况，规划建议采取以下措施以推进建筑垃圾源头减量工作：</w:t>
      </w:r>
    </w:p>
    <w:p w14:paraId="112DAC15">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①政府制定相关政策，推行绿色建筑设计。在建筑物的设计过程中，考虑提高建筑物的耐久性，采用尽量少产生建筑垃圾的结构设计，使用环保型建筑材料；</w:t>
      </w:r>
    </w:p>
    <w:p w14:paraId="30EE6CC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②政府加强监督，推广绿色施工管理。优先考虑工程区域内挖填土石方平衡。规范建筑垃圾现场分类管理，从源头对建筑垃圾进行分类收集，推行建筑废料回收利用，引入移动式再生建材生产线，有效减少建筑垃圾排放总量。</w:t>
      </w:r>
    </w:p>
    <w:p w14:paraId="43ACE740">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4、</w:t>
      </w: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加快规划建设处置设施</w:t>
      </w:r>
    </w:p>
    <w:p w14:paraId="149EE208">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根据</w:t>
      </w: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霍山县</w:t>
      </w: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城市发展规划，合理规划布局及建设建筑垃圾处理设施。摸清本区域建筑垃圾产生现状，科学评估建筑垃圾发展趋势，按照就地、就近处置原则，综合考虑建筑垃圾产生量及分布、运输半径、环境保护等因素，合理规划布局，因地制宜统筹推进建筑垃圾转运、消纳和资源化利用设施建设，提升处理能力，满足各类建筑垃圾的处理需求。</w:t>
      </w:r>
    </w:p>
    <w:p w14:paraId="23EAF1C3">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5、</w:t>
      </w: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投资方式多样化，拓宽建设途径</w:t>
      </w:r>
    </w:p>
    <w:p w14:paraId="5C7CBEA6">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建筑垃圾处理设施建设模式建议结合实际情况，拓宽渠道，可考虑采用PPP、特许经营等方式，鼓励社会资本投入建筑垃圾产业，形成投资主体多元化、投资方式多样化、投资机制市场化的投融资体制，走社会化建设、社会化管理的道路。</w:t>
      </w:r>
    </w:p>
    <w:p w14:paraId="6B460E6A">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6、</w:t>
      </w: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规范化建设和管理</w:t>
      </w:r>
    </w:p>
    <w:p w14:paraId="0FE18BA4">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1）具体项目实施阶段，项目建设应遵守工程建设项目的相关流程。</w:t>
      </w:r>
    </w:p>
    <w:p w14:paraId="37AE99FA">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2）根据相关规范建设建筑垃圾处理设施，满足绿地率以及防护林带的建设要求，减少噪声、扬尘等影响。消纳场在满容后应通过绿化美化设施减少对周边环境影响。</w:t>
      </w:r>
    </w:p>
    <w:p w14:paraId="37C4604A">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3）相关部门应进一步完善建筑垃圾处理设施管理制度，加强日常管理，确保建筑垃圾处理设施规范运行。对违法设置的建筑垃圾处理设施要</w:t>
      </w: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坚决</w:t>
      </w: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依法查处。</w:t>
      </w:r>
    </w:p>
    <w:p w14:paraId="10FEF21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4）建筑垃圾处理设施运营单位必须对运入场内的建筑垃圾进行监视，不得接收禁止入场的废物。</w:t>
      </w:r>
    </w:p>
    <w:p w14:paraId="7F2ADFC8">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5）应加强对建筑垃圾处理设施周边和出入口环境卫生的管理和监督。出入口应设置相应的冲洗设施、排水设施和沉淀设施，运输车辆出场时，必须经过除泥、冲洗等保洁措施，防止车辆带泥污染道路。</w:t>
      </w:r>
    </w:p>
    <w:p w14:paraId="03331BE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7、</w:t>
      </w: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政策引导、扶持，大力发展建筑垃圾资源化利用</w:t>
      </w:r>
    </w:p>
    <w:p w14:paraId="3C36433A">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1）政策引导</w:t>
      </w:r>
    </w:p>
    <w:p w14:paraId="2BB2466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为建筑垃圾综合利用</w:t>
      </w: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制定</w:t>
      </w: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法规，制定生产、销售、使用建筑垃圾资源化产品的优惠政策，鼓励企业利用建筑垃圾生产建筑材料和进行再生利用，鼓励建设单位、施工单位优先采用建筑垃圾资源化产品。</w:t>
      </w:r>
    </w:p>
    <w:p w14:paraId="64CAADA0">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制定推广使用建筑垃圾资源化产品的办法，政府工程应带头使用，逐步提高建筑垃圾资源化产品在建设工程项目中的使用比例。</w:t>
      </w:r>
    </w:p>
    <w:p w14:paraId="4F811323">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针对不符合国家和地方的产业政策、建材革新的有关规定、产品质量标准的技术工艺及建筑垃圾资源化产品，建立淘汰名录，明令禁止采用。</w:t>
      </w:r>
    </w:p>
    <w:p w14:paraId="386ECA2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2）政府扶持</w:t>
      </w:r>
    </w:p>
    <w:p w14:paraId="105CB70C">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鼓励研究、开发和使用建筑垃圾减排及综合利用新技术，利用财政性资金引进建筑垃圾综合利用重大技术、装备。对建筑垃圾综合利用企业在用地、用水、用地等方面给予政策优惠或资金补贴。</w:t>
      </w:r>
    </w:p>
    <w:p w14:paraId="0A1BA115">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3）技术研究</w:t>
      </w:r>
    </w:p>
    <w:p w14:paraId="1EF9087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对建筑垃圾进行资源化循环利用方面的科学研究，是建筑垃圾实现循环经济的根本保证。应发挥科研、设计、高等院校的技术优势，加强对建筑垃圾的回收利用的科研投入，并建立建筑垃圾资源化产品标准。</w:t>
      </w:r>
    </w:p>
    <w:p w14:paraId="6541FB7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开展形式多样的对外交流与合作，借鉴国内外其他城市先进的建筑垃圾处理处置经验，围绕建筑垃圾处理这个主题，在资金、技术、人才、管理等方面积极开展国内和国际交流与合作，积极引进、推广国外的先进技术和管理经验。各级政府要把建筑垃圾处理设施建设项目纳入招商引资范围，积极鼓励各种经济体参与有关项目的合资合作。</w:t>
      </w:r>
    </w:p>
    <w:p w14:paraId="05EA6356">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8、</w:t>
      </w: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促进信息公开化</w:t>
      </w:r>
    </w:p>
    <w:p w14:paraId="5A40DB0D">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建筑垃圾产生、运输、综合利用的管理过程具有明显的系统性、空间地域性和实效性的特征，应建立建筑垃圾信息管理信息通畅、公开化，以便于城管部门对建筑垃圾产生、运输、综合利用等各环节和相关单位进行整体协调，即强调城市管理各专业系统之间、不同片区之间、管理层与市民之间的有效沟通与整合。通过建立建筑垃圾管理信息平台，整合城管、住建、自然资源、各建设单位、交通等部门的相关信息，从整体上协调建筑垃圾的处置；并通过媒体或网络发布各个处理设施的详细信息及运输路线等，发动、引导社会力量、社区市民主动参与，鼓励献计献策、参与监督，建立建筑垃圾收运处置管理社会化、多层面、运作有效的公众监管新机制。</w:t>
      </w:r>
    </w:p>
    <w:p w14:paraId="4213D521">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9、</w:t>
      </w: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加强安全运营管理意识</w:t>
      </w:r>
    </w:p>
    <w:p w14:paraId="6218B237">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设置专门管理机构，制定严格措施，并配备必要设施，确保建筑垃圾处理设施运行的安全性和环保性。建筑垃圾处理设施应执行24小时值班制，建筑垃圾运输车辆按计划点位倾倒垃圾，并用推土机、碾压机等机械工具将垃圾推平压实。同时还应重点预防停止运营后出现堆积垃圾垮塌、滑坡等衍生地质灾害的发生。建议主管部门定期对企业进行安全生产检查，督促企业切实加强安全生产责任主体意识，通过定期摸排、查缺补漏，不断优化完善各项安全生产防护措施。企业应对全部入职员工进行岗前培训，关键器械设备操作岗位的员工须按规定持有相应资格证书方可上岗作业。</w:t>
      </w:r>
    </w:p>
    <w:p w14:paraId="50EC3E04">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10、</w:t>
      </w: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完善环境评价和监控体系</w:t>
      </w:r>
    </w:p>
    <w:p w14:paraId="56D952BA">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充分发挥环境保护技术政策在建筑垃圾处理设施建设中的指导作用，尽快建立符合发展需要和市场经济特点的建筑垃圾处理设施环境评价体系。加强有关环境政策的调查研究，结合城市定位、性质和功能，积极探讨环境资源优先的财政税费政策，促进建筑垃圾资源的合理利用，限制资源和环境的过度使用和无序开发。</w:t>
      </w:r>
    </w:p>
    <w:p w14:paraId="3A5C46B6">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11、</w:t>
      </w: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开展安全风险评估</w:t>
      </w:r>
    </w:p>
    <w:p w14:paraId="2B004733">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定期对已建设投产的建筑垃圾消纳场、资源化处理设施开展安全风险评估，及时掌握及辨识风险源、消除安全隐患、制定风险防控措施等。针对消纳场与资源化处理设施，安全风险评估的主要工作如下：</w:t>
      </w:r>
    </w:p>
    <w:p w14:paraId="2AA9DA13">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1)建筑垃圾消纳场</w:t>
      </w:r>
    </w:p>
    <w:p w14:paraId="5273924C">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评估周期至少为每年1次，主要评估主要内容：周边敏感点（人员密集场所、加油站等）、已消纳垃圾量、堆体测量、边坡稳定性、地表水导排措施、机械作业及人员操作规范性、应急及防护装备设备、场地标识、围挡围闭、信息记录、上岗培训等。</w:t>
      </w:r>
    </w:p>
    <w:p w14:paraId="1BEA4E29">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安全评估不代替日常运营的安全生产检查。采用填埋处置的消纳场，还应对地下水、地表水等指标进行定期监测，具体以环保部门要求为准。</w:t>
      </w:r>
    </w:p>
    <w:p w14:paraId="0B7AA70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2)建筑垃圾资源化处理设施</w:t>
      </w:r>
    </w:p>
    <w:p w14:paraId="4D68C5F2">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评估周期至少为每年1次，安全评估不代替日常运营的安全生产检查。主要评估主要对象：周边敏感点（人员密集场所、加油站、高</w:t>
      </w: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边坡</w:t>
      </w: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等）、有限空间、物料堆场、物料仓库仓储、变配电、消防、有毒有害气体及粉尘、应急及防护装备设备、场地标识、围挡围闭、日常作业规范性、信息记录、上岗培训等。</w:t>
      </w:r>
    </w:p>
    <w:p w14:paraId="58FDADD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eastAsia"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12、</w:t>
      </w: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加大宣传扶持力度</w:t>
      </w:r>
    </w:p>
    <w:p w14:paraId="3812B65F">
      <w:pPr>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pPr>
      <w:r>
        <w:rPr>
          <w:rFonts w:hint="default" w:ascii="方正仿宋_GB2312" w:hAnsi="方正仿宋_GB2312" w:eastAsia="方正仿宋_GB2312" w:cs="方正仿宋_GB2312"/>
          <w:color w:val="000000" w:themeColor="text1"/>
          <w:sz w:val="28"/>
          <w:szCs w:val="36"/>
          <w:highlight w:val="none"/>
          <w:lang w:val="en-US" w:eastAsia="zh-CN"/>
          <w14:textFill>
            <w14:solidFill>
              <w14:schemeClr w14:val="tx1"/>
            </w14:solidFill>
          </w14:textFill>
        </w:rPr>
        <w:t>建议加大宣传力度，可以从国家循环经济发展、生态文明建设、再生产品安全环保性能等方面全方位大力宣传使用建筑垃圾资源化产品的好处，营造积极使用建筑垃圾资源化产品的良好氛围。进一步加大政策扶持，出台用地、税收、评优等方面的优惠扶持政策，落实建筑垃圾资源化产品税收优惠政策，对积极应用建筑垃圾资源化产品的建设、施工单位及示范工程给予合理奖励。将建筑垃圾资源化产品纳入政府绿色建材采购目录，引导建筑垃圾资源化产品在政府建设项目中率先使用。</w:t>
      </w:r>
    </w:p>
    <w:p w14:paraId="55A3447A">
      <w:pPr>
        <w:rPr>
          <w:rFonts w:hint="default" w:ascii="仿宋" w:hAnsi="仿宋" w:eastAsia="仿宋" w:cs="仿宋"/>
          <w:i w:val="0"/>
          <w:caps w:val="0"/>
          <w:color w:val="3D3D3D"/>
          <w:spacing w:val="0"/>
          <w:kern w:val="0"/>
          <w:sz w:val="28"/>
          <w:szCs w:val="28"/>
          <w:lang w:val="en-US" w:eastAsia="zh-CN" w:bidi="ar"/>
        </w:rPr>
      </w:pPr>
    </w:p>
    <w:sectPr>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B565F13-F7D5-4783-B6E5-27A926E7894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80366481-8B07-4D69-834F-ABD63F1C435D}"/>
  </w:font>
  <w:font w:name="仿宋">
    <w:panose1 w:val="02010609060101010101"/>
    <w:charset w:val="86"/>
    <w:family w:val="auto"/>
    <w:pitch w:val="default"/>
    <w:sig w:usb0="800002BF" w:usb1="38CF7CFA" w:usb2="00000016" w:usb3="00000000" w:csb0="00040001" w:csb1="00000000"/>
    <w:embedRegular r:id="rId3" w:fontKey="{A51D4DE6-A212-4205-AFCA-406080D8DA9F}"/>
  </w:font>
  <w:font w:name="方正仿宋_GB2312">
    <w:panose1 w:val="02000000000000000000"/>
    <w:charset w:val="86"/>
    <w:family w:val="auto"/>
    <w:pitch w:val="default"/>
    <w:sig w:usb0="A00002BF" w:usb1="184F6CFA" w:usb2="00000012" w:usb3="00000000" w:csb0="00040001" w:csb1="00000000"/>
    <w:embedRegular r:id="rId4" w:fontKey="{F89B4578-83A2-4308-92CC-7E7F350AE0D8}"/>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970A8C">
    <w:pPr>
      <w:spacing w:line="176" w:lineRule="auto"/>
      <w:ind w:left="460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43C7D8">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1543C7D8">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D9297">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F90980">
                          <w:pPr>
                            <w:pStyle w:val="7"/>
                          </w:pPr>
                          <w:r>
                            <w:t>—</w:t>
                          </w:r>
                          <w:r>
                            <w:fldChar w:fldCharType="begin"/>
                          </w:r>
                          <w:r>
                            <w:instrText xml:space="preserve"> PAGE  \* MERGEFORMAT </w:instrText>
                          </w:r>
                          <w:r>
                            <w:fldChar w:fldCharType="separate"/>
                          </w:r>
                          <w:r>
                            <w:t>1</w:t>
                          </w:r>
                          <w:r>
                            <w:fldChar w:fldCharType="end"/>
                          </w:r>
                          <w: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2F90980">
                    <w:pPr>
                      <w:pStyle w:val="7"/>
                    </w:pPr>
                    <w:r>
                      <w:t>—</w:t>
                    </w:r>
                    <w:r>
                      <w:fldChar w:fldCharType="begin"/>
                    </w:r>
                    <w:r>
                      <w:instrText xml:space="preserve"> PAGE  \* MERGEFORMAT </w:instrText>
                    </w:r>
                    <w:r>
                      <w:fldChar w:fldCharType="separate"/>
                    </w:r>
                    <w:r>
                      <w:t>1</w:t>
                    </w:r>
                    <w:r>
                      <w:fldChar w:fldCharType="end"/>
                    </w:r>
                    <w: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C0DA74"/>
    <w:multiLevelType w:val="singleLevel"/>
    <w:tmpl w:val="84C0DA74"/>
    <w:lvl w:ilvl="0" w:tentative="0">
      <w:start w:val="1"/>
      <w:numFmt w:val="chineseCounting"/>
      <w:suff w:val="nothing"/>
      <w:lvlText w:val="%1、"/>
      <w:lvlJc w:val="left"/>
      <w:rPr>
        <w:rFonts w:hint="eastAsia"/>
      </w:rPr>
    </w:lvl>
  </w:abstractNum>
  <w:abstractNum w:abstractNumId="1">
    <w:nsid w:val="967D0DB0"/>
    <w:multiLevelType w:val="singleLevel"/>
    <w:tmpl w:val="967D0DB0"/>
    <w:lvl w:ilvl="0" w:tentative="0">
      <w:start w:val="1"/>
      <w:numFmt w:val="chineseCounting"/>
      <w:suff w:val="nothing"/>
      <w:lvlText w:val="%1、"/>
      <w:lvlJc w:val="left"/>
      <w:rPr>
        <w:rFonts w:hint="eastAsia"/>
      </w:rPr>
    </w:lvl>
  </w:abstractNum>
  <w:abstractNum w:abstractNumId="2">
    <w:nsid w:val="9FB87E05"/>
    <w:multiLevelType w:val="singleLevel"/>
    <w:tmpl w:val="9FB87E05"/>
    <w:lvl w:ilvl="0" w:tentative="0">
      <w:start w:val="1"/>
      <w:numFmt w:val="chineseCounting"/>
      <w:suff w:val="nothing"/>
      <w:lvlText w:val="%1、"/>
      <w:lvlJc w:val="left"/>
      <w:rPr>
        <w:rFonts w:hint="eastAsia"/>
      </w:rPr>
    </w:lvl>
  </w:abstractNum>
  <w:abstractNum w:abstractNumId="3">
    <w:nsid w:val="B4B4CCBF"/>
    <w:multiLevelType w:val="singleLevel"/>
    <w:tmpl w:val="B4B4CCBF"/>
    <w:lvl w:ilvl="0" w:tentative="0">
      <w:start w:val="1"/>
      <w:numFmt w:val="chineseCounting"/>
      <w:suff w:val="nothing"/>
      <w:lvlText w:val="%1、"/>
      <w:lvlJc w:val="left"/>
      <w:rPr>
        <w:rFonts w:hint="eastAsia"/>
      </w:rPr>
    </w:lvl>
  </w:abstractNum>
  <w:abstractNum w:abstractNumId="4">
    <w:nsid w:val="BF9035BD"/>
    <w:multiLevelType w:val="singleLevel"/>
    <w:tmpl w:val="BF9035BD"/>
    <w:lvl w:ilvl="0" w:tentative="0">
      <w:start w:val="1"/>
      <w:numFmt w:val="chineseCounting"/>
      <w:suff w:val="nothing"/>
      <w:lvlText w:val="%1、"/>
      <w:lvlJc w:val="left"/>
      <w:rPr>
        <w:rFonts w:hint="eastAsia"/>
      </w:rPr>
    </w:lvl>
  </w:abstractNum>
  <w:abstractNum w:abstractNumId="5">
    <w:nsid w:val="CBF74EE3"/>
    <w:multiLevelType w:val="singleLevel"/>
    <w:tmpl w:val="CBF74EE3"/>
    <w:lvl w:ilvl="0" w:tentative="0">
      <w:start w:val="1"/>
      <w:numFmt w:val="chineseCounting"/>
      <w:suff w:val="nothing"/>
      <w:lvlText w:val="%1、"/>
      <w:lvlJc w:val="left"/>
      <w:rPr>
        <w:rFonts w:hint="eastAsia"/>
      </w:rPr>
    </w:lvl>
  </w:abstractNum>
  <w:abstractNum w:abstractNumId="6">
    <w:nsid w:val="CE60028C"/>
    <w:multiLevelType w:val="singleLevel"/>
    <w:tmpl w:val="CE60028C"/>
    <w:lvl w:ilvl="0" w:tentative="0">
      <w:start w:val="1"/>
      <w:numFmt w:val="chineseCounting"/>
      <w:suff w:val="nothing"/>
      <w:lvlText w:val="%1、"/>
      <w:lvlJc w:val="left"/>
      <w:rPr>
        <w:rFonts w:hint="eastAsia"/>
      </w:rPr>
    </w:lvl>
  </w:abstractNum>
  <w:abstractNum w:abstractNumId="7">
    <w:nsid w:val="D3B8C874"/>
    <w:multiLevelType w:val="singleLevel"/>
    <w:tmpl w:val="D3B8C874"/>
    <w:lvl w:ilvl="0" w:tentative="0">
      <w:start w:val="4"/>
      <w:numFmt w:val="decimal"/>
      <w:suff w:val="nothing"/>
      <w:lvlText w:val="%1、"/>
      <w:lvlJc w:val="left"/>
    </w:lvl>
  </w:abstractNum>
  <w:abstractNum w:abstractNumId="8">
    <w:nsid w:val="01FA82AE"/>
    <w:multiLevelType w:val="singleLevel"/>
    <w:tmpl w:val="01FA82AE"/>
    <w:lvl w:ilvl="0" w:tentative="0">
      <w:start w:val="1"/>
      <w:numFmt w:val="chineseCounting"/>
      <w:suff w:val="nothing"/>
      <w:lvlText w:val="%1、"/>
      <w:lvlJc w:val="left"/>
      <w:rPr>
        <w:rFonts w:hint="eastAsia"/>
      </w:rPr>
    </w:lvl>
  </w:abstractNum>
  <w:abstractNum w:abstractNumId="9">
    <w:nsid w:val="15AC878F"/>
    <w:multiLevelType w:val="singleLevel"/>
    <w:tmpl w:val="15AC878F"/>
    <w:lvl w:ilvl="0" w:tentative="0">
      <w:start w:val="1"/>
      <w:numFmt w:val="chineseCounting"/>
      <w:suff w:val="nothing"/>
      <w:lvlText w:val="%1、"/>
      <w:lvlJc w:val="left"/>
      <w:rPr>
        <w:rFonts w:hint="eastAsia"/>
      </w:rPr>
    </w:lvl>
  </w:abstractNum>
  <w:abstractNum w:abstractNumId="10">
    <w:nsid w:val="243CFDD8"/>
    <w:multiLevelType w:val="singleLevel"/>
    <w:tmpl w:val="243CFDD8"/>
    <w:lvl w:ilvl="0" w:tentative="0">
      <w:start w:val="1"/>
      <w:numFmt w:val="chineseCounting"/>
      <w:suff w:val="nothing"/>
      <w:lvlText w:val="%1、"/>
      <w:lvlJc w:val="left"/>
      <w:rPr>
        <w:rFonts w:hint="eastAsia"/>
      </w:rPr>
    </w:lvl>
  </w:abstractNum>
  <w:abstractNum w:abstractNumId="11">
    <w:nsid w:val="2BC46C64"/>
    <w:multiLevelType w:val="singleLevel"/>
    <w:tmpl w:val="2BC46C64"/>
    <w:lvl w:ilvl="0" w:tentative="0">
      <w:start w:val="1"/>
      <w:numFmt w:val="chineseCounting"/>
      <w:suff w:val="space"/>
      <w:lvlText w:val="第%1章"/>
      <w:lvlJc w:val="left"/>
      <w:rPr>
        <w:rFonts w:hint="eastAsia"/>
      </w:rPr>
    </w:lvl>
  </w:abstractNum>
  <w:abstractNum w:abstractNumId="12">
    <w:nsid w:val="33DB2179"/>
    <w:multiLevelType w:val="singleLevel"/>
    <w:tmpl w:val="33DB2179"/>
    <w:lvl w:ilvl="0" w:tentative="0">
      <w:start w:val="2"/>
      <w:numFmt w:val="decimal"/>
      <w:suff w:val="nothing"/>
      <w:lvlText w:val="（%1）"/>
      <w:lvlJc w:val="left"/>
    </w:lvl>
  </w:abstractNum>
  <w:abstractNum w:abstractNumId="13">
    <w:nsid w:val="4320CEA1"/>
    <w:multiLevelType w:val="singleLevel"/>
    <w:tmpl w:val="4320CEA1"/>
    <w:lvl w:ilvl="0" w:tentative="0">
      <w:start w:val="1"/>
      <w:numFmt w:val="chineseCounting"/>
      <w:suff w:val="nothing"/>
      <w:lvlText w:val="%1、"/>
      <w:lvlJc w:val="left"/>
      <w:rPr>
        <w:rFonts w:hint="eastAsia"/>
      </w:rPr>
    </w:lvl>
  </w:abstractNum>
  <w:abstractNum w:abstractNumId="14">
    <w:nsid w:val="5FA2EBDE"/>
    <w:multiLevelType w:val="singleLevel"/>
    <w:tmpl w:val="5FA2EBDE"/>
    <w:lvl w:ilvl="0" w:tentative="0">
      <w:start w:val="1"/>
      <w:numFmt w:val="chineseCounting"/>
      <w:suff w:val="nothing"/>
      <w:lvlText w:val="%1、"/>
      <w:lvlJc w:val="left"/>
      <w:rPr>
        <w:rFonts w:hint="eastAsia"/>
      </w:rPr>
    </w:lvl>
  </w:abstractNum>
  <w:num w:numId="1">
    <w:abstractNumId w:val="11"/>
  </w:num>
  <w:num w:numId="2">
    <w:abstractNumId w:val="14"/>
  </w:num>
  <w:num w:numId="3">
    <w:abstractNumId w:val="4"/>
  </w:num>
  <w:num w:numId="4">
    <w:abstractNumId w:val="1"/>
  </w:num>
  <w:num w:numId="5">
    <w:abstractNumId w:val="7"/>
  </w:num>
  <w:num w:numId="6">
    <w:abstractNumId w:val="0"/>
  </w:num>
  <w:num w:numId="7">
    <w:abstractNumId w:val="6"/>
  </w:num>
  <w:num w:numId="8">
    <w:abstractNumId w:val="12"/>
  </w:num>
  <w:num w:numId="9">
    <w:abstractNumId w:val="9"/>
  </w:num>
  <w:num w:numId="10">
    <w:abstractNumId w:val="3"/>
  </w:num>
  <w:num w:numId="11">
    <w:abstractNumId w:val="10"/>
  </w:num>
  <w:num w:numId="12">
    <w:abstractNumId w:val="5"/>
  </w:num>
  <w:num w:numId="13">
    <w:abstractNumId w:val="13"/>
  </w:num>
  <w:num w:numId="14">
    <w:abstractNumId w:val="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5ZDlkOWJlNzdjODY4NzRjNTdjMzA2YjkzMjVmMzIifQ=="/>
  </w:docVars>
  <w:rsids>
    <w:rsidRoot w:val="00172A27"/>
    <w:rsid w:val="005A7208"/>
    <w:rsid w:val="007D04B9"/>
    <w:rsid w:val="007D44E8"/>
    <w:rsid w:val="01336C8A"/>
    <w:rsid w:val="019D115B"/>
    <w:rsid w:val="02743555"/>
    <w:rsid w:val="02F51DB5"/>
    <w:rsid w:val="03D06ACE"/>
    <w:rsid w:val="03EC63C9"/>
    <w:rsid w:val="042F4477"/>
    <w:rsid w:val="04811B11"/>
    <w:rsid w:val="04B03410"/>
    <w:rsid w:val="06401729"/>
    <w:rsid w:val="06B7480C"/>
    <w:rsid w:val="0730615B"/>
    <w:rsid w:val="08542827"/>
    <w:rsid w:val="09246605"/>
    <w:rsid w:val="0A1B7A08"/>
    <w:rsid w:val="0A29646E"/>
    <w:rsid w:val="0A882E02"/>
    <w:rsid w:val="0B91666E"/>
    <w:rsid w:val="0C32670D"/>
    <w:rsid w:val="0C921966"/>
    <w:rsid w:val="0CAF621E"/>
    <w:rsid w:val="0D026C5D"/>
    <w:rsid w:val="0DB14E44"/>
    <w:rsid w:val="0E3C619F"/>
    <w:rsid w:val="0ED63EFE"/>
    <w:rsid w:val="0F736B63"/>
    <w:rsid w:val="0FA77FBF"/>
    <w:rsid w:val="10F4643E"/>
    <w:rsid w:val="126271D0"/>
    <w:rsid w:val="1269364A"/>
    <w:rsid w:val="13253278"/>
    <w:rsid w:val="13297E62"/>
    <w:rsid w:val="13540CE3"/>
    <w:rsid w:val="13E56991"/>
    <w:rsid w:val="13F22BE2"/>
    <w:rsid w:val="14E56D71"/>
    <w:rsid w:val="15855334"/>
    <w:rsid w:val="15EA20F9"/>
    <w:rsid w:val="1697654C"/>
    <w:rsid w:val="17143815"/>
    <w:rsid w:val="1767564F"/>
    <w:rsid w:val="18D52E79"/>
    <w:rsid w:val="191373D6"/>
    <w:rsid w:val="19425E38"/>
    <w:rsid w:val="1A2879EB"/>
    <w:rsid w:val="1B2637D0"/>
    <w:rsid w:val="1BCC5EE2"/>
    <w:rsid w:val="1C3C1392"/>
    <w:rsid w:val="1C57568C"/>
    <w:rsid w:val="1C640834"/>
    <w:rsid w:val="1C913B5A"/>
    <w:rsid w:val="1D4A58F3"/>
    <w:rsid w:val="1E6F6207"/>
    <w:rsid w:val="1F197416"/>
    <w:rsid w:val="1F4A2C7F"/>
    <w:rsid w:val="20686E8A"/>
    <w:rsid w:val="20C87B1B"/>
    <w:rsid w:val="20D00E9B"/>
    <w:rsid w:val="21262541"/>
    <w:rsid w:val="2133047E"/>
    <w:rsid w:val="2178298F"/>
    <w:rsid w:val="228460E7"/>
    <w:rsid w:val="22FF35CB"/>
    <w:rsid w:val="22FF3A76"/>
    <w:rsid w:val="23860A93"/>
    <w:rsid w:val="23BD4189"/>
    <w:rsid w:val="24576E8E"/>
    <w:rsid w:val="245B167E"/>
    <w:rsid w:val="2484108D"/>
    <w:rsid w:val="24E04867"/>
    <w:rsid w:val="256E67E6"/>
    <w:rsid w:val="265629EE"/>
    <w:rsid w:val="27DD6240"/>
    <w:rsid w:val="27F42B67"/>
    <w:rsid w:val="28081174"/>
    <w:rsid w:val="28397580"/>
    <w:rsid w:val="28D862D1"/>
    <w:rsid w:val="29240483"/>
    <w:rsid w:val="295269FA"/>
    <w:rsid w:val="2973448D"/>
    <w:rsid w:val="299A63E3"/>
    <w:rsid w:val="2A506E02"/>
    <w:rsid w:val="2A924E9D"/>
    <w:rsid w:val="2C354CD7"/>
    <w:rsid w:val="2C821EF2"/>
    <w:rsid w:val="2CD05FD9"/>
    <w:rsid w:val="2D2632AF"/>
    <w:rsid w:val="2E4A5917"/>
    <w:rsid w:val="2E9752AC"/>
    <w:rsid w:val="2EBB1871"/>
    <w:rsid w:val="2F3655B9"/>
    <w:rsid w:val="2F447837"/>
    <w:rsid w:val="308C524F"/>
    <w:rsid w:val="30B17ECF"/>
    <w:rsid w:val="311741D6"/>
    <w:rsid w:val="32B83797"/>
    <w:rsid w:val="33181B18"/>
    <w:rsid w:val="345B0234"/>
    <w:rsid w:val="35287FB4"/>
    <w:rsid w:val="355377A3"/>
    <w:rsid w:val="35584EB6"/>
    <w:rsid w:val="36AD7C9E"/>
    <w:rsid w:val="36D130B5"/>
    <w:rsid w:val="37661355"/>
    <w:rsid w:val="37FB2DEC"/>
    <w:rsid w:val="3836588A"/>
    <w:rsid w:val="393B1CEB"/>
    <w:rsid w:val="396F3E5B"/>
    <w:rsid w:val="39D63464"/>
    <w:rsid w:val="3AF47FEE"/>
    <w:rsid w:val="3B0B42ED"/>
    <w:rsid w:val="3B295232"/>
    <w:rsid w:val="3C5632FF"/>
    <w:rsid w:val="3CDE622E"/>
    <w:rsid w:val="3D171711"/>
    <w:rsid w:val="3D7A7FC6"/>
    <w:rsid w:val="3D894F96"/>
    <w:rsid w:val="3DA55627"/>
    <w:rsid w:val="3DDF607B"/>
    <w:rsid w:val="3E802AC8"/>
    <w:rsid w:val="3E8A248B"/>
    <w:rsid w:val="3EAF8BBB"/>
    <w:rsid w:val="3FA33AAA"/>
    <w:rsid w:val="3FEA1784"/>
    <w:rsid w:val="3FFE4C24"/>
    <w:rsid w:val="40152916"/>
    <w:rsid w:val="41202BF0"/>
    <w:rsid w:val="41F97719"/>
    <w:rsid w:val="42277C7C"/>
    <w:rsid w:val="42C45763"/>
    <w:rsid w:val="42F4633D"/>
    <w:rsid w:val="431E5A8B"/>
    <w:rsid w:val="434D632C"/>
    <w:rsid w:val="43C40AC1"/>
    <w:rsid w:val="442C7B41"/>
    <w:rsid w:val="44B75F2D"/>
    <w:rsid w:val="44F3240C"/>
    <w:rsid w:val="4714323A"/>
    <w:rsid w:val="4741549B"/>
    <w:rsid w:val="47501D98"/>
    <w:rsid w:val="48E23F54"/>
    <w:rsid w:val="4972249A"/>
    <w:rsid w:val="4A520E1F"/>
    <w:rsid w:val="4A6833FD"/>
    <w:rsid w:val="4B4B15F2"/>
    <w:rsid w:val="4B98554A"/>
    <w:rsid w:val="4BDC1E4C"/>
    <w:rsid w:val="4C05634F"/>
    <w:rsid w:val="4CE82C93"/>
    <w:rsid w:val="4D3C74F4"/>
    <w:rsid w:val="4E6600F3"/>
    <w:rsid w:val="4E760336"/>
    <w:rsid w:val="4F10756B"/>
    <w:rsid w:val="4FEB08B0"/>
    <w:rsid w:val="520F3008"/>
    <w:rsid w:val="523779B2"/>
    <w:rsid w:val="52F4448F"/>
    <w:rsid w:val="53FC7B3F"/>
    <w:rsid w:val="551D71AF"/>
    <w:rsid w:val="556A671B"/>
    <w:rsid w:val="55C210E6"/>
    <w:rsid w:val="563F1955"/>
    <w:rsid w:val="56AB6003"/>
    <w:rsid w:val="56C67981"/>
    <w:rsid w:val="573309F7"/>
    <w:rsid w:val="57490006"/>
    <w:rsid w:val="57FBE92B"/>
    <w:rsid w:val="58621827"/>
    <w:rsid w:val="58A8043D"/>
    <w:rsid w:val="59036C6A"/>
    <w:rsid w:val="592E478D"/>
    <w:rsid w:val="595A2602"/>
    <w:rsid w:val="595D1779"/>
    <w:rsid w:val="599414F1"/>
    <w:rsid w:val="599B50F5"/>
    <w:rsid w:val="59B61F2F"/>
    <w:rsid w:val="5A283E67"/>
    <w:rsid w:val="5A64097C"/>
    <w:rsid w:val="5B702C4A"/>
    <w:rsid w:val="5B93724D"/>
    <w:rsid w:val="5BB16E51"/>
    <w:rsid w:val="5BEFDC87"/>
    <w:rsid w:val="5C902BCC"/>
    <w:rsid w:val="5CC0644B"/>
    <w:rsid w:val="5D83481E"/>
    <w:rsid w:val="5D885990"/>
    <w:rsid w:val="5E027E31"/>
    <w:rsid w:val="5EF62DCD"/>
    <w:rsid w:val="61B72DAC"/>
    <w:rsid w:val="62AD7C47"/>
    <w:rsid w:val="636611CB"/>
    <w:rsid w:val="63A0730C"/>
    <w:rsid w:val="63EE5EBB"/>
    <w:rsid w:val="6442206F"/>
    <w:rsid w:val="649472FA"/>
    <w:rsid w:val="64E5032C"/>
    <w:rsid w:val="6551523B"/>
    <w:rsid w:val="657A02B4"/>
    <w:rsid w:val="66067B07"/>
    <w:rsid w:val="663E4674"/>
    <w:rsid w:val="66842D9F"/>
    <w:rsid w:val="66DC5E2C"/>
    <w:rsid w:val="67662C42"/>
    <w:rsid w:val="67EA067D"/>
    <w:rsid w:val="67EE31DB"/>
    <w:rsid w:val="681974C5"/>
    <w:rsid w:val="6829687D"/>
    <w:rsid w:val="68304FEE"/>
    <w:rsid w:val="68E32614"/>
    <w:rsid w:val="693B41FE"/>
    <w:rsid w:val="695F779A"/>
    <w:rsid w:val="6A800661"/>
    <w:rsid w:val="6A9434D3"/>
    <w:rsid w:val="6AE30927"/>
    <w:rsid w:val="6C0362EC"/>
    <w:rsid w:val="6CBA368C"/>
    <w:rsid w:val="6CE90F22"/>
    <w:rsid w:val="6D3026FF"/>
    <w:rsid w:val="6DF75678"/>
    <w:rsid w:val="6E7D5AF8"/>
    <w:rsid w:val="6F085B41"/>
    <w:rsid w:val="6F557C9F"/>
    <w:rsid w:val="6F69E063"/>
    <w:rsid w:val="6F74157E"/>
    <w:rsid w:val="707D2692"/>
    <w:rsid w:val="711C6362"/>
    <w:rsid w:val="7149776A"/>
    <w:rsid w:val="717806B0"/>
    <w:rsid w:val="71BA3200"/>
    <w:rsid w:val="71D06E6E"/>
    <w:rsid w:val="72514063"/>
    <w:rsid w:val="72E41463"/>
    <w:rsid w:val="74527D50"/>
    <w:rsid w:val="74BB61F3"/>
    <w:rsid w:val="74C24F8F"/>
    <w:rsid w:val="753A2E88"/>
    <w:rsid w:val="759058D2"/>
    <w:rsid w:val="75AC2F27"/>
    <w:rsid w:val="75AE417E"/>
    <w:rsid w:val="76451424"/>
    <w:rsid w:val="76595D28"/>
    <w:rsid w:val="76DD6CB8"/>
    <w:rsid w:val="780E2C7D"/>
    <w:rsid w:val="78B95140"/>
    <w:rsid w:val="78EE6DA2"/>
    <w:rsid w:val="79AD1FFD"/>
    <w:rsid w:val="79D42231"/>
    <w:rsid w:val="7A0F241B"/>
    <w:rsid w:val="7A212F9C"/>
    <w:rsid w:val="7A595131"/>
    <w:rsid w:val="7A66694E"/>
    <w:rsid w:val="7A74239B"/>
    <w:rsid w:val="7AB76FC4"/>
    <w:rsid w:val="7AF661D7"/>
    <w:rsid w:val="7B1B0296"/>
    <w:rsid w:val="7BE93F0F"/>
    <w:rsid w:val="7C3D226D"/>
    <w:rsid w:val="7C965FE8"/>
    <w:rsid w:val="7CE54755"/>
    <w:rsid w:val="7D00305B"/>
    <w:rsid w:val="7D572337"/>
    <w:rsid w:val="7D5873AB"/>
    <w:rsid w:val="7DF40396"/>
    <w:rsid w:val="7E722F9D"/>
    <w:rsid w:val="7E7713DD"/>
    <w:rsid w:val="7E815821"/>
    <w:rsid w:val="7ECF4048"/>
    <w:rsid w:val="7F2F50A9"/>
    <w:rsid w:val="7FCEF621"/>
    <w:rsid w:val="7FD35676"/>
    <w:rsid w:val="7FF71EA0"/>
    <w:rsid w:val="87EB263F"/>
    <w:rsid w:val="ADFC2111"/>
    <w:rsid w:val="BBFB4C49"/>
    <w:rsid w:val="BFFC4F7C"/>
    <w:rsid w:val="BFFCD33F"/>
    <w:rsid w:val="D7FCE229"/>
    <w:rsid w:val="FA5B6FD1"/>
    <w:rsid w:val="FBFDA386"/>
    <w:rsid w:val="FBFF0B7F"/>
    <w:rsid w:val="FFED4288"/>
    <w:rsid w:val="FFEF6020"/>
    <w:rsid w:val="FFF581AB"/>
    <w:rsid w:val="FFFE42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200" w:beforeLines="0" w:beforeAutospacing="0" w:after="200" w:afterLines="0" w:afterAutospacing="0" w:line="360" w:lineRule="auto"/>
      <w:jc w:val="center"/>
      <w:outlineLvl w:val="0"/>
    </w:pPr>
    <w:rPr>
      <w:rFonts w:asciiTheme="minorAscii" w:hAnsiTheme="minorAscii"/>
      <w:b/>
      <w:kern w:val="44"/>
      <w:sz w:val="44"/>
    </w:rPr>
  </w:style>
  <w:style w:type="paragraph" w:styleId="3">
    <w:name w:val="heading 2"/>
    <w:basedOn w:val="1"/>
    <w:next w:val="1"/>
    <w:unhideWhenUsed/>
    <w:qFormat/>
    <w:uiPriority w:val="0"/>
    <w:pPr>
      <w:keepNext/>
      <w:keepLines/>
      <w:spacing w:beforeLines="0" w:beforeAutospacing="0" w:after="50" w:afterLines="50" w:afterAutospacing="0" w:line="360" w:lineRule="auto"/>
      <w:outlineLvl w:val="1"/>
    </w:pPr>
    <w:rPr>
      <w:rFonts w:ascii="Arial" w:hAnsi="Arial" w:eastAsia="黑体"/>
      <w:b/>
      <w:sz w:val="32"/>
    </w:rPr>
  </w:style>
  <w:style w:type="paragraph" w:styleId="4">
    <w:name w:val="heading 3"/>
    <w:basedOn w:val="5"/>
    <w:link w:val="25"/>
    <w:unhideWhenUsed/>
    <w:qFormat/>
    <w:uiPriority w:val="0"/>
    <w:pPr>
      <w:keepNext/>
      <w:keepLines/>
      <w:ind w:firstLine="0" w:firstLineChars="0"/>
      <w:jc w:val="left"/>
      <w:outlineLvl w:val="2"/>
    </w:pPr>
    <w:rPr>
      <w:rFonts w:ascii="Arial" w:hAnsi="Arial" w:eastAsia="宋体" w:cs="Times New Roman"/>
      <w:sz w:val="28"/>
      <w:szCs w:val="24"/>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5">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6">
    <w:name w:val="Body Text"/>
    <w:basedOn w:val="1"/>
    <w:qFormat/>
    <w:uiPriority w:val="1"/>
    <w:pPr>
      <w:ind w:left="243"/>
    </w:pPr>
    <w:rPr>
      <w:rFonts w:ascii="仿宋" w:hAnsi="仿宋" w:eastAsia="仿宋" w:cs="仿宋"/>
      <w:sz w:val="24"/>
      <w:szCs w:val="24"/>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Emphasis"/>
    <w:basedOn w:val="14"/>
    <w:qFormat/>
    <w:uiPriority w:val="0"/>
    <w:rPr>
      <w:i/>
    </w:rPr>
  </w:style>
  <w:style w:type="character" w:styleId="17">
    <w:name w:val="Hyperlink"/>
    <w:basedOn w:val="14"/>
    <w:qFormat/>
    <w:uiPriority w:val="0"/>
    <w:rPr>
      <w:color w:val="0000FF"/>
      <w:u w:val="single"/>
    </w:rPr>
  </w:style>
  <w:style w:type="paragraph" w:customStyle="1" w:styleId="18">
    <w:name w:val="WPSOffice手动目录 1"/>
    <w:qFormat/>
    <w:uiPriority w:val="0"/>
    <w:pPr>
      <w:ind w:leftChars="0"/>
    </w:pPr>
    <w:rPr>
      <w:rFonts w:ascii="Times New Roman" w:hAnsi="Times New Roman" w:eastAsia="宋体" w:cs="Times New Roman"/>
      <w:sz w:val="20"/>
      <w:szCs w:val="20"/>
    </w:rPr>
  </w:style>
  <w:style w:type="paragraph" w:customStyle="1" w:styleId="19">
    <w:name w:val="WPSOffice手动目录 2"/>
    <w:qFormat/>
    <w:uiPriority w:val="0"/>
    <w:pPr>
      <w:ind w:leftChars="200"/>
    </w:pPr>
    <w:rPr>
      <w:rFonts w:ascii="Times New Roman" w:hAnsi="Times New Roman" w:eastAsia="宋体" w:cs="Times New Roman"/>
      <w:sz w:val="20"/>
      <w:szCs w:val="20"/>
    </w:rPr>
  </w:style>
  <w:style w:type="paragraph" w:customStyle="1" w:styleId="20">
    <w:name w:val="Table Paragraph"/>
    <w:basedOn w:val="1"/>
    <w:qFormat/>
    <w:uiPriority w:val="1"/>
    <w:pPr>
      <w:jc w:val="center"/>
    </w:pPr>
    <w:rPr>
      <w:rFonts w:ascii="宋体" w:hAnsi="宋体" w:eastAsia="宋体" w:cs="宋体"/>
    </w:rPr>
  </w:style>
  <w:style w:type="paragraph" w:styleId="21">
    <w:name w:val="List Paragraph"/>
    <w:basedOn w:val="1"/>
    <w:qFormat/>
    <w:uiPriority w:val="1"/>
    <w:pPr>
      <w:ind w:left="1788" w:hanging="987"/>
    </w:pPr>
    <w:rPr>
      <w:rFonts w:ascii="仿宋" w:hAnsi="仿宋" w:eastAsia="仿宋" w:cs="仿宋"/>
    </w:rPr>
  </w:style>
  <w:style w:type="paragraph" w:customStyle="1" w:styleId="22">
    <w:name w:val="表格"/>
    <w:basedOn w:val="1"/>
    <w:autoRedefine/>
    <w:qFormat/>
    <w:uiPriority w:val="0"/>
    <w:pPr>
      <w:snapToGrid/>
      <w:spacing w:line="360" w:lineRule="auto"/>
      <w:ind w:firstLine="0" w:firstLineChars="0"/>
      <w:jc w:val="center"/>
    </w:pPr>
    <w:rPr>
      <w:rFonts w:ascii="Arial" w:hAnsi="Arial" w:eastAsia="宋体" w:cs="Arial"/>
      <w:snapToGrid w:val="0"/>
      <w:color w:val="000000"/>
      <w:kern w:val="0"/>
      <w:sz w:val="24"/>
    </w:rPr>
  </w:style>
  <w:style w:type="table" w:customStyle="1" w:styleId="23">
    <w:name w:val="Table Normal"/>
    <w:semiHidden/>
    <w:unhideWhenUsed/>
    <w:qFormat/>
    <w:uiPriority w:val="0"/>
    <w:tblPr>
      <w:tblCellMar>
        <w:top w:w="0" w:type="dxa"/>
        <w:left w:w="0" w:type="dxa"/>
        <w:bottom w:w="0" w:type="dxa"/>
        <w:right w:w="0" w:type="dxa"/>
      </w:tblCellMar>
    </w:tblPr>
  </w:style>
  <w:style w:type="paragraph" w:customStyle="1" w:styleId="24">
    <w:name w:val="Default"/>
    <w:unhideWhenUsed/>
    <w:qFormat/>
    <w:uiPriority w:val="99"/>
    <w:pPr>
      <w:widowControl w:val="0"/>
      <w:autoSpaceDE w:val="0"/>
      <w:autoSpaceDN w:val="0"/>
      <w:adjustRightInd w:val="0"/>
      <w:spacing w:beforeLines="0" w:afterLines="0"/>
    </w:pPr>
    <w:rPr>
      <w:rFonts w:hint="eastAsia" w:ascii="宋体" w:hAnsi="宋体" w:eastAsia="宋体" w:cs="Times New Roman"/>
      <w:color w:val="000000"/>
      <w:sz w:val="24"/>
      <w:szCs w:val="24"/>
    </w:rPr>
  </w:style>
  <w:style w:type="character" w:customStyle="1" w:styleId="25">
    <w:name w:val="标题 3 Char"/>
    <w:link w:val="4"/>
    <w:autoRedefine/>
    <w:qFormat/>
    <w:uiPriority w:val="0"/>
    <w:rPr>
      <w:rFonts w:ascii="Arial" w:hAnsi="Arial" w:eastAsia="宋体" w:cs="Times New Roman"/>
      <w:sz w:val="28"/>
      <w:szCs w:val="24"/>
    </w:rPr>
  </w:style>
  <w:style w:type="character" w:customStyle="1" w:styleId="26">
    <w:name w:val="font11"/>
    <w:basedOn w:val="14"/>
    <w:qFormat/>
    <w:uiPriority w:val="0"/>
    <w:rPr>
      <w:rFonts w:hint="eastAsia" w:ascii="宋体" w:hAnsi="宋体" w:eastAsia="宋体" w:cs="宋体"/>
      <w:color w:val="000000"/>
      <w:sz w:val="32"/>
      <w:szCs w:val="32"/>
      <w:u w:val="none"/>
      <w:vertAlign w:val="subscript"/>
    </w:rPr>
  </w:style>
  <w:style w:type="character" w:customStyle="1" w:styleId="27">
    <w:name w:val="font21"/>
    <w:basedOn w:val="14"/>
    <w:qFormat/>
    <w:uiPriority w:val="0"/>
    <w:rPr>
      <w:rFonts w:hint="eastAsia" w:ascii="宋体" w:hAnsi="宋体" w:eastAsia="宋体" w:cs="宋体"/>
      <w:color w:val="000000"/>
      <w:sz w:val="32"/>
      <w:szCs w:val="32"/>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134</Pages>
  <Words>67104</Words>
  <Characters>69832</Characters>
  <Lines>0</Lines>
  <Paragraphs>0</Paragraphs>
  <TotalTime>2</TotalTime>
  <ScaleCrop>false</ScaleCrop>
  <LinksUpToDate>false</LinksUpToDate>
  <CharactersWithSpaces>70334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2024-05-08T17:58:00Z</dcterms:created>
  <dc:creator>刘凯</dc:creator>
  <cp:lastModifiedBy>hpc</cp:lastModifiedBy>
  <dcterms:modified xsi:type="dcterms:W3CDTF">2024-09-27T06:28:26Z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CE65879EA9864F099C4A6B7B7B71C3DF_13</vt:lpwstr>
  </property>
</Properties>
</file>