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E67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lang w:val="en-US" w:eastAsia="zh-CN"/>
        </w:rPr>
      </w:pPr>
      <w:r>
        <w:rPr>
          <w:rFonts w:hint="eastAsia" w:ascii="方正小标宋简体" w:hAnsi="方正小标宋简体" w:eastAsia="方正小标宋简体" w:cs="方正小标宋简体"/>
          <w:b w:val="0"/>
          <w:bCs w:val="0"/>
          <w:i w:val="0"/>
          <w:iCs w:val="0"/>
          <w:caps w:val="0"/>
          <w:color w:val="auto"/>
          <w:spacing w:val="0"/>
          <w:kern w:val="0"/>
          <w:sz w:val="44"/>
          <w:szCs w:val="44"/>
          <w:shd w:val="clear" w:fill="FFFFFF"/>
          <w:lang w:val="en-US" w:eastAsia="zh-CN" w:bidi="ar"/>
        </w:rPr>
        <w:t>霍山县水务局2021年政府信息公开工作年度报告</w:t>
      </w:r>
    </w:p>
    <w:p w14:paraId="28BA904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right="0" w:firstLine="640" w:firstLineChars="200"/>
        <w:jc w:val="both"/>
        <w:textAlignment w:val="auto"/>
        <w:rPr>
          <w:rFonts w:hint="eastAsia" w:ascii="方正黑体_GBK" w:hAnsi="方正黑体_GBK" w:eastAsia="方正黑体_GBK" w:cs="方正黑体_GBK"/>
          <w:i w:val="0"/>
          <w:iCs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i w:val="0"/>
          <w:iCs w:val="0"/>
          <w:caps w:val="0"/>
          <w:color w:val="auto"/>
          <w:spacing w:val="0"/>
          <w:kern w:val="0"/>
          <w:sz w:val="32"/>
          <w:szCs w:val="32"/>
          <w:shd w:val="clear" w:fill="FFFFFF"/>
          <w:lang w:val="en-US" w:eastAsia="zh-CN" w:bidi="ar"/>
        </w:rPr>
        <w:t>一、总体情况</w:t>
      </w:r>
    </w:p>
    <w:p w14:paraId="46F73FF4">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atLeast"/>
        <w:ind w:left="0" w:right="0" w:firstLine="640" w:firstLineChars="200"/>
        <w:jc w:val="both"/>
        <w:textAlignment w:val="auto"/>
        <w:rPr>
          <w:rFonts w:hint="eastAsia" w:ascii="方正仿宋简体" w:hAnsi="方正仿宋简体" w:eastAsia="方正仿宋简体" w:cs="方正仿宋简体"/>
          <w:i w:val="0"/>
          <w:iCs w:val="0"/>
          <w:caps w:val="0"/>
          <w:color w:val="auto"/>
          <w:spacing w:val="0"/>
          <w:kern w:val="0"/>
          <w:sz w:val="32"/>
          <w:szCs w:val="32"/>
          <w:shd w:val="clear" w:fill="FFFFFF"/>
          <w:lang w:val="en-US" w:eastAsia="zh-CN" w:bidi="ar"/>
        </w:rPr>
      </w:pPr>
      <w:r>
        <w:rPr>
          <w:rFonts w:hint="eastAsia" w:ascii="方正楷体简体" w:hAnsi="方正楷体简体" w:eastAsia="方正楷体简体" w:cs="方正楷体简体"/>
          <w:b w:val="0"/>
          <w:bCs w:val="0"/>
          <w:i w:val="0"/>
          <w:iCs w:val="0"/>
          <w:caps w:val="0"/>
          <w:color w:val="auto"/>
          <w:spacing w:val="0"/>
          <w:kern w:val="0"/>
          <w:sz w:val="32"/>
          <w:szCs w:val="32"/>
          <w:shd w:val="clear" w:fill="FFFFFF"/>
          <w:lang w:val="en-US" w:eastAsia="zh-CN" w:bidi="ar"/>
        </w:rPr>
        <w:t>（一）主动公开情况。</w:t>
      </w:r>
      <w:r>
        <w:rPr>
          <w:rFonts w:hint="eastAsia" w:ascii="方正仿宋简体" w:hAnsi="方正仿宋简体" w:eastAsia="方正仿宋简体" w:cs="方正仿宋简体"/>
          <w:b/>
          <w:bCs/>
          <w:i w:val="0"/>
          <w:iCs w:val="0"/>
          <w:caps w:val="0"/>
          <w:color w:val="auto"/>
          <w:spacing w:val="0"/>
          <w:kern w:val="0"/>
          <w:sz w:val="32"/>
          <w:szCs w:val="32"/>
          <w:shd w:val="clear" w:fill="FFFFFF"/>
          <w:lang w:val="en-US" w:eastAsia="zh-CN" w:bidi="ar"/>
        </w:rPr>
        <w:t>一是信息方面。</w:t>
      </w:r>
      <w:r>
        <w:rPr>
          <w:rFonts w:hint="eastAsia" w:ascii="方正仿宋简体" w:hAnsi="方正仿宋简体" w:eastAsia="方正仿宋简体" w:cs="方正仿宋简体"/>
          <w:i w:val="0"/>
          <w:iCs w:val="0"/>
          <w:caps w:val="0"/>
          <w:color w:val="auto"/>
          <w:spacing w:val="0"/>
          <w:kern w:val="0"/>
          <w:sz w:val="32"/>
          <w:szCs w:val="32"/>
          <w:shd w:val="clear" w:fill="FFFFFF"/>
          <w:lang w:val="en-US" w:eastAsia="zh-CN" w:bidi="ar"/>
        </w:rPr>
        <w:t>截止2021年12月17日,本年度主动公开信息133条；</w:t>
      </w:r>
      <w:r>
        <w:rPr>
          <w:rFonts w:hint="eastAsia" w:ascii="方正仿宋简体" w:hAnsi="方正仿宋简体" w:eastAsia="方正仿宋简体" w:cs="方正仿宋简体"/>
          <w:b/>
          <w:bCs/>
          <w:i w:val="0"/>
          <w:iCs w:val="0"/>
          <w:caps w:val="0"/>
          <w:color w:val="auto"/>
          <w:spacing w:val="0"/>
          <w:kern w:val="0"/>
          <w:sz w:val="32"/>
          <w:szCs w:val="32"/>
          <w:shd w:val="clear" w:fill="FFFFFF"/>
          <w:lang w:val="en-US" w:eastAsia="zh-CN" w:bidi="ar"/>
        </w:rPr>
        <w:t>二是重点领域方面。</w:t>
      </w:r>
      <w:r>
        <w:rPr>
          <w:rFonts w:hint="eastAsia" w:ascii="方正仿宋简体" w:hAnsi="方正仿宋简体" w:eastAsia="方正仿宋简体" w:cs="方正仿宋简体"/>
          <w:i w:val="0"/>
          <w:iCs w:val="0"/>
          <w:caps w:val="0"/>
          <w:color w:val="auto"/>
          <w:spacing w:val="0"/>
          <w:kern w:val="0"/>
          <w:sz w:val="32"/>
          <w:szCs w:val="32"/>
          <w:shd w:val="clear" w:fill="FFFFFF"/>
          <w:lang w:val="en-US" w:eastAsia="zh-CN" w:bidi="ar"/>
        </w:rPr>
        <w:t>根据霍山县全面推行河长制，对河长名录进行了全面公开；建立霍山县河湖管护责任主体责任机制，明确了县级以及乡村级河湖长的河湖管护责任主体，公布了河湖管护主体的工作职责和要求，以及巡查检查的主要内容和巡查检查问题的处置方法，公开了河湖日常管护责任主体经费保障；公布了河长制工作推进情况。广泛公开民生工程相关政策，落实社会公益事业领域政府决策、执行、管理、结果政务信息全流程公开，保障人民群众的知情权。稳健推进重大建设项目信息公开。严格落实机关职责，完善建设项目信息，做到建设过程公开透明。</w:t>
      </w:r>
    </w:p>
    <w:p w14:paraId="1763BB6A">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atLeast"/>
        <w:ind w:left="0" w:right="0" w:firstLine="640" w:firstLineChars="200"/>
        <w:jc w:val="both"/>
        <w:textAlignment w:val="auto"/>
        <w:rPr>
          <w:rFonts w:hint="eastAsia" w:ascii="方正仿宋简体" w:hAnsi="方正仿宋简体" w:eastAsia="方正仿宋简体" w:cs="方正仿宋简体"/>
          <w:i w:val="0"/>
          <w:iCs w:val="0"/>
          <w:caps w:val="0"/>
          <w:color w:val="auto"/>
          <w:spacing w:val="0"/>
          <w:kern w:val="0"/>
          <w:sz w:val="32"/>
          <w:szCs w:val="32"/>
          <w:shd w:val="clear" w:fill="FFFFFF"/>
          <w:lang w:val="en-US" w:eastAsia="zh-CN" w:bidi="ar"/>
        </w:rPr>
      </w:pPr>
      <w:r>
        <w:rPr>
          <w:rFonts w:hint="eastAsia" w:ascii="方正楷体简体" w:hAnsi="方正楷体简体" w:eastAsia="方正楷体简体" w:cs="方正楷体简体"/>
          <w:b w:val="0"/>
          <w:bCs w:val="0"/>
          <w:i w:val="0"/>
          <w:iCs w:val="0"/>
          <w:caps w:val="0"/>
          <w:color w:val="auto"/>
          <w:spacing w:val="0"/>
          <w:kern w:val="0"/>
          <w:sz w:val="32"/>
          <w:szCs w:val="32"/>
          <w:shd w:val="clear" w:fill="FFFFFF"/>
          <w:lang w:val="en-US" w:eastAsia="zh-CN" w:bidi="ar"/>
        </w:rPr>
        <w:t>（二）依申请公开情况。</w:t>
      </w:r>
      <w:r>
        <w:rPr>
          <w:rFonts w:hint="eastAsia" w:ascii="方正仿宋简体" w:hAnsi="方正仿宋简体" w:eastAsia="方正仿宋简体" w:cs="方正仿宋简体"/>
          <w:i w:val="0"/>
          <w:iCs w:val="0"/>
          <w:caps w:val="0"/>
          <w:color w:val="auto"/>
          <w:spacing w:val="0"/>
          <w:kern w:val="0"/>
          <w:sz w:val="32"/>
          <w:szCs w:val="32"/>
          <w:shd w:val="clear" w:fill="FFFFFF"/>
          <w:lang w:val="en-US" w:eastAsia="zh-CN" w:bidi="ar"/>
        </w:rPr>
        <w:t>2021年，我局认真贯彻落实依申请公开相关规范，严格按照依申请公开程序办理，及时高效回应申请人公开要求。全年受理依申请公开共2件,已全部办结。</w:t>
      </w:r>
    </w:p>
    <w:p w14:paraId="64F5B1A3">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atLeast"/>
        <w:ind w:left="0" w:right="0" w:firstLine="640" w:firstLineChars="200"/>
        <w:jc w:val="both"/>
        <w:textAlignment w:val="auto"/>
        <w:rPr>
          <w:rFonts w:hint="eastAsia" w:ascii="方正仿宋简体" w:hAnsi="方正仿宋简体" w:eastAsia="方正仿宋简体" w:cs="方正仿宋简体"/>
          <w:i w:val="0"/>
          <w:iCs w:val="0"/>
          <w:caps w:val="0"/>
          <w:color w:val="auto"/>
          <w:spacing w:val="0"/>
          <w:kern w:val="0"/>
          <w:sz w:val="32"/>
          <w:szCs w:val="32"/>
          <w:shd w:val="clear" w:fill="FFFFFF"/>
          <w:lang w:val="en-US" w:eastAsia="zh-CN" w:bidi="ar"/>
        </w:rPr>
      </w:pPr>
      <w:r>
        <w:rPr>
          <w:rFonts w:hint="eastAsia" w:ascii="方正楷体简体" w:hAnsi="方正楷体简体" w:eastAsia="方正楷体简体" w:cs="方正楷体简体"/>
          <w:b w:val="0"/>
          <w:bCs w:val="0"/>
          <w:i w:val="0"/>
          <w:iCs w:val="0"/>
          <w:caps w:val="0"/>
          <w:color w:val="auto"/>
          <w:spacing w:val="0"/>
          <w:kern w:val="0"/>
          <w:sz w:val="32"/>
          <w:szCs w:val="32"/>
          <w:shd w:val="clear" w:fill="FFFFFF"/>
          <w:lang w:val="en-US" w:eastAsia="zh-CN" w:bidi="ar"/>
        </w:rPr>
        <w:t>（三）政府信息管理情况。</w:t>
      </w:r>
      <w:r>
        <w:rPr>
          <w:rFonts w:hint="eastAsia" w:ascii="方正仿宋简体" w:hAnsi="方正仿宋简体" w:eastAsia="方正仿宋简体" w:cs="方正仿宋简体"/>
          <w:i w:val="0"/>
          <w:iCs w:val="0"/>
          <w:caps w:val="0"/>
          <w:color w:val="auto"/>
          <w:spacing w:val="0"/>
          <w:kern w:val="0"/>
          <w:sz w:val="32"/>
          <w:szCs w:val="32"/>
          <w:shd w:val="clear" w:fill="FFFFFF"/>
          <w:lang w:val="en-US" w:eastAsia="zh-CN" w:bidi="ar"/>
        </w:rPr>
        <w:t>一是全面推进基层政务公开标准化规范化工作。按照相关要求编制本部门重点领域政务公开事项目录清单；二是加强重点领域政府信息公开。坚持以公开为常态、不公开为例外，将重点领域公开任务及时分解至相关科室，并加强与市水利局对接，借助上级指导有效将压力层层传导，确保责任到人，保障农村饮水、河湖管护、水利工程建设、水旱灾害防御建设等民生工程建设领域信息以及本部门牵头起草及制定的各项重要政策及时对外发布。三是严防涉密和个人隐私信息公开。严格遵守《中华人民共和国保守国家秘密法》及《中华人民共和国政府信息公开条例》等有关规定。今年以来，我局公开的信息未发生涉密及个人隐私信息网络安全事故。</w:t>
      </w:r>
    </w:p>
    <w:p w14:paraId="6121167F">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atLeast"/>
        <w:ind w:left="0" w:right="0" w:firstLine="640" w:firstLineChars="200"/>
        <w:jc w:val="both"/>
        <w:textAlignment w:val="auto"/>
        <w:rPr>
          <w:rFonts w:hint="eastAsia" w:ascii="方正仿宋简体" w:hAnsi="方正仿宋简体" w:eastAsia="方正仿宋简体" w:cs="方正仿宋简体"/>
          <w:i w:val="0"/>
          <w:iCs w:val="0"/>
          <w:caps w:val="0"/>
          <w:color w:val="auto"/>
          <w:spacing w:val="0"/>
          <w:kern w:val="0"/>
          <w:sz w:val="32"/>
          <w:szCs w:val="32"/>
          <w:shd w:val="clear" w:fill="FFFFFF"/>
          <w:lang w:val="en-US" w:eastAsia="zh-CN" w:bidi="ar"/>
        </w:rPr>
      </w:pPr>
      <w:r>
        <w:rPr>
          <w:rFonts w:hint="eastAsia" w:ascii="方正楷体简体" w:hAnsi="方正楷体简体" w:eastAsia="方正楷体简体" w:cs="方正楷体简体"/>
          <w:b w:val="0"/>
          <w:bCs w:val="0"/>
          <w:i w:val="0"/>
          <w:iCs w:val="0"/>
          <w:caps w:val="0"/>
          <w:color w:val="auto"/>
          <w:spacing w:val="0"/>
          <w:kern w:val="0"/>
          <w:sz w:val="32"/>
          <w:szCs w:val="32"/>
          <w:shd w:val="clear" w:fill="FFFFFF"/>
          <w:lang w:val="en-US" w:eastAsia="zh-CN" w:bidi="ar"/>
        </w:rPr>
        <w:t>（四）政府信息公开平台建设情况。</w:t>
      </w:r>
      <w:r>
        <w:rPr>
          <w:rFonts w:hint="eastAsia" w:ascii="方正仿宋简体" w:hAnsi="方正仿宋简体" w:eastAsia="方正仿宋简体" w:cs="方正仿宋简体"/>
          <w:i w:val="0"/>
          <w:iCs w:val="0"/>
          <w:caps w:val="0"/>
          <w:color w:val="auto"/>
          <w:spacing w:val="0"/>
          <w:kern w:val="0"/>
          <w:sz w:val="32"/>
          <w:szCs w:val="32"/>
          <w:shd w:val="clear" w:fill="FFFFFF"/>
          <w:lang w:val="en-US" w:eastAsia="zh-CN" w:bidi="ar"/>
        </w:rPr>
        <w:t>规范平台管理，严格按照《国务院办公厅政府信息与政务公开办公室关于规范政府信息公开平台有关事项的通知》（国办公开办函〔2019〕61号）要求，设置信息公开专栏页面。</w:t>
      </w:r>
    </w:p>
    <w:p w14:paraId="240B3800">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atLeast"/>
        <w:ind w:left="0" w:right="0" w:firstLine="640" w:firstLineChars="200"/>
        <w:jc w:val="both"/>
        <w:textAlignment w:val="auto"/>
        <w:rPr>
          <w:rFonts w:hint="eastAsia" w:ascii="方正仿宋简体" w:hAnsi="方正仿宋简体" w:eastAsia="方正仿宋简体" w:cs="方正仿宋简体"/>
          <w:i w:val="0"/>
          <w:iCs w:val="0"/>
          <w:caps w:val="0"/>
          <w:color w:val="auto"/>
          <w:spacing w:val="0"/>
          <w:kern w:val="0"/>
          <w:sz w:val="32"/>
          <w:szCs w:val="32"/>
          <w:shd w:val="clear" w:fill="FFFFFF"/>
          <w:lang w:val="en-US" w:eastAsia="zh-CN" w:bidi="ar"/>
        </w:rPr>
      </w:pPr>
      <w:r>
        <w:rPr>
          <w:rFonts w:hint="eastAsia" w:ascii="方正楷体简体" w:hAnsi="方正楷体简体" w:eastAsia="方正楷体简体" w:cs="方正楷体简体"/>
          <w:b w:val="0"/>
          <w:bCs w:val="0"/>
          <w:i w:val="0"/>
          <w:iCs w:val="0"/>
          <w:caps w:val="0"/>
          <w:color w:val="auto"/>
          <w:spacing w:val="0"/>
          <w:kern w:val="0"/>
          <w:sz w:val="32"/>
          <w:szCs w:val="32"/>
          <w:shd w:val="clear" w:fill="FFFFFF"/>
          <w:lang w:val="en-US" w:eastAsia="zh-CN" w:bidi="ar"/>
        </w:rPr>
        <w:t>（五）监督保障情况。</w:t>
      </w:r>
      <w:r>
        <w:rPr>
          <w:rFonts w:hint="eastAsia" w:ascii="方正仿宋简体" w:hAnsi="方正仿宋简体" w:eastAsia="方正仿宋简体" w:cs="方正仿宋简体"/>
          <w:i w:val="0"/>
          <w:iCs w:val="0"/>
          <w:caps w:val="0"/>
          <w:color w:val="auto"/>
          <w:spacing w:val="0"/>
          <w:kern w:val="0"/>
          <w:sz w:val="32"/>
          <w:szCs w:val="32"/>
          <w:shd w:val="clear" w:fill="FFFFFF"/>
          <w:lang w:val="en-US" w:eastAsia="zh-CN" w:bidi="ar"/>
        </w:rPr>
        <w:t>加强组织领导，及时调整局政务公开领导小组，局主要负责同志亲自部署，局分管负责同志具体指导安排，局办公室统筹推进、协调指导。强化问题整改落实，对省、市季度测评反馈的问题清单认真梳理，形成整改清单，交办专人和责任股室及时整改，确保整改实效。同时，将政务公开工作纳入对局机关科室和单位的年终考评。加强政府信息公开保密审查，依法保护个人隐私，全年未发生信息发布失信和影响社会稳定问题。</w:t>
      </w:r>
    </w:p>
    <w:p w14:paraId="609AEEE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right="0" w:firstLine="640" w:firstLineChars="200"/>
        <w:jc w:val="both"/>
        <w:textAlignment w:val="auto"/>
        <w:rPr>
          <w:rFonts w:hint="eastAsia" w:ascii="方正黑体_GBK" w:hAnsi="方正黑体_GBK" w:eastAsia="方正黑体_GBK" w:cs="方正黑体_GBK"/>
          <w:i w:val="0"/>
          <w:iCs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i w:val="0"/>
          <w:iCs w:val="0"/>
          <w:caps w:val="0"/>
          <w:color w:val="auto"/>
          <w:spacing w:val="0"/>
          <w:kern w:val="0"/>
          <w:sz w:val="32"/>
          <w:szCs w:val="32"/>
          <w:shd w:val="clear" w:fill="FFFFFF"/>
          <w:lang w:val="en-US" w:eastAsia="zh-CN" w:bidi="ar"/>
        </w:rPr>
        <w:t>二、主动公开政府信息情况</w:t>
      </w:r>
    </w:p>
    <w:tbl>
      <w:tblPr>
        <w:tblStyle w:val="5"/>
        <w:tblW w:w="93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261"/>
        <w:gridCol w:w="2454"/>
        <w:gridCol w:w="2454"/>
        <w:gridCol w:w="2191"/>
      </w:tblGrid>
      <w:tr w14:paraId="6BA34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4" w:hRule="atLeast"/>
          <w:jc w:val="center"/>
        </w:trPr>
        <w:tc>
          <w:tcPr>
            <w:tcW w:w="9364" w:type="dxa"/>
            <w:gridSpan w:val="4"/>
            <w:tcBorders>
              <w:top w:val="single" w:color="auto" w:sz="8" w:space="0"/>
              <w:left w:val="single" w:color="auto" w:sz="8" w:space="0"/>
              <w:bottom w:val="single" w:color="auto" w:sz="8" w:space="0"/>
              <w:right w:val="single" w:color="auto" w:sz="8" w:space="0"/>
            </w:tcBorders>
            <w:shd w:val="clear" w:color="auto" w:fill="FFFFFF"/>
            <w:tcMar>
              <w:left w:w="57" w:type="dxa"/>
              <w:right w:w="57" w:type="dxa"/>
            </w:tcMar>
            <w:vAlign w:val="center"/>
          </w:tcPr>
          <w:p w14:paraId="37335704">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宋体" w:hAnsi="宋体" w:eastAsia="宋体" w:cs="宋体"/>
                <w:color w:val="auto"/>
                <w:sz w:val="20"/>
                <w:szCs w:val="20"/>
              </w:rPr>
              <w:t>第二十条第（一）项</w:t>
            </w:r>
          </w:p>
        </w:tc>
      </w:tr>
      <w:tr w14:paraId="0FF26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2952978B">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宋体" w:hAnsi="宋体" w:eastAsia="宋体" w:cs="宋体"/>
                <w:color w:val="auto"/>
                <w:sz w:val="20"/>
                <w:szCs w:val="20"/>
              </w:rPr>
              <w:t>信息内容</w:t>
            </w:r>
          </w:p>
        </w:tc>
        <w:tc>
          <w:tcPr>
            <w:tcW w:w="2455" w:type="dxa"/>
            <w:tcBorders>
              <w:top w:val="nil"/>
              <w:left w:val="nil"/>
              <w:bottom w:val="single" w:color="auto" w:sz="8" w:space="0"/>
              <w:right w:val="single" w:color="auto" w:sz="8" w:space="0"/>
            </w:tcBorders>
            <w:shd w:val="clear" w:color="auto" w:fill="FFFFFF"/>
            <w:tcMar>
              <w:left w:w="57" w:type="dxa"/>
              <w:right w:w="57" w:type="dxa"/>
            </w:tcMar>
            <w:vAlign w:val="center"/>
          </w:tcPr>
          <w:p w14:paraId="2C165D9E">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宋体" w:hAnsi="宋体" w:eastAsia="宋体" w:cs="宋体"/>
                <w:color w:val="auto"/>
                <w:sz w:val="20"/>
                <w:szCs w:val="20"/>
              </w:rPr>
              <w:t>本年制发件数</w:t>
            </w:r>
          </w:p>
        </w:tc>
        <w:tc>
          <w:tcPr>
            <w:tcW w:w="2455" w:type="dxa"/>
            <w:tcBorders>
              <w:top w:val="nil"/>
              <w:left w:val="nil"/>
              <w:bottom w:val="single" w:color="auto" w:sz="8" w:space="0"/>
              <w:right w:val="single" w:color="auto" w:sz="8" w:space="0"/>
            </w:tcBorders>
            <w:shd w:val="clear" w:color="auto" w:fill="FFFFFF"/>
            <w:tcMar>
              <w:left w:w="57" w:type="dxa"/>
              <w:right w:w="57" w:type="dxa"/>
            </w:tcMar>
            <w:vAlign w:val="center"/>
          </w:tcPr>
          <w:p w14:paraId="35FDFDD6">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宋体" w:hAnsi="宋体" w:eastAsia="宋体" w:cs="宋体"/>
                <w:color w:val="auto"/>
                <w:sz w:val="20"/>
                <w:szCs w:val="20"/>
              </w:rPr>
              <w:t>本年废止件数</w:t>
            </w:r>
          </w:p>
        </w:tc>
        <w:tc>
          <w:tcPr>
            <w:tcW w:w="2192" w:type="dxa"/>
            <w:tcBorders>
              <w:top w:val="nil"/>
              <w:left w:val="nil"/>
              <w:bottom w:val="single" w:color="auto" w:sz="8" w:space="0"/>
              <w:right w:val="single" w:color="auto" w:sz="8" w:space="0"/>
            </w:tcBorders>
            <w:shd w:val="clear" w:color="auto" w:fill="FFFFFF"/>
            <w:tcMar>
              <w:left w:w="57" w:type="dxa"/>
              <w:right w:w="57" w:type="dxa"/>
            </w:tcMar>
            <w:vAlign w:val="center"/>
          </w:tcPr>
          <w:p w14:paraId="46BA66B4">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宋体" w:hAnsi="宋体" w:eastAsia="宋体" w:cs="宋体"/>
                <w:color w:val="auto"/>
                <w:sz w:val="20"/>
                <w:szCs w:val="20"/>
              </w:rPr>
              <w:t>现行有效件数</w:t>
            </w:r>
          </w:p>
        </w:tc>
      </w:tr>
      <w:tr w14:paraId="2CAA3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08AB5B0A">
            <w:pPr>
              <w:pStyle w:val="4"/>
              <w:keepNext w:val="0"/>
              <w:keepLines w:val="0"/>
              <w:widowControl/>
              <w:suppressLineNumbers w:val="0"/>
              <w:spacing w:before="0" w:beforeAutospacing="0" w:after="0" w:afterAutospacing="0"/>
              <w:ind w:left="0" w:right="0"/>
              <w:jc w:val="left"/>
              <w:rPr>
                <w:rFonts w:hint="eastAsia" w:ascii="等线" w:hAnsi="等线" w:eastAsia="等线" w:cs="等线"/>
                <w:color w:val="auto"/>
                <w:sz w:val="21"/>
                <w:szCs w:val="21"/>
              </w:rPr>
            </w:pPr>
            <w:r>
              <w:rPr>
                <w:rFonts w:hint="eastAsia" w:ascii="宋体" w:hAnsi="宋体" w:eastAsia="宋体" w:cs="宋体"/>
                <w:color w:val="auto"/>
                <w:sz w:val="20"/>
                <w:szCs w:val="20"/>
              </w:rPr>
              <w:t>规章</w:t>
            </w:r>
          </w:p>
        </w:tc>
        <w:tc>
          <w:tcPr>
            <w:tcW w:w="2455" w:type="dxa"/>
            <w:tcBorders>
              <w:top w:val="nil"/>
              <w:left w:val="nil"/>
              <w:bottom w:val="single" w:color="auto" w:sz="8" w:space="0"/>
              <w:right w:val="single" w:color="auto" w:sz="8" w:space="0"/>
            </w:tcBorders>
            <w:shd w:val="clear" w:color="auto" w:fill="FFFFFF"/>
            <w:tcMar>
              <w:left w:w="57" w:type="dxa"/>
              <w:right w:w="57" w:type="dxa"/>
            </w:tcMar>
            <w:vAlign w:val="center"/>
          </w:tcPr>
          <w:p w14:paraId="1823FB51">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宋体" w:hAnsi="宋体" w:eastAsia="宋体" w:cs="宋体"/>
                <w:color w:val="auto"/>
                <w:sz w:val="20"/>
                <w:szCs w:val="20"/>
              </w:rPr>
              <w:t>0</w:t>
            </w:r>
          </w:p>
        </w:tc>
        <w:tc>
          <w:tcPr>
            <w:tcW w:w="2455" w:type="dxa"/>
            <w:tcBorders>
              <w:top w:val="nil"/>
              <w:left w:val="nil"/>
              <w:bottom w:val="single" w:color="auto" w:sz="8" w:space="0"/>
              <w:right w:val="single" w:color="auto" w:sz="8" w:space="0"/>
            </w:tcBorders>
            <w:shd w:val="clear" w:color="auto" w:fill="FFFFFF"/>
            <w:tcMar>
              <w:left w:w="57" w:type="dxa"/>
              <w:right w:w="57" w:type="dxa"/>
            </w:tcMar>
            <w:vAlign w:val="center"/>
          </w:tcPr>
          <w:p w14:paraId="7D6EB494">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宋体" w:hAnsi="宋体" w:eastAsia="宋体" w:cs="宋体"/>
                <w:color w:val="auto"/>
                <w:sz w:val="20"/>
                <w:szCs w:val="20"/>
              </w:rPr>
              <w:t>0</w:t>
            </w:r>
          </w:p>
        </w:tc>
        <w:tc>
          <w:tcPr>
            <w:tcW w:w="2192" w:type="dxa"/>
            <w:tcBorders>
              <w:top w:val="nil"/>
              <w:left w:val="nil"/>
              <w:bottom w:val="single" w:color="auto" w:sz="8" w:space="0"/>
              <w:right w:val="single" w:color="auto" w:sz="8" w:space="0"/>
            </w:tcBorders>
            <w:shd w:val="clear" w:color="auto" w:fill="FFFFFF"/>
            <w:tcMar>
              <w:left w:w="57" w:type="dxa"/>
              <w:right w:w="57" w:type="dxa"/>
            </w:tcMar>
            <w:vAlign w:val="center"/>
          </w:tcPr>
          <w:p w14:paraId="22258A55">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ascii="Calibri" w:hAnsi="Calibri" w:eastAsia="等线" w:cs="Calibri"/>
                <w:color w:val="auto"/>
                <w:sz w:val="21"/>
                <w:szCs w:val="21"/>
              </w:rPr>
              <w:t>0</w:t>
            </w:r>
          </w:p>
        </w:tc>
      </w:tr>
      <w:tr w14:paraId="5F79A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63FDF04C">
            <w:pPr>
              <w:pStyle w:val="4"/>
              <w:keepNext w:val="0"/>
              <w:keepLines w:val="0"/>
              <w:widowControl/>
              <w:suppressLineNumbers w:val="0"/>
              <w:spacing w:before="0" w:beforeAutospacing="0" w:after="0" w:afterAutospacing="0"/>
              <w:ind w:left="0" w:right="0"/>
              <w:jc w:val="left"/>
              <w:rPr>
                <w:rFonts w:hint="eastAsia" w:ascii="等线" w:hAnsi="等线" w:eastAsia="等线" w:cs="等线"/>
                <w:color w:val="auto"/>
                <w:sz w:val="21"/>
                <w:szCs w:val="21"/>
              </w:rPr>
            </w:pPr>
            <w:r>
              <w:rPr>
                <w:rFonts w:hint="eastAsia" w:ascii="宋体" w:hAnsi="宋体" w:eastAsia="宋体" w:cs="宋体"/>
                <w:color w:val="auto"/>
                <w:sz w:val="20"/>
                <w:szCs w:val="20"/>
              </w:rPr>
              <w:t>行政规范性文件</w:t>
            </w:r>
          </w:p>
        </w:tc>
        <w:tc>
          <w:tcPr>
            <w:tcW w:w="2455" w:type="dxa"/>
            <w:tcBorders>
              <w:top w:val="nil"/>
              <w:left w:val="nil"/>
              <w:bottom w:val="single" w:color="auto" w:sz="8" w:space="0"/>
              <w:right w:val="single" w:color="auto" w:sz="8" w:space="0"/>
            </w:tcBorders>
            <w:shd w:val="clear" w:color="auto" w:fill="FFFFFF"/>
            <w:tcMar>
              <w:left w:w="57" w:type="dxa"/>
              <w:right w:w="57" w:type="dxa"/>
            </w:tcMar>
            <w:vAlign w:val="center"/>
          </w:tcPr>
          <w:p w14:paraId="01C58DD4">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等线" w:hAnsi="等线" w:eastAsia="等线" w:cs="等线"/>
                <w:color w:val="auto"/>
                <w:sz w:val="21"/>
                <w:szCs w:val="21"/>
              </w:rPr>
              <w:t>0</w:t>
            </w:r>
          </w:p>
        </w:tc>
        <w:tc>
          <w:tcPr>
            <w:tcW w:w="2455" w:type="dxa"/>
            <w:tcBorders>
              <w:top w:val="nil"/>
              <w:left w:val="nil"/>
              <w:bottom w:val="single" w:color="auto" w:sz="8" w:space="0"/>
              <w:right w:val="single" w:color="auto" w:sz="8" w:space="0"/>
            </w:tcBorders>
            <w:shd w:val="clear" w:color="auto" w:fill="FFFFFF"/>
            <w:tcMar>
              <w:left w:w="57" w:type="dxa"/>
              <w:right w:w="57" w:type="dxa"/>
            </w:tcMar>
            <w:vAlign w:val="center"/>
          </w:tcPr>
          <w:p w14:paraId="0CFBA30B">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宋体" w:hAnsi="宋体" w:eastAsia="宋体" w:cs="宋体"/>
                <w:color w:val="auto"/>
                <w:sz w:val="20"/>
                <w:szCs w:val="20"/>
              </w:rPr>
              <w:t>0</w:t>
            </w:r>
          </w:p>
        </w:tc>
        <w:tc>
          <w:tcPr>
            <w:tcW w:w="2192" w:type="dxa"/>
            <w:tcBorders>
              <w:top w:val="nil"/>
              <w:left w:val="nil"/>
              <w:bottom w:val="single" w:color="auto" w:sz="8" w:space="0"/>
              <w:right w:val="single" w:color="auto" w:sz="8" w:space="0"/>
            </w:tcBorders>
            <w:shd w:val="clear" w:color="auto" w:fill="FFFFFF"/>
            <w:tcMar>
              <w:left w:w="57" w:type="dxa"/>
              <w:right w:w="57" w:type="dxa"/>
            </w:tcMar>
            <w:vAlign w:val="center"/>
          </w:tcPr>
          <w:p w14:paraId="268E4A1C">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lang w:val="en-US" w:eastAsia="zh-CN"/>
              </w:rPr>
            </w:pPr>
            <w:r>
              <w:rPr>
                <w:rFonts w:hint="eastAsia" w:ascii="等线" w:hAnsi="等线" w:eastAsia="等线" w:cs="等线"/>
                <w:color w:val="auto"/>
                <w:sz w:val="21"/>
                <w:szCs w:val="21"/>
                <w:lang w:val="en-US" w:eastAsia="zh-CN"/>
              </w:rPr>
              <w:t>0</w:t>
            </w:r>
            <w:bookmarkStart w:id="0" w:name="_GoBack"/>
            <w:bookmarkEnd w:id="0"/>
          </w:p>
        </w:tc>
      </w:tr>
      <w:tr w14:paraId="6057C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9364" w:type="dxa"/>
            <w:gridSpan w:val="4"/>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08D82294">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宋体" w:hAnsi="宋体" w:eastAsia="宋体" w:cs="宋体"/>
                <w:color w:val="auto"/>
                <w:sz w:val="20"/>
                <w:szCs w:val="20"/>
              </w:rPr>
              <w:t>第二十条第（五）项</w:t>
            </w:r>
          </w:p>
        </w:tc>
      </w:tr>
      <w:tr w14:paraId="7C95A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62F9D90E">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宋体" w:hAnsi="宋体" w:eastAsia="宋体" w:cs="宋体"/>
                <w:color w:val="auto"/>
                <w:sz w:val="20"/>
                <w:szCs w:val="20"/>
              </w:rPr>
              <w:t>信息内容</w:t>
            </w:r>
          </w:p>
        </w:tc>
        <w:tc>
          <w:tcPr>
            <w:tcW w:w="7102"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14:paraId="5608EDD7">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宋体" w:hAnsi="宋体" w:eastAsia="宋体" w:cs="宋体"/>
                <w:color w:val="auto"/>
                <w:sz w:val="20"/>
                <w:szCs w:val="20"/>
              </w:rPr>
              <w:t>本年处理决定数量</w:t>
            </w:r>
          </w:p>
        </w:tc>
      </w:tr>
      <w:tr w14:paraId="775E2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15BA2EF1">
            <w:pPr>
              <w:pStyle w:val="4"/>
              <w:keepNext w:val="0"/>
              <w:keepLines w:val="0"/>
              <w:widowControl/>
              <w:suppressLineNumbers w:val="0"/>
              <w:spacing w:before="0" w:beforeAutospacing="0" w:after="0" w:afterAutospacing="0"/>
              <w:ind w:left="0" w:right="0"/>
              <w:jc w:val="left"/>
              <w:rPr>
                <w:rFonts w:hint="eastAsia" w:ascii="等线" w:hAnsi="等线" w:eastAsia="等线" w:cs="等线"/>
                <w:color w:val="auto"/>
                <w:sz w:val="21"/>
                <w:szCs w:val="21"/>
              </w:rPr>
            </w:pPr>
            <w:r>
              <w:rPr>
                <w:rFonts w:hint="eastAsia" w:ascii="宋体" w:hAnsi="宋体" w:eastAsia="宋体" w:cs="宋体"/>
                <w:color w:val="auto"/>
                <w:sz w:val="20"/>
                <w:szCs w:val="20"/>
              </w:rPr>
              <w:t>行政许可</w:t>
            </w:r>
          </w:p>
        </w:tc>
        <w:tc>
          <w:tcPr>
            <w:tcW w:w="7102"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14:paraId="6443D606">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1"/>
                <w:szCs w:val="21"/>
              </w:rPr>
              <w:t>80</w:t>
            </w:r>
          </w:p>
        </w:tc>
      </w:tr>
      <w:tr w14:paraId="14D8B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9364" w:type="dxa"/>
            <w:gridSpan w:val="4"/>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720DC88B">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宋体" w:hAnsi="宋体" w:eastAsia="宋体" w:cs="宋体"/>
                <w:color w:val="auto"/>
                <w:sz w:val="20"/>
                <w:szCs w:val="20"/>
              </w:rPr>
              <w:t>第二十条第（六）项</w:t>
            </w:r>
          </w:p>
        </w:tc>
      </w:tr>
      <w:tr w14:paraId="31BBF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0A57C86E">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宋体" w:hAnsi="宋体" w:eastAsia="宋体" w:cs="宋体"/>
                <w:color w:val="auto"/>
                <w:sz w:val="20"/>
                <w:szCs w:val="20"/>
              </w:rPr>
              <w:t>信息内容</w:t>
            </w:r>
          </w:p>
        </w:tc>
        <w:tc>
          <w:tcPr>
            <w:tcW w:w="7102"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14:paraId="7DECFEFA">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宋体" w:hAnsi="宋体" w:eastAsia="宋体" w:cs="宋体"/>
                <w:color w:val="auto"/>
                <w:sz w:val="20"/>
                <w:szCs w:val="20"/>
              </w:rPr>
              <w:t>本年处理决定数量</w:t>
            </w:r>
          </w:p>
        </w:tc>
      </w:tr>
      <w:tr w14:paraId="45590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2A2A9876">
            <w:pPr>
              <w:pStyle w:val="4"/>
              <w:keepNext w:val="0"/>
              <w:keepLines w:val="0"/>
              <w:widowControl/>
              <w:suppressLineNumbers w:val="0"/>
              <w:spacing w:before="0" w:beforeAutospacing="0" w:after="0" w:afterAutospacing="0"/>
              <w:ind w:left="0" w:right="0"/>
              <w:jc w:val="left"/>
              <w:rPr>
                <w:rFonts w:hint="eastAsia" w:ascii="等线" w:hAnsi="等线" w:eastAsia="等线" w:cs="等线"/>
                <w:color w:val="auto"/>
                <w:sz w:val="21"/>
                <w:szCs w:val="21"/>
              </w:rPr>
            </w:pPr>
            <w:r>
              <w:rPr>
                <w:rFonts w:hint="eastAsia" w:ascii="宋体" w:hAnsi="宋体" w:eastAsia="宋体" w:cs="宋体"/>
                <w:color w:val="auto"/>
                <w:sz w:val="20"/>
                <w:szCs w:val="20"/>
              </w:rPr>
              <w:t>行政处罚</w:t>
            </w:r>
          </w:p>
        </w:tc>
        <w:tc>
          <w:tcPr>
            <w:tcW w:w="7102"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14:paraId="3B9BF7F4">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宋体" w:hAnsi="宋体" w:eastAsia="宋体" w:cs="宋体"/>
                <w:color w:val="auto"/>
                <w:sz w:val="20"/>
                <w:szCs w:val="20"/>
              </w:rPr>
              <w:t>30</w:t>
            </w:r>
          </w:p>
        </w:tc>
      </w:tr>
      <w:tr w14:paraId="2A2A3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53EB6D2B">
            <w:pPr>
              <w:pStyle w:val="4"/>
              <w:keepNext w:val="0"/>
              <w:keepLines w:val="0"/>
              <w:widowControl/>
              <w:suppressLineNumbers w:val="0"/>
              <w:spacing w:before="0" w:beforeAutospacing="0" w:after="0" w:afterAutospacing="0"/>
              <w:ind w:left="0" w:right="0"/>
              <w:jc w:val="left"/>
              <w:rPr>
                <w:rFonts w:hint="eastAsia" w:ascii="等线" w:hAnsi="等线" w:eastAsia="等线" w:cs="等线"/>
                <w:color w:val="auto"/>
                <w:sz w:val="21"/>
                <w:szCs w:val="21"/>
              </w:rPr>
            </w:pPr>
            <w:r>
              <w:rPr>
                <w:rFonts w:hint="eastAsia" w:ascii="宋体" w:hAnsi="宋体" w:eastAsia="宋体" w:cs="宋体"/>
                <w:color w:val="auto"/>
                <w:sz w:val="20"/>
                <w:szCs w:val="20"/>
              </w:rPr>
              <w:t>行政强制</w:t>
            </w:r>
          </w:p>
        </w:tc>
        <w:tc>
          <w:tcPr>
            <w:tcW w:w="7102"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14:paraId="22814C45">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宋体" w:hAnsi="宋体" w:eastAsia="宋体" w:cs="宋体"/>
                <w:color w:val="auto"/>
                <w:sz w:val="20"/>
                <w:szCs w:val="20"/>
              </w:rPr>
              <w:t>1</w:t>
            </w:r>
          </w:p>
        </w:tc>
      </w:tr>
      <w:tr w14:paraId="2CC9D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9364" w:type="dxa"/>
            <w:gridSpan w:val="4"/>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72C73043">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宋体" w:hAnsi="宋体" w:eastAsia="宋体" w:cs="宋体"/>
                <w:color w:val="auto"/>
                <w:sz w:val="20"/>
                <w:szCs w:val="20"/>
              </w:rPr>
              <w:t>第二十条第（八）项</w:t>
            </w:r>
          </w:p>
        </w:tc>
      </w:tr>
      <w:tr w14:paraId="1522D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2262"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4317BCE2">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宋体" w:hAnsi="宋体" w:eastAsia="宋体" w:cs="宋体"/>
                <w:color w:val="auto"/>
                <w:sz w:val="20"/>
                <w:szCs w:val="20"/>
              </w:rPr>
              <w:t>信息内容</w:t>
            </w:r>
          </w:p>
        </w:tc>
        <w:tc>
          <w:tcPr>
            <w:tcW w:w="7102" w:type="dxa"/>
            <w:gridSpan w:val="3"/>
            <w:tcBorders>
              <w:top w:val="nil"/>
              <w:left w:val="nil"/>
              <w:bottom w:val="single" w:color="auto" w:sz="8" w:space="0"/>
              <w:right w:val="single" w:color="000000" w:sz="8" w:space="0"/>
            </w:tcBorders>
            <w:shd w:val="clear" w:color="auto" w:fill="FFFFFF"/>
            <w:tcMar>
              <w:left w:w="57" w:type="dxa"/>
              <w:right w:w="57" w:type="dxa"/>
            </w:tcMar>
            <w:vAlign w:val="center"/>
          </w:tcPr>
          <w:p w14:paraId="175FB881">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宋体" w:hAnsi="宋体" w:eastAsia="宋体" w:cs="宋体"/>
                <w:color w:val="auto"/>
                <w:sz w:val="20"/>
                <w:szCs w:val="20"/>
              </w:rPr>
              <w:t>本年收费金额（单位：万元）</w:t>
            </w:r>
          </w:p>
        </w:tc>
      </w:tr>
      <w:tr w14:paraId="202CC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9" w:hRule="atLeast"/>
          <w:jc w:val="center"/>
        </w:trPr>
        <w:tc>
          <w:tcPr>
            <w:tcW w:w="2262"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14:paraId="6B958A04">
            <w:pPr>
              <w:pStyle w:val="4"/>
              <w:keepNext w:val="0"/>
              <w:keepLines w:val="0"/>
              <w:widowControl/>
              <w:suppressLineNumbers w:val="0"/>
              <w:spacing w:before="0" w:beforeAutospacing="0" w:after="0" w:afterAutospacing="0"/>
              <w:ind w:left="0" w:right="0"/>
              <w:jc w:val="left"/>
              <w:rPr>
                <w:rFonts w:hint="eastAsia" w:ascii="等线" w:hAnsi="等线" w:eastAsia="等线" w:cs="等线"/>
                <w:color w:val="auto"/>
                <w:sz w:val="21"/>
                <w:szCs w:val="21"/>
              </w:rPr>
            </w:pPr>
            <w:r>
              <w:rPr>
                <w:rFonts w:hint="eastAsia" w:ascii="宋体" w:hAnsi="宋体" w:eastAsia="宋体" w:cs="宋体"/>
                <w:color w:val="auto"/>
                <w:sz w:val="20"/>
                <w:szCs w:val="20"/>
              </w:rPr>
              <w:t>行政事业性收费</w:t>
            </w:r>
          </w:p>
        </w:tc>
        <w:tc>
          <w:tcPr>
            <w:tcW w:w="7102" w:type="dxa"/>
            <w:gridSpan w:val="3"/>
            <w:tcBorders>
              <w:top w:val="nil"/>
              <w:left w:val="nil"/>
              <w:bottom w:val="single" w:color="auto" w:sz="8" w:space="0"/>
              <w:right w:val="single" w:color="000000" w:sz="8" w:space="0"/>
            </w:tcBorders>
            <w:shd w:val="clear" w:color="auto" w:fill="FFFFFF"/>
            <w:tcMar>
              <w:left w:w="57" w:type="dxa"/>
              <w:right w:w="57" w:type="dxa"/>
            </w:tcMar>
            <w:vAlign w:val="center"/>
          </w:tcPr>
          <w:p w14:paraId="4681FAE0">
            <w:pPr>
              <w:pStyle w:val="4"/>
              <w:keepNext w:val="0"/>
              <w:keepLines w:val="0"/>
              <w:widowControl/>
              <w:suppressLineNumbers w:val="0"/>
              <w:spacing w:before="75" w:beforeAutospacing="0" w:after="75" w:afterAutospacing="0"/>
              <w:ind w:left="0" w:right="0"/>
              <w:jc w:val="center"/>
              <w:rPr>
                <w:rFonts w:hint="eastAsia" w:ascii="等线" w:hAnsi="等线" w:eastAsia="等线" w:cs="等线"/>
                <w:color w:val="auto"/>
                <w:sz w:val="21"/>
                <w:szCs w:val="21"/>
              </w:rPr>
            </w:pPr>
            <w:r>
              <w:rPr>
                <w:rFonts w:hint="eastAsia" w:ascii="等线" w:hAnsi="等线" w:eastAsia="等线" w:cs="等线"/>
                <w:color w:val="auto"/>
                <w:sz w:val="21"/>
                <w:szCs w:val="21"/>
              </w:rPr>
              <w:t>0</w:t>
            </w:r>
          </w:p>
        </w:tc>
      </w:tr>
    </w:tbl>
    <w:p w14:paraId="20C60E9B">
      <w:pPr>
        <w:pStyle w:val="4"/>
        <w:keepNext w:val="0"/>
        <w:keepLines w:val="0"/>
        <w:widowControl/>
        <w:suppressLineNumbers w:val="0"/>
        <w:shd w:val="clear" w:fill="FFFFFF"/>
        <w:ind w:left="0" w:right="0" w:firstLine="420"/>
        <w:jc w:val="both"/>
        <w:rPr>
          <w:rFonts w:hint="eastAsia" w:ascii="等线" w:hAnsi="等线" w:eastAsia="等线" w:cs="等线"/>
          <w:color w:val="auto"/>
          <w:sz w:val="24"/>
          <w:szCs w:val="24"/>
        </w:rPr>
      </w:pPr>
      <w:r>
        <w:rPr>
          <w:rFonts w:hint="eastAsia" w:ascii="宋体" w:hAnsi="宋体" w:eastAsia="宋体" w:cs="宋体"/>
          <w:b/>
          <w:bCs/>
          <w:color w:val="auto"/>
          <w:sz w:val="24"/>
          <w:szCs w:val="24"/>
          <w:shd w:val="clear" w:fill="FFFFFF"/>
        </w:rPr>
        <w:br w:type="page"/>
      </w:r>
      <w:r>
        <w:rPr>
          <w:rFonts w:hint="eastAsia" w:ascii="宋体" w:hAnsi="宋体" w:eastAsia="宋体" w:cs="宋体"/>
          <w:b/>
          <w:bCs/>
          <w:color w:val="auto"/>
          <w:sz w:val="24"/>
          <w:szCs w:val="24"/>
          <w:shd w:val="clear" w:fill="FFFFFF"/>
        </w:rPr>
        <w:t> </w:t>
      </w:r>
    </w:p>
    <w:p w14:paraId="4AD5EA3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right="0" w:firstLine="640" w:firstLineChars="200"/>
        <w:jc w:val="both"/>
        <w:textAlignment w:val="auto"/>
        <w:rPr>
          <w:rFonts w:hint="eastAsia" w:ascii="方正黑体_GBK" w:hAnsi="方正黑体_GBK" w:eastAsia="方正黑体_GBK" w:cs="方正黑体_GBK"/>
          <w:i w:val="0"/>
          <w:iCs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i w:val="0"/>
          <w:iCs w:val="0"/>
          <w:caps w:val="0"/>
          <w:color w:val="auto"/>
          <w:spacing w:val="0"/>
          <w:kern w:val="0"/>
          <w:sz w:val="32"/>
          <w:szCs w:val="32"/>
          <w:shd w:val="clear" w:fill="FFFFFF"/>
          <w:lang w:val="en-US" w:eastAsia="zh-CN" w:bidi="ar"/>
        </w:rPr>
        <w:t>三、收到和处理政府信息公开申请情况</w:t>
      </w:r>
    </w:p>
    <w:tbl>
      <w:tblPr>
        <w:tblStyle w:val="5"/>
        <w:tblW w:w="975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7"/>
        <w:gridCol w:w="943"/>
        <w:gridCol w:w="3219"/>
        <w:gridCol w:w="688"/>
        <w:gridCol w:w="688"/>
        <w:gridCol w:w="688"/>
        <w:gridCol w:w="688"/>
        <w:gridCol w:w="688"/>
        <w:gridCol w:w="688"/>
        <w:gridCol w:w="693"/>
      </w:tblGrid>
      <w:tr w14:paraId="5E5A2C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8" w:type="dxa"/>
            <w:gridSpan w:val="3"/>
            <w:vMerge w:val="restart"/>
            <w:tcBorders>
              <w:top w:val="single" w:color="auto" w:sz="8" w:space="0"/>
              <w:left w:val="single" w:color="auto" w:sz="8" w:space="0"/>
              <w:bottom w:val="inset" w:color="auto" w:sz="8" w:space="0"/>
              <w:right w:val="single" w:color="auto" w:sz="8" w:space="0"/>
            </w:tcBorders>
            <w:shd w:val="clear" w:color="auto" w:fill="auto"/>
            <w:tcMar>
              <w:left w:w="108" w:type="dxa"/>
              <w:right w:w="108" w:type="dxa"/>
            </w:tcMar>
            <w:vAlign w:val="center"/>
          </w:tcPr>
          <w:p w14:paraId="1114F1C4">
            <w:pPr>
              <w:pStyle w:val="4"/>
              <w:keepNext w:val="0"/>
              <w:keepLines w:val="0"/>
              <w:widowControl/>
              <w:suppressLineNumbers w:val="0"/>
              <w:spacing w:before="0" w:beforeAutospacing="0" w:after="0" w:afterAutospacing="0"/>
              <w:ind w:left="0" w:right="0"/>
              <w:jc w:val="left"/>
              <w:rPr>
                <w:rFonts w:hint="eastAsia" w:ascii="等线" w:hAnsi="等线" w:eastAsia="等线" w:cs="等线"/>
                <w:color w:val="auto"/>
                <w:sz w:val="21"/>
                <w:szCs w:val="21"/>
              </w:rPr>
            </w:pPr>
            <w:r>
              <w:rPr>
                <w:rFonts w:hint="eastAsia" w:ascii="宋体" w:hAnsi="宋体" w:eastAsia="宋体" w:cs="宋体"/>
                <w:color w:val="auto"/>
                <w:sz w:val="20"/>
                <w:szCs w:val="20"/>
              </w:rPr>
              <w:t>（本列数据的勾稽关系为：第一项加第二项之和，等于第三项加第四项之和）</w:t>
            </w:r>
          </w:p>
        </w:tc>
        <w:tc>
          <w:tcPr>
            <w:tcW w:w="4820"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0BA374DA">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宋体" w:hAnsi="宋体" w:eastAsia="宋体" w:cs="宋体"/>
                <w:color w:val="auto"/>
                <w:sz w:val="20"/>
                <w:szCs w:val="20"/>
              </w:rPr>
              <w:t>申请人情况</w:t>
            </w:r>
          </w:p>
        </w:tc>
      </w:tr>
      <w:tr w14:paraId="2E7441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8" w:type="dxa"/>
            <w:gridSpan w:val="3"/>
            <w:vMerge w:val="continue"/>
            <w:tcBorders>
              <w:top w:val="single" w:color="auto" w:sz="8" w:space="0"/>
              <w:left w:val="single" w:color="auto" w:sz="8" w:space="0"/>
              <w:bottom w:val="inset" w:color="auto" w:sz="8" w:space="0"/>
              <w:right w:val="single" w:color="auto" w:sz="8" w:space="0"/>
            </w:tcBorders>
            <w:shd w:val="clear" w:color="auto" w:fill="auto"/>
            <w:tcMar>
              <w:left w:w="108" w:type="dxa"/>
              <w:right w:w="108" w:type="dxa"/>
            </w:tcMar>
            <w:vAlign w:val="center"/>
          </w:tcPr>
          <w:p w14:paraId="757EC7FE">
            <w:pPr>
              <w:rPr>
                <w:rFonts w:hint="eastAsia" w:ascii="宋体"/>
                <w:color w:val="auto"/>
                <w:sz w:val="24"/>
                <w:szCs w:val="24"/>
              </w:rPr>
            </w:pPr>
          </w:p>
        </w:tc>
        <w:tc>
          <w:tcPr>
            <w:tcW w:w="688"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14:paraId="3039943F">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宋体" w:hAnsi="宋体" w:eastAsia="宋体" w:cs="宋体"/>
                <w:color w:val="auto"/>
                <w:sz w:val="20"/>
                <w:szCs w:val="20"/>
              </w:rPr>
              <w:t>自然人</w:t>
            </w:r>
          </w:p>
        </w:tc>
        <w:tc>
          <w:tcPr>
            <w:tcW w:w="3440" w:type="dxa"/>
            <w:gridSpan w:val="5"/>
            <w:tcBorders>
              <w:top w:val="nil"/>
              <w:left w:val="nil"/>
              <w:bottom w:val="single" w:color="auto" w:sz="8" w:space="0"/>
              <w:right w:val="single" w:color="auto" w:sz="8" w:space="0"/>
            </w:tcBorders>
            <w:shd w:val="clear" w:color="auto" w:fill="auto"/>
            <w:tcMar>
              <w:left w:w="57" w:type="dxa"/>
              <w:right w:w="57" w:type="dxa"/>
            </w:tcMar>
            <w:vAlign w:val="center"/>
          </w:tcPr>
          <w:p w14:paraId="7DDA9092">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宋体" w:hAnsi="宋体" w:eastAsia="宋体" w:cs="宋体"/>
                <w:color w:val="auto"/>
                <w:sz w:val="20"/>
                <w:szCs w:val="20"/>
              </w:rPr>
              <w:t>法人或其他组织</w:t>
            </w:r>
          </w:p>
        </w:tc>
        <w:tc>
          <w:tcPr>
            <w:tcW w:w="692" w:type="dxa"/>
            <w:vMerge w:val="restart"/>
            <w:tcBorders>
              <w:top w:val="nil"/>
              <w:left w:val="nil"/>
              <w:bottom w:val="inset" w:color="auto" w:sz="8" w:space="0"/>
              <w:right w:val="single" w:color="auto" w:sz="8" w:space="0"/>
            </w:tcBorders>
            <w:shd w:val="clear" w:color="auto" w:fill="auto"/>
            <w:tcMar>
              <w:left w:w="57" w:type="dxa"/>
              <w:right w:w="57" w:type="dxa"/>
            </w:tcMar>
            <w:vAlign w:val="center"/>
          </w:tcPr>
          <w:p w14:paraId="76BCBE93">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宋体" w:hAnsi="宋体" w:eastAsia="宋体" w:cs="宋体"/>
                <w:color w:val="auto"/>
                <w:sz w:val="20"/>
                <w:szCs w:val="20"/>
              </w:rPr>
              <w:t>总计</w:t>
            </w:r>
          </w:p>
        </w:tc>
      </w:tr>
      <w:tr w14:paraId="5DE70F4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8" w:hRule="atLeast"/>
          <w:jc w:val="center"/>
        </w:trPr>
        <w:tc>
          <w:tcPr>
            <w:tcW w:w="4928" w:type="dxa"/>
            <w:gridSpan w:val="3"/>
            <w:vMerge w:val="continue"/>
            <w:tcBorders>
              <w:top w:val="single" w:color="auto" w:sz="8" w:space="0"/>
              <w:left w:val="single" w:color="auto" w:sz="8" w:space="0"/>
              <w:bottom w:val="inset" w:color="auto" w:sz="8" w:space="0"/>
              <w:right w:val="single" w:color="auto" w:sz="8" w:space="0"/>
            </w:tcBorders>
            <w:shd w:val="clear" w:color="auto" w:fill="auto"/>
            <w:tcMar>
              <w:left w:w="108" w:type="dxa"/>
              <w:right w:w="108" w:type="dxa"/>
            </w:tcMar>
            <w:vAlign w:val="center"/>
          </w:tcPr>
          <w:p w14:paraId="0602DF04">
            <w:pPr>
              <w:rPr>
                <w:rFonts w:hint="eastAsia" w:ascii="宋体"/>
                <w:color w:val="auto"/>
                <w:sz w:val="24"/>
                <w:szCs w:val="24"/>
              </w:rPr>
            </w:pPr>
          </w:p>
        </w:tc>
        <w:tc>
          <w:tcPr>
            <w:tcW w:w="688"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14:paraId="6ED12B6F">
            <w:pPr>
              <w:rPr>
                <w:rFonts w:hint="eastAsia" w:ascii="宋体"/>
                <w:color w:val="auto"/>
                <w:sz w:val="24"/>
                <w:szCs w:val="24"/>
              </w:rPr>
            </w:pP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50215FC">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宋体" w:hAnsi="宋体" w:eastAsia="宋体" w:cs="宋体"/>
                <w:color w:val="auto"/>
                <w:sz w:val="20"/>
                <w:szCs w:val="20"/>
              </w:rPr>
              <w:t>商业</w:t>
            </w:r>
          </w:p>
          <w:p w14:paraId="2EBC286F">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宋体" w:hAnsi="宋体" w:eastAsia="宋体" w:cs="宋体"/>
                <w:color w:val="auto"/>
                <w:sz w:val="20"/>
                <w:szCs w:val="20"/>
              </w:rPr>
              <w:t>企业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F93EF38">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宋体" w:hAnsi="宋体" w:eastAsia="宋体" w:cs="宋体"/>
                <w:color w:val="auto"/>
                <w:sz w:val="20"/>
                <w:szCs w:val="20"/>
              </w:rPr>
              <w:t>科研</w:t>
            </w:r>
          </w:p>
          <w:p w14:paraId="11ABF55A">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宋体" w:hAnsi="宋体" w:eastAsia="宋体" w:cs="宋体"/>
                <w:color w:val="auto"/>
                <w:sz w:val="20"/>
                <w:szCs w:val="20"/>
              </w:rPr>
              <w:t>机构</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C9D4EBB">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宋体" w:hAnsi="宋体" w:eastAsia="宋体" w:cs="宋体"/>
                <w:color w:val="auto"/>
                <w:sz w:val="20"/>
                <w:szCs w:val="20"/>
              </w:rPr>
              <w:t>社会公益组织</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0F261FB">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宋体" w:hAnsi="宋体" w:eastAsia="宋体" w:cs="宋体"/>
                <w:color w:val="auto"/>
                <w:sz w:val="20"/>
                <w:szCs w:val="20"/>
              </w:rPr>
              <w:t>法律服务机构</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2BEBFE1">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宋体" w:hAnsi="宋体" w:eastAsia="宋体" w:cs="宋体"/>
                <w:color w:val="auto"/>
                <w:sz w:val="20"/>
                <w:szCs w:val="20"/>
              </w:rPr>
              <w:t>其他</w:t>
            </w:r>
          </w:p>
        </w:tc>
        <w:tc>
          <w:tcPr>
            <w:tcW w:w="692"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14:paraId="2B2A6820">
            <w:pPr>
              <w:rPr>
                <w:rFonts w:hint="eastAsia" w:ascii="宋体"/>
                <w:color w:val="auto"/>
                <w:sz w:val="24"/>
                <w:szCs w:val="24"/>
              </w:rPr>
            </w:pPr>
          </w:p>
        </w:tc>
      </w:tr>
      <w:tr w14:paraId="018541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9E1BC59">
            <w:pPr>
              <w:pStyle w:val="4"/>
              <w:keepNext w:val="0"/>
              <w:keepLines w:val="0"/>
              <w:widowControl/>
              <w:suppressLineNumbers w:val="0"/>
              <w:spacing w:before="0" w:beforeAutospacing="0" w:after="0" w:afterAutospacing="0"/>
              <w:ind w:left="0" w:right="0"/>
              <w:jc w:val="left"/>
              <w:rPr>
                <w:rFonts w:hint="eastAsia" w:ascii="等线" w:hAnsi="等线" w:eastAsia="等线" w:cs="等线"/>
                <w:color w:val="auto"/>
                <w:sz w:val="21"/>
                <w:szCs w:val="21"/>
              </w:rPr>
            </w:pPr>
            <w:r>
              <w:rPr>
                <w:rFonts w:hint="eastAsia" w:ascii="宋体" w:hAnsi="宋体" w:eastAsia="宋体" w:cs="宋体"/>
                <w:color w:val="auto"/>
                <w:sz w:val="20"/>
                <w:szCs w:val="20"/>
              </w:rPr>
              <w:t>一、本年新收政府信息公开申请数量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E6C77FF">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2</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4CA0B70">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5A454D7">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10D65F9">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65F6AE6">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8AB722D">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top"/>
          </w:tcPr>
          <w:p w14:paraId="589E071C">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2</w:t>
            </w:r>
          </w:p>
        </w:tc>
      </w:tr>
      <w:tr w14:paraId="4A5028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9937954">
            <w:pPr>
              <w:pStyle w:val="4"/>
              <w:keepNext w:val="0"/>
              <w:keepLines w:val="0"/>
              <w:widowControl/>
              <w:suppressLineNumbers w:val="0"/>
              <w:spacing w:before="0" w:beforeAutospacing="0" w:after="0" w:afterAutospacing="0"/>
              <w:ind w:left="0" w:right="0"/>
              <w:jc w:val="left"/>
              <w:rPr>
                <w:rFonts w:hint="eastAsia" w:ascii="等线" w:hAnsi="等线" w:eastAsia="等线" w:cs="等线"/>
                <w:color w:val="auto"/>
                <w:sz w:val="21"/>
                <w:szCs w:val="21"/>
              </w:rPr>
            </w:pPr>
            <w:r>
              <w:rPr>
                <w:rFonts w:hint="eastAsia" w:ascii="宋体" w:hAnsi="宋体" w:eastAsia="宋体" w:cs="宋体"/>
                <w:color w:val="auto"/>
                <w:sz w:val="20"/>
                <w:szCs w:val="20"/>
              </w:rPr>
              <w:t>二、上年结转政府信息公开申请数量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6F5B2E5">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730DC99">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F3FEE27">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0D1A6BF">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D5879D0">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BB97430">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0 </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top"/>
          </w:tcPr>
          <w:p w14:paraId="5EFE6BD7">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r>
      <w:tr w14:paraId="758A9B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14:paraId="2CA29EC0">
            <w:pPr>
              <w:pStyle w:val="4"/>
              <w:keepNext w:val="0"/>
              <w:keepLines w:val="0"/>
              <w:widowControl/>
              <w:suppressLineNumbers w:val="0"/>
              <w:spacing w:before="0" w:beforeAutospacing="0" w:after="0" w:afterAutospacing="0"/>
              <w:ind w:left="0" w:right="0"/>
              <w:jc w:val="left"/>
              <w:rPr>
                <w:rFonts w:hint="eastAsia" w:ascii="等线" w:hAnsi="等线" w:eastAsia="等线" w:cs="等线"/>
                <w:color w:val="auto"/>
                <w:sz w:val="21"/>
                <w:szCs w:val="21"/>
              </w:rPr>
            </w:pPr>
            <w:r>
              <w:rPr>
                <w:rFonts w:hint="eastAsia" w:ascii="宋体" w:hAnsi="宋体" w:eastAsia="宋体" w:cs="宋体"/>
                <w:color w:val="auto"/>
                <w:sz w:val="20"/>
                <w:szCs w:val="20"/>
              </w:rPr>
              <w:t>三、本年度办理结果</w:t>
            </w:r>
          </w:p>
        </w:tc>
        <w:tc>
          <w:tcPr>
            <w:tcW w:w="4161"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07F67479">
            <w:pPr>
              <w:pStyle w:val="4"/>
              <w:keepNext w:val="0"/>
              <w:keepLines w:val="0"/>
              <w:widowControl/>
              <w:suppressLineNumbers w:val="0"/>
              <w:spacing w:before="0" w:beforeAutospacing="0" w:after="0" w:afterAutospacing="0"/>
              <w:ind w:left="0" w:right="0"/>
              <w:jc w:val="left"/>
              <w:rPr>
                <w:rFonts w:hint="eastAsia" w:ascii="等线" w:hAnsi="等线" w:eastAsia="等线" w:cs="等线"/>
                <w:color w:val="auto"/>
                <w:sz w:val="21"/>
                <w:szCs w:val="21"/>
              </w:rPr>
            </w:pPr>
            <w:r>
              <w:rPr>
                <w:rFonts w:hint="eastAsia" w:ascii="宋体" w:hAnsi="宋体" w:eastAsia="宋体" w:cs="宋体"/>
                <w:color w:val="auto"/>
                <w:sz w:val="20"/>
                <w:szCs w:val="20"/>
              </w:rPr>
              <w:t>（一）予以公开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FC08E6B">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D608CC3">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0AC9F66">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89B18BA">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16B9AD9">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FDF77A6">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top"/>
          </w:tcPr>
          <w:p w14:paraId="06C96534">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r>
      <w:tr w14:paraId="0FCEB9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14:paraId="52988336">
            <w:pPr>
              <w:rPr>
                <w:rFonts w:hint="eastAsia" w:ascii="宋体"/>
                <w:color w:val="auto"/>
                <w:sz w:val="24"/>
                <w:szCs w:val="24"/>
              </w:rPr>
            </w:pPr>
          </w:p>
        </w:tc>
        <w:tc>
          <w:tcPr>
            <w:tcW w:w="4161"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01E2F3E1">
            <w:pPr>
              <w:pStyle w:val="4"/>
              <w:keepNext w:val="0"/>
              <w:keepLines w:val="0"/>
              <w:widowControl/>
              <w:suppressLineNumbers w:val="0"/>
              <w:spacing w:before="0" w:beforeAutospacing="0" w:after="0" w:afterAutospacing="0"/>
              <w:ind w:left="0" w:right="0"/>
              <w:jc w:val="left"/>
              <w:rPr>
                <w:rFonts w:hint="eastAsia" w:ascii="等线" w:hAnsi="等线" w:eastAsia="等线" w:cs="等线"/>
                <w:color w:val="auto"/>
                <w:sz w:val="21"/>
                <w:szCs w:val="21"/>
              </w:rPr>
            </w:pPr>
            <w:r>
              <w:rPr>
                <w:rFonts w:hint="eastAsia" w:ascii="宋体" w:hAnsi="宋体" w:eastAsia="宋体" w:cs="宋体"/>
                <w:color w:val="auto"/>
                <w:sz w:val="20"/>
                <w:szCs w:val="20"/>
              </w:rPr>
              <w:t>（二）部分公开</w:t>
            </w:r>
            <w:r>
              <w:rPr>
                <w:rFonts w:hint="eastAsia" w:ascii="楷体" w:hAnsi="楷体" w:eastAsia="楷体" w:cs="楷体"/>
                <w:color w:val="auto"/>
                <w:sz w:val="20"/>
                <w:szCs w:val="20"/>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BA359AE">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D4D1BEF">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6CE91C7">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7039EE9">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FE94B1F">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6DD8C9A">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top"/>
          </w:tcPr>
          <w:p w14:paraId="419E2454">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r>
      <w:tr w14:paraId="31FD96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14:paraId="767619E1">
            <w:pPr>
              <w:rPr>
                <w:rFonts w:hint="eastAsia" w:ascii="宋体"/>
                <w:color w:val="auto"/>
                <w:sz w:val="24"/>
                <w:szCs w:val="24"/>
              </w:rPr>
            </w:pPr>
          </w:p>
        </w:tc>
        <w:tc>
          <w:tcPr>
            <w:tcW w:w="943" w:type="dxa"/>
            <w:vMerge w:val="restart"/>
            <w:tcBorders>
              <w:top w:val="nil"/>
              <w:left w:val="nil"/>
              <w:bottom w:val="inset" w:color="auto" w:sz="8" w:space="0"/>
              <w:right w:val="single" w:color="auto" w:sz="8" w:space="0"/>
            </w:tcBorders>
            <w:shd w:val="clear" w:color="auto" w:fill="auto"/>
            <w:tcMar>
              <w:left w:w="57" w:type="dxa"/>
              <w:right w:w="57" w:type="dxa"/>
            </w:tcMar>
            <w:vAlign w:val="center"/>
          </w:tcPr>
          <w:p w14:paraId="331C162A">
            <w:pPr>
              <w:pStyle w:val="4"/>
              <w:keepNext w:val="0"/>
              <w:keepLines w:val="0"/>
              <w:widowControl/>
              <w:suppressLineNumbers w:val="0"/>
              <w:spacing w:before="0" w:beforeAutospacing="0" w:after="0" w:afterAutospacing="0"/>
              <w:ind w:left="0" w:right="0"/>
              <w:jc w:val="left"/>
              <w:rPr>
                <w:rFonts w:hint="eastAsia" w:ascii="等线" w:hAnsi="等线" w:eastAsia="等线" w:cs="等线"/>
                <w:color w:val="auto"/>
                <w:sz w:val="21"/>
                <w:szCs w:val="21"/>
              </w:rPr>
            </w:pPr>
            <w:r>
              <w:rPr>
                <w:rFonts w:hint="eastAsia" w:ascii="宋体" w:hAnsi="宋体" w:eastAsia="宋体" w:cs="宋体"/>
                <w:color w:val="auto"/>
                <w:sz w:val="20"/>
                <w:szCs w:val="20"/>
              </w:rPr>
              <w:t>（三）不予公开</w:t>
            </w:r>
          </w:p>
        </w:tc>
        <w:tc>
          <w:tcPr>
            <w:tcW w:w="3218" w:type="dxa"/>
            <w:tcBorders>
              <w:top w:val="nil"/>
              <w:left w:val="nil"/>
              <w:bottom w:val="single" w:color="auto" w:sz="8" w:space="0"/>
              <w:right w:val="single" w:color="auto" w:sz="8" w:space="0"/>
            </w:tcBorders>
            <w:shd w:val="clear" w:color="auto" w:fill="auto"/>
            <w:tcMar>
              <w:left w:w="57" w:type="dxa"/>
              <w:right w:w="57" w:type="dxa"/>
            </w:tcMar>
            <w:vAlign w:val="top"/>
          </w:tcPr>
          <w:p w14:paraId="0A0E658B">
            <w:pPr>
              <w:pStyle w:val="4"/>
              <w:keepNext w:val="0"/>
              <w:keepLines w:val="0"/>
              <w:widowControl/>
              <w:suppressLineNumbers w:val="0"/>
              <w:spacing w:before="0" w:beforeAutospacing="0" w:after="0" w:afterAutospacing="0"/>
              <w:ind w:left="0" w:right="0"/>
              <w:jc w:val="left"/>
              <w:rPr>
                <w:rFonts w:hint="eastAsia" w:ascii="等线" w:hAnsi="等线" w:eastAsia="等线" w:cs="等线"/>
                <w:color w:val="auto"/>
                <w:sz w:val="21"/>
                <w:szCs w:val="21"/>
              </w:rPr>
            </w:pPr>
            <w:r>
              <w:rPr>
                <w:rFonts w:hint="eastAsia" w:ascii="宋体" w:hAnsi="宋体" w:eastAsia="宋体" w:cs="宋体"/>
                <w:color w:val="auto"/>
                <w:sz w:val="20"/>
                <w:szCs w:val="20"/>
              </w:rPr>
              <w:t>1.属于国家秘密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1FF26C0">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415C833">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D06254F">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5115BB8">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E2E2063">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E96AC1F">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top"/>
          </w:tcPr>
          <w:p w14:paraId="71CC02B1">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r>
      <w:tr w14:paraId="7F976A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14:paraId="5D6C2EED">
            <w:pPr>
              <w:rPr>
                <w:rFonts w:hint="eastAsia" w:ascii="宋体"/>
                <w:color w:val="auto"/>
                <w:sz w:val="24"/>
                <w:szCs w:val="24"/>
              </w:rPr>
            </w:pPr>
          </w:p>
        </w:tc>
        <w:tc>
          <w:tcPr>
            <w:tcW w:w="943"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14:paraId="296D5FAA">
            <w:pPr>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left w:w="57" w:type="dxa"/>
              <w:right w:w="57" w:type="dxa"/>
            </w:tcMar>
            <w:vAlign w:val="top"/>
          </w:tcPr>
          <w:p w14:paraId="114AB8D7">
            <w:pPr>
              <w:pStyle w:val="4"/>
              <w:keepNext w:val="0"/>
              <w:keepLines w:val="0"/>
              <w:widowControl/>
              <w:suppressLineNumbers w:val="0"/>
              <w:spacing w:before="0" w:beforeAutospacing="0" w:after="0" w:afterAutospacing="0"/>
              <w:ind w:left="0" w:right="0"/>
              <w:jc w:val="left"/>
              <w:rPr>
                <w:rFonts w:hint="eastAsia" w:ascii="等线" w:hAnsi="等线" w:eastAsia="等线" w:cs="等线"/>
                <w:color w:val="auto"/>
                <w:sz w:val="21"/>
                <w:szCs w:val="21"/>
              </w:rPr>
            </w:pPr>
            <w:r>
              <w:rPr>
                <w:rFonts w:hint="eastAsia" w:ascii="宋体" w:hAnsi="宋体" w:eastAsia="宋体" w:cs="宋体"/>
                <w:color w:val="auto"/>
                <w:sz w:val="20"/>
                <w:szCs w:val="20"/>
              </w:rPr>
              <w:t>2.其他法律行政法规禁止公开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78CB21C">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9E08DF7">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DA6273D">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DCE2875">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829AE8B">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6D34EF5">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top"/>
          </w:tcPr>
          <w:p w14:paraId="00EEB6A6">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r>
      <w:tr w14:paraId="480493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14:paraId="3DACC704">
            <w:pPr>
              <w:rPr>
                <w:rFonts w:hint="eastAsia" w:ascii="宋体"/>
                <w:color w:val="auto"/>
                <w:sz w:val="24"/>
                <w:szCs w:val="24"/>
              </w:rPr>
            </w:pPr>
          </w:p>
        </w:tc>
        <w:tc>
          <w:tcPr>
            <w:tcW w:w="943"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14:paraId="1EBA1111">
            <w:pPr>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left w:w="57" w:type="dxa"/>
              <w:right w:w="57" w:type="dxa"/>
            </w:tcMar>
            <w:vAlign w:val="top"/>
          </w:tcPr>
          <w:p w14:paraId="7AA58A0D">
            <w:pPr>
              <w:pStyle w:val="4"/>
              <w:keepNext w:val="0"/>
              <w:keepLines w:val="0"/>
              <w:widowControl/>
              <w:suppressLineNumbers w:val="0"/>
              <w:spacing w:before="0" w:beforeAutospacing="0" w:after="0" w:afterAutospacing="0"/>
              <w:ind w:left="0" w:right="0"/>
              <w:jc w:val="left"/>
              <w:rPr>
                <w:rFonts w:hint="eastAsia" w:ascii="等线" w:hAnsi="等线" w:eastAsia="等线" w:cs="等线"/>
                <w:color w:val="auto"/>
                <w:sz w:val="21"/>
                <w:szCs w:val="21"/>
              </w:rPr>
            </w:pPr>
            <w:r>
              <w:rPr>
                <w:rFonts w:hint="eastAsia" w:ascii="宋体" w:hAnsi="宋体" w:eastAsia="宋体" w:cs="宋体"/>
                <w:color w:val="auto"/>
                <w:sz w:val="20"/>
                <w:szCs w:val="20"/>
              </w:rPr>
              <w:t>3.危及“三安全一稳定”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FE8CBF7">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0EFE5A9">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A74FB31">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702EA4F">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4433758">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5F03CAD">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top"/>
          </w:tcPr>
          <w:p w14:paraId="515F0D10">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0 </w:t>
            </w:r>
          </w:p>
        </w:tc>
      </w:tr>
      <w:tr w14:paraId="3D2BBD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14:paraId="2A44EB70">
            <w:pPr>
              <w:rPr>
                <w:rFonts w:hint="eastAsia" w:ascii="宋体"/>
                <w:color w:val="auto"/>
                <w:sz w:val="24"/>
                <w:szCs w:val="24"/>
              </w:rPr>
            </w:pPr>
          </w:p>
        </w:tc>
        <w:tc>
          <w:tcPr>
            <w:tcW w:w="943"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14:paraId="6BF2D07F">
            <w:pPr>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left w:w="57" w:type="dxa"/>
              <w:right w:w="57" w:type="dxa"/>
            </w:tcMar>
            <w:vAlign w:val="top"/>
          </w:tcPr>
          <w:p w14:paraId="0228E88C">
            <w:pPr>
              <w:pStyle w:val="4"/>
              <w:keepNext w:val="0"/>
              <w:keepLines w:val="0"/>
              <w:widowControl/>
              <w:suppressLineNumbers w:val="0"/>
              <w:spacing w:before="0" w:beforeAutospacing="0" w:after="0" w:afterAutospacing="0"/>
              <w:ind w:left="0" w:right="0"/>
              <w:jc w:val="left"/>
              <w:rPr>
                <w:rFonts w:hint="eastAsia" w:ascii="等线" w:hAnsi="等线" w:eastAsia="等线" w:cs="等线"/>
                <w:color w:val="auto"/>
                <w:sz w:val="21"/>
                <w:szCs w:val="21"/>
              </w:rPr>
            </w:pPr>
            <w:r>
              <w:rPr>
                <w:rFonts w:hint="eastAsia" w:ascii="宋体" w:hAnsi="宋体" w:eastAsia="宋体" w:cs="宋体"/>
                <w:color w:val="auto"/>
                <w:sz w:val="20"/>
                <w:szCs w:val="20"/>
              </w:rPr>
              <w:t>4.保护第三方合法权益</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F415F93">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BA7B34D">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AA8B06F">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82A6030">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537F459">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1119889">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top"/>
          </w:tcPr>
          <w:p w14:paraId="1EE3B866">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r>
      <w:tr w14:paraId="2101DB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14:paraId="48E79E5F">
            <w:pPr>
              <w:rPr>
                <w:rFonts w:hint="eastAsia" w:ascii="宋体"/>
                <w:color w:val="auto"/>
                <w:sz w:val="24"/>
                <w:szCs w:val="24"/>
              </w:rPr>
            </w:pPr>
          </w:p>
        </w:tc>
        <w:tc>
          <w:tcPr>
            <w:tcW w:w="943"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14:paraId="1C11B151">
            <w:pPr>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left w:w="57" w:type="dxa"/>
              <w:right w:w="57" w:type="dxa"/>
            </w:tcMar>
            <w:vAlign w:val="top"/>
          </w:tcPr>
          <w:p w14:paraId="740ED3E4">
            <w:pPr>
              <w:pStyle w:val="4"/>
              <w:keepNext w:val="0"/>
              <w:keepLines w:val="0"/>
              <w:widowControl/>
              <w:suppressLineNumbers w:val="0"/>
              <w:spacing w:before="0" w:beforeAutospacing="0" w:after="0" w:afterAutospacing="0"/>
              <w:ind w:left="0" w:right="0"/>
              <w:jc w:val="left"/>
              <w:rPr>
                <w:rFonts w:hint="eastAsia" w:ascii="等线" w:hAnsi="等线" w:eastAsia="等线" w:cs="等线"/>
                <w:color w:val="auto"/>
                <w:sz w:val="21"/>
                <w:szCs w:val="21"/>
              </w:rPr>
            </w:pPr>
            <w:r>
              <w:rPr>
                <w:rFonts w:hint="eastAsia" w:ascii="宋体" w:hAnsi="宋体" w:eastAsia="宋体" w:cs="宋体"/>
                <w:color w:val="auto"/>
                <w:sz w:val="20"/>
                <w:szCs w:val="20"/>
              </w:rPr>
              <w:t>5.属于三类内部事务信息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40DA249">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B37D80D">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60D4B6F">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EE9FA83">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F1E4EEF">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AA14964">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top"/>
          </w:tcPr>
          <w:p w14:paraId="120991C9">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r>
      <w:tr w14:paraId="7CB042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14:paraId="7B3ABFA2">
            <w:pPr>
              <w:rPr>
                <w:rFonts w:hint="eastAsia" w:ascii="宋体"/>
                <w:color w:val="auto"/>
                <w:sz w:val="24"/>
                <w:szCs w:val="24"/>
              </w:rPr>
            </w:pPr>
          </w:p>
        </w:tc>
        <w:tc>
          <w:tcPr>
            <w:tcW w:w="943"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14:paraId="2B4C3D03">
            <w:pPr>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left w:w="57" w:type="dxa"/>
              <w:right w:w="57" w:type="dxa"/>
            </w:tcMar>
            <w:vAlign w:val="top"/>
          </w:tcPr>
          <w:p w14:paraId="492F6A56">
            <w:pPr>
              <w:pStyle w:val="4"/>
              <w:keepNext w:val="0"/>
              <w:keepLines w:val="0"/>
              <w:widowControl/>
              <w:suppressLineNumbers w:val="0"/>
              <w:spacing w:before="0" w:beforeAutospacing="0" w:after="0" w:afterAutospacing="0"/>
              <w:ind w:left="0" w:right="0"/>
              <w:jc w:val="left"/>
              <w:rPr>
                <w:rFonts w:hint="eastAsia" w:ascii="等线" w:hAnsi="等线" w:eastAsia="等线" w:cs="等线"/>
                <w:color w:val="auto"/>
                <w:sz w:val="21"/>
                <w:szCs w:val="21"/>
              </w:rPr>
            </w:pPr>
            <w:r>
              <w:rPr>
                <w:rFonts w:hint="eastAsia" w:ascii="宋体" w:hAnsi="宋体" w:eastAsia="宋体" w:cs="宋体"/>
                <w:color w:val="auto"/>
                <w:sz w:val="20"/>
                <w:szCs w:val="20"/>
              </w:rPr>
              <w:t>6.属于四类过程性信息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EA840A8">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6FC60ED">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480AC8F">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D2A7D93">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0FF5923">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F729CB4">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top"/>
          </w:tcPr>
          <w:p w14:paraId="3217AEAD">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r>
      <w:tr w14:paraId="251DCB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14:paraId="6C7D8E32">
            <w:pPr>
              <w:rPr>
                <w:rFonts w:hint="eastAsia" w:ascii="宋体"/>
                <w:color w:val="auto"/>
                <w:sz w:val="24"/>
                <w:szCs w:val="24"/>
              </w:rPr>
            </w:pPr>
          </w:p>
        </w:tc>
        <w:tc>
          <w:tcPr>
            <w:tcW w:w="943"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14:paraId="7CF819B8">
            <w:pPr>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left w:w="57" w:type="dxa"/>
              <w:right w:w="57" w:type="dxa"/>
            </w:tcMar>
            <w:vAlign w:val="top"/>
          </w:tcPr>
          <w:p w14:paraId="36A02D74">
            <w:pPr>
              <w:pStyle w:val="4"/>
              <w:keepNext w:val="0"/>
              <w:keepLines w:val="0"/>
              <w:widowControl/>
              <w:suppressLineNumbers w:val="0"/>
              <w:spacing w:before="0" w:beforeAutospacing="0" w:after="0" w:afterAutospacing="0"/>
              <w:ind w:left="0" w:right="0"/>
              <w:jc w:val="left"/>
              <w:rPr>
                <w:rFonts w:hint="eastAsia" w:ascii="等线" w:hAnsi="等线" w:eastAsia="等线" w:cs="等线"/>
                <w:color w:val="auto"/>
                <w:sz w:val="21"/>
                <w:szCs w:val="21"/>
              </w:rPr>
            </w:pPr>
            <w:r>
              <w:rPr>
                <w:rFonts w:hint="eastAsia" w:ascii="宋体" w:hAnsi="宋体" w:eastAsia="宋体" w:cs="宋体"/>
                <w:color w:val="auto"/>
                <w:sz w:val="20"/>
                <w:szCs w:val="20"/>
              </w:rPr>
              <w:t>7.属于行政执法案卷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FB352A8">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63E5D5C">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D68B561">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7D5B9FC">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CD9DD2D">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877263A">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top"/>
          </w:tcPr>
          <w:p w14:paraId="48A03141">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r>
      <w:tr w14:paraId="343967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14:paraId="28269299">
            <w:pPr>
              <w:rPr>
                <w:rFonts w:hint="eastAsia" w:ascii="宋体"/>
                <w:color w:val="auto"/>
                <w:sz w:val="24"/>
                <w:szCs w:val="24"/>
              </w:rPr>
            </w:pPr>
          </w:p>
        </w:tc>
        <w:tc>
          <w:tcPr>
            <w:tcW w:w="943"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14:paraId="75062F22">
            <w:pPr>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left w:w="57" w:type="dxa"/>
              <w:right w:w="57" w:type="dxa"/>
            </w:tcMar>
            <w:vAlign w:val="top"/>
          </w:tcPr>
          <w:p w14:paraId="35DDF5EC">
            <w:pPr>
              <w:pStyle w:val="4"/>
              <w:keepNext w:val="0"/>
              <w:keepLines w:val="0"/>
              <w:widowControl/>
              <w:suppressLineNumbers w:val="0"/>
              <w:spacing w:before="0" w:beforeAutospacing="0" w:after="0" w:afterAutospacing="0"/>
              <w:ind w:left="0" w:right="0"/>
              <w:jc w:val="left"/>
              <w:rPr>
                <w:rFonts w:hint="eastAsia" w:ascii="等线" w:hAnsi="等线" w:eastAsia="等线" w:cs="等线"/>
                <w:color w:val="auto"/>
                <w:sz w:val="21"/>
                <w:szCs w:val="21"/>
              </w:rPr>
            </w:pPr>
            <w:r>
              <w:rPr>
                <w:rFonts w:hint="eastAsia" w:ascii="宋体" w:hAnsi="宋体" w:eastAsia="宋体" w:cs="宋体"/>
                <w:color w:val="auto"/>
                <w:sz w:val="20"/>
                <w:szCs w:val="20"/>
              </w:rPr>
              <w:t>8.属于行政查询事项</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15DC6BC">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3EB777C">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0325A08">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2CE1359">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C44B780">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4A85185">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top"/>
          </w:tcPr>
          <w:p w14:paraId="37FECCDD">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r>
      <w:tr w14:paraId="5D20EB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14:paraId="1F49D566">
            <w:pPr>
              <w:rPr>
                <w:rFonts w:hint="eastAsia" w:ascii="宋体"/>
                <w:color w:val="auto"/>
                <w:sz w:val="24"/>
                <w:szCs w:val="24"/>
              </w:rPr>
            </w:pPr>
          </w:p>
        </w:tc>
        <w:tc>
          <w:tcPr>
            <w:tcW w:w="943" w:type="dxa"/>
            <w:vMerge w:val="restart"/>
            <w:tcBorders>
              <w:top w:val="nil"/>
              <w:left w:val="nil"/>
              <w:bottom w:val="inset" w:color="auto" w:sz="8" w:space="0"/>
              <w:right w:val="single" w:color="auto" w:sz="8" w:space="0"/>
            </w:tcBorders>
            <w:shd w:val="clear" w:color="auto" w:fill="auto"/>
            <w:tcMar>
              <w:left w:w="57" w:type="dxa"/>
              <w:right w:w="57" w:type="dxa"/>
            </w:tcMar>
            <w:vAlign w:val="center"/>
          </w:tcPr>
          <w:p w14:paraId="43DDE617">
            <w:pPr>
              <w:pStyle w:val="4"/>
              <w:keepNext w:val="0"/>
              <w:keepLines w:val="0"/>
              <w:widowControl/>
              <w:suppressLineNumbers w:val="0"/>
              <w:spacing w:before="0" w:beforeAutospacing="0" w:after="0" w:afterAutospacing="0"/>
              <w:ind w:left="0" w:right="0"/>
              <w:jc w:val="left"/>
              <w:rPr>
                <w:rFonts w:hint="eastAsia" w:ascii="等线" w:hAnsi="等线" w:eastAsia="等线" w:cs="等线"/>
                <w:color w:val="auto"/>
                <w:sz w:val="21"/>
                <w:szCs w:val="21"/>
              </w:rPr>
            </w:pPr>
            <w:r>
              <w:rPr>
                <w:rFonts w:hint="eastAsia" w:ascii="宋体" w:hAnsi="宋体" w:eastAsia="宋体" w:cs="宋体"/>
                <w:color w:val="auto"/>
                <w:sz w:val="20"/>
                <w:szCs w:val="20"/>
              </w:rPr>
              <w:t>（四）无法提供</w:t>
            </w:r>
          </w:p>
        </w:tc>
        <w:tc>
          <w:tcPr>
            <w:tcW w:w="3218" w:type="dxa"/>
            <w:tcBorders>
              <w:top w:val="nil"/>
              <w:left w:val="nil"/>
              <w:bottom w:val="single" w:color="auto" w:sz="8" w:space="0"/>
              <w:right w:val="single" w:color="auto" w:sz="8" w:space="0"/>
            </w:tcBorders>
            <w:shd w:val="clear" w:color="auto" w:fill="auto"/>
            <w:tcMar>
              <w:left w:w="57" w:type="dxa"/>
              <w:right w:w="57" w:type="dxa"/>
            </w:tcMar>
            <w:vAlign w:val="top"/>
          </w:tcPr>
          <w:p w14:paraId="72A2D111">
            <w:pPr>
              <w:pStyle w:val="4"/>
              <w:keepNext w:val="0"/>
              <w:keepLines w:val="0"/>
              <w:widowControl/>
              <w:suppressLineNumbers w:val="0"/>
              <w:spacing w:before="0" w:beforeAutospacing="0" w:after="0" w:afterAutospacing="0"/>
              <w:ind w:left="0" w:right="0"/>
              <w:jc w:val="left"/>
              <w:rPr>
                <w:rFonts w:hint="eastAsia" w:ascii="等线" w:hAnsi="等线" w:eastAsia="等线" w:cs="等线"/>
                <w:color w:val="auto"/>
                <w:sz w:val="21"/>
                <w:szCs w:val="21"/>
              </w:rPr>
            </w:pPr>
            <w:r>
              <w:rPr>
                <w:rFonts w:hint="eastAsia" w:ascii="宋体" w:hAnsi="宋体" w:eastAsia="宋体" w:cs="宋体"/>
                <w:color w:val="auto"/>
                <w:sz w:val="20"/>
                <w:szCs w:val="20"/>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2837CE7">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4A896B0">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CF3C2FA">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E33D540">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D203D35">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267C7B4">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top"/>
          </w:tcPr>
          <w:p w14:paraId="5A2EC32C">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r>
      <w:tr w14:paraId="44FF9A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14:paraId="5380D429">
            <w:pPr>
              <w:rPr>
                <w:rFonts w:hint="eastAsia" w:ascii="宋体"/>
                <w:color w:val="auto"/>
                <w:sz w:val="24"/>
                <w:szCs w:val="24"/>
              </w:rPr>
            </w:pPr>
          </w:p>
        </w:tc>
        <w:tc>
          <w:tcPr>
            <w:tcW w:w="943"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14:paraId="3C774FF1">
            <w:pPr>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left w:w="57" w:type="dxa"/>
              <w:right w:w="57" w:type="dxa"/>
            </w:tcMar>
            <w:vAlign w:val="top"/>
          </w:tcPr>
          <w:p w14:paraId="44D8FF1D">
            <w:pPr>
              <w:pStyle w:val="4"/>
              <w:keepNext w:val="0"/>
              <w:keepLines w:val="0"/>
              <w:widowControl/>
              <w:suppressLineNumbers w:val="0"/>
              <w:spacing w:before="0" w:beforeAutospacing="0" w:after="0" w:afterAutospacing="0"/>
              <w:ind w:left="0" w:right="0"/>
              <w:jc w:val="left"/>
              <w:rPr>
                <w:rFonts w:hint="eastAsia" w:ascii="等线" w:hAnsi="等线" w:eastAsia="等线" w:cs="等线"/>
                <w:color w:val="auto"/>
                <w:sz w:val="21"/>
                <w:szCs w:val="21"/>
              </w:rPr>
            </w:pPr>
            <w:r>
              <w:rPr>
                <w:rFonts w:hint="eastAsia" w:ascii="宋体" w:hAnsi="宋体" w:eastAsia="宋体" w:cs="宋体"/>
                <w:color w:val="auto"/>
                <w:sz w:val="20"/>
                <w:szCs w:val="20"/>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01A252A">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73455E8">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2FAF4D7">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2B9CDBF">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60B32C5">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2AF57C1">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top"/>
          </w:tcPr>
          <w:p w14:paraId="2D197A53">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r>
      <w:tr w14:paraId="3B0A4D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14:paraId="725BD37F">
            <w:pPr>
              <w:rPr>
                <w:rFonts w:hint="eastAsia" w:ascii="宋体"/>
                <w:color w:val="auto"/>
                <w:sz w:val="24"/>
                <w:szCs w:val="24"/>
              </w:rPr>
            </w:pPr>
          </w:p>
        </w:tc>
        <w:tc>
          <w:tcPr>
            <w:tcW w:w="943"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14:paraId="643488EE">
            <w:pPr>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left w:w="57" w:type="dxa"/>
              <w:right w:w="57" w:type="dxa"/>
            </w:tcMar>
            <w:vAlign w:val="top"/>
          </w:tcPr>
          <w:p w14:paraId="104DD5CD">
            <w:pPr>
              <w:pStyle w:val="4"/>
              <w:keepNext w:val="0"/>
              <w:keepLines w:val="0"/>
              <w:widowControl/>
              <w:suppressLineNumbers w:val="0"/>
              <w:spacing w:before="0" w:beforeAutospacing="0" w:after="0" w:afterAutospacing="0"/>
              <w:ind w:left="0" w:right="0"/>
              <w:jc w:val="left"/>
              <w:rPr>
                <w:rFonts w:hint="eastAsia" w:ascii="等线" w:hAnsi="等线" w:eastAsia="等线" w:cs="等线"/>
                <w:color w:val="auto"/>
                <w:sz w:val="21"/>
                <w:szCs w:val="21"/>
              </w:rPr>
            </w:pPr>
            <w:r>
              <w:rPr>
                <w:rFonts w:hint="eastAsia" w:ascii="宋体" w:hAnsi="宋体" w:eastAsia="宋体" w:cs="宋体"/>
                <w:color w:val="auto"/>
                <w:sz w:val="20"/>
                <w:szCs w:val="20"/>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B00311A">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BD3DF2C">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96132A5">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948BCF4">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7324D53">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6B90FC5">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top"/>
          </w:tcPr>
          <w:p w14:paraId="4EE6F92D">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r>
      <w:tr w14:paraId="47D338D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14:paraId="408F650C">
            <w:pPr>
              <w:rPr>
                <w:rFonts w:hint="eastAsia" w:ascii="宋体"/>
                <w:color w:val="auto"/>
                <w:sz w:val="24"/>
                <w:szCs w:val="24"/>
              </w:rPr>
            </w:pPr>
          </w:p>
        </w:tc>
        <w:tc>
          <w:tcPr>
            <w:tcW w:w="943" w:type="dxa"/>
            <w:vMerge w:val="restart"/>
            <w:tcBorders>
              <w:top w:val="nil"/>
              <w:left w:val="nil"/>
              <w:bottom w:val="inset" w:color="auto" w:sz="8" w:space="0"/>
              <w:right w:val="single" w:color="auto" w:sz="8" w:space="0"/>
            </w:tcBorders>
            <w:shd w:val="clear" w:color="auto" w:fill="auto"/>
            <w:tcMar>
              <w:left w:w="57" w:type="dxa"/>
              <w:right w:w="57" w:type="dxa"/>
            </w:tcMar>
            <w:vAlign w:val="center"/>
          </w:tcPr>
          <w:p w14:paraId="1D429415">
            <w:pPr>
              <w:pStyle w:val="4"/>
              <w:keepNext w:val="0"/>
              <w:keepLines w:val="0"/>
              <w:widowControl/>
              <w:suppressLineNumbers w:val="0"/>
              <w:spacing w:before="0" w:beforeAutospacing="0" w:after="0" w:afterAutospacing="0"/>
              <w:ind w:left="0" w:right="0"/>
              <w:jc w:val="left"/>
              <w:rPr>
                <w:rFonts w:hint="eastAsia" w:ascii="等线" w:hAnsi="等线" w:eastAsia="等线" w:cs="等线"/>
                <w:color w:val="auto"/>
                <w:sz w:val="21"/>
                <w:szCs w:val="21"/>
              </w:rPr>
            </w:pPr>
            <w:r>
              <w:rPr>
                <w:rFonts w:hint="eastAsia" w:ascii="宋体" w:hAnsi="宋体" w:eastAsia="宋体" w:cs="宋体"/>
                <w:color w:val="auto"/>
                <w:sz w:val="20"/>
                <w:szCs w:val="20"/>
              </w:rPr>
              <w:t>（五）不予处理</w:t>
            </w:r>
          </w:p>
        </w:tc>
        <w:tc>
          <w:tcPr>
            <w:tcW w:w="3218" w:type="dxa"/>
            <w:tcBorders>
              <w:top w:val="nil"/>
              <w:left w:val="nil"/>
              <w:bottom w:val="single" w:color="auto" w:sz="8" w:space="0"/>
              <w:right w:val="single" w:color="auto" w:sz="8" w:space="0"/>
            </w:tcBorders>
            <w:shd w:val="clear" w:color="auto" w:fill="auto"/>
            <w:tcMar>
              <w:left w:w="57" w:type="dxa"/>
              <w:right w:w="57" w:type="dxa"/>
            </w:tcMar>
            <w:vAlign w:val="top"/>
          </w:tcPr>
          <w:p w14:paraId="64637B71">
            <w:pPr>
              <w:pStyle w:val="4"/>
              <w:keepNext w:val="0"/>
              <w:keepLines w:val="0"/>
              <w:widowControl/>
              <w:suppressLineNumbers w:val="0"/>
              <w:spacing w:before="0" w:beforeAutospacing="0" w:after="0" w:afterAutospacing="0"/>
              <w:ind w:left="0" w:right="0"/>
              <w:jc w:val="left"/>
              <w:rPr>
                <w:rFonts w:hint="eastAsia" w:ascii="等线" w:hAnsi="等线" w:eastAsia="等线" w:cs="等线"/>
                <w:color w:val="auto"/>
                <w:sz w:val="21"/>
                <w:szCs w:val="21"/>
              </w:rPr>
            </w:pPr>
            <w:r>
              <w:rPr>
                <w:rFonts w:hint="eastAsia" w:ascii="宋体" w:hAnsi="宋体" w:eastAsia="宋体" w:cs="宋体"/>
                <w:color w:val="auto"/>
                <w:sz w:val="20"/>
                <w:szCs w:val="20"/>
              </w:rPr>
              <w:t>1.信访举报投诉类申请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480345F">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2C4F394">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3704536">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1730D2E">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D215216">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84033A5">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top"/>
          </w:tcPr>
          <w:p w14:paraId="289FFAAF">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r>
      <w:tr w14:paraId="66F4F8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14:paraId="3AEE9F78">
            <w:pPr>
              <w:rPr>
                <w:rFonts w:hint="eastAsia" w:ascii="宋体"/>
                <w:color w:val="auto"/>
                <w:sz w:val="24"/>
                <w:szCs w:val="24"/>
              </w:rPr>
            </w:pPr>
          </w:p>
        </w:tc>
        <w:tc>
          <w:tcPr>
            <w:tcW w:w="943"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14:paraId="309D95CA">
            <w:pPr>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left w:w="57" w:type="dxa"/>
              <w:right w:w="57" w:type="dxa"/>
            </w:tcMar>
            <w:vAlign w:val="top"/>
          </w:tcPr>
          <w:p w14:paraId="2E5E55D4">
            <w:pPr>
              <w:pStyle w:val="4"/>
              <w:keepNext w:val="0"/>
              <w:keepLines w:val="0"/>
              <w:widowControl/>
              <w:suppressLineNumbers w:val="0"/>
              <w:spacing w:before="0" w:beforeAutospacing="0" w:after="0" w:afterAutospacing="0"/>
              <w:ind w:left="0" w:right="0"/>
              <w:jc w:val="left"/>
              <w:rPr>
                <w:rFonts w:hint="eastAsia" w:ascii="等线" w:hAnsi="等线" w:eastAsia="等线" w:cs="等线"/>
                <w:color w:val="auto"/>
                <w:sz w:val="21"/>
                <w:szCs w:val="21"/>
              </w:rPr>
            </w:pPr>
            <w:r>
              <w:rPr>
                <w:rFonts w:hint="eastAsia" w:ascii="宋体" w:hAnsi="宋体" w:eastAsia="宋体" w:cs="宋体"/>
                <w:color w:val="auto"/>
                <w:sz w:val="20"/>
                <w:szCs w:val="20"/>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C323E5E">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2 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7662492">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CCF8D12">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164B5BC">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CE3734C">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56F7195C">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top"/>
          </w:tcPr>
          <w:p w14:paraId="1AC6080D">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2</w:t>
            </w:r>
          </w:p>
        </w:tc>
      </w:tr>
      <w:tr w14:paraId="17E776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14:paraId="7662F363">
            <w:pPr>
              <w:rPr>
                <w:rFonts w:hint="eastAsia" w:ascii="宋体"/>
                <w:color w:val="auto"/>
                <w:sz w:val="24"/>
                <w:szCs w:val="24"/>
              </w:rPr>
            </w:pPr>
          </w:p>
        </w:tc>
        <w:tc>
          <w:tcPr>
            <w:tcW w:w="943"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14:paraId="4FBA31AA">
            <w:pPr>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left w:w="57" w:type="dxa"/>
              <w:right w:w="57" w:type="dxa"/>
            </w:tcMar>
            <w:vAlign w:val="top"/>
          </w:tcPr>
          <w:p w14:paraId="26BFED6E">
            <w:pPr>
              <w:pStyle w:val="4"/>
              <w:keepNext w:val="0"/>
              <w:keepLines w:val="0"/>
              <w:widowControl/>
              <w:suppressLineNumbers w:val="0"/>
              <w:spacing w:before="0" w:beforeAutospacing="0" w:after="0" w:afterAutospacing="0"/>
              <w:ind w:left="0" w:right="0"/>
              <w:jc w:val="left"/>
              <w:rPr>
                <w:rFonts w:hint="eastAsia" w:ascii="等线" w:hAnsi="等线" w:eastAsia="等线" w:cs="等线"/>
                <w:color w:val="auto"/>
                <w:sz w:val="21"/>
                <w:szCs w:val="21"/>
              </w:rPr>
            </w:pPr>
            <w:r>
              <w:rPr>
                <w:rFonts w:hint="eastAsia" w:ascii="宋体" w:hAnsi="宋体" w:eastAsia="宋体" w:cs="宋体"/>
                <w:color w:val="auto"/>
                <w:sz w:val="20"/>
                <w:szCs w:val="20"/>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16D15859">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442ED80">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300CB6D">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718F94E">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2A480B7">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22DAD3AC">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top"/>
          </w:tcPr>
          <w:p w14:paraId="58D02E2D">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r>
      <w:tr w14:paraId="16E437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14:paraId="474D3099">
            <w:pPr>
              <w:rPr>
                <w:rFonts w:hint="eastAsia" w:ascii="宋体"/>
                <w:color w:val="auto"/>
                <w:sz w:val="24"/>
                <w:szCs w:val="24"/>
              </w:rPr>
            </w:pPr>
          </w:p>
        </w:tc>
        <w:tc>
          <w:tcPr>
            <w:tcW w:w="943"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14:paraId="2C5FCF7A">
            <w:pPr>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left w:w="57" w:type="dxa"/>
              <w:right w:w="57" w:type="dxa"/>
            </w:tcMar>
            <w:vAlign w:val="top"/>
          </w:tcPr>
          <w:p w14:paraId="24DE27C5">
            <w:pPr>
              <w:pStyle w:val="4"/>
              <w:keepNext w:val="0"/>
              <w:keepLines w:val="0"/>
              <w:widowControl/>
              <w:suppressLineNumbers w:val="0"/>
              <w:spacing w:before="0" w:beforeAutospacing="0" w:after="0" w:afterAutospacing="0"/>
              <w:ind w:left="0" w:right="0"/>
              <w:jc w:val="left"/>
              <w:rPr>
                <w:rFonts w:hint="eastAsia" w:ascii="等线" w:hAnsi="等线" w:eastAsia="等线" w:cs="等线"/>
                <w:color w:val="auto"/>
                <w:sz w:val="21"/>
                <w:szCs w:val="21"/>
              </w:rPr>
            </w:pPr>
            <w:r>
              <w:rPr>
                <w:rFonts w:hint="eastAsia" w:ascii="宋体" w:hAnsi="宋体" w:eastAsia="宋体" w:cs="宋体"/>
                <w:color w:val="auto"/>
                <w:sz w:val="20"/>
                <w:szCs w:val="20"/>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0CFC4740">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6B2DAF8D">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51F5F21">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4A906C6E">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3BB4B1DB">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14:paraId="72930478">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top"/>
          </w:tcPr>
          <w:p w14:paraId="6D250131">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r>
      <w:tr w14:paraId="4B5248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14:paraId="39BE4244">
            <w:pPr>
              <w:rPr>
                <w:rFonts w:hint="eastAsia" w:ascii="宋体"/>
                <w:color w:val="auto"/>
                <w:sz w:val="24"/>
                <w:szCs w:val="24"/>
              </w:rPr>
            </w:pPr>
          </w:p>
        </w:tc>
        <w:tc>
          <w:tcPr>
            <w:tcW w:w="943"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14:paraId="119989DE">
            <w:pPr>
              <w:rPr>
                <w:rFonts w:hint="eastAsia" w:ascii="宋体"/>
                <w:color w:val="auto"/>
                <w:sz w:val="24"/>
                <w:szCs w:val="24"/>
              </w:rPr>
            </w:pPr>
          </w:p>
        </w:tc>
        <w:tc>
          <w:tcPr>
            <w:tcW w:w="3218" w:type="dxa"/>
            <w:tcBorders>
              <w:top w:val="nil"/>
              <w:left w:val="nil"/>
              <w:bottom w:val="inset" w:color="auto" w:sz="8" w:space="0"/>
              <w:right w:val="single" w:color="auto" w:sz="8" w:space="0"/>
            </w:tcBorders>
            <w:shd w:val="clear" w:color="auto" w:fill="auto"/>
            <w:tcMar>
              <w:left w:w="57" w:type="dxa"/>
              <w:right w:w="57" w:type="dxa"/>
            </w:tcMar>
            <w:vAlign w:val="center"/>
          </w:tcPr>
          <w:p w14:paraId="608F1DCA">
            <w:pPr>
              <w:pStyle w:val="4"/>
              <w:keepNext w:val="0"/>
              <w:keepLines w:val="0"/>
              <w:widowControl/>
              <w:suppressLineNumbers w:val="0"/>
              <w:spacing w:before="0" w:beforeAutospacing="0" w:after="0" w:afterAutospacing="0"/>
              <w:ind w:left="0" w:right="0"/>
              <w:jc w:val="both"/>
              <w:rPr>
                <w:rFonts w:hint="eastAsia" w:ascii="等线" w:hAnsi="等线" w:eastAsia="等线" w:cs="等线"/>
                <w:color w:val="auto"/>
                <w:sz w:val="21"/>
                <w:szCs w:val="21"/>
              </w:rPr>
            </w:pPr>
            <w:r>
              <w:rPr>
                <w:rFonts w:hint="eastAsia" w:ascii="宋体" w:hAnsi="宋体" w:eastAsia="宋体" w:cs="宋体"/>
                <w:color w:val="auto"/>
                <w:sz w:val="20"/>
                <w:szCs w:val="20"/>
              </w:rPr>
              <w:t>5.要求行政机关确认或重新出具已获取信息</w:t>
            </w:r>
          </w:p>
        </w:tc>
        <w:tc>
          <w:tcPr>
            <w:tcW w:w="688" w:type="dxa"/>
            <w:tcBorders>
              <w:top w:val="nil"/>
              <w:left w:val="nil"/>
              <w:bottom w:val="inset" w:color="auto" w:sz="8" w:space="0"/>
              <w:right w:val="single" w:color="auto" w:sz="8" w:space="0"/>
            </w:tcBorders>
            <w:shd w:val="clear" w:color="auto" w:fill="auto"/>
            <w:tcMar>
              <w:left w:w="57" w:type="dxa"/>
              <w:right w:w="57" w:type="dxa"/>
            </w:tcMar>
            <w:vAlign w:val="top"/>
          </w:tcPr>
          <w:p w14:paraId="5C6AD8C0">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top"/>
          </w:tcPr>
          <w:p w14:paraId="0D6C7383">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top"/>
          </w:tcPr>
          <w:p w14:paraId="452CFB76">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top"/>
          </w:tcPr>
          <w:p w14:paraId="6C2D3832">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top"/>
          </w:tcPr>
          <w:p w14:paraId="4C42095D">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top"/>
          </w:tcPr>
          <w:p w14:paraId="70ECE475">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92" w:type="dxa"/>
            <w:tcBorders>
              <w:top w:val="nil"/>
              <w:left w:val="nil"/>
              <w:bottom w:val="inset" w:color="auto" w:sz="8" w:space="0"/>
              <w:right w:val="single" w:color="auto" w:sz="8" w:space="0"/>
            </w:tcBorders>
            <w:shd w:val="clear" w:color="auto" w:fill="auto"/>
            <w:tcMar>
              <w:left w:w="57" w:type="dxa"/>
              <w:right w:w="57" w:type="dxa"/>
            </w:tcMar>
            <w:vAlign w:val="top"/>
          </w:tcPr>
          <w:p w14:paraId="7A154F51">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r>
      <w:tr w14:paraId="283101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14:paraId="7C73BEE6">
            <w:pPr>
              <w:rPr>
                <w:rFonts w:hint="eastAsia" w:ascii="宋体"/>
                <w:color w:val="auto"/>
                <w:sz w:val="24"/>
                <w:szCs w:val="24"/>
              </w:rPr>
            </w:pPr>
          </w:p>
        </w:tc>
        <w:tc>
          <w:tcPr>
            <w:tcW w:w="943" w:type="dxa"/>
            <w:vMerge w:val="restart"/>
            <w:tcBorders>
              <w:top w:val="nil"/>
              <w:left w:val="nil"/>
              <w:bottom w:val="inset" w:color="auto" w:sz="8" w:space="0"/>
              <w:right w:val="single" w:color="auto" w:sz="8" w:space="0"/>
            </w:tcBorders>
            <w:shd w:val="clear" w:color="auto" w:fill="auto"/>
            <w:tcMar>
              <w:left w:w="57" w:type="dxa"/>
              <w:right w:w="57" w:type="dxa"/>
            </w:tcMar>
            <w:vAlign w:val="center"/>
          </w:tcPr>
          <w:p w14:paraId="0ED887A0">
            <w:pPr>
              <w:pStyle w:val="4"/>
              <w:keepNext w:val="0"/>
              <w:keepLines w:val="0"/>
              <w:widowControl/>
              <w:suppressLineNumbers w:val="0"/>
              <w:spacing w:before="0" w:beforeAutospacing="0" w:after="0" w:afterAutospacing="0"/>
              <w:ind w:left="0" w:right="0"/>
              <w:jc w:val="left"/>
              <w:rPr>
                <w:rFonts w:hint="eastAsia" w:ascii="等线" w:hAnsi="等线" w:eastAsia="等线" w:cs="等线"/>
                <w:color w:val="auto"/>
                <w:sz w:val="21"/>
                <w:szCs w:val="21"/>
              </w:rPr>
            </w:pPr>
            <w:r>
              <w:rPr>
                <w:rFonts w:hint="eastAsia" w:ascii="宋体" w:hAnsi="宋体" w:eastAsia="宋体" w:cs="宋体"/>
                <w:color w:val="auto"/>
                <w:sz w:val="20"/>
                <w:szCs w:val="20"/>
              </w:rPr>
              <w:t>（六）其他处理</w:t>
            </w:r>
          </w:p>
        </w:tc>
        <w:tc>
          <w:tcPr>
            <w:tcW w:w="3218" w:type="dxa"/>
            <w:tcBorders>
              <w:top w:val="nil"/>
              <w:left w:val="nil"/>
              <w:bottom w:val="single" w:color="auto" w:sz="8" w:space="0"/>
              <w:right w:val="single" w:color="auto" w:sz="8" w:space="0"/>
            </w:tcBorders>
            <w:shd w:val="clear" w:color="auto" w:fill="auto"/>
            <w:tcMar>
              <w:left w:w="57" w:type="dxa"/>
              <w:right w:w="57" w:type="dxa"/>
            </w:tcMar>
            <w:vAlign w:val="center"/>
          </w:tcPr>
          <w:p w14:paraId="4203B1F5">
            <w:pPr>
              <w:pStyle w:val="4"/>
              <w:keepNext w:val="0"/>
              <w:keepLines w:val="0"/>
              <w:widowControl/>
              <w:suppressLineNumbers w:val="0"/>
              <w:spacing w:before="0" w:beforeAutospacing="0" w:after="0" w:afterAutospacing="0"/>
              <w:ind w:left="0" w:right="0"/>
              <w:jc w:val="both"/>
              <w:rPr>
                <w:rFonts w:hint="eastAsia" w:ascii="等线" w:hAnsi="等线" w:eastAsia="等线" w:cs="等线"/>
                <w:color w:val="auto"/>
                <w:sz w:val="21"/>
                <w:szCs w:val="21"/>
              </w:rPr>
            </w:pPr>
            <w:r>
              <w:rPr>
                <w:rFonts w:hint="eastAsia" w:ascii="宋体" w:hAnsi="宋体" w:eastAsia="宋体" w:cs="宋体"/>
                <w:color w:val="auto"/>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AD54131">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4ED691B">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39CB17B">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C66C44C">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7D27348">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0EF3EE9">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top"/>
          </w:tcPr>
          <w:p w14:paraId="63940AEF">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r>
      <w:tr w14:paraId="34B322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14:paraId="14915405">
            <w:pPr>
              <w:rPr>
                <w:rFonts w:hint="eastAsia" w:ascii="宋体"/>
                <w:color w:val="auto"/>
                <w:sz w:val="24"/>
                <w:szCs w:val="24"/>
              </w:rPr>
            </w:pPr>
          </w:p>
        </w:tc>
        <w:tc>
          <w:tcPr>
            <w:tcW w:w="943"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14:paraId="48D92C46">
            <w:pPr>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left w:w="57" w:type="dxa"/>
              <w:right w:w="57" w:type="dxa"/>
            </w:tcMar>
            <w:vAlign w:val="center"/>
          </w:tcPr>
          <w:p w14:paraId="79DFA607">
            <w:pPr>
              <w:pStyle w:val="4"/>
              <w:keepNext w:val="0"/>
              <w:keepLines w:val="0"/>
              <w:widowControl/>
              <w:suppressLineNumbers w:val="0"/>
              <w:spacing w:before="0" w:beforeAutospacing="0" w:after="0" w:afterAutospacing="0"/>
              <w:ind w:left="0" w:right="0"/>
              <w:jc w:val="both"/>
              <w:rPr>
                <w:rFonts w:hint="eastAsia" w:ascii="等线" w:hAnsi="等线" w:eastAsia="等线" w:cs="等线"/>
                <w:color w:val="auto"/>
                <w:sz w:val="21"/>
                <w:szCs w:val="21"/>
              </w:rPr>
            </w:pPr>
            <w:r>
              <w:rPr>
                <w:rFonts w:hint="eastAsia" w:ascii="宋体" w:hAnsi="宋体" w:eastAsia="宋体" w:cs="宋体"/>
                <w:color w:val="auto"/>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3AD974F">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56560F97">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B154E8A">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FE14779">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7D50BA77">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DC2A4EA">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top"/>
          </w:tcPr>
          <w:p w14:paraId="76D54BD3">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r>
      <w:tr w14:paraId="3CAECE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14:paraId="1F3D61F3">
            <w:pPr>
              <w:rPr>
                <w:rFonts w:hint="eastAsia" w:ascii="宋体"/>
                <w:color w:val="auto"/>
                <w:sz w:val="24"/>
                <w:szCs w:val="24"/>
              </w:rPr>
            </w:pPr>
          </w:p>
        </w:tc>
        <w:tc>
          <w:tcPr>
            <w:tcW w:w="943"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14:paraId="605CE3F9">
            <w:pPr>
              <w:rPr>
                <w:rFonts w:hint="eastAsia" w:ascii="宋体"/>
                <w:color w:val="auto"/>
                <w:sz w:val="24"/>
                <w:szCs w:val="24"/>
              </w:rPr>
            </w:pPr>
          </w:p>
        </w:tc>
        <w:tc>
          <w:tcPr>
            <w:tcW w:w="3218" w:type="dxa"/>
            <w:tcBorders>
              <w:top w:val="nil"/>
              <w:left w:val="nil"/>
              <w:bottom w:val="single" w:color="auto" w:sz="8" w:space="0"/>
              <w:right w:val="single" w:color="auto" w:sz="8" w:space="0"/>
            </w:tcBorders>
            <w:shd w:val="clear" w:color="auto" w:fill="auto"/>
            <w:tcMar>
              <w:left w:w="57" w:type="dxa"/>
              <w:right w:w="57" w:type="dxa"/>
            </w:tcMar>
            <w:vAlign w:val="center"/>
          </w:tcPr>
          <w:p w14:paraId="0CC47326">
            <w:pPr>
              <w:pStyle w:val="4"/>
              <w:keepNext w:val="0"/>
              <w:keepLines w:val="0"/>
              <w:widowControl/>
              <w:suppressLineNumbers w:val="0"/>
              <w:spacing w:before="0" w:beforeAutospacing="0" w:after="0" w:afterAutospacing="0"/>
              <w:ind w:left="0" w:right="0"/>
              <w:jc w:val="left"/>
              <w:rPr>
                <w:rFonts w:hint="eastAsia" w:ascii="等线" w:hAnsi="等线" w:eastAsia="等线" w:cs="等线"/>
                <w:color w:val="auto"/>
                <w:sz w:val="21"/>
                <w:szCs w:val="21"/>
              </w:rPr>
            </w:pPr>
            <w:r>
              <w:rPr>
                <w:rFonts w:hint="eastAsia" w:ascii="宋体" w:hAnsi="宋体" w:eastAsia="宋体" w:cs="宋体"/>
                <w:color w:val="auto"/>
                <w:sz w:val="20"/>
                <w:szCs w:val="20"/>
              </w:rPr>
              <w:t>3.其他</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0B08DC1">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3629ECE">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3B3A69E">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CD2335B">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F5CC096">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9E490BA">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top"/>
          </w:tcPr>
          <w:p w14:paraId="314417D3">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r>
      <w:tr w14:paraId="06571E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14:paraId="526934DA">
            <w:pPr>
              <w:rPr>
                <w:rFonts w:hint="eastAsia" w:ascii="宋体"/>
                <w:color w:val="auto"/>
                <w:sz w:val="24"/>
                <w:szCs w:val="24"/>
              </w:rPr>
            </w:pPr>
          </w:p>
        </w:tc>
        <w:tc>
          <w:tcPr>
            <w:tcW w:w="4161"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14A1D00D">
            <w:pPr>
              <w:pStyle w:val="4"/>
              <w:keepNext w:val="0"/>
              <w:keepLines w:val="0"/>
              <w:widowControl/>
              <w:suppressLineNumbers w:val="0"/>
              <w:spacing w:before="0" w:beforeAutospacing="0" w:after="0" w:afterAutospacing="0"/>
              <w:ind w:left="0" w:right="0"/>
              <w:jc w:val="left"/>
              <w:rPr>
                <w:rFonts w:hint="eastAsia" w:ascii="等线" w:hAnsi="等线" w:eastAsia="等线" w:cs="等线"/>
                <w:color w:val="auto"/>
                <w:sz w:val="21"/>
                <w:szCs w:val="21"/>
              </w:rPr>
            </w:pPr>
            <w:r>
              <w:rPr>
                <w:rFonts w:hint="eastAsia" w:ascii="宋体" w:hAnsi="宋体" w:eastAsia="宋体" w:cs="宋体"/>
                <w:color w:val="auto"/>
                <w:sz w:val="20"/>
                <w:szCs w:val="20"/>
              </w:rPr>
              <w:t>（七）总计</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7366589">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2</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8AE1A57">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22F1CA3">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3A1B6FA">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116A752C">
            <w:pPr>
              <w:pStyle w:val="4"/>
              <w:keepNext w:val="0"/>
              <w:keepLines w:val="0"/>
              <w:widowControl/>
              <w:suppressLineNumbers w:val="0"/>
              <w:spacing w:before="0" w:beforeAutospacing="0" w:after="0" w:afterAutospacing="0"/>
              <w:ind w:left="0" w:right="0"/>
              <w:jc w:val="left"/>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E1E292E">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0 </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top"/>
          </w:tcPr>
          <w:p w14:paraId="42980EDF">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2</w:t>
            </w:r>
          </w:p>
        </w:tc>
      </w:tr>
      <w:tr w14:paraId="735ACB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1FA72E8">
            <w:pPr>
              <w:pStyle w:val="4"/>
              <w:keepNext w:val="0"/>
              <w:keepLines w:val="0"/>
              <w:widowControl/>
              <w:suppressLineNumbers w:val="0"/>
              <w:spacing w:before="0" w:beforeAutospacing="0" w:after="0" w:afterAutospacing="0"/>
              <w:ind w:left="0" w:right="0"/>
              <w:jc w:val="left"/>
              <w:rPr>
                <w:rFonts w:hint="eastAsia" w:ascii="等线" w:hAnsi="等线" w:eastAsia="等线" w:cs="等线"/>
                <w:color w:val="auto"/>
                <w:sz w:val="21"/>
                <w:szCs w:val="21"/>
              </w:rPr>
            </w:pPr>
            <w:r>
              <w:rPr>
                <w:rFonts w:hint="eastAsia" w:ascii="宋体" w:hAnsi="宋体" w:eastAsia="宋体" w:cs="宋体"/>
                <w:color w:val="auto"/>
                <w:sz w:val="20"/>
                <w:szCs w:val="20"/>
              </w:rPr>
              <w:t>四、结转下年度继续办理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3496AF2B">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039B60B8">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48F6BA2">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4416EFF6">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63118CDD">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14:paraId="296E6513">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default" w:ascii="Calibri" w:hAnsi="Calibri" w:eastAsia="等线" w:cs="Calibri"/>
                <w:color w:val="auto"/>
                <w:sz w:val="20"/>
                <w:szCs w:val="20"/>
              </w:rPr>
              <w:t> 0</w:t>
            </w:r>
          </w:p>
        </w:tc>
        <w:tc>
          <w:tcPr>
            <w:tcW w:w="692" w:type="dxa"/>
            <w:tcBorders>
              <w:top w:val="nil"/>
              <w:left w:val="nil"/>
              <w:bottom w:val="single" w:color="auto" w:sz="8" w:space="0"/>
              <w:right w:val="single" w:color="auto" w:sz="8" w:space="0"/>
            </w:tcBorders>
            <w:shd w:val="clear" w:color="auto" w:fill="auto"/>
            <w:tcMar>
              <w:left w:w="57" w:type="dxa"/>
              <w:right w:w="57" w:type="dxa"/>
            </w:tcMar>
            <w:vAlign w:val="top"/>
          </w:tcPr>
          <w:p w14:paraId="25F11418">
            <w:pPr>
              <w:pStyle w:val="4"/>
              <w:keepNext w:val="0"/>
              <w:keepLines w:val="0"/>
              <w:widowControl/>
              <w:suppressLineNumbers w:val="0"/>
              <w:spacing w:before="75" w:beforeAutospacing="0" w:after="75" w:afterAutospacing="0"/>
              <w:ind w:left="0" w:right="0"/>
              <w:jc w:val="left"/>
              <w:rPr>
                <w:rFonts w:hint="eastAsia" w:ascii="等线" w:hAnsi="等线" w:eastAsia="等线" w:cs="等线"/>
                <w:color w:val="auto"/>
                <w:sz w:val="21"/>
                <w:szCs w:val="21"/>
              </w:rPr>
            </w:pPr>
            <w:r>
              <w:rPr>
                <w:rFonts w:hint="eastAsia" w:ascii="宋体" w:hAnsi="宋体" w:eastAsia="宋体" w:cs="宋体"/>
                <w:color w:val="auto"/>
                <w:sz w:val="24"/>
                <w:szCs w:val="24"/>
              </w:rPr>
              <w:t> </w:t>
            </w:r>
            <w:r>
              <w:rPr>
                <w:rFonts w:hint="default" w:ascii="Calibri" w:hAnsi="Calibri" w:eastAsia="等线" w:cs="Calibri"/>
                <w:color w:val="auto"/>
                <w:sz w:val="20"/>
                <w:szCs w:val="20"/>
              </w:rPr>
              <w:t> 0</w:t>
            </w:r>
          </w:p>
        </w:tc>
      </w:tr>
    </w:tbl>
    <w:p w14:paraId="466B5AEA">
      <w:pPr>
        <w:pStyle w:val="4"/>
        <w:keepNext w:val="0"/>
        <w:keepLines w:val="0"/>
        <w:widowControl/>
        <w:suppressLineNumbers w:val="0"/>
        <w:shd w:val="clear" w:fill="FFFFFF"/>
        <w:ind w:left="0" w:right="0" w:firstLine="420"/>
        <w:jc w:val="both"/>
        <w:rPr>
          <w:rFonts w:hint="eastAsia" w:ascii="等线" w:hAnsi="等线" w:eastAsia="等线" w:cs="等线"/>
          <w:color w:val="auto"/>
          <w:sz w:val="24"/>
          <w:szCs w:val="24"/>
        </w:rPr>
      </w:pPr>
      <w:r>
        <w:rPr>
          <w:rFonts w:hint="eastAsia" w:ascii="宋体" w:hAnsi="宋体" w:eastAsia="宋体" w:cs="宋体"/>
          <w:b/>
          <w:bCs/>
          <w:color w:val="auto"/>
          <w:sz w:val="24"/>
          <w:szCs w:val="24"/>
          <w:shd w:val="clear" w:fill="FFFFFF"/>
        </w:rPr>
        <w:br w:type="page"/>
      </w:r>
      <w:r>
        <w:rPr>
          <w:rFonts w:hint="eastAsia" w:ascii="宋体" w:hAnsi="宋体" w:eastAsia="宋体" w:cs="宋体"/>
          <w:b/>
          <w:bCs/>
          <w:color w:val="auto"/>
          <w:sz w:val="24"/>
          <w:szCs w:val="24"/>
          <w:shd w:val="clear" w:fill="FFFFFF"/>
        </w:rPr>
        <w:t> </w:t>
      </w:r>
    </w:p>
    <w:p w14:paraId="0F3811D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right="0" w:firstLine="640" w:firstLineChars="200"/>
        <w:jc w:val="both"/>
        <w:textAlignment w:val="auto"/>
        <w:rPr>
          <w:rFonts w:hint="eastAsia" w:ascii="方正黑体_GBK" w:hAnsi="方正黑体_GBK" w:eastAsia="方正黑体_GBK" w:cs="方正黑体_GBK"/>
          <w:i w:val="0"/>
          <w:iCs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i w:val="0"/>
          <w:iCs w:val="0"/>
          <w:caps w:val="0"/>
          <w:color w:val="auto"/>
          <w:spacing w:val="0"/>
          <w:kern w:val="0"/>
          <w:sz w:val="32"/>
          <w:szCs w:val="32"/>
          <w:shd w:val="clear" w:fill="FFFFFF"/>
          <w:lang w:val="en-US" w:eastAsia="zh-CN" w:bidi="ar"/>
        </w:rPr>
        <w:t>四、政府信息公开行政复议、行政诉讼情况</w:t>
      </w:r>
    </w:p>
    <w:tbl>
      <w:tblPr>
        <w:tblStyle w:val="5"/>
        <w:tblW w:w="975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2"/>
        <w:gridCol w:w="652"/>
      </w:tblGrid>
      <w:tr w14:paraId="663D83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56389B4">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宋体" w:hAnsi="宋体" w:eastAsia="宋体" w:cs="宋体"/>
                <w:color w:val="auto"/>
                <w:sz w:val="20"/>
                <w:szCs w:val="20"/>
              </w:rPr>
              <w:t>行政复议</w:t>
            </w:r>
          </w:p>
        </w:tc>
        <w:tc>
          <w:tcPr>
            <w:tcW w:w="650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DCC94B2">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宋体" w:hAnsi="宋体" w:eastAsia="宋体" w:cs="宋体"/>
                <w:color w:val="auto"/>
                <w:sz w:val="20"/>
                <w:szCs w:val="20"/>
              </w:rPr>
              <w:t>行政诉讼</w:t>
            </w:r>
          </w:p>
        </w:tc>
      </w:tr>
      <w:tr w14:paraId="5E3C3A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AEDA6B2">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宋体" w:hAnsi="宋体" w:eastAsia="宋体" w:cs="宋体"/>
                <w:color w:val="auto"/>
                <w:sz w:val="20"/>
                <w:szCs w:val="20"/>
              </w:rPr>
              <w:t>结果维持</w:t>
            </w:r>
          </w:p>
        </w:tc>
        <w:tc>
          <w:tcPr>
            <w:tcW w:w="64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4525A012">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宋体" w:hAnsi="宋体" w:eastAsia="宋体" w:cs="宋体"/>
                <w:color w:val="auto"/>
                <w:sz w:val="20"/>
                <w:szCs w:val="20"/>
              </w:rPr>
              <w:t>结果</w:t>
            </w:r>
            <w:r>
              <w:rPr>
                <w:rFonts w:hint="eastAsia" w:ascii="宋体" w:hAnsi="宋体" w:eastAsia="宋体" w:cs="宋体"/>
                <w:color w:val="auto"/>
                <w:sz w:val="20"/>
                <w:szCs w:val="20"/>
              </w:rPr>
              <w:br w:type="textWrapping"/>
            </w:r>
            <w:r>
              <w:rPr>
                <w:rFonts w:hint="eastAsia" w:ascii="宋体" w:hAnsi="宋体" w:eastAsia="宋体" w:cs="宋体"/>
                <w:color w:val="auto"/>
                <w:sz w:val="20"/>
                <w:szCs w:val="20"/>
              </w:rPr>
              <w:t>纠正</w:t>
            </w:r>
          </w:p>
        </w:tc>
        <w:tc>
          <w:tcPr>
            <w:tcW w:w="64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2AAC8F25">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宋体" w:hAnsi="宋体" w:eastAsia="宋体" w:cs="宋体"/>
                <w:color w:val="auto"/>
                <w:sz w:val="20"/>
                <w:szCs w:val="20"/>
              </w:rPr>
              <w:t>其他</w:t>
            </w:r>
            <w:r>
              <w:rPr>
                <w:rFonts w:hint="eastAsia" w:ascii="宋体" w:hAnsi="宋体" w:eastAsia="宋体" w:cs="宋体"/>
                <w:color w:val="auto"/>
                <w:sz w:val="20"/>
                <w:szCs w:val="20"/>
              </w:rPr>
              <w:br w:type="textWrapping"/>
            </w:r>
            <w:r>
              <w:rPr>
                <w:rFonts w:hint="eastAsia" w:ascii="宋体" w:hAnsi="宋体" w:eastAsia="宋体" w:cs="宋体"/>
                <w:color w:val="auto"/>
                <w:sz w:val="20"/>
                <w:szCs w:val="20"/>
              </w:rPr>
              <w:t>结果</w:t>
            </w:r>
          </w:p>
        </w:tc>
        <w:tc>
          <w:tcPr>
            <w:tcW w:w="64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0218BE5F">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宋体" w:hAnsi="宋体" w:eastAsia="宋体" w:cs="宋体"/>
                <w:color w:val="auto"/>
                <w:sz w:val="20"/>
                <w:szCs w:val="20"/>
              </w:rPr>
              <w:t>尚未</w:t>
            </w:r>
            <w:r>
              <w:rPr>
                <w:rFonts w:hint="eastAsia" w:ascii="宋体" w:hAnsi="宋体" w:eastAsia="宋体" w:cs="宋体"/>
                <w:color w:val="auto"/>
                <w:sz w:val="20"/>
                <w:szCs w:val="20"/>
              </w:rPr>
              <w:br w:type="textWrapping"/>
            </w:r>
            <w:r>
              <w:rPr>
                <w:rFonts w:hint="eastAsia" w:ascii="宋体" w:hAnsi="宋体" w:eastAsia="宋体" w:cs="宋体"/>
                <w:color w:val="auto"/>
                <w:sz w:val="20"/>
                <w:szCs w:val="20"/>
              </w:rPr>
              <w:t>审结</w:t>
            </w:r>
          </w:p>
        </w:tc>
        <w:tc>
          <w:tcPr>
            <w:tcW w:w="64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76863758">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宋体" w:hAnsi="宋体" w:eastAsia="宋体" w:cs="宋体"/>
                <w:color w:val="auto"/>
                <w:sz w:val="20"/>
                <w:szCs w:val="20"/>
              </w:rPr>
              <w:t>总计</w:t>
            </w:r>
          </w:p>
        </w:tc>
        <w:tc>
          <w:tcPr>
            <w:tcW w:w="3248"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14:paraId="68173A4C">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宋体" w:hAnsi="宋体" w:eastAsia="宋体" w:cs="宋体"/>
                <w:color w:val="auto"/>
                <w:sz w:val="20"/>
                <w:szCs w:val="20"/>
              </w:rPr>
              <w:t>未经复议直接起诉</w:t>
            </w:r>
          </w:p>
        </w:tc>
        <w:tc>
          <w:tcPr>
            <w:tcW w:w="3255"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14:paraId="4F21DB19">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宋体" w:hAnsi="宋体" w:eastAsia="宋体" w:cs="宋体"/>
                <w:color w:val="auto"/>
                <w:sz w:val="20"/>
                <w:szCs w:val="20"/>
              </w:rPr>
              <w:t>复议后起诉</w:t>
            </w:r>
          </w:p>
        </w:tc>
      </w:tr>
      <w:tr w14:paraId="62FE7A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8F874E7">
            <w:pPr>
              <w:rPr>
                <w:rFonts w:hint="eastAsia" w:ascii="宋体"/>
                <w:color w:val="auto"/>
                <w:sz w:val="24"/>
                <w:szCs w:val="24"/>
              </w:rPr>
            </w:pPr>
          </w:p>
        </w:tc>
        <w:tc>
          <w:tcPr>
            <w:tcW w:w="64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FDEBFDB">
            <w:pPr>
              <w:rPr>
                <w:rFonts w:hint="eastAsia" w:ascii="宋体"/>
                <w:color w:val="auto"/>
                <w:sz w:val="24"/>
                <w:szCs w:val="24"/>
              </w:rPr>
            </w:pPr>
          </w:p>
        </w:tc>
        <w:tc>
          <w:tcPr>
            <w:tcW w:w="64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748CA701">
            <w:pPr>
              <w:rPr>
                <w:rFonts w:hint="eastAsia" w:ascii="宋体"/>
                <w:color w:val="auto"/>
                <w:sz w:val="24"/>
                <w:szCs w:val="24"/>
              </w:rPr>
            </w:pPr>
          </w:p>
        </w:tc>
        <w:tc>
          <w:tcPr>
            <w:tcW w:w="64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C616AC3">
            <w:pPr>
              <w:rPr>
                <w:rFonts w:hint="eastAsia" w:ascii="宋体"/>
                <w:color w:val="auto"/>
                <w:sz w:val="24"/>
                <w:szCs w:val="24"/>
              </w:rPr>
            </w:pPr>
          </w:p>
        </w:tc>
        <w:tc>
          <w:tcPr>
            <w:tcW w:w="64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C6412FA">
            <w:pPr>
              <w:rPr>
                <w:rFonts w:hint="eastAsia" w:ascii="宋体"/>
                <w:color w:val="auto"/>
                <w:sz w:val="24"/>
                <w:szCs w:val="24"/>
              </w:rPr>
            </w:pP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14:paraId="2235B196">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宋体" w:hAnsi="宋体" w:eastAsia="宋体" w:cs="宋体"/>
                <w:color w:val="auto"/>
                <w:sz w:val="20"/>
                <w:szCs w:val="20"/>
              </w:rPr>
              <w:t>结果</w:t>
            </w:r>
            <w:r>
              <w:rPr>
                <w:rFonts w:hint="eastAsia" w:ascii="宋体" w:hAnsi="宋体" w:eastAsia="宋体" w:cs="宋体"/>
                <w:color w:val="auto"/>
                <w:sz w:val="20"/>
                <w:szCs w:val="20"/>
              </w:rPr>
              <w:br w:type="textWrapping"/>
            </w:r>
            <w:r>
              <w:rPr>
                <w:rFonts w:hint="eastAsia" w:ascii="宋体" w:hAnsi="宋体" w:eastAsia="宋体" w:cs="宋体"/>
                <w:color w:val="auto"/>
                <w:sz w:val="20"/>
                <w:szCs w:val="20"/>
              </w:rPr>
              <w:t>维持</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14:paraId="7E18A8E3">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宋体" w:hAnsi="宋体" w:eastAsia="宋体" w:cs="宋体"/>
                <w:color w:val="auto"/>
                <w:sz w:val="20"/>
                <w:szCs w:val="20"/>
              </w:rPr>
              <w:t>结果</w:t>
            </w:r>
            <w:r>
              <w:rPr>
                <w:rFonts w:hint="eastAsia" w:ascii="宋体" w:hAnsi="宋体" w:eastAsia="宋体" w:cs="宋体"/>
                <w:color w:val="auto"/>
                <w:sz w:val="20"/>
                <w:szCs w:val="20"/>
              </w:rPr>
              <w:br w:type="textWrapping"/>
            </w:r>
            <w:r>
              <w:rPr>
                <w:rFonts w:hint="eastAsia" w:ascii="宋体" w:hAnsi="宋体" w:eastAsia="宋体" w:cs="宋体"/>
                <w:color w:val="auto"/>
                <w:sz w:val="20"/>
                <w:szCs w:val="20"/>
              </w:rPr>
              <w:t>纠正</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14:paraId="6726E7F0">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宋体" w:hAnsi="宋体" w:eastAsia="宋体" w:cs="宋体"/>
                <w:color w:val="auto"/>
                <w:sz w:val="20"/>
                <w:szCs w:val="20"/>
              </w:rPr>
              <w:t>其他</w:t>
            </w:r>
            <w:r>
              <w:rPr>
                <w:rFonts w:hint="eastAsia" w:ascii="宋体" w:hAnsi="宋体" w:eastAsia="宋体" w:cs="宋体"/>
                <w:color w:val="auto"/>
                <w:sz w:val="20"/>
                <w:szCs w:val="20"/>
              </w:rPr>
              <w:br w:type="textWrapping"/>
            </w:r>
            <w:r>
              <w:rPr>
                <w:rFonts w:hint="eastAsia" w:ascii="宋体" w:hAnsi="宋体" w:eastAsia="宋体" w:cs="宋体"/>
                <w:color w:val="auto"/>
                <w:sz w:val="20"/>
                <w:szCs w:val="20"/>
              </w:rPr>
              <w:t>结果</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14:paraId="364FE911">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宋体" w:hAnsi="宋体" w:eastAsia="宋体" w:cs="宋体"/>
                <w:color w:val="auto"/>
                <w:sz w:val="20"/>
                <w:szCs w:val="20"/>
              </w:rPr>
              <w:t>尚未</w:t>
            </w:r>
            <w:r>
              <w:rPr>
                <w:rFonts w:hint="eastAsia" w:ascii="宋体" w:hAnsi="宋体" w:eastAsia="宋体" w:cs="宋体"/>
                <w:color w:val="auto"/>
                <w:sz w:val="20"/>
                <w:szCs w:val="20"/>
              </w:rPr>
              <w:br w:type="textWrapping"/>
            </w:r>
            <w:r>
              <w:rPr>
                <w:rFonts w:hint="eastAsia" w:ascii="宋体" w:hAnsi="宋体" w:eastAsia="宋体" w:cs="宋体"/>
                <w:color w:val="auto"/>
                <w:sz w:val="20"/>
                <w:szCs w:val="20"/>
              </w:rPr>
              <w:t>审结</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14:paraId="752145E0">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宋体" w:hAnsi="宋体" w:eastAsia="宋体" w:cs="宋体"/>
                <w:color w:val="auto"/>
                <w:sz w:val="20"/>
                <w:szCs w:val="20"/>
              </w:rPr>
              <w:t>总计</w:t>
            </w:r>
          </w:p>
        </w:tc>
        <w:tc>
          <w:tcPr>
            <w:tcW w:w="651" w:type="dxa"/>
            <w:tcBorders>
              <w:top w:val="nil"/>
              <w:left w:val="nil"/>
              <w:bottom w:val="single" w:color="auto" w:sz="8" w:space="0"/>
              <w:right w:val="single" w:color="auto" w:sz="8" w:space="0"/>
            </w:tcBorders>
            <w:shd w:val="clear" w:color="auto" w:fill="auto"/>
            <w:tcMar>
              <w:left w:w="108" w:type="dxa"/>
              <w:right w:w="108" w:type="dxa"/>
            </w:tcMar>
            <w:vAlign w:val="center"/>
          </w:tcPr>
          <w:p w14:paraId="63BA0AC0">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宋体" w:hAnsi="宋体" w:eastAsia="宋体" w:cs="宋体"/>
                <w:color w:val="auto"/>
                <w:sz w:val="20"/>
                <w:szCs w:val="20"/>
              </w:rPr>
              <w:t>结果</w:t>
            </w:r>
            <w:r>
              <w:rPr>
                <w:rFonts w:hint="eastAsia" w:ascii="宋体" w:hAnsi="宋体" w:eastAsia="宋体" w:cs="宋体"/>
                <w:color w:val="auto"/>
                <w:sz w:val="20"/>
                <w:szCs w:val="20"/>
              </w:rPr>
              <w:br w:type="textWrapping"/>
            </w:r>
            <w:r>
              <w:rPr>
                <w:rFonts w:hint="eastAsia" w:ascii="宋体" w:hAnsi="宋体" w:eastAsia="宋体" w:cs="宋体"/>
                <w:color w:val="auto"/>
                <w:sz w:val="20"/>
                <w:szCs w:val="20"/>
              </w:rPr>
              <w:t>维持</w:t>
            </w:r>
          </w:p>
        </w:tc>
        <w:tc>
          <w:tcPr>
            <w:tcW w:w="651" w:type="dxa"/>
            <w:tcBorders>
              <w:top w:val="nil"/>
              <w:left w:val="nil"/>
              <w:bottom w:val="single" w:color="auto" w:sz="8" w:space="0"/>
              <w:right w:val="single" w:color="auto" w:sz="8" w:space="0"/>
            </w:tcBorders>
            <w:shd w:val="clear" w:color="auto" w:fill="auto"/>
            <w:tcMar>
              <w:left w:w="108" w:type="dxa"/>
              <w:right w:w="108" w:type="dxa"/>
            </w:tcMar>
            <w:vAlign w:val="center"/>
          </w:tcPr>
          <w:p w14:paraId="42B9F051">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宋体" w:hAnsi="宋体" w:eastAsia="宋体" w:cs="宋体"/>
                <w:color w:val="auto"/>
                <w:sz w:val="20"/>
                <w:szCs w:val="20"/>
              </w:rPr>
              <w:t>结果</w:t>
            </w:r>
            <w:r>
              <w:rPr>
                <w:rFonts w:hint="eastAsia" w:ascii="宋体" w:hAnsi="宋体" w:eastAsia="宋体" w:cs="宋体"/>
                <w:color w:val="auto"/>
                <w:sz w:val="20"/>
                <w:szCs w:val="20"/>
              </w:rPr>
              <w:br w:type="textWrapping"/>
            </w:r>
            <w:r>
              <w:rPr>
                <w:rFonts w:hint="eastAsia" w:ascii="宋体" w:hAnsi="宋体" w:eastAsia="宋体" w:cs="宋体"/>
                <w:color w:val="auto"/>
                <w:sz w:val="20"/>
                <w:szCs w:val="20"/>
              </w:rPr>
              <w:t>纠正</w:t>
            </w:r>
          </w:p>
        </w:tc>
        <w:tc>
          <w:tcPr>
            <w:tcW w:w="651" w:type="dxa"/>
            <w:tcBorders>
              <w:top w:val="nil"/>
              <w:left w:val="nil"/>
              <w:bottom w:val="single" w:color="auto" w:sz="8" w:space="0"/>
              <w:right w:val="single" w:color="auto" w:sz="8" w:space="0"/>
            </w:tcBorders>
            <w:shd w:val="clear" w:color="auto" w:fill="auto"/>
            <w:tcMar>
              <w:left w:w="108" w:type="dxa"/>
              <w:right w:w="108" w:type="dxa"/>
            </w:tcMar>
            <w:vAlign w:val="center"/>
          </w:tcPr>
          <w:p w14:paraId="71E14F8E">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宋体" w:hAnsi="宋体" w:eastAsia="宋体" w:cs="宋体"/>
                <w:color w:val="auto"/>
                <w:sz w:val="20"/>
                <w:szCs w:val="20"/>
              </w:rPr>
              <w:t>其他</w:t>
            </w:r>
            <w:r>
              <w:rPr>
                <w:rFonts w:hint="eastAsia" w:ascii="宋体" w:hAnsi="宋体" w:eastAsia="宋体" w:cs="宋体"/>
                <w:color w:val="auto"/>
                <w:sz w:val="20"/>
                <w:szCs w:val="20"/>
              </w:rPr>
              <w:br w:type="textWrapping"/>
            </w:r>
            <w:r>
              <w:rPr>
                <w:rFonts w:hint="eastAsia" w:ascii="宋体" w:hAnsi="宋体" w:eastAsia="宋体" w:cs="宋体"/>
                <w:color w:val="auto"/>
                <w:sz w:val="20"/>
                <w:szCs w:val="20"/>
              </w:rPr>
              <w:t>结果</w:t>
            </w:r>
          </w:p>
        </w:tc>
        <w:tc>
          <w:tcPr>
            <w:tcW w:w="651" w:type="dxa"/>
            <w:tcBorders>
              <w:top w:val="nil"/>
              <w:left w:val="nil"/>
              <w:bottom w:val="single" w:color="auto" w:sz="8" w:space="0"/>
              <w:right w:val="single" w:color="auto" w:sz="8" w:space="0"/>
            </w:tcBorders>
            <w:shd w:val="clear" w:color="auto" w:fill="auto"/>
            <w:tcMar>
              <w:left w:w="108" w:type="dxa"/>
              <w:right w:w="108" w:type="dxa"/>
            </w:tcMar>
            <w:vAlign w:val="center"/>
          </w:tcPr>
          <w:p w14:paraId="138022FA">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宋体" w:hAnsi="宋体" w:eastAsia="宋体" w:cs="宋体"/>
                <w:color w:val="auto"/>
                <w:sz w:val="20"/>
                <w:szCs w:val="20"/>
              </w:rPr>
              <w:t>尚未</w:t>
            </w:r>
            <w:r>
              <w:rPr>
                <w:rFonts w:hint="eastAsia" w:ascii="宋体" w:hAnsi="宋体" w:eastAsia="宋体" w:cs="宋体"/>
                <w:color w:val="auto"/>
                <w:sz w:val="20"/>
                <w:szCs w:val="20"/>
              </w:rPr>
              <w:br w:type="textWrapping"/>
            </w:r>
            <w:r>
              <w:rPr>
                <w:rFonts w:hint="eastAsia" w:ascii="宋体" w:hAnsi="宋体" w:eastAsia="宋体" w:cs="宋体"/>
                <w:color w:val="auto"/>
                <w:sz w:val="20"/>
                <w:szCs w:val="20"/>
              </w:rPr>
              <w:t>审结</w:t>
            </w:r>
          </w:p>
        </w:tc>
        <w:tc>
          <w:tcPr>
            <w:tcW w:w="651" w:type="dxa"/>
            <w:tcBorders>
              <w:top w:val="nil"/>
              <w:left w:val="nil"/>
              <w:bottom w:val="single" w:color="auto" w:sz="8" w:space="0"/>
              <w:right w:val="single" w:color="auto" w:sz="8" w:space="0"/>
            </w:tcBorders>
            <w:shd w:val="clear" w:color="auto" w:fill="auto"/>
            <w:tcMar>
              <w:left w:w="108" w:type="dxa"/>
              <w:right w:w="108" w:type="dxa"/>
            </w:tcMar>
            <w:vAlign w:val="center"/>
          </w:tcPr>
          <w:p w14:paraId="648014E0">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宋体" w:hAnsi="宋体" w:eastAsia="宋体" w:cs="宋体"/>
                <w:color w:val="auto"/>
                <w:sz w:val="20"/>
                <w:szCs w:val="20"/>
              </w:rPr>
              <w:t>总计</w:t>
            </w:r>
          </w:p>
        </w:tc>
      </w:tr>
      <w:tr w14:paraId="0F4F5C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D40AE85">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ascii="黑体" w:hAnsi="宋体" w:eastAsia="黑体" w:cs="黑体"/>
                <w:color w:val="auto"/>
                <w:sz w:val="20"/>
                <w:szCs w:val="20"/>
              </w:rPr>
              <w:t>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14:paraId="4DEB9835">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等线" w:hAnsi="等线" w:eastAsia="等线" w:cs="等线"/>
                <w:color w:val="auto"/>
                <w:sz w:val="21"/>
                <w:szCs w:val="21"/>
              </w:rPr>
              <w:t>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14:paraId="364CBE78">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等线" w:hAnsi="等线" w:eastAsia="等线" w:cs="等线"/>
                <w:color w:val="auto"/>
                <w:sz w:val="21"/>
                <w:szCs w:val="21"/>
              </w:rPr>
              <w:t>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14:paraId="74AADCE8">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等线" w:hAnsi="等线" w:eastAsia="等线" w:cs="等线"/>
                <w:color w:val="auto"/>
                <w:sz w:val="21"/>
                <w:szCs w:val="21"/>
              </w:rPr>
              <w:t>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14:paraId="48FA5645">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等线" w:hAnsi="等线" w:eastAsia="等线" w:cs="等线"/>
                <w:color w:val="auto"/>
                <w:sz w:val="21"/>
                <w:szCs w:val="21"/>
              </w:rPr>
              <w:t>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14:paraId="04706FE3">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等线" w:hAnsi="等线" w:eastAsia="等线" w:cs="等线"/>
                <w:color w:val="auto"/>
                <w:sz w:val="21"/>
                <w:szCs w:val="21"/>
              </w:rPr>
              <w:t>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14:paraId="359809D7">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等线" w:hAnsi="等线" w:eastAsia="等线" w:cs="等线"/>
                <w:color w:val="auto"/>
                <w:sz w:val="21"/>
                <w:szCs w:val="21"/>
              </w:rPr>
              <w:t>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14:paraId="0BDCEF19">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等线" w:hAnsi="等线" w:eastAsia="等线" w:cs="等线"/>
                <w:color w:val="auto"/>
                <w:sz w:val="21"/>
                <w:szCs w:val="21"/>
              </w:rPr>
              <w:t>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14:paraId="3295C37D">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等线" w:hAnsi="等线" w:eastAsia="等线" w:cs="等线"/>
                <w:color w:val="auto"/>
                <w:sz w:val="21"/>
                <w:szCs w:val="21"/>
              </w:rPr>
              <w:t>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14:paraId="6E97C2D4">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等线" w:hAnsi="等线" w:eastAsia="等线" w:cs="等线"/>
                <w:color w:val="auto"/>
                <w:sz w:val="21"/>
                <w:szCs w:val="21"/>
              </w:rPr>
              <w:t>0</w:t>
            </w:r>
          </w:p>
        </w:tc>
        <w:tc>
          <w:tcPr>
            <w:tcW w:w="651" w:type="dxa"/>
            <w:tcBorders>
              <w:top w:val="nil"/>
              <w:left w:val="nil"/>
              <w:bottom w:val="single" w:color="auto" w:sz="8" w:space="0"/>
              <w:right w:val="single" w:color="auto" w:sz="8" w:space="0"/>
            </w:tcBorders>
            <w:shd w:val="clear" w:color="auto" w:fill="auto"/>
            <w:tcMar>
              <w:left w:w="108" w:type="dxa"/>
              <w:right w:w="108" w:type="dxa"/>
            </w:tcMar>
            <w:vAlign w:val="center"/>
          </w:tcPr>
          <w:p w14:paraId="6A96E4B0">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等线" w:hAnsi="等线" w:eastAsia="等线" w:cs="等线"/>
                <w:color w:val="auto"/>
                <w:sz w:val="21"/>
                <w:szCs w:val="21"/>
              </w:rPr>
              <w:t>0</w:t>
            </w:r>
          </w:p>
        </w:tc>
        <w:tc>
          <w:tcPr>
            <w:tcW w:w="651" w:type="dxa"/>
            <w:tcBorders>
              <w:top w:val="nil"/>
              <w:left w:val="nil"/>
              <w:bottom w:val="single" w:color="auto" w:sz="8" w:space="0"/>
              <w:right w:val="single" w:color="auto" w:sz="8" w:space="0"/>
            </w:tcBorders>
            <w:shd w:val="clear" w:color="auto" w:fill="auto"/>
            <w:tcMar>
              <w:left w:w="108" w:type="dxa"/>
              <w:right w:w="108" w:type="dxa"/>
            </w:tcMar>
            <w:vAlign w:val="center"/>
          </w:tcPr>
          <w:p w14:paraId="145B5549">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等线" w:hAnsi="等线" w:eastAsia="等线" w:cs="等线"/>
                <w:color w:val="auto"/>
                <w:sz w:val="21"/>
                <w:szCs w:val="21"/>
              </w:rPr>
              <w:t>0</w:t>
            </w:r>
          </w:p>
        </w:tc>
        <w:tc>
          <w:tcPr>
            <w:tcW w:w="651" w:type="dxa"/>
            <w:tcBorders>
              <w:top w:val="nil"/>
              <w:left w:val="nil"/>
              <w:bottom w:val="single" w:color="auto" w:sz="8" w:space="0"/>
              <w:right w:val="single" w:color="auto" w:sz="8" w:space="0"/>
            </w:tcBorders>
            <w:shd w:val="clear" w:color="auto" w:fill="auto"/>
            <w:tcMar>
              <w:left w:w="108" w:type="dxa"/>
              <w:right w:w="108" w:type="dxa"/>
            </w:tcMar>
            <w:vAlign w:val="center"/>
          </w:tcPr>
          <w:p w14:paraId="26E43B5A">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等线" w:hAnsi="等线" w:eastAsia="等线" w:cs="等线"/>
                <w:color w:val="auto"/>
                <w:sz w:val="21"/>
                <w:szCs w:val="21"/>
              </w:rPr>
              <w:t>0</w:t>
            </w:r>
          </w:p>
        </w:tc>
        <w:tc>
          <w:tcPr>
            <w:tcW w:w="651" w:type="dxa"/>
            <w:tcBorders>
              <w:top w:val="nil"/>
              <w:left w:val="nil"/>
              <w:bottom w:val="single" w:color="auto" w:sz="8" w:space="0"/>
              <w:right w:val="single" w:color="auto" w:sz="8" w:space="0"/>
            </w:tcBorders>
            <w:shd w:val="clear" w:color="auto" w:fill="auto"/>
            <w:tcMar>
              <w:left w:w="108" w:type="dxa"/>
              <w:right w:w="108" w:type="dxa"/>
            </w:tcMar>
            <w:vAlign w:val="center"/>
          </w:tcPr>
          <w:p w14:paraId="0DB6A926">
            <w:pPr>
              <w:pStyle w:val="4"/>
              <w:keepNext w:val="0"/>
              <w:keepLines w:val="0"/>
              <w:widowControl/>
              <w:suppressLineNumbers w:val="0"/>
              <w:spacing w:before="0" w:beforeAutospacing="0" w:after="0" w:afterAutospacing="0"/>
              <w:ind w:left="0" w:right="0"/>
              <w:jc w:val="center"/>
              <w:rPr>
                <w:rFonts w:hint="eastAsia" w:ascii="等线" w:hAnsi="等线" w:eastAsia="等线" w:cs="等线"/>
                <w:color w:val="auto"/>
                <w:sz w:val="21"/>
                <w:szCs w:val="21"/>
              </w:rPr>
            </w:pPr>
            <w:r>
              <w:rPr>
                <w:rFonts w:hint="eastAsia" w:ascii="等线" w:hAnsi="等线" w:eastAsia="等线" w:cs="等线"/>
                <w:color w:val="auto"/>
                <w:sz w:val="21"/>
                <w:szCs w:val="21"/>
              </w:rPr>
              <w:t>0</w:t>
            </w:r>
          </w:p>
        </w:tc>
        <w:tc>
          <w:tcPr>
            <w:tcW w:w="651" w:type="dxa"/>
            <w:tcBorders>
              <w:top w:val="nil"/>
              <w:left w:val="nil"/>
              <w:bottom w:val="single" w:color="auto" w:sz="8" w:space="0"/>
              <w:right w:val="single" w:color="auto" w:sz="8" w:space="0"/>
            </w:tcBorders>
            <w:shd w:val="clear" w:color="auto" w:fill="auto"/>
            <w:tcMar>
              <w:left w:w="108" w:type="dxa"/>
              <w:right w:w="108" w:type="dxa"/>
            </w:tcMar>
            <w:vAlign w:val="center"/>
          </w:tcPr>
          <w:p w14:paraId="66AF8246">
            <w:pPr>
              <w:pStyle w:val="4"/>
              <w:keepNext w:val="0"/>
              <w:keepLines w:val="0"/>
              <w:widowControl/>
              <w:suppressLineNumbers w:val="0"/>
              <w:spacing w:before="75" w:beforeAutospacing="0" w:after="75" w:afterAutospacing="0"/>
              <w:ind w:left="0" w:right="0"/>
              <w:jc w:val="center"/>
              <w:rPr>
                <w:rFonts w:hint="eastAsia" w:ascii="等线" w:hAnsi="等线" w:eastAsia="等线" w:cs="等线"/>
                <w:color w:val="auto"/>
                <w:sz w:val="21"/>
                <w:szCs w:val="21"/>
              </w:rPr>
            </w:pPr>
            <w:r>
              <w:rPr>
                <w:rFonts w:hint="eastAsia" w:ascii="等线" w:hAnsi="等线" w:eastAsia="等线" w:cs="等线"/>
                <w:color w:val="auto"/>
                <w:sz w:val="21"/>
                <w:szCs w:val="21"/>
              </w:rPr>
              <w:t>0</w:t>
            </w:r>
          </w:p>
        </w:tc>
      </w:tr>
    </w:tbl>
    <w:p w14:paraId="571541F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right="0" w:firstLine="640" w:firstLineChars="200"/>
        <w:jc w:val="both"/>
        <w:textAlignment w:val="auto"/>
        <w:rPr>
          <w:rFonts w:hint="eastAsia" w:ascii="方正黑体_GBK" w:hAnsi="方正黑体_GBK" w:eastAsia="方正黑体_GBK" w:cs="方正黑体_GBK"/>
          <w:i w:val="0"/>
          <w:iCs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i w:val="0"/>
          <w:iCs w:val="0"/>
          <w:caps w:val="0"/>
          <w:color w:val="auto"/>
          <w:spacing w:val="0"/>
          <w:kern w:val="0"/>
          <w:sz w:val="32"/>
          <w:szCs w:val="32"/>
          <w:shd w:val="clear" w:fill="FFFFFF"/>
          <w:lang w:val="en-US" w:eastAsia="zh-CN" w:bidi="ar"/>
        </w:rPr>
        <w:t>五、存在的主要问题及改进情况</w:t>
      </w:r>
    </w:p>
    <w:p w14:paraId="39900074">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atLeast"/>
        <w:ind w:left="0" w:right="0" w:firstLine="640" w:firstLineChars="200"/>
        <w:jc w:val="both"/>
        <w:textAlignment w:val="auto"/>
        <w:rPr>
          <w:rFonts w:hint="eastAsia" w:ascii="方正仿宋简体" w:hAnsi="方正仿宋简体" w:eastAsia="方正仿宋简体" w:cs="方正仿宋简体"/>
          <w:i w:val="0"/>
          <w:iCs w:val="0"/>
          <w:caps w:val="0"/>
          <w:color w:val="auto"/>
          <w:spacing w:val="0"/>
          <w:kern w:val="0"/>
          <w:sz w:val="32"/>
          <w:szCs w:val="32"/>
          <w:shd w:val="clear" w:fill="FFFFFF"/>
          <w:lang w:val="en-US" w:eastAsia="zh-CN" w:bidi="ar"/>
        </w:rPr>
      </w:pPr>
      <w:r>
        <w:rPr>
          <w:rFonts w:hint="eastAsia" w:ascii="方正仿宋简体" w:hAnsi="方正仿宋简体" w:eastAsia="方正仿宋简体" w:cs="方正仿宋简体"/>
          <w:i w:val="0"/>
          <w:iCs w:val="0"/>
          <w:caps w:val="0"/>
          <w:color w:val="auto"/>
          <w:spacing w:val="0"/>
          <w:kern w:val="0"/>
          <w:sz w:val="32"/>
          <w:szCs w:val="32"/>
          <w:shd w:val="clear" w:fill="FFFFFF"/>
          <w:lang w:val="en-US" w:eastAsia="zh-CN" w:bidi="ar"/>
        </w:rPr>
        <w:t>目前，我局政府信息公开工作存在的问题：一是公开信息的时效性不够强;二是主动公开政府信息的数量还需要增加，公开的内容需要进一步细化;三是宣传和引导工作需要进一步加强，提升政府信息公开工作的认识程度，满足公众对政府信息的需求。</w:t>
      </w:r>
    </w:p>
    <w:p w14:paraId="50A661A8">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atLeast"/>
        <w:ind w:left="0" w:right="0" w:firstLine="640" w:firstLineChars="200"/>
        <w:jc w:val="both"/>
        <w:textAlignment w:val="auto"/>
        <w:rPr>
          <w:rFonts w:hint="eastAsia" w:ascii="方正仿宋简体" w:hAnsi="方正仿宋简体" w:eastAsia="方正仿宋简体" w:cs="方正仿宋简体"/>
          <w:i w:val="0"/>
          <w:iCs w:val="0"/>
          <w:caps w:val="0"/>
          <w:color w:val="auto"/>
          <w:spacing w:val="0"/>
          <w:kern w:val="0"/>
          <w:sz w:val="32"/>
          <w:szCs w:val="32"/>
          <w:shd w:val="clear" w:fill="FFFFFF"/>
          <w:lang w:val="en-US" w:eastAsia="zh-CN" w:bidi="ar"/>
        </w:rPr>
      </w:pPr>
      <w:r>
        <w:rPr>
          <w:rFonts w:hint="eastAsia" w:ascii="方正仿宋简体" w:hAnsi="方正仿宋简体" w:eastAsia="方正仿宋简体" w:cs="方正仿宋简体"/>
          <w:i w:val="0"/>
          <w:iCs w:val="0"/>
          <w:caps w:val="0"/>
          <w:color w:val="auto"/>
          <w:spacing w:val="0"/>
          <w:kern w:val="0"/>
          <w:sz w:val="32"/>
          <w:szCs w:val="32"/>
          <w:shd w:val="clear" w:fill="FFFFFF"/>
          <w:lang w:val="en-US" w:eastAsia="zh-CN" w:bidi="ar"/>
        </w:rPr>
        <w:t>改进措施：一是加强局信息公开负责部门与机关内部各股室之间的联系，及时将各股室生成的信息发布到网上，尽量做到信息生成与发布保持同步;二是扩大信息公开范围，我局生成的对社会公众有指导或帮助意义的信息要纳入信息公开范畴之中予以发布;三是加大工作宣传力度，使社会公众对这项工作有进一步的了解和更深的认识。四是学习借鉴其他单位的好做法，继续坚持政府信息公开值班制度，及时处理网上留言、咨询和相关申请工作，认真做好相关记录，做到件件有着落，事事有回音，认真履行政府信息公开工作的各项职责，主动接受社会监督，为广大社会公众服务好。</w:t>
      </w:r>
    </w:p>
    <w:p w14:paraId="1BBBFC2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atLeast"/>
        <w:ind w:left="0" w:right="0" w:firstLine="640" w:firstLineChars="200"/>
        <w:jc w:val="both"/>
        <w:textAlignment w:val="auto"/>
        <w:rPr>
          <w:rFonts w:hint="eastAsia" w:ascii="黑体" w:hAnsi="宋体" w:eastAsia="黑体" w:cs="黑体"/>
          <w:i w:val="0"/>
          <w:iCs w:val="0"/>
          <w:caps w:val="0"/>
          <w:color w:val="auto"/>
          <w:spacing w:val="0"/>
          <w:kern w:val="0"/>
          <w:sz w:val="32"/>
          <w:szCs w:val="32"/>
          <w:shd w:val="clear" w:fill="FFFFFF"/>
          <w:lang w:val="en-US" w:eastAsia="zh-CN" w:bidi="ar"/>
        </w:rPr>
      </w:pPr>
      <w:r>
        <w:rPr>
          <w:rFonts w:hint="eastAsia" w:ascii="黑体" w:hAnsi="宋体" w:eastAsia="黑体" w:cs="黑体"/>
          <w:i w:val="0"/>
          <w:iCs w:val="0"/>
          <w:caps w:val="0"/>
          <w:color w:val="auto"/>
          <w:spacing w:val="0"/>
          <w:kern w:val="0"/>
          <w:sz w:val="32"/>
          <w:szCs w:val="32"/>
          <w:shd w:val="clear" w:fill="FFFFFF"/>
          <w:lang w:val="en-US" w:eastAsia="zh-CN" w:bidi="ar"/>
        </w:rPr>
        <w:t>六、其他需要报告的事项</w:t>
      </w:r>
    </w:p>
    <w:p w14:paraId="4798EA99">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atLeast"/>
        <w:ind w:left="0" w:right="0" w:firstLine="640" w:firstLineChars="200"/>
        <w:jc w:val="both"/>
        <w:textAlignment w:val="auto"/>
        <w:rPr>
          <w:rFonts w:hint="eastAsia" w:ascii="方正仿宋简体" w:hAnsi="方正仿宋简体" w:eastAsia="方正仿宋简体" w:cs="方正仿宋简体"/>
          <w:i w:val="0"/>
          <w:iCs w:val="0"/>
          <w:caps w:val="0"/>
          <w:color w:val="auto"/>
          <w:spacing w:val="0"/>
          <w:kern w:val="0"/>
          <w:sz w:val="32"/>
          <w:szCs w:val="32"/>
          <w:shd w:val="clear" w:fill="FFFFFF"/>
          <w:lang w:val="en-US" w:eastAsia="zh-CN" w:bidi="ar"/>
        </w:rPr>
      </w:pPr>
      <w:r>
        <w:rPr>
          <w:rFonts w:hint="eastAsia" w:ascii="方正仿宋简体" w:hAnsi="方正仿宋简体" w:eastAsia="方正仿宋简体" w:cs="方正仿宋简体"/>
          <w:i w:val="0"/>
          <w:iCs w:val="0"/>
          <w:caps w:val="0"/>
          <w:color w:val="auto"/>
          <w:spacing w:val="0"/>
          <w:kern w:val="0"/>
          <w:sz w:val="32"/>
          <w:szCs w:val="32"/>
          <w:shd w:val="clear" w:fill="FFFFFF"/>
          <w:lang w:val="en-US" w:eastAsia="zh-CN" w:bidi="ar"/>
        </w:rPr>
        <w:t>按照《国务院办公厅关于印发（政府信息公开信息处理费管理办法〉的通知》（国办函 （2020）109号）规定的按件、按量收费标准，本年度没有产生信息公开处理费。</w:t>
      </w:r>
    </w:p>
    <w:p w14:paraId="738AB0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850"/>
        <w:jc w:val="both"/>
        <w:rPr>
          <w:rFonts w:hint="eastAsia" w:ascii="方正仿宋简体" w:hAnsi="方正仿宋简体" w:eastAsia="方正仿宋简体" w:cs="方正仿宋简体"/>
          <w:i w:val="0"/>
          <w:iCs w:val="0"/>
          <w:caps w:val="0"/>
          <w:color w:val="auto"/>
          <w:spacing w:val="0"/>
          <w:kern w:val="0"/>
          <w:sz w:val="34"/>
          <w:szCs w:val="34"/>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iYThiY2NmZWI0MzgyYTBjNDEyMmM4MjBhM2JmYjkifQ=="/>
  </w:docVars>
  <w:rsids>
    <w:rsidRoot w:val="00000000"/>
    <w:rsid w:val="0D6618DB"/>
    <w:rsid w:val="1E041B3D"/>
    <w:rsid w:val="292D7C8B"/>
    <w:rsid w:val="2B8F7538"/>
    <w:rsid w:val="45961716"/>
    <w:rsid w:val="49357497"/>
    <w:rsid w:val="7682437B"/>
    <w:rsid w:val="7B293AE0"/>
    <w:rsid w:val="7C8F23F6"/>
    <w:rsid w:val="7EAB2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4">
    <w:name w:val="Normal (Web)"/>
    <w:basedOn w:val="1"/>
    <w:autoRedefine/>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2336</Words>
  <Characters>2379</Characters>
  <Lines>0</Lines>
  <Paragraphs>0</Paragraphs>
  <TotalTime>24</TotalTime>
  <ScaleCrop>false</ScaleCrop>
  <LinksUpToDate>false</LinksUpToDate>
  <CharactersWithSpaces>2563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2023-01-13T07:38:00Z</dcterms:created>
  <dc:creator>Administrator</dc:creator>
  <cp:lastModifiedBy>冰淇淋甜筒</cp:lastModifiedBy>
  <dcterms:modified xsi:type="dcterms:W3CDTF">2025-01-21T08:12:44Z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8D8DA2A839C04CDE8E096E12BA17612D_13</vt:lpwstr>
  </property>
</Properties>
</file>