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F4684">
      <w:pPr>
        <w:keepNext/>
        <w:keepLines/>
        <w:pageBreakBefore w:val="0"/>
        <w:widowControl w:val="0"/>
        <w:shd w:val="clear" w:color="auto" w:fill="FFFFFF"/>
        <w:kinsoku/>
        <w:wordWrap/>
        <w:overflowPunct/>
        <w:topLinePunct w:val="0"/>
        <w:autoSpaceDE/>
        <w:autoSpaceDN/>
        <w:bidi w:val="0"/>
        <w:adjustRightInd/>
        <w:snapToGrid/>
        <w:spacing w:before="0" w:after="0" w:line="240" w:lineRule="exact"/>
        <w:jc w:val="center"/>
        <w:textAlignment w:val="auto"/>
        <w:outlineLvl w:val="1"/>
        <w:rPr>
          <w:rFonts w:ascii="Times New Roman" w:hAnsi="Times New Roman" w:eastAsia="黑体" w:cs="Times New Roman"/>
          <w:b w:val="0"/>
          <w:bCs/>
          <w:color w:val="373535"/>
          <w:kern w:val="2"/>
          <w:sz w:val="40"/>
          <w:szCs w:val="40"/>
          <w:lang w:val="en-US" w:eastAsia="zh-CN" w:bidi="ar-SA"/>
        </w:rPr>
      </w:pPr>
    </w:p>
    <w:p w14:paraId="1AB18827">
      <w:pPr>
        <w:keepNext/>
        <w:keepLines/>
        <w:pageBreakBefore w:val="0"/>
        <w:widowControl w:val="0"/>
        <w:shd w:val="clear" w:color="auto" w:fill="FFFFFF"/>
        <w:kinsoku/>
        <w:wordWrap/>
        <w:overflowPunct/>
        <w:topLinePunct w:val="0"/>
        <w:autoSpaceDE/>
        <w:autoSpaceDN/>
        <w:bidi w:val="0"/>
        <w:adjustRightInd/>
        <w:snapToGrid/>
        <w:spacing w:before="0" w:after="0" w:line="240" w:lineRule="exact"/>
        <w:jc w:val="center"/>
        <w:textAlignment w:val="auto"/>
        <w:outlineLvl w:val="1"/>
        <w:rPr>
          <w:rFonts w:ascii="Times New Roman" w:hAnsi="Times New Roman" w:eastAsia="黑体" w:cs="Times New Roman"/>
          <w:b w:val="0"/>
          <w:bCs/>
          <w:color w:val="373535"/>
          <w:kern w:val="2"/>
          <w:sz w:val="40"/>
          <w:szCs w:val="40"/>
          <w:lang w:val="en-US" w:eastAsia="zh-CN" w:bidi="ar-SA"/>
        </w:rPr>
      </w:pPr>
    </w:p>
    <w:p w14:paraId="5592CA92">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79B66FEE">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14B40340">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1A7AE81F">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60EF3BA1">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18FB30FA">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2689BDE7">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4249D9DE">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3A5A489F">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6BCCA0DC">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3FFE899E">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51A30B18">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56E1154E">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4ECEBF08">
      <w:pPr>
        <w:pageBreakBefore w:val="0"/>
        <w:widowControl w:val="0"/>
        <w:kinsoku/>
        <w:wordWrap/>
        <w:overflowPunct/>
        <w:topLinePunct w:val="0"/>
        <w:autoSpaceDE/>
        <w:autoSpaceDN/>
        <w:bidi w:val="0"/>
        <w:adjustRightInd/>
        <w:snapToGrid/>
        <w:spacing w:line="240" w:lineRule="exact"/>
        <w:textAlignment w:val="auto"/>
        <w:rPr>
          <w:rFonts w:ascii="Calibri" w:hAnsi="Calibri" w:eastAsia="宋体" w:cs="Times New Roman"/>
          <w:sz w:val="21"/>
          <w:szCs w:val="22"/>
        </w:rPr>
      </w:pPr>
    </w:p>
    <w:p w14:paraId="625036F0">
      <w:pPr>
        <w:keepNext/>
        <w:keepLines/>
        <w:widowControl w:val="0"/>
        <w:shd w:val="clear" w:color="auto" w:fill="FFFFFF"/>
        <w:spacing w:before="0" w:after="0" w:line="580" w:lineRule="exact"/>
        <w:jc w:val="center"/>
        <w:outlineLvl w:val="1"/>
        <w:rPr>
          <w:rFonts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霍退党组〔2023〕9号</w:t>
      </w:r>
    </w:p>
    <w:p w14:paraId="5CBCFA07">
      <w:pPr>
        <w:keepNext/>
        <w:keepLines/>
        <w:widowControl w:val="0"/>
        <w:shd w:val="clear" w:color="auto" w:fill="FFFFFF"/>
        <w:spacing w:before="0" w:after="0" w:line="580" w:lineRule="exact"/>
        <w:jc w:val="center"/>
        <w:outlineLvl w:val="1"/>
        <w:rPr>
          <w:rFonts w:ascii="Times New Roman" w:hAnsi="Times New Roman" w:eastAsia="黑体" w:cs="Times New Roman"/>
          <w:b w:val="0"/>
          <w:bCs/>
          <w:color w:val="373535"/>
          <w:kern w:val="2"/>
          <w:sz w:val="40"/>
          <w:szCs w:val="40"/>
          <w:lang w:val="en-US" w:eastAsia="zh-CN" w:bidi="ar-SA"/>
        </w:rPr>
      </w:pPr>
    </w:p>
    <w:p w14:paraId="2ED1F06F">
      <w:pPr>
        <w:rPr>
          <w:rFonts w:ascii="Calibri" w:hAnsi="Calibri" w:eastAsia="宋体" w:cs="Times New Roman"/>
          <w:sz w:val="21"/>
          <w:szCs w:val="22"/>
        </w:rPr>
      </w:pPr>
    </w:p>
    <w:p w14:paraId="2F17E9F2">
      <w:pPr>
        <w:keepNext w:val="0"/>
        <w:keepLines w:val="0"/>
        <w:pageBreakBefore w:val="0"/>
        <w:kinsoku/>
        <w:wordWrap/>
        <w:overflowPunct/>
        <w:topLinePunct w:val="0"/>
        <w:autoSpaceDE/>
        <w:autoSpaceDN/>
        <w:bidi w:val="0"/>
        <w:adjustRightInd/>
        <w:spacing w:line="580" w:lineRule="exact"/>
        <w:ind w:firstLine="600" w:firstLineChars="150"/>
        <w:jc w:val="center"/>
        <w:textAlignment w:val="auto"/>
        <w:rPr>
          <w:rFonts w:ascii="方正小标宋简体" w:hAnsi="黑体" w:eastAsia="方正小标宋简体" w:cs="黑体"/>
          <w:bCs/>
          <w:sz w:val="40"/>
          <w:szCs w:val="40"/>
        </w:rPr>
      </w:pPr>
      <w:r>
        <w:rPr>
          <w:rFonts w:hint="eastAsia" w:ascii="方正小标宋简体" w:hAnsi="黑体" w:eastAsia="方正小标宋简体" w:cs="黑体"/>
          <w:bCs/>
          <w:sz w:val="40"/>
          <w:szCs w:val="40"/>
        </w:rPr>
        <w:t>霍山县退役军人事务局2023年工作总结和</w:t>
      </w:r>
    </w:p>
    <w:p w14:paraId="21399168">
      <w:pPr>
        <w:keepNext w:val="0"/>
        <w:keepLines w:val="0"/>
        <w:pageBreakBefore w:val="0"/>
        <w:kinsoku/>
        <w:wordWrap/>
        <w:overflowPunct/>
        <w:topLinePunct w:val="0"/>
        <w:autoSpaceDE/>
        <w:autoSpaceDN/>
        <w:bidi w:val="0"/>
        <w:adjustRightInd/>
        <w:spacing w:line="580" w:lineRule="exact"/>
        <w:ind w:firstLine="600" w:firstLineChars="150"/>
        <w:jc w:val="center"/>
        <w:textAlignment w:val="auto"/>
        <w:rPr>
          <w:rFonts w:hint="eastAsia" w:ascii="方正小标宋简体" w:hAnsi="黑体" w:eastAsia="方正小标宋简体" w:cs="黑体"/>
          <w:bCs/>
          <w:sz w:val="40"/>
          <w:szCs w:val="40"/>
        </w:rPr>
      </w:pPr>
      <w:r>
        <w:rPr>
          <w:rFonts w:hint="eastAsia" w:ascii="方正小标宋简体" w:hAnsi="黑体" w:eastAsia="方正小标宋简体" w:cs="黑体"/>
          <w:bCs/>
          <w:sz w:val="40"/>
          <w:szCs w:val="40"/>
        </w:rPr>
        <w:t>2024年工作安排</w:t>
      </w:r>
    </w:p>
    <w:p w14:paraId="52846663">
      <w:pPr>
        <w:keepNext w:val="0"/>
        <w:keepLines w:val="0"/>
        <w:pageBreakBefore w:val="0"/>
        <w:kinsoku/>
        <w:wordWrap/>
        <w:overflowPunct/>
        <w:topLinePunct w:val="0"/>
        <w:autoSpaceDE/>
        <w:autoSpaceDN/>
        <w:bidi w:val="0"/>
        <w:adjustRightInd/>
        <w:spacing w:line="580" w:lineRule="exact"/>
        <w:ind w:firstLine="600" w:firstLineChars="150"/>
        <w:jc w:val="center"/>
        <w:textAlignment w:val="auto"/>
        <w:rPr>
          <w:rFonts w:hint="eastAsia" w:ascii="方正小标宋简体" w:hAnsi="黑体" w:eastAsia="方正小标宋简体" w:cs="黑体"/>
          <w:bCs/>
          <w:sz w:val="40"/>
          <w:szCs w:val="40"/>
        </w:rPr>
      </w:pPr>
    </w:p>
    <w:p w14:paraId="1DA4301F">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cs="仿宋"/>
          <w:szCs w:val="32"/>
        </w:rPr>
      </w:pPr>
      <w:r>
        <w:rPr>
          <w:rFonts w:hint="eastAsia" w:ascii="仿宋" w:hAnsi="仿宋" w:eastAsia="仿宋" w:cs="仿宋"/>
          <w:szCs w:val="32"/>
        </w:rPr>
        <w:t>2023年，县退役军人事务局坚持以习近平新时代中国特色社会主义思想为指导，深入贯彻落实习近平总书记关于退役军人工作的重要论述和指示批示精神，紧紧围绕县委、县政府中心工作，扎实做好退役军人事务工作，全面提升退役军人及其它优抚对象的</w:t>
      </w:r>
      <w:bookmarkStart w:id="0" w:name="_GoBack"/>
      <w:bookmarkEnd w:id="0"/>
      <w:r>
        <w:rPr>
          <w:rFonts w:hint="eastAsia" w:ascii="仿宋" w:hAnsi="仿宋" w:eastAsia="仿宋" w:cs="仿宋"/>
          <w:szCs w:val="32"/>
        </w:rPr>
        <w:t>尊崇感、获得感。</w:t>
      </w:r>
    </w:p>
    <w:p w14:paraId="03AA98ED">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黑体" w:hAnsi="黑体" w:eastAsia="黑体" w:cs="微软雅黑"/>
          <w:bCs/>
          <w:szCs w:val="32"/>
        </w:rPr>
      </w:pPr>
      <w:r>
        <w:rPr>
          <w:rFonts w:hint="eastAsia" w:ascii="黑体" w:hAnsi="黑体" w:eastAsia="黑体" w:cs="黑体"/>
          <w:bCs/>
          <w:szCs w:val="32"/>
        </w:rPr>
        <w:t>一、2023年工作完成情况</w:t>
      </w:r>
    </w:p>
    <w:p w14:paraId="4514A05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ascii="楷体" w:hAnsi="楷体" w:eastAsia="楷体" w:cs="楷体"/>
          <w:b/>
          <w:bCs/>
          <w:szCs w:val="32"/>
        </w:rPr>
      </w:pPr>
      <w:r>
        <w:rPr>
          <w:rFonts w:hint="eastAsia" w:ascii="楷体" w:hAnsi="楷体" w:eastAsia="楷体" w:cs="楷体"/>
          <w:b/>
          <w:bCs/>
          <w:szCs w:val="32"/>
        </w:rPr>
        <w:t>(一）坚持党建引领各项工作不动摇</w:t>
      </w:r>
    </w:p>
    <w:p w14:paraId="64FA3C09">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cs="仿宋"/>
          <w:b/>
          <w:bCs/>
          <w:szCs w:val="32"/>
        </w:rPr>
      </w:pPr>
      <w:r>
        <w:rPr>
          <w:rFonts w:hint="eastAsia" w:ascii="楷体" w:hAnsi="楷体" w:eastAsia="楷体" w:cs="楷体"/>
          <w:b w:val="0"/>
          <w:bCs w:val="0"/>
          <w:szCs w:val="32"/>
        </w:rPr>
        <w:t>一是落实全面从严治党主体责任。</w:t>
      </w:r>
      <w:r>
        <w:rPr>
          <w:rFonts w:hint="eastAsia" w:ascii="仿宋" w:hAnsi="仿宋" w:eastAsia="仿宋" w:cs="仿宋"/>
          <w:szCs w:val="32"/>
        </w:rPr>
        <w:t>认真贯彻落实中央、省、市、县委关于全面从严治党的重要文件和会议精神，把党建作为全局中心工作来统筹谋划。严格执行民主集中制和“三重一大”决策制度。开展“建设模范机关”与“创特色、争先进”活动，着力打造“红色引领 拥军崇军”党建品牌，以推进“三红行动”为抓手，探索党建与业务融合新举措，推动退役军人事务工作高质量发展。</w:t>
      </w:r>
    </w:p>
    <w:p w14:paraId="3F106A9E">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cs="仿宋"/>
          <w:szCs w:val="32"/>
        </w:rPr>
      </w:pPr>
      <w:r>
        <w:rPr>
          <w:rFonts w:hint="eastAsia" w:ascii="楷体" w:hAnsi="楷体" w:eastAsia="楷体" w:cs="楷体"/>
          <w:b w:val="0"/>
          <w:bCs w:val="0"/>
          <w:szCs w:val="32"/>
        </w:rPr>
        <w:t>二是狠抓党风廉政建设和反腐败工作。</w:t>
      </w:r>
      <w:r>
        <w:rPr>
          <w:rFonts w:hint="eastAsia" w:ascii="仿宋" w:hAnsi="仿宋" w:eastAsia="仿宋" w:cs="仿宋"/>
          <w:szCs w:val="32"/>
        </w:rPr>
        <w:t>高度重视党风廉政建设责任制落实，切实履行党风廉政建设“第一责任人”职责，召开党风廉政建设和反腐败工作专题会，真正做到把党风廉政建设和反腐败工作放在心上、扛在肩上、抓在手上。</w:t>
      </w:r>
    </w:p>
    <w:p w14:paraId="03C9CBE8">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cs="Times New Roman"/>
          <w:kern w:val="0"/>
          <w:szCs w:val="32"/>
          <w:shd w:val="clear" w:color="auto" w:fill="FFFFFF"/>
          <w:lang w:bidi="ar"/>
        </w:rPr>
      </w:pPr>
      <w:r>
        <w:rPr>
          <w:rFonts w:hint="eastAsia" w:ascii="楷体" w:hAnsi="楷体" w:eastAsia="楷体" w:cs="楷体"/>
          <w:b w:val="0"/>
          <w:bCs w:val="0"/>
          <w:szCs w:val="32"/>
        </w:rPr>
        <w:t>三是严格落实意识形态工作责任制。</w:t>
      </w:r>
      <w:r>
        <w:rPr>
          <w:rFonts w:hint="eastAsia" w:ascii="仿宋" w:hAnsi="仿宋" w:eastAsia="仿宋" w:cs="仿宋"/>
          <w:szCs w:val="32"/>
        </w:rPr>
        <w:t>制定年度意识形态工作责任制实施方案，将意识形态工作列入局党建年度工作和党组中心组学习内容，同抓共管</w:t>
      </w:r>
      <w:r>
        <w:rPr>
          <w:rFonts w:ascii="仿宋" w:hAnsi="仿宋" w:eastAsia="仿宋" w:cs="Times New Roman"/>
          <w:kern w:val="0"/>
          <w:szCs w:val="32"/>
          <w:shd w:val="clear" w:color="auto" w:fill="FFFFFF"/>
          <w:lang w:bidi="ar"/>
        </w:rPr>
        <w:t>，</w:t>
      </w:r>
      <w:r>
        <w:rPr>
          <w:rFonts w:hint="eastAsia" w:ascii="仿宋" w:hAnsi="仿宋" w:eastAsia="仿宋" w:cs="Times New Roman"/>
          <w:kern w:val="0"/>
          <w:szCs w:val="32"/>
          <w:shd w:val="clear" w:color="auto" w:fill="FFFFFF"/>
          <w:lang w:bidi="ar"/>
        </w:rPr>
        <w:t>压实意识形态工作责任制</w:t>
      </w:r>
      <w:r>
        <w:rPr>
          <w:rFonts w:ascii="仿宋" w:hAnsi="仿宋" w:eastAsia="仿宋" w:cs="Times New Roman"/>
          <w:kern w:val="0"/>
          <w:szCs w:val="32"/>
          <w:shd w:val="clear" w:color="auto" w:fill="FFFFFF"/>
          <w:lang w:bidi="ar"/>
        </w:rPr>
        <w:t>。</w:t>
      </w:r>
    </w:p>
    <w:p w14:paraId="187278E6">
      <w:pPr>
        <w:keepNext w:val="0"/>
        <w:keepLines w:val="0"/>
        <w:pageBreakBefore w:val="0"/>
        <w:kinsoku/>
        <w:wordWrap/>
        <w:overflowPunct/>
        <w:topLinePunct w:val="0"/>
        <w:autoSpaceDE/>
        <w:autoSpaceDN/>
        <w:bidi w:val="0"/>
        <w:adjustRightInd/>
        <w:spacing w:line="580" w:lineRule="exact"/>
        <w:ind w:firstLine="594" w:firstLineChars="185"/>
        <w:jc w:val="left"/>
        <w:textAlignment w:val="auto"/>
        <w:rPr>
          <w:rFonts w:ascii="楷体" w:hAnsi="楷体" w:eastAsia="楷体" w:cs="楷体"/>
          <w:b/>
          <w:bCs/>
          <w:szCs w:val="32"/>
        </w:rPr>
      </w:pPr>
      <w:r>
        <w:rPr>
          <w:rFonts w:hint="eastAsia" w:ascii="楷体" w:hAnsi="楷体" w:eastAsia="楷体" w:cs="楷体"/>
          <w:b/>
          <w:bCs/>
          <w:szCs w:val="32"/>
        </w:rPr>
        <w:t>（二）建强服务保障体系全力维护退役军人合法权益</w:t>
      </w:r>
    </w:p>
    <w:p w14:paraId="6C649419">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cs="仿宋"/>
          <w:kern w:val="0"/>
          <w:szCs w:val="32"/>
        </w:rPr>
      </w:pPr>
      <w:r>
        <w:rPr>
          <w:rFonts w:hint="eastAsia" w:ascii="楷体" w:hAnsi="楷体" w:eastAsia="楷体" w:cs="楷体"/>
          <w:b w:val="0"/>
          <w:bCs w:val="0"/>
          <w:szCs w:val="32"/>
        </w:rPr>
        <w:t>一是服务保障体系全面加强。</w:t>
      </w:r>
      <w:r>
        <w:rPr>
          <w:rFonts w:hint="eastAsia" w:ascii="仿宋" w:hAnsi="仿宋" w:eastAsia="仿宋" w:cs="仿宋"/>
          <w:kern w:val="0"/>
          <w:szCs w:val="32"/>
        </w:rPr>
        <w:t>持续</w:t>
      </w:r>
      <w:r>
        <w:rPr>
          <w:rFonts w:ascii="仿宋" w:hAnsi="仿宋" w:eastAsia="仿宋" w:cs="仿宋"/>
          <w:kern w:val="0"/>
          <w:szCs w:val="32"/>
        </w:rPr>
        <w:t>推动基层退役军人服务保障提质增效</w:t>
      </w:r>
      <w:r>
        <w:rPr>
          <w:rFonts w:hint="eastAsia" w:ascii="仿宋" w:hAnsi="仿宋" w:eastAsia="仿宋" w:cs="仿宋"/>
          <w:kern w:val="0"/>
          <w:szCs w:val="32"/>
        </w:rPr>
        <w:t>，建立常态化关心关爱退役军人联系制度。县乡两级及300人以上村（社区）退役军人服务中心（站）完成示范型服务站创建。县退役军人服务中心、衡山镇退役军人服务站被评为安徽省“百家优秀服务中心（站）”，下符桥镇退役军人服务站刘守旺被评为安徽省“百家优秀主任（站长）。</w:t>
      </w:r>
    </w:p>
    <w:p w14:paraId="2CCB709E">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cs="仿宋"/>
          <w:kern w:val="0"/>
          <w:szCs w:val="32"/>
        </w:rPr>
      </w:pPr>
      <w:r>
        <w:rPr>
          <w:rFonts w:hint="eastAsia" w:ascii="楷体" w:hAnsi="楷体" w:eastAsia="楷体" w:cs="楷体"/>
          <w:b w:val="0"/>
          <w:bCs w:val="0"/>
          <w:szCs w:val="32"/>
        </w:rPr>
        <w:t>二是多举措维护退役军人合法权益。</w:t>
      </w:r>
      <w:r>
        <w:rPr>
          <w:rFonts w:hint="eastAsia" w:ascii="仿宋" w:hAnsi="仿宋" w:eastAsia="仿宋" w:cs="仿宋"/>
          <w:kern w:val="0"/>
          <w:szCs w:val="32"/>
        </w:rPr>
        <w:t>常态化开展“局长有约”，妥善解决信访事项。全年收到来信17件，接待来访43批240余人次，化解矛盾42件，解决合理诉求23件，处理历史遗留问题1</w:t>
      </w:r>
      <w:r>
        <w:rPr>
          <w:rFonts w:ascii="仿宋" w:hAnsi="仿宋" w:eastAsia="仿宋" w:cs="仿宋"/>
          <w:kern w:val="0"/>
          <w:szCs w:val="32"/>
        </w:rPr>
        <w:t>0</w:t>
      </w:r>
      <w:r>
        <w:rPr>
          <w:rFonts w:hint="eastAsia" w:ascii="仿宋" w:hAnsi="仿宋" w:eastAsia="仿宋" w:cs="仿宋"/>
          <w:kern w:val="0"/>
          <w:szCs w:val="32"/>
        </w:rPr>
        <w:t>余件，落实新专项岗位18个，为退役老兵纾难解困。</w:t>
      </w:r>
    </w:p>
    <w:p w14:paraId="7EE06A13">
      <w:pPr>
        <w:keepNext w:val="0"/>
        <w:keepLines w:val="0"/>
        <w:pageBreakBefore w:val="0"/>
        <w:kinsoku/>
        <w:wordWrap/>
        <w:overflowPunct/>
        <w:topLinePunct w:val="0"/>
        <w:autoSpaceDE/>
        <w:autoSpaceDN/>
        <w:bidi w:val="0"/>
        <w:adjustRightInd/>
        <w:spacing w:line="580" w:lineRule="exact"/>
        <w:ind w:firstLine="594" w:firstLineChars="185"/>
        <w:jc w:val="left"/>
        <w:textAlignment w:val="auto"/>
        <w:rPr>
          <w:rFonts w:ascii="楷体" w:hAnsi="楷体" w:eastAsia="楷体" w:cs="楷体"/>
          <w:b/>
          <w:bCs/>
          <w:szCs w:val="32"/>
        </w:rPr>
      </w:pPr>
      <w:r>
        <w:rPr>
          <w:rFonts w:hint="eastAsia" w:ascii="楷体" w:hAnsi="楷体" w:eastAsia="楷体" w:cs="楷体"/>
          <w:b/>
          <w:bCs/>
          <w:szCs w:val="32"/>
        </w:rPr>
        <w:t>（三）严格落实各项优待抚恤政策</w:t>
      </w:r>
    </w:p>
    <w:p w14:paraId="58E7E758">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szCs w:val="32"/>
        </w:rPr>
      </w:pPr>
      <w:r>
        <w:rPr>
          <w:rFonts w:hint="eastAsia" w:ascii="楷体" w:hAnsi="楷体" w:eastAsia="楷体" w:cs="楷体"/>
          <w:b w:val="0"/>
          <w:bCs w:val="0"/>
          <w:szCs w:val="32"/>
        </w:rPr>
        <w:t>一是切实保障优抚对象的合法权益。</w:t>
      </w:r>
      <w:r>
        <w:rPr>
          <w:rFonts w:hint="eastAsia" w:ascii="仿宋" w:hAnsi="仿宋" w:eastAsia="仿宋" w:cs="仿宋"/>
          <w:szCs w:val="32"/>
        </w:rPr>
        <w:t>及时、准确发放各类优抚对象资金，截止目前已为全县2600名重点优抚对象发放定期抚恤补助1872.18万元，医疗救助288人次40.3万元，发放</w:t>
      </w:r>
      <w:r>
        <w:rPr>
          <w:rFonts w:hint="eastAsia" w:ascii="仿宋" w:hAnsi="仿宋" w:eastAsia="仿宋"/>
          <w:szCs w:val="32"/>
        </w:rPr>
        <w:t>义务兵优待金206人361.362万元、重点优抚对象优待金115人68.72万元、大学生入伍义务兵一次性奖励金94人193.5万元、</w:t>
      </w:r>
      <w:r>
        <w:rPr>
          <w:rFonts w:hint="eastAsia" w:ascii="仿宋" w:hAnsi="仿宋" w:eastAsia="仿宋" w:cs="仿宋"/>
          <w:szCs w:val="32"/>
        </w:rPr>
        <w:t>企业军转干困难补助43人101.9万元、慰问金12.9万元、体检费5.16万元，</w:t>
      </w:r>
      <w:r>
        <w:rPr>
          <w:rFonts w:hint="eastAsia" w:ascii="仿宋" w:hAnsi="仿宋" w:eastAsia="仿宋"/>
          <w:szCs w:val="32"/>
        </w:rPr>
        <w:t>企业“两参”人员生活补助26.89万元。做好各类优抚对象身份认定申报，申报60周岁农村义务兵待遇35人、补评残疾军人1人、带病回乡退伍军人2人。</w:t>
      </w:r>
    </w:p>
    <w:p w14:paraId="499EBE93">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szCs w:val="32"/>
        </w:rPr>
      </w:pPr>
      <w:r>
        <w:rPr>
          <w:rFonts w:hint="eastAsia" w:ascii="楷体" w:hAnsi="楷体" w:eastAsia="楷体" w:cs="楷体"/>
          <w:b w:val="0"/>
          <w:bCs w:val="0"/>
          <w:szCs w:val="32"/>
        </w:rPr>
        <w:t>二是积极做好困难退役军人和其他优抚对象关爱帮扶。</w:t>
      </w:r>
      <w:r>
        <w:rPr>
          <w:rFonts w:hint="eastAsia" w:ascii="仿宋" w:hAnsi="仿宋" w:eastAsia="仿宋"/>
          <w:szCs w:val="32"/>
        </w:rPr>
        <w:t>春节、“八一”期间，县、乡、村三级开展走访慰问1100余人次，投入资金75万元。争取市、</w:t>
      </w:r>
      <w:r>
        <w:rPr>
          <w:rFonts w:hint="eastAsia" w:ascii="仿宋" w:hAnsi="仿宋" w:eastAsia="仿宋" w:cs="仿宋"/>
          <w:szCs w:val="32"/>
        </w:rPr>
        <w:t>县关爱帮扶资金65.57万元，为191位困难优抚对象送去帮扶救助。</w:t>
      </w:r>
      <w:r>
        <w:rPr>
          <w:rFonts w:hint="eastAsia" w:ascii="仿宋" w:hAnsi="仿宋" w:eastAsia="仿宋"/>
          <w:szCs w:val="32"/>
        </w:rPr>
        <w:t>投入资金近20万元，改造县光荣院，改善院民生活环境。安排资金3.48万元，</w:t>
      </w:r>
      <w:r>
        <w:rPr>
          <w:rFonts w:hint="eastAsia" w:ascii="仿宋" w:hAnsi="仿宋" w:eastAsia="仿宋" w:cs="仿宋"/>
          <w:szCs w:val="32"/>
        </w:rPr>
        <w:t>组织25位重点优抚对象开展县内短期疗养、</w:t>
      </w:r>
      <w:r>
        <w:rPr>
          <w:rFonts w:hint="eastAsia" w:ascii="仿宋" w:hAnsi="仿宋" w:eastAsia="仿宋"/>
          <w:szCs w:val="32"/>
        </w:rPr>
        <w:t>15位重点优抚对象参加省市短期疗养。</w:t>
      </w:r>
      <w:r>
        <w:rPr>
          <w:rFonts w:hint="eastAsia" w:ascii="仿宋" w:hAnsi="仿宋" w:eastAsia="仿宋" w:cs="仿宋"/>
          <w:szCs w:val="32"/>
        </w:rPr>
        <w:t>重点优抚对象医疗补助“一站式”结算在县医院、县中医院试点。</w:t>
      </w:r>
    </w:p>
    <w:p w14:paraId="1A1F5226">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ascii="仿宋" w:hAnsi="仿宋" w:eastAsia="仿宋" w:cs="仿宋"/>
          <w:b/>
          <w:bCs/>
          <w:szCs w:val="32"/>
        </w:rPr>
      </w:pPr>
      <w:r>
        <w:rPr>
          <w:rFonts w:hint="eastAsia" w:ascii="楷体" w:hAnsi="楷体" w:eastAsia="楷体" w:cs="楷体"/>
          <w:b w:val="0"/>
          <w:bCs w:val="0"/>
          <w:szCs w:val="32"/>
        </w:rPr>
        <w:t>三是扎实开展拥军优属和褒扬宣传。</w:t>
      </w:r>
      <w:r>
        <w:rPr>
          <w:rFonts w:hint="eastAsia" w:ascii="仿宋" w:hAnsi="仿宋" w:eastAsia="仿宋"/>
          <w:bCs/>
          <w:color w:val="000000"/>
          <w:szCs w:val="32"/>
        </w:rPr>
        <w:t>今年以来，收到立功受奖喜报92份，其中荣立二等功1人、三等功12人、四有优秀士兵79份，发放奖金8.15万元，上门为立功受奖现役军人家庭送上喜报和奖励金。向县武警中队赠送健身器材。为牺牲在西藏亚东的2名霍山籍烈士重新修墓刻碑。常态化做好优待证申领，办理拥军卡1148张，共刷卡54369人次。佛子岭大坝、白马尖、六万情峡、铜锣寨景区面向全市退役军人和其他优抚对象免费开放，县乡公交凭证免费乘车。实施“迎驾长城基石工程</w:t>
      </w:r>
      <w:r>
        <w:rPr>
          <w:rFonts w:ascii="仿宋" w:hAnsi="仿宋" w:eastAsia="仿宋"/>
          <w:bCs/>
          <w:color w:val="000000"/>
          <w:szCs w:val="32"/>
        </w:rPr>
        <w:t>”</w:t>
      </w:r>
      <w:r>
        <w:rPr>
          <w:rFonts w:hint="eastAsia" w:ascii="仿宋" w:hAnsi="仿宋" w:eastAsia="仿宋"/>
          <w:bCs/>
          <w:color w:val="000000"/>
          <w:szCs w:val="32"/>
        </w:rPr>
        <w:t>，奖励优秀退役军人、扶持退役军人就业创业以及资助困难退役军人。</w:t>
      </w:r>
      <w:r>
        <w:rPr>
          <w:rFonts w:hint="eastAsia" w:ascii="仿宋" w:hAnsi="仿宋" w:eastAsia="仿宋" w:cs="微软雅黑"/>
          <w:szCs w:val="32"/>
        </w:rPr>
        <w:t>梳理出</w:t>
      </w:r>
      <w:r>
        <w:rPr>
          <w:rFonts w:ascii="仿宋" w:hAnsi="仿宋" w:eastAsia="仿宋"/>
          <w:szCs w:val="32"/>
        </w:rPr>
        <w:t>114</w:t>
      </w:r>
      <w:r>
        <w:rPr>
          <w:rFonts w:hint="eastAsia" w:ascii="仿宋" w:hAnsi="仿宋" w:eastAsia="仿宋" w:cs="微软雅黑"/>
          <w:szCs w:val="32"/>
        </w:rPr>
        <w:t>名符合条件的退役军人名录和事迹并拟录入县志</w:t>
      </w:r>
      <w:r>
        <w:rPr>
          <w:rFonts w:hint="eastAsia" w:ascii="仿宋" w:hAnsi="仿宋" w:eastAsia="仿宋"/>
          <w:bCs/>
          <w:color w:val="000000"/>
          <w:szCs w:val="32"/>
        </w:rPr>
        <w:t>。</w:t>
      </w:r>
    </w:p>
    <w:p w14:paraId="4CB56563">
      <w:pPr>
        <w:pStyle w:val="4"/>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 w:hAnsi="仿宋" w:eastAsia="仿宋"/>
          <w:bCs/>
          <w:color w:val="000000"/>
          <w:sz w:val="32"/>
          <w:szCs w:val="32"/>
        </w:rPr>
      </w:pPr>
      <w:r>
        <w:rPr>
          <w:rFonts w:hint="eastAsia" w:ascii="楷体" w:hAnsi="楷体" w:eastAsia="楷体" w:cs="楷体"/>
          <w:b w:val="0"/>
          <w:bCs w:val="0"/>
          <w:kern w:val="2"/>
          <w:sz w:val="32"/>
          <w:szCs w:val="32"/>
          <w:lang w:val="en-US" w:eastAsia="zh-CN" w:bidi="ar-SA"/>
        </w:rPr>
        <w:t>四是深入落实烈士褒扬政策。</w:t>
      </w:r>
      <w:r>
        <w:rPr>
          <w:rFonts w:hint="eastAsia" w:ascii="仿宋" w:hAnsi="仿宋" w:eastAsia="仿宋"/>
          <w:bCs/>
          <w:color w:val="000000"/>
          <w:sz w:val="32"/>
          <w:szCs w:val="32"/>
        </w:rPr>
        <w:t>全年</w:t>
      </w:r>
      <w:r>
        <w:rPr>
          <w:rFonts w:ascii="仿宋" w:hAnsi="仿宋" w:eastAsia="仿宋"/>
          <w:bCs/>
          <w:color w:val="000000"/>
          <w:sz w:val="32"/>
          <w:szCs w:val="32"/>
        </w:rPr>
        <w:t>发放烈属</w:t>
      </w:r>
      <w:r>
        <w:rPr>
          <w:rFonts w:hint="eastAsia" w:ascii="仿宋" w:hAnsi="仿宋" w:eastAsia="仿宋"/>
          <w:bCs/>
          <w:color w:val="000000"/>
          <w:sz w:val="32"/>
          <w:szCs w:val="32"/>
        </w:rPr>
        <w:t>及</w:t>
      </w:r>
      <w:r>
        <w:rPr>
          <w:rFonts w:ascii="仿宋" w:hAnsi="仿宋" w:eastAsia="仿宋"/>
          <w:bCs/>
          <w:color w:val="000000"/>
          <w:sz w:val="32"/>
          <w:szCs w:val="32"/>
        </w:rPr>
        <w:t>60周岁以上烈士子女抚恤补助</w:t>
      </w:r>
      <w:r>
        <w:rPr>
          <w:rFonts w:hint="eastAsia" w:ascii="仿宋" w:hAnsi="仿宋" w:eastAsia="仿宋"/>
          <w:bCs/>
          <w:color w:val="000000"/>
          <w:sz w:val="32"/>
          <w:szCs w:val="32"/>
        </w:rPr>
        <w:t>1</w:t>
      </w:r>
      <w:r>
        <w:rPr>
          <w:rFonts w:ascii="仿宋" w:hAnsi="仿宋" w:eastAsia="仿宋"/>
          <w:bCs/>
          <w:color w:val="000000"/>
          <w:sz w:val="32"/>
          <w:szCs w:val="32"/>
        </w:rPr>
        <w:t>00</w:t>
      </w:r>
      <w:r>
        <w:rPr>
          <w:rFonts w:hint="eastAsia" w:ascii="仿宋" w:hAnsi="仿宋" w:eastAsia="仿宋"/>
          <w:bCs/>
          <w:color w:val="000000"/>
          <w:sz w:val="32"/>
          <w:szCs w:val="32"/>
        </w:rPr>
        <w:t>余</w:t>
      </w:r>
      <w:r>
        <w:rPr>
          <w:rFonts w:ascii="仿宋" w:hAnsi="仿宋" w:eastAsia="仿宋"/>
          <w:bCs/>
          <w:color w:val="000000"/>
          <w:sz w:val="32"/>
          <w:szCs w:val="32"/>
        </w:rPr>
        <w:t>万元。烈属和老烈子全部由</w:t>
      </w:r>
      <w:r>
        <w:rPr>
          <w:rFonts w:hint="eastAsia" w:ascii="仿宋" w:hAnsi="仿宋" w:eastAsia="仿宋"/>
          <w:bCs/>
          <w:color w:val="000000"/>
          <w:sz w:val="32"/>
          <w:szCs w:val="32"/>
        </w:rPr>
        <w:t>政府</w:t>
      </w:r>
      <w:r>
        <w:rPr>
          <w:rFonts w:ascii="仿宋" w:hAnsi="仿宋" w:eastAsia="仿宋"/>
          <w:bCs/>
          <w:color w:val="000000"/>
          <w:sz w:val="32"/>
          <w:szCs w:val="32"/>
        </w:rPr>
        <w:t>购买医保，</w:t>
      </w:r>
      <w:r>
        <w:rPr>
          <w:rFonts w:hint="eastAsia" w:ascii="仿宋" w:hAnsi="仿宋" w:eastAsia="仿宋"/>
          <w:bCs/>
          <w:color w:val="000000"/>
          <w:sz w:val="32"/>
          <w:szCs w:val="32"/>
        </w:rPr>
        <w:t>生活</w:t>
      </w:r>
      <w:r>
        <w:rPr>
          <w:rFonts w:ascii="仿宋" w:hAnsi="仿宋" w:eastAsia="仿宋"/>
          <w:bCs/>
          <w:color w:val="000000"/>
          <w:sz w:val="32"/>
          <w:szCs w:val="32"/>
        </w:rPr>
        <w:t>困难的优先纳入低保，孤寡的优先享受五保，患病的给予二次报销救助。坚持走访慰问常态化，定期上门看望。</w:t>
      </w:r>
      <w:r>
        <w:rPr>
          <w:rFonts w:hint="eastAsia" w:ascii="仿宋" w:hAnsi="仿宋" w:eastAsia="仿宋"/>
          <w:bCs/>
          <w:color w:val="000000"/>
          <w:sz w:val="32"/>
          <w:szCs w:val="32"/>
        </w:rPr>
        <w:t>完成烈士档案数字化整理归档，2956份革命烈士档案和21件革命烈士登记册移交县档案馆。</w:t>
      </w:r>
    </w:p>
    <w:p w14:paraId="780C3AE0">
      <w:pPr>
        <w:keepNext w:val="0"/>
        <w:keepLines w:val="0"/>
        <w:pageBreakBefore w:val="0"/>
        <w:kinsoku/>
        <w:wordWrap/>
        <w:overflowPunct/>
        <w:topLinePunct w:val="0"/>
        <w:autoSpaceDE/>
        <w:autoSpaceDN/>
        <w:bidi w:val="0"/>
        <w:adjustRightInd/>
        <w:spacing w:line="580" w:lineRule="exact"/>
        <w:ind w:firstLine="594" w:firstLineChars="185"/>
        <w:jc w:val="left"/>
        <w:textAlignment w:val="auto"/>
        <w:rPr>
          <w:rFonts w:ascii="楷体" w:hAnsi="楷体" w:eastAsia="楷体" w:cs="楷体"/>
          <w:b/>
          <w:bCs/>
          <w:szCs w:val="32"/>
        </w:rPr>
      </w:pPr>
      <w:r>
        <w:rPr>
          <w:rFonts w:hint="eastAsia" w:ascii="楷体" w:hAnsi="楷体" w:eastAsia="楷体" w:cs="楷体"/>
          <w:b/>
          <w:bCs/>
          <w:szCs w:val="32"/>
        </w:rPr>
        <w:t>（四）移交安置就业创业精准高效</w:t>
      </w:r>
    </w:p>
    <w:p w14:paraId="2A57A465">
      <w:pPr>
        <w:keepNext w:val="0"/>
        <w:keepLines w:val="0"/>
        <w:pageBreakBefore w:val="0"/>
        <w:kinsoku/>
        <w:wordWrap/>
        <w:overflowPunct/>
        <w:topLinePunct w:val="0"/>
        <w:autoSpaceDE/>
        <w:autoSpaceDN/>
        <w:bidi w:val="0"/>
        <w:adjustRightInd/>
        <w:spacing w:line="580" w:lineRule="exact"/>
        <w:ind w:firstLine="640"/>
        <w:textAlignment w:val="auto"/>
        <w:rPr>
          <w:rFonts w:ascii="仿宋" w:hAnsi="仿宋" w:eastAsia="仿宋" w:cs="仿宋"/>
          <w:szCs w:val="32"/>
        </w:rPr>
      </w:pPr>
      <w:r>
        <w:rPr>
          <w:rFonts w:hint="eastAsia" w:ascii="楷体" w:hAnsi="楷体" w:eastAsia="楷体" w:cs="楷体"/>
          <w:b w:val="0"/>
          <w:bCs w:val="0"/>
          <w:szCs w:val="32"/>
        </w:rPr>
        <w:t>一是顺利完成移交安置任务。</w:t>
      </w:r>
      <w:r>
        <w:rPr>
          <w:rFonts w:hint="eastAsia" w:ascii="仿宋" w:hAnsi="仿宋" w:eastAsia="仿宋" w:cs="仿宋"/>
          <w:szCs w:val="32"/>
        </w:rPr>
        <w:t>2023年，共接收自主就业退役士兵81人，在政务服务大厅设立“一件事”服务窗口。6名接收符合政府安排工作条件退役士兵全部安置到岗。发放待安置期生活补助3</w:t>
      </w:r>
      <w:r>
        <w:rPr>
          <w:rFonts w:ascii="仿宋" w:hAnsi="仿宋" w:eastAsia="仿宋" w:cs="仿宋"/>
          <w:szCs w:val="32"/>
        </w:rPr>
        <w:t>.</w:t>
      </w:r>
      <w:r>
        <w:rPr>
          <w:rFonts w:hint="eastAsia" w:ascii="仿宋" w:hAnsi="仿宋" w:eastAsia="仿宋" w:cs="仿宋"/>
          <w:szCs w:val="32"/>
        </w:rPr>
        <w:t>36万元，接续养老、医疗保险费用4.6万元。落实好军休人员“两项待遇”。</w:t>
      </w:r>
    </w:p>
    <w:p w14:paraId="0218E634">
      <w:pPr>
        <w:keepNext w:val="0"/>
        <w:keepLines w:val="0"/>
        <w:pageBreakBefore w:val="0"/>
        <w:kinsoku/>
        <w:wordWrap/>
        <w:overflowPunct/>
        <w:topLinePunct w:val="0"/>
        <w:autoSpaceDE/>
        <w:autoSpaceDN/>
        <w:bidi w:val="0"/>
        <w:adjustRightInd/>
        <w:spacing w:line="580" w:lineRule="exact"/>
        <w:ind w:firstLine="645"/>
        <w:textAlignment w:val="auto"/>
        <w:rPr>
          <w:rFonts w:ascii="仿宋" w:hAnsi="仿宋" w:eastAsia="仿宋" w:cs="仿宋"/>
          <w:szCs w:val="32"/>
        </w:rPr>
      </w:pPr>
      <w:r>
        <w:rPr>
          <w:rFonts w:hint="eastAsia" w:ascii="楷体" w:hAnsi="楷体" w:eastAsia="楷体" w:cs="楷体"/>
          <w:b w:val="0"/>
          <w:bCs w:val="0"/>
          <w:szCs w:val="32"/>
        </w:rPr>
        <w:t>二是开展退役士兵技能和适应性培训。</w:t>
      </w:r>
      <w:r>
        <w:rPr>
          <w:rFonts w:hint="eastAsia" w:ascii="仿宋" w:hAnsi="仿宋" w:eastAsia="仿宋" w:cs="仿宋"/>
          <w:szCs w:val="32"/>
        </w:rPr>
        <w:t>截止10月底完成技能培训46人，依托县职业学校和两山学院，完成退役士兵适应性培训34人。</w:t>
      </w:r>
    </w:p>
    <w:p w14:paraId="5ECD311D">
      <w:pPr>
        <w:keepNext w:val="0"/>
        <w:keepLines w:val="0"/>
        <w:pageBreakBefore w:val="0"/>
        <w:kinsoku/>
        <w:wordWrap/>
        <w:overflowPunct/>
        <w:topLinePunct w:val="0"/>
        <w:autoSpaceDE/>
        <w:autoSpaceDN/>
        <w:bidi w:val="0"/>
        <w:adjustRightInd/>
        <w:spacing w:line="580" w:lineRule="exact"/>
        <w:ind w:firstLine="640"/>
        <w:textAlignment w:val="auto"/>
        <w:rPr>
          <w:rFonts w:ascii="仿宋" w:hAnsi="仿宋" w:eastAsia="仿宋" w:cs="仿宋"/>
          <w:szCs w:val="32"/>
        </w:rPr>
      </w:pPr>
      <w:r>
        <w:rPr>
          <w:rFonts w:hint="eastAsia" w:ascii="楷体" w:hAnsi="楷体" w:eastAsia="楷体" w:cs="楷体"/>
          <w:b w:val="0"/>
          <w:bCs w:val="0"/>
          <w:szCs w:val="32"/>
        </w:rPr>
        <w:t>三是做好创业培训和就业推荐。</w:t>
      </w:r>
      <w:r>
        <w:rPr>
          <w:rFonts w:hint="eastAsia" w:ascii="仿宋" w:hAnsi="仿宋" w:eastAsia="仿宋" w:cs="仿宋"/>
          <w:szCs w:val="32"/>
        </w:rPr>
        <w:t>举办霍山县第二届IYB创业培训班，10名优秀退役军人参加培训；举办2场退役军人专场招聘会、16家企业带来311个就业岗位，30多名退役军人与招聘企业达成就业意向。举办2023年霍山县创业创新大赛及多场“春风行动”招聘会，推荐崇山瀚海训练基地、极石生物有限公司、步町园艺公司三家军创企业参加省市退役军人创业创新大赛。刘波荣获“2023年安徽省退役军人创业之星”称号。</w:t>
      </w:r>
    </w:p>
    <w:p w14:paraId="5ABE9823">
      <w:pPr>
        <w:keepNext w:val="0"/>
        <w:keepLines w:val="0"/>
        <w:pageBreakBefore w:val="0"/>
        <w:kinsoku/>
        <w:wordWrap/>
        <w:overflowPunct/>
        <w:topLinePunct w:val="0"/>
        <w:autoSpaceDE/>
        <w:autoSpaceDN/>
        <w:bidi w:val="0"/>
        <w:adjustRightInd/>
        <w:spacing w:line="580" w:lineRule="exact"/>
        <w:ind w:firstLine="594" w:firstLineChars="185"/>
        <w:jc w:val="left"/>
        <w:textAlignment w:val="auto"/>
        <w:rPr>
          <w:rFonts w:ascii="楷体" w:hAnsi="楷体" w:eastAsia="楷体" w:cs="楷体"/>
          <w:b/>
          <w:bCs/>
          <w:szCs w:val="32"/>
        </w:rPr>
      </w:pPr>
      <w:r>
        <w:rPr>
          <w:rFonts w:hint="eastAsia" w:ascii="楷体" w:hAnsi="楷体" w:eastAsia="楷体" w:cs="楷体"/>
          <w:b/>
          <w:bCs/>
          <w:szCs w:val="32"/>
        </w:rPr>
        <w:t>（五）褒扬纪念和红色宣传创新发展</w:t>
      </w:r>
    </w:p>
    <w:p w14:paraId="1F586CAF">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ascii="仿宋" w:hAnsi="仿宋" w:eastAsia="仿宋"/>
          <w:szCs w:val="32"/>
        </w:rPr>
      </w:pPr>
      <w:r>
        <w:rPr>
          <w:rFonts w:hint="eastAsia" w:ascii="楷体" w:hAnsi="楷体" w:eastAsia="楷体" w:cs="楷体"/>
          <w:b w:val="0"/>
          <w:bCs w:val="0"/>
          <w:szCs w:val="32"/>
        </w:rPr>
        <w:t>一是提升爱国主义教育基地建设。</w:t>
      </w:r>
      <w:r>
        <w:rPr>
          <w:rFonts w:hint="eastAsia" w:ascii="仿宋" w:hAnsi="仿宋" w:eastAsia="仿宋" w:cs="仿宋"/>
          <w:szCs w:val="32"/>
        </w:rPr>
        <w:t>完成县烈士陵园纪念馆改陈布展。收集革命烈士、老红军等红色物件60余件，举办专题展和英烈事迹专题宣传，在各级媒体发布宣传信息20余篇。打造集瞻仰、教育、休憩为一体的园林景观式陵园。</w:t>
      </w:r>
    </w:p>
    <w:p w14:paraId="23E8B24A">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ascii="仿宋" w:hAnsi="仿宋" w:eastAsia="仿宋" w:cs="仿宋"/>
          <w:szCs w:val="32"/>
        </w:rPr>
      </w:pPr>
      <w:r>
        <w:rPr>
          <w:rFonts w:hint="eastAsia" w:ascii="楷体" w:hAnsi="楷体" w:eastAsia="楷体" w:cs="楷体"/>
          <w:b w:val="0"/>
          <w:bCs w:val="0"/>
          <w:szCs w:val="32"/>
        </w:rPr>
        <w:t>二是组织开展英烈祭扫活动。</w:t>
      </w:r>
      <w:r>
        <w:rPr>
          <w:rFonts w:hint="eastAsia" w:ascii="仿宋" w:hAnsi="仿宋" w:eastAsia="仿宋"/>
          <w:szCs w:val="32"/>
        </w:rPr>
        <w:t>清明节和</w:t>
      </w:r>
      <w:r>
        <w:rPr>
          <w:rFonts w:hint="eastAsia" w:ascii="仿宋" w:hAnsi="仿宋" w:eastAsia="仿宋" w:cs="仿宋"/>
          <w:szCs w:val="32"/>
        </w:rPr>
        <w:t>“9·30”烈士公祭日</w:t>
      </w:r>
      <w:r>
        <w:rPr>
          <w:rFonts w:hint="eastAsia" w:ascii="仿宋" w:hAnsi="仿宋" w:eastAsia="仿宋"/>
          <w:szCs w:val="32"/>
        </w:rPr>
        <w:t>期间，组织开展缅怀革命先烈。</w:t>
      </w:r>
      <w:r>
        <w:rPr>
          <w:rFonts w:hint="eastAsia" w:ascii="仿宋" w:hAnsi="仿宋" w:eastAsia="仿宋" w:cs="仿宋"/>
          <w:szCs w:val="32"/>
        </w:rPr>
        <w:t>全年接待516批4万余人次，充分发挥陵园爱国主义教育基地作用。</w:t>
      </w:r>
    </w:p>
    <w:p w14:paraId="21385A34">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ascii="仿宋" w:hAnsi="仿宋" w:eastAsia="仿宋" w:cs="仿宋"/>
          <w:szCs w:val="32"/>
        </w:rPr>
      </w:pPr>
      <w:r>
        <w:rPr>
          <w:rFonts w:hint="eastAsia" w:ascii="楷体" w:hAnsi="楷体" w:eastAsia="楷体" w:cs="楷体"/>
          <w:b w:val="0"/>
          <w:bCs w:val="0"/>
          <w:szCs w:val="32"/>
        </w:rPr>
        <w:t>三是加强红色宣讲队伍建设。</w:t>
      </w:r>
      <w:r>
        <w:rPr>
          <w:rFonts w:hint="eastAsia" w:ascii="仿宋" w:hAnsi="仿宋" w:eastAsia="仿宋" w:cs="仿宋"/>
          <w:szCs w:val="32"/>
        </w:rPr>
        <w:t>组织讲解员专题培训和外出参观学习，开展练兵比武活动，内强素质，外树形象。先后荣获省级优秀奖1次，市级二等奖1次、三等奖1次，县级二等奖3次。陵园管理处被授予“省级巾帼文明岗”称号。</w:t>
      </w:r>
    </w:p>
    <w:p w14:paraId="2A1B2110">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ascii="仿宋" w:hAnsi="仿宋" w:eastAsia="仿宋" w:cs="仿宋"/>
          <w:szCs w:val="32"/>
        </w:rPr>
      </w:pPr>
      <w:r>
        <w:rPr>
          <w:rFonts w:hint="eastAsia" w:ascii="仿宋" w:hAnsi="仿宋" w:eastAsia="仿宋" w:cs="仿宋"/>
          <w:szCs w:val="32"/>
        </w:rPr>
        <w:t>统筹抓好文明创建、健康机关、平安综治、安全生产、招商引资、作风效能、政务公开、乡村振兴、保密、工会、宗教、统战、群团、档案等工作。</w:t>
      </w:r>
    </w:p>
    <w:p w14:paraId="24FF596C">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黑体" w:hAnsi="黑体" w:eastAsia="黑体" w:cs="微软雅黑"/>
          <w:bCs/>
          <w:szCs w:val="32"/>
        </w:rPr>
      </w:pPr>
      <w:r>
        <w:rPr>
          <w:rFonts w:hint="eastAsia" w:ascii="黑体" w:hAnsi="黑体" w:eastAsia="黑体" w:cs="微软雅黑"/>
          <w:bCs/>
          <w:szCs w:val="32"/>
        </w:rPr>
        <w:t>二、2024年工作安排</w:t>
      </w:r>
    </w:p>
    <w:p w14:paraId="759E8CE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ascii="仿宋" w:hAnsi="仿宋" w:eastAsia="仿宋"/>
          <w:szCs w:val="32"/>
        </w:rPr>
      </w:pPr>
      <w:r>
        <w:rPr>
          <w:rFonts w:hint="eastAsia" w:ascii="仿宋" w:hAnsi="仿宋" w:eastAsia="仿宋" w:cs="仿宋"/>
          <w:b/>
          <w:bCs/>
          <w:szCs w:val="32"/>
        </w:rPr>
        <w:t>一是持续开展习近平新时代中国特色社会主义思想学习教育。</w:t>
      </w:r>
      <w:r>
        <w:rPr>
          <w:rFonts w:hint="eastAsia" w:ascii="仿宋" w:hAnsi="仿宋" w:eastAsia="仿宋" w:cs="仿宋"/>
          <w:szCs w:val="32"/>
        </w:rPr>
        <w:t>推动党员干部学习习近平新时代中国特色社会主义思想常学常新入脑，常思常悟入心，推进学习型党组织建设。</w:t>
      </w:r>
    </w:p>
    <w:p w14:paraId="0442EBFC">
      <w:pPr>
        <w:pStyle w:val="12"/>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二是推进</w:t>
      </w:r>
      <w:r>
        <w:rPr>
          <w:rFonts w:ascii="仿宋" w:hAnsi="仿宋" w:eastAsia="仿宋" w:cs="仿宋"/>
          <w:b/>
          <w:bCs/>
          <w:sz w:val="32"/>
          <w:szCs w:val="32"/>
        </w:rPr>
        <w:t>服务</w:t>
      </w:r>
      <w:r>
        <w:rPr>
          <w:rFonts w:hint="eastAsia" w:ascii="仿宋" w:hAnsi="仿宋" w:eastAsia="仿宋" w:cs="仿宋"/>
          <w:b/>
          <w:bCs/>
          <w:sz w:val="32"/>
          <w:szCs w:val="32"/>
        </w:rPr>
        <w:t>保障</w:t>
      </w:r>
      <w:r>
        <w:rPr>
          <w:rFonts w:ascii="仿宋" w:hAnsi="仿宋" w:eastAsia="仿宋" w:cs="仿宋"/>
          <w:b/>
          <w:bCs/>
          <w:sz w:val="32"/>
          <w:szCs w:val="32"/>
        </w:rPr>
        <w:t>体系转型升级</w:t>
      </w:r>
      <w:r>
        <w:rPr>
          <w:rFonts w:hint="eastAsia" w:ascii="仿宋" w:hAnsi="仿宋" w:eastAsia="仿宋" w:cs="仿宋"/>
          <w:b/>
          <w:bCs/>
          <w:sz w:val="32"/>
          <w:szCs w:val="32"/>
        </w:rPr>
        <w:t>。</w:t>
      </w:r>
      <w:r>
        <w:rPr>
          <w:rFonts w:hint="eastAsia" w:ascii="仿宋" w:hAnsi="仿宋" w:eastAsia="仿宋" w:cs="仿宋"/>
          <w:sz w:val="32"/>
          <w:szCs w:val="32"/>
        </w:rPr>
        <w:t>巩固基层退役军人服务站标准化建设成果，</w:t>
      </w:r>
      <w:r>
        <w:rPr>
          <w:rFonts w:ascii="仿宋" w:hAnsi="仿宋" w:eastAsia="仿宋" w:cs="仿宋"/>
          <w:sz w:val="32"/>
          <w:szCs w:val="32"/>
        </w:rPr>
        <w:t>增强工作人员业务能力</w:t>
      </w:r>
      <w:r>
        <w:rPr>
          <w:rFonts w:hint="eastAsia" w:ascii="仿宋" w:hAnsi="仿宋" w:eastAsia="仿宋" w:cs="仿宋"/>
          <w:sz w:val="32"/>
          <w:szCs w:val="32"/>
        </w:rPr>
        <w:t>，拓展服务功能，提升服务水平。</w:t>
      </w:r>
    </w:p>
    <w:p w14:paraId="08283F05">
      <w:pPr>
        <w:pStyle w:val="10"/>
        <w:keepNext w:val="0"/>
        <w:keepLines w:val="0"/>
        <w:pageBreakBefore w:val="0"/>
        <w:kinsoku/>
        <w:wordWrap/>
        <w:overflowPunct/>
        <w:topLinePunct w:val="0"/>
        <w:autoSpaceDE/>
        <w:autoSpaceDN/>
        <w:bidi w:val="0"/>
        <w:adjustRightInd/>
        <w:spacing w:line="580" w:lineRule="exact"/>
        <w:ind w:firstLine="643"/>
        <w:textAlignment w:val="auto"/>
        <w:rPr>
          <w:rFonts w:ascii="仿宋" w:hAnsi="仿宋" w:eastAsia="仿宋" w:cs="仿宋"/>
          <w:b/>
          <w:bCs/>
          <w:szCs w:val="32"/>
        </w:rPr>
      </w:pPr>
      <w:r>
        <w:rPr>
          <w:rFonts w:hint="eastAsia" w:ascii="仿宋" w:hAnsi="仿宋" w:eastAsia="仿宋" w:cs="仿宋"/>
          <w:b/>
          <w:bCs/>
          <w:szCs w:val="32"/>
        </w:rPr>
        <w:t>三是推动拥军褒扬提质增效。</w:t>
      </w:r>
      <w:r>
        <w:rPr>
          <w:rFonts w:hint="eastAsia" w:ascii="仿宋" w:hAnsi="仿宋" w:eastAsia="仿宋" w:cs="仿宋"/>
          <w:szCs w:val="32"/>
        </w:rPr>
        <w:t>落实落细各项优抚政策，做好重点优抚对象定期生活补助和抚恤金发放，开展重点优抚对象入户清查摸底，及时更新数据。</w:t>
      </w:r>
    </w:p>
    <w:p w14:paraId="2F14CC1A">
      <w:pPr>
        <w:pStyle w:val="10"/>
        <w:keepNext w:val="0"/>
        <w:keepLines w:val="0"/>
        <w:pageBreakBefore w:val="0"/>
        <w:kinsoku/>
        <w:wordWrap/>
        <w:overflowPunct/>
        <w:topLinePunct w:val="0"/>
        <w:autoSpaceDE/>
        <w:autoSpaceDN/>
        <w:bidi w:val="0"/>
        <w:adjustRightInd/>
        <w:spacing w:line="580" w:lineRule="exact"/>
        <w:ind w:firstLine="643"/>
        <w:textAlignment w:val="auto"/>
        <w:rPr>
          <w:rFonts w:ascii="仿宋" w:hAnsi="仿宋" w:eastAsia="仿宋" w:cs="仿宋"/>
          <w:bCs/>
          <w:szCs w:val="32"/>
        </w:rPr>
      </w:pPr>
      <w:r>
        <w:rPr>
          <w:rFonts w:hint="eastAsia" w:ascii="仿宋" w:hAnsi="仿宋" w:eastAsia="仿宋" w:cs="仿宋"/>
          <w:b/>
          <w:szCs w:val="32"/>
        </w:rPr>
        <w:t>四是提升尊军崇军浓厚氛围。</w:t>
      </w:r>
      <w:r>
        <w:rPr>
          <w:rFonts w:hint="eastAsia" w:ascii="仿宋" w:hAnsi="仿宋" w:eastAsia="仿宋" w:cs="仿宋"/>
          <w:szCs w:val="32"/>
        </w:rPr>
        <w:t>用心用情真诚服务，扎实做好拥军优属工作，走访慰问驻霍部队</w:t>
      </w:r>
      <w:r>
        <w:rPr>
          <w:rFonts w:hint="eastAsia" w:ascii="仿宋" w:hAnsi="仿宋" w:eastAsia="仿宋"/>
          <w:szCs w:val="32"/>
        </w:rPr>
        <w:t>官兵和重点优抚对象。</w:t>
      </w:r>
    </w:p>
    <w:p w14:paraId="01F7A41C">
      <w:pPr>
        <w:keepNext w:val="0"/>
        <w:keepLines w:val="0"/>
        <w:pageBreakBefore w:val="0"/>
        <w:kinsoku/>
        <w:wordWrap/>
        <w:overflowPunct/>
        <w:topLinePunct w:val="0"/>
        <w:autoSpaceDE/>
        <w:autoSpaceDN/>
        <w:bidi w:val="0"/>
        <w:adjustRightInd/>
        <w:spacing w:line="580" w:lineRule="exact"/>
        <w:ind w:firstLine="643" w:firstLineChars="200"/>
        <w:textAlignment w:val="auto"/>
        <w:rPr>
          <w:rFonts w:ascii="仿宋" w:hAnsi="仿宋" w:eastAsia="仿宋" w:cs="仿宋"/>
          <w:b/>
          <w:bCs/>
          <w:szCs w:val="32"/>
        </w:rPr>
      </w:pPr>
      <w:r>
        <w:rPr>
          <w:rFonts w:hint="eastAsia" w:ascii="仿宋" w:hAnsi="仿宋" w:eastAsia="仿宋"/>
          <w:b/>
          <w:color w:val="000000"/>
          <w:szCs w:val="32"/>
        </w:rPr>
        <w:t>五是持续做好</w:t>
      </w:r>
      <w:r>
        <w:rPr>
          <w:rFonts w:hint="eastAsia" w:ascii="仿宋" w:hAnsi="仿宋" w:eastAsia="仿宋" w:cs="仿宋"/>
          <w:b/>
          <w:bCs/>
          <w:szCs w:val="32"/>
        </w:rPr>
        <w:t>移交安置和就业创业。</w:t>
      </w:r>
      <w:r>
        <w:rPr>
          <w:rFonts w:hint="eastAsia" w:ascii="仿宋" w:hAnsi="仿宋" w:eastAsia="仿宋" w:cs="仿宋"/>
          <w:szCs w:val="32"/>
        </w:rPr>
        <w:t>广泛宣传动员，引导符合条件退役士兵积极参与职业技能培训。</w:t>
      </w:r>
    </w:p>
    <w:p w14:paraId="1D24D17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ascii="仿宋" w:hAnsi="仿宋" w:eastAsia="仿宋" w:cs="仿宋"/>
          <w:szCs w:val="32"/>
        </w:rPr>
      </w:pPr>
      <w:r>
        <w:rPr>
          <w:rFonts w:hint="eastAsia" w:ascii="仿宋" w:hAnsi="仿宋" w:eastAsia="仿宋" w:cs="仿宋"/>
          <w:b/>
          <w:bCs/>
          <w:szCs w:val="32"/>
        </w:rPr>
        <w:t>六是深入推进褒扬纪念工作。</w:t>
      </w:r>
      <w:r>
        <w:rPr>
          <w:rFonts w:hint="eastAsia" w:ascii="仿宋" w:hAnsi="仿宋" w:eastAsia="仿宋" w:cs="仿宋"/>
          <w:szCs w:val="32"/>
        </w:rPr>
        <w:t>加强烈士陵园等烈士纪念设施管护，发挥好红色阵地作用。</w:t>
      </w:r>
    </w:p>
    <w:p w14:paraId="2213287E">
      <w:pPr>
        <w:keepNext w:val="0"/>
        <w:keepLines w:val="0"/>
        <w:pageBreakBefore w:val="0"/>
        <w:kinsoku/>
        <w:wordWrap/>
        <w:overflowPunct/>
        <w:topLinePunct w:val="0"/>
        <w:autoSpaceDE/>
        <w:autoSpaceDN/>
        <w:bidi w:val="0"/>
        <w:adjustRightInd/>
        <w:spacing w:line="580" w:lineRule="exact"/>
        <w:ind w:firstLine="480" w:firstLineChars="150"/>
        <w:jc w:val="right"/>
        <w:textAlignment w:val="auto"/>
        <w:rPr>
          <w:rFonts w:ascii="仿宋" w:hAnsi="仿宋" w:eastAsia="仿宋" w:cs="仿宋"/>
          <w:szCs w:val="32"/>
        </w:rPr>
      </w:pPr>
    </w:p>
    <w:p w14:paraId="2B8E38DD">
      <w:pPr>
        <w:keepNext w:val="0"/>
        <w:keepLines w:val="0"/>
        <w:pageBreakBefore w:val="0"/>
        <w:kinsoku/>
        <w:wordWrap/>
        <w:overflowPunct/>
        <w:topLinePunct w:val="0"/>
        <w:autoSpaceDE/>
        <w:autoSpaceDN/>
        <w:bidi w:val="0"/>
        <w:adjustRightInd/>
        <w:spacing w:line="580" w:lineRule="exact"/>
        <w:ind w:firstLine="480" w:firstLineChars="150"/>
        <w:jc w:val="right"/>
        <w:textAlignment w:val="auto"/>
        <w:rPr>
          <w:rFonts w:ascii="仿宋" w:hAnsi="仿宋" w:eastAsia="仿宋" w:cs="仿宋"/>
          <w:szCs w:val="32"/>
        </w:rPr>
      </w:pPr>
    </w:p>
    <w:p w14:paraId="08D5EDE2">
      <w:pPr>
        <w:keepNext w:val="0"/>
        <w:keepLines w:val="0"/>
        <w:pageBreakBefore w:val="0"/>
        <w:kinsoku/>
        <w:wordWrap/>
        <w:overflowPunct/>
        <w:topLinePunct w:val="0"/>
        <w:autoSpaceDE/>
        <w:autoSpaceDN/>
        <w:bidi w:val="0"/>
        <w:adjustRightInd/>
        <w:spacing w:line="580" w:lineRule="exact"/>
        <w:ind w:firstLine="480" w:firstLineChars="150"/>
        <w:jc w:val="right"/>
        <w:textAlignment w:val="auto"/>
        <w:rPr>
          <w:rFonts w:ascii="仿宋" w:hAnsi="仿宋" w:eastAsia="仿宋" w:cs="仿宋"/>
          <w:szCs w:val="32"/>
        </w:rPr>
      </w:pPr>
    </w:p>
    <w:p w14:paraId="7AA9D7DF">
      <w:pPr>
        <w:keepNext w:val="0"/>
        <w:keepLines w:val="0"/>
        <w:pageBreakBefore w:val="0"/>
        <w:kinsoku/>
        <w:wordWrap/>
        <w:overflowPunct/>
        <w:topLinePunct w:val="0"/>
        <w:autoSpaceDE/>
        <w:autoSpaceDN/>
        <w:bidi w:val="0"/>
        <w:adjustRightInd/>
        <w:spacing w:line="580" w:lineRule="exact"/>
        <w:ind w:right="320" w:firstLine="480" w:firstLineChars="150"/>
        <w:jc w:val="right"/>
        <w:textAlignment w:val="auto"/>
        <w:rPr>
          <w:rFonts w:ascii="仿宋" w:hAnsi="仿宋" w:eastAsia="仿宋" w:cs="仿宋"/>
          <w:szCs w:val="32"/>
        </w:rPr>
      </w:pPr>
    </w:p>
    <w:p w14:paraId="763166F7">
      <w:pPr>
        <w:keepNext w:val="0"/>
        <w:keepLines w:val="0"/>
        <w:pageBreakBefore w:val="0"/>
        <w:kinsoku/>
        <w:wordWrap/>
        <w:overflowPunct/>
        <w:topLinePunct w:val="0"/>
        <w:autoSpaceDE/>
        <w:autoSpaceDN/>
        <w:bidi w:val="0"/>
        <w:adjustRightInd/>
        <w:spacing w:line="580" w:lineRule="exact"/>
        <w:ind w:right="320" w:firstLine="480" w:firstLineChars="150"/>
        <w:jc w:val="right"/>
        <w:textAlignment w:val="auto"/>
        <w:rPr>
          <w:rFonts w:ascii="仿宋" w:hAnsi="仿宋" w:eastAsia="仿宋" w:cs="仿宋"/>
          <w:szCs w:val="32"/>
        </w:rPr>
      </w:pPr>
      <w:r>
        <w:rPr>
          <w:rFonts w:hint="eastAsia" w:ascii="仿宋" w:hAnsi="仿宋" w:eastAsia="仿宋" w:cs="仿宋"/>
          <w:szCs w:val="32"/>
        </w:rPr>
        <w:t>2023年11月</w:t>
      </w:r>
      <w:r>
        <w:rPr>
          <w:rFonts w:hint="eastAsia" w:ascii="仿宋" w:hAnsi="仿宋" w:eastAsia="仿宋" w:cs="仿宋"/>
          <w:szCs w:val="32"/>
          <w:lang w:val="en-US" w:eastAsia="zh-CN"/>
        </w:rPr>
        <w:t>19</w:t>
      </w:r>
      <w:r>
        <w:rPr>
          <w:rFonts w:hint="eastAsia" w:ascii="仿宋" w:hAnsi="仿宋" w:eastAsia="仿宋" w:cs="仿宋"/>
          <w:szCs w:val="32"/>
        </w:rPr>
        <w:t>日</w:t>
      </w:r>
    </w:p>
    <w:p w14:paraId="365AAD4E">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ascii="仿宋" w:hAnsi="仿宋" w:eastAsia="仿宋" w:cs="仿宋"/>
          <w:szCs w:val="32"/>
        </w:rPr>
      </w:pPr>
    </w:p>
    <w:sectPr>
      <w:footerReference r:id="rId3" w:type="default"/>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D1C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EF38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FEF38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wMGQ4YjVhM2U2Yzg5YTliYzJlMzM0MWM5NWM0YzUifQ=="/>
  </w:docVars>
  <w:rsids>
    <w:rsidRoot w:val="0008638D"/>
    <w:rsid w:val="00015C31"/>
    <w:rsid w:val="0008638D"/>
    <w:rsid w:val="000F7403"/>
    <w:rsid w:val="001602BE"/>
    <w:rsid w:val="002103BB"/>
    <w:rsid w:val="00216A43"/>
    <w:rsid w:val="00297FC0"/>
    <w:rsid w:val="002C5929"/>
    <w:rsid w:val="002F342A"/>
    <w:rsid w:val="00302F05"/>
    <w:rsid w:val="00334599"/>
    <w:rsid w:val="003A486B"/>
    <w:rsid w:val="003E6E0F"/>
    <w:rsid w:val="004927C9"/>
    <w:rsid w:val="004D7A6E"/>
    <w:rsid w:val="00612223"/>
    <w:rsid w:val="00615619"/>
    <w:rsid w:val="00667C29"/>
    <w:rsid w:val="00752CA1"/>
    <w:rsid w:val="007F088C"/>
    <w:rsid w:val="0083570B"/>
    <w:rsid w:val="009401E9"/>
    <w:rsid w:val="009B4E5B"/>
    <w:rsid w:val="00A02558"/>
    <w:rsid w:val="00A512F8"/>
    <w:rsid w:val="00AA164C"/>
    <w:rsid w:val="00AD0203"/>
    <w:rsid w:val="00AE4CAE"/>
    <w:rsid w:val="00B06E73"/>
    <w:rsid w:val="00B21F82"/>
    <w:rsid w:val="00B33463"/>
    <w:rsid w:val="00CE3FAA"/>
    <w:rsid w:val="00D57D8E"/>
    <w:rsid w:val="00D97074"/>
    <w:rsid w:val="00DE6150"/>
    <w:rsid w:val="00E00FB1"/>
    <w:rsid w:val="00EA5C1D"/>
    <w:rsid w:val="00F31981"/>
    <w:rsid w:val="00FA05B9"/>
    <w:rsid w:val="00FA3DBD"/>
    <w:rsid w:val="0155753B"/>
    <w:rsid w:val="0165154A"/>
    <w:rsid w:val="02B0310F"/>
    <w:rsid w:val="02CD7628"/>
    <w:rsid w:val="074A5E11"/>
    <w:rsid w:val="090715AF"/>
    <w:rsid w:val="09324F1A"/>
    <w:rsid w:val="0A454A85"/>
    <w:rsid w:val="0AB97243"/>
    <w:rsid w:val="0CF85DDF"/>
    <w:rsid w:val="0DA25D4B"/>
    <w:rsid w:val="0DA9511A"/>
    <w:rsid w:val="0DB22E19"/>
    <w:rsid w:val="10631C29"/>
    <w:rsid w:val="133F0A67"/>
    <w:rsid w:val="13892235"/>
    <w:rsid w:val="15472462"/>
    <w:rsid w:val="17BA253C"/>
    <w:rsid w:val="1853036D"/>
    <w:rsid w:val="18DC3BBE"/>
    <w:rsid w:val="19AE61A3"/>
    <w:rsid w:val="1EDA17E8"/>
    <w:rsid w:val="1F136A9B"/>
    <w:rsid w:val="205904EB"/>
    <w:rsid w:val="20CC5161"/>
    <w:rsid w:val="216532A0"/>
    <w:rsid w:val="21B26DD5"/>
    <w:rsid w:val="257C4149"/>
    <w:rsid w:val="258143F7"/>
    <w:rsid w:val="259D761D"/>
    <w:rsid w:val="26120070"/>
    <w:rsid w:val="26213F7E"/>
    <w:rsid w:val="277266D7"/>
    <w:rsid w:val="28206160"/>
    <w:rsid w:val="28D66BB2"/>
    <w:rsid w:val="2D5A445D"/>
    <w:rsid w:val="2F1C5505"/>
    <w:rsid w:val="307039CC"/>
    <w:rsid w:val="321A7DF3"/>
    <w:rsid w:val="360E506A"/>
    <w:rsid w:val="36540F8B"/>
    <w:rsid w:val="36716136"/>
    <w:rsid w:val="37435F13"/>
    <w:rsid w:val="381F28E2"/>
    <w:rsid w:val="38714956"/>
    <w:rsid w:val="3B5D4EDB"/>
    <w:rsid w:val="3FCC0D58"/>
    <w:rsid w:val="409F2373"/>
    <w:rsid w:val="40C543F9"/>
    <w:rsid w:val="40D519B8"/>
    <w:rsid w:val="428A56B4"/>
    <w:rsid w:val="43292984"/>
    <w:rsid w:val="43B804D5"/>
    <w:rsid w:val="4775670C"/>
    <w:rsid w:val="490536A5"/>
    <w:rsid w:val="4AB12FE1"/>
    <w:rsid w:val="4AF60EA8"/>
    <w:rsid w:val="50C60C95"/>
    <w:rsid w:val="515661FD"/>
    <w:rsid w:val="5320559C"/>
    <w:rsid w:val="53BF2B5C"/>
    <w:rsid w:val="56576DCE"/>
    <w:rsid w:val="56DB55CF"/>
    <w:rsid w:val="57EA4773"/>
    <w:rsid w:val="58B8779D"/>
    <w:rsid w:val="5975020C"/>
    <w:rsid w:val="599C52A8"/>
    <w:rsid w:val="5B206592"/>
    <w:rsid w:val="5E513A2B"/>
    <w:rsid w:val="62D577E2"/>
    <w:rsid w:val="64271425"/>
    <w:rsid w:val="651346D9"/>
    <w:rsid w:val="66EF1D75"/>
    <w:rsid w:val="6759594F"/>
    <w:rsid w:val="678C7D30"/>
    <w:rsid w:val="67AD5303"/>
    <w:rsid w:val="68BC5EB7"/>
    <w:rsid w:val="6B2B2F4B"/>
    <w:rsid w:val="6CB03771"/>
    <w:rsid w:val="6D5C35D6"/>
    <w:rsid w:val="6E184476"/>
    <w:rsid w:val="6FB74C0D"/>
    <w:rsid w:val="70B623BC"/>
    <w:rsid w:val="71755543"/>
    <w:rsid w:val="7238752D"/>
    <w:rsid w:val="72D043AB"/>
    <w:rsid w:val="74056C4D"/>
    <w:rsid w:val="75AE66E4"/>
    <w:rsid w:val="75B07D22"/>
    <w:rsid w:val="7C923CDE"/>
    <w:rsid w:val="7D197F5B"/>
    <w:rsid w:val="7E5356EF"/>
    <w:rsid w:val="7EA36676"/>
    <w:rsid w:val="7F13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99"/>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Emphasis"/>
    <w:basedOn w:val="7"/>
    <w:qFormat/>
    <w:uiPriority w:val="0"/>
    <w:rPr>
      <w:i/>
    </w:rPr>
  </w:style>
  <w:style w:type="table" w:customStyle="1" w:styleId="9">
    <w:name w:val="Table Normal"/>
    <w:semiHidden/>
    <w:unhideWhenUsed/>
    <w:qFormat/>
    <w:uiPriority w:val="0"/>
    <w:tblPr>
      <w:tblCellMar>
        <w:top w:w="0" w:type="dxa"/>
        <w:left w:w="0" w:type="dxa"/>
        <w:bottom w:w="0" w:type="dxa"/>
        <w:right w:w="0" w:type="dxa"/>
      </w:tblCellMar>
    </w:tblPr>
  </w:style>
  <w:style w:type="paragraph" w:styleId="10">
    <w:name w:val="List Paragraph"/>
    <w:basedOn w:val="1"/>
    <w:qFormat/>
    <w:uiPriority w:val="34"/>
    <w:pPr>
      <w:ind w:firstLine="420" w:firstLineChars="200"/>
    </w:pPr>
  </w:style>
  <w:style w:type="character" w:customStyle="1" w:styleId="11">
    <w:name w:val="r_1_2"/>
    <w:basedOn w:val="7"/>
    <w:qFormat/>
    <w:uiPriority w:val="0"/>
  </w:style>
  <w:style w:type="paragraph" w:customStyle="1" w:styleId="12">
    <w:name w:val="p_0_2"/>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2727</Words>
  <Characters>2878</Characters>
  <Lines>65</Lines>
  <Paragraphs>33</Paragraphs>
  <TotalTime>0</TotalTime>
  <ScaleCrop>false</ScaleCrop>
  <LinksUpToDate>false</LinksUpToDate>
  <CharactersWithSpaces>2879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2023-10-31T01:57:00Z</dcterms:created>
  <dc:creator>Lenovo</dc:creator>
  <cp:lastModifiedBy>江晨晨</cp:lastModifiedBy>
  <cp:lastPrinted>2023-11-09T08:14:00Z</cp:lastPrinted>
  <dcterms:modified xsi:type="dcterms:W3CDTF">2025-03-26T02:58:56Z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A5AC57ACEE1E416380298289ADDE1062_13</vt:lpwstr>
  </property>
  <property fmtid="{D5CDD505-2E9C-101B-9397-08002B2CF9AE}" pid="4" name="KSOTemplateDocerSaveRecord">
    <vt:lpwstr>eyJoZGlkIjoiYTUwMGQ4YjVhM2U2Yzg5YTliYzJlMzM0MWM5NWM0YzUiLCJ1c2VySWQiOiIxMjc0NzM0ODM1In0=</vt:lpwstr>
  </property>
</Properties>
</file>