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33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23CF9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霍山县城市管理行政执法局2021年政府</w:t>
      </w:r>
    </w:p>
    <w:p w14:paraId="4FB1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公开工作年度报告</w:t>
      </w:r>
    </w:p>
    <w:p w14:paraId="789B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</w:t>
      </w:r>
    </w:p>
    <w:p w14:paraId="0FCA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本报告依据《中华人民共和国政府信息公开条例》（国务院令第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号）、《国务院办公厅政府信息与政务公开办公室关于印发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&lt;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中华人民共和国政府信息公开工作年度报告格式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&gt;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的通知》（国办公开办函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和《安徽省政务公开办公室关于做好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年度政府信息公开工作年度报告编制和数据报送工作的通知》要求，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由霍山县城市管理行政执法局结合统计数据编制而成。报告主要包括：总体情况，主动公开政府信息情况，收到和处理政府信息公开申请情况，政府信息公开行政复议、行政诉讼情况，存在的主要问题及改进情况，其他需要报告的事项。本报告中使用数据统计期限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日。报告的电子版可在霍山县人民政府网站下载。</w:t>
      </w:r>
    </w:p>
    <w:p w14:paraId="38B18E7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总体情况</w:t>
      </w:r>
    </w:p>
    <w:p w14:paraId="6515C4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（一）主动公开情况。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霍山县城管局20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年度公开发布五类政府公开信息共计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。主要包括行政处罚、行政许可、其他行政权力的结果信息等。认真对照法律法规和权责清单，全面梳理城管局依法行使的行政权力和依法承担的公共服务职责，更新并公开发布2021年权责清单及监管细则。根据机构设置实际情况，依法及时调整公开局机关、下属职能部门工作职能、机构设置、办公地址、办公时间、联系方式、负责人姓名等信息。及时更新各项行政权力目录及流程，确保栏目中行政许可、处罚、强制、征收、奖励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行为操作流程与政务服务网涉及的办理事项保持一致，并及时公布2021年霍山县权责清单事单动态调整情况，按季度公开行政许可、行政处罚、行政征收、行政奖励、行政强制、其他权利事项结果。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强化重点领域公开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公开生活垃圾分类处置工作总结及成效，发布垃圾分类知识、宣传、通报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0340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我局为确保政务公开网上申请平台畅通，健全完善依申请公开答复机制，进一步规范政务公开答复格式规范，完善政府信息公开指南，做好依申请公开平台迁移补录工作，严格按照《安徽省政府信息公开申请办理答复规范》，办理依申请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受理依申请公开件，无行政复议和行政诉讼。</w:t>
      </w:r>
    </w:p>
    <w:p w14:paraId="32132F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加强领导。我局成立了政务公开工作领导小组，主要领导任组长，分管领导为副组长，各股室负责人为成员，负责对政务公开工作的组织领导，工作协调，确保政务公开工作持续良好开展同时，制定了政务公开年度计划、目标和措施，认真组织实施。二是落实责任。定期召开会议专题研究部署政务公开工作，明确各股室信息公开工作职责，加强考核，严格监督，确保信息公开工作取得实效。三是突出重点。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城市生活垃圾分类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物业管理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违法建设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、依法行政等重点内容进行公开公示，细化公开内容，圆满完成了任务。</w:t>
      </w:r>
    </w:p>
    <w:p w14:paraId="652E49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（四）平台建设情况。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国办及省市关于建设政府信息公开平台要求，规范设置公开指南、公开年报、主动公开、依申请公开等栏目，确定专职人员，全面完善政务公开工作，提升政务公开工作质量。主动对接县政务公开办进一步学习了解政务公开平台信息发布的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作。</w:t>
      </w:r>
    </w:p>
    <w:p w14:paraId="7A2DB1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（五）监督保障。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狠抓内部制约机制，重点以《中华人民共和国政府信息公开条例》实施为突破口，抓好外部监督制约机制的完善，建立健全长效管理机制，形成用制度规范行为、按制度办事、靠制度管人的机制。将政务公开工作与党风廉政建设、行风建设综合进行检查、考评，考评结果纳入岗位目标责任制。使政务公开工作更加扎实、有序开展。</w:t>
      </w:r>
    </w:p>
    <w:p w14:paraId="04397B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455"/>
        <w:gridCol w:w="2455"/>
        <w:gridCol w:w="2192"/>
      </w:tblGrid>
      <w:tr w14:paraId="496C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3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40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1E6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05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15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FF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5F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0B7F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12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AC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CE4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58E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 w14:paraId="1286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DB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EEF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520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BE5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 w14:paraId="4580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3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4F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5487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0A9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E3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105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C8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E6F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640</w:t>
            </w:r>
          </w:p>
        </w:tc>
      </w:tr>
      <w:tr w14:paraId="23AB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3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42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2EB6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BA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1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E11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062F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23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EA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73</w:t>
            </w:r>
          </w:p>
        </w:tc>
      </w:tr>
      <w:tr w14:paraId="42B2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F5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87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BF8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3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F8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791D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1A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1FB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本年收费金额：（单位：万元）</w:t>
            </w:r>
          </w:p>
        </w:tc>
      </w:tr>
      <w:tr w14:paraId="1EE8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4DB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9B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75" w:beforeAutospacing="0" w:after="75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1211.35</w:t>
            </w:r>
          </w:p>
        </w:tc>
      </w:tr>
    </w:tbl>
    <w:p w14:paraId="38A71B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 w14:paraId="53AEF3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 w14:paraId="32E13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2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99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64E46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6DC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FA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DF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EA4BC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0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6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CD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5DA43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620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23504A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C9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14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887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29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C4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F56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3E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CF5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CB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8FA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06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31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DF79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9B5B3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21B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A7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52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22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762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E72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E35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82E5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70737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33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8E1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44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0C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C1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23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E4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F3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BE6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5ECB0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4E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21B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EB6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72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29B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9CA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39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3E5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441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434D9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23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D3A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036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CB5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7D3A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9120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8D5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1BA6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1499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84FA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85388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3D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BA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604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5409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5A1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614D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0F9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436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ACE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FFD4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CE812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3D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DB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4FF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B71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AE8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FD28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B31C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E196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DCB8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8A07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FF4C0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CB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71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43E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898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381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8F7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F0E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1C9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8B32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F0B6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BDDD2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1C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FC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F85E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72F7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5DD9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BE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E9F1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CBD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4D1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D87D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1422F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C9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3F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96D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117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326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37B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13CB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B34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ADE8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590F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F15EA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30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C5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B067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0D5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5CE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678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39E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BFCE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2EB3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A031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0531C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19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4B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F72C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DCD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1C5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99A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DD8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D1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0716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EF9A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AC7B4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85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A6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7725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0769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A4A6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457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FB8E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A94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F3A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B23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0D49D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F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7D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60E6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4C0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E754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E71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FA4C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485D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7BA3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2B5E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02C3E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39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66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553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9A14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DC9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716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8DE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49AF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0449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AA5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08757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C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803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773D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C89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71E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91E8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BDCE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C513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B732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EAB1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DECF1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2A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9A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9A9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F8FD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236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16D0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5C77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721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FBF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2955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F4CE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A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02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4EF8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8FD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1295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04E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17C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0F27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A925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128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FC47E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E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0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106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F21A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CF5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8A1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ABBF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348B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59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0B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5CDA3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23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8A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968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09C1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A27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1B5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403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8223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6560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A2E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923B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3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F1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49F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92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AA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F2D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416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B81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CE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23FB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6E66B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90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E9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0A2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FE8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8C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47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9B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35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23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854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69512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F8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0C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05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89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F4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E75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9E1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E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EC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8E54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B6F1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E9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84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F29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99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E52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EB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8A1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2D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3D22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EB05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27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53F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5EE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4F5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2A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74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27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97D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75" w:beforeAutospacing="0" w:after="75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148413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 w14:paraId="34DEBC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2AA15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F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3C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E51F8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4A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1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1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35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71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8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22183C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7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F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9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E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C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1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D6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E1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F3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B5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91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3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F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CD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EE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E17D7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8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8F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C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6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1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09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A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4E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3D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42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F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0C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40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1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3E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75" w:beforeAutospacing="0" w:after="75" w:afterAutospacing="0" w:line="59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375B30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5788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存在问题:一是信息公开不够及时，缺乏保障监督机制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由于牵涉部门甚广，人员调整调动以及工作对接等原因，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信息公开不够及时、全面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同时参与政务公开上报人员较少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；二是保密审查界限不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晰，各单位对公开的信息没有严格进行保密审查，导致该公开的信息没有及时公开，公开的信息存在保密风险；三是宣传力度不够，民众对该项工作的认知意识较为淡薄，对有关公开信息的查询途径尚不被基层群众所熟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CB3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改进措施：一是加大保障监督力度，政务公开工作涉及工作的方方面面，按照《中华人民共和国政府信息公开条例》的规定，需要及时、全面的公开，保障公民的知情权和监督权，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进一步加强政务公开人员队伍建设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。二是加大政务公开工作的培训，学习相关的业务知识，制定清晰的保密审查工作制度。三是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加大宣传力度，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线上线下多渠道进行宣传，提高知晓率，同时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根据人民群众需求丰富网站，加强互动建设，充分发挥城管领域服务为民作用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14ABC45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其他需要报告的事项</w:t>
      </w:r>
    </w:p>
    <w:p w14:paraId="590A9E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420"/>
        <w:jc w:val="left"/>
        <w:textAlignment w:val="auto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4"/>
          <w:szCs w:val="3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按照《国务院办公厅关于印发（政府信息公开信息处理费管理办法）的通知》（国办函（2020年）109号）规定的按件、按量收费标准，本年度没有产生信息公开处理费。</w:t>
      </w:r>
    </w:p>
    <w:sectPr>
      <w:footerReference r:id="rId3" w:type="default"/>
      <w:pgSz w:w="11906" w:h="16838"/>
      <w:pgMar w:top="1417" w:right="1587" w:bottom="1417" w:left="1587" w:header="113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F85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905A6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905A6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67AC"/>
    <w:multiLevelType w:val="singleLevel"/>
    <w:tmpl w:val="9D1267A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C0AD96"/>
    <w:multiLevelType w:val="singleLevel"/>
    <w:tmpl w:val="EEC0A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NGEyMDEwMzUzZWQ4YmU2NjJlMDU2M2E5MjgwNjQifQ=="/>
  </w:docVars>
  <w:rsids>
    <w:rsidRoot w:val="00000000"/>
    <w:rsid w:val="0BAF0F8A"/>
    <w:rsid w:val="0F220FD9"/>
    <w:rsid w:val="11B320B3"/>
    <w:rsid w:val="147E6F9A"/>
    <w:rsid w:val="1AD05728"/>
    <w:rsid w:val="1D6542C0"/>
    <w:rsid w:val="1D6576FA"/>
    <w:rsid w:val="20D516CA"/>
    <w:rsid w:val="26C6492F"/>
    <w:rsid w:val="2AC2485B"/>
    <w:rsid w:val="42384163"/>
    <w:rsid w:val="48916AAF"/>
    <w:rsid w:val="53553742"/>
    <w:rsid w:val="630559C8"/>
    <w:rsid w:val="64E17566"/>
    <w:rsid w:val="6B902539"/>
    <w:rsid w:val="76B55E51"/>
    <w:rsid w:val="7D8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2236</Words>
  <Characters>2287</Characters>
  <Lines>0</Lines>
  <Paragraphs>0</Paragraphs>
  <TotalTime>38</TotalTime>
  <ScaleCrop>false</ScaleCrop>
  <LinksUpToDate>false</LinksUpToDate>
  <CharactersWithSpaces>2491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2021-12-28T07:25:00Z</dcterms:created>
  <dc:creator>Administrator</dc:creator>
  <cp:lastModifiedBy>Administrator</cp:lastModifiedBy>
  <cp:lastPrinted>2022-01-18T00:36:00Z</cp:lastPrinted>
  <dcterms:modified xsi:type="dcterms:W3CDTF">2025-08-25T07:12:05Z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28EB92F481B14A78AD10DA9324AD9345_13</vt:lpwstr>
  </property>
  <property fmtid="{D5CDD505-2E9C-101B-9397-08002B2CF9AE}" pid="4" name="KSOTemplateDocerSaveRecord">
    <vt:lpwstr>eyJoZGlkIjoiMGEyNGEyMDEwMzUzZWQ4YmU2NjJlMDU2M2E5MjgwNjQifQ==</vt:lpwstr>
  </property>
</Properties>
</file>