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A9B77">
      <w:pPr>
        <w:rPr>
          <w:rFonts w:hint="eastAsia" w:eastAsia="宋体"/>
          <w:lang w:val="en-US" w:eastAsia="zh-CN"/>
        </w:rPr>
      </w:pPr>
      <w:bookmarkStart w:id="0" w:name="OLE_LINK1"/>
    </w:p>
    <w:p w14:paraId="25E82CA2">
      <w:pPr>
        <w:pStyle w:val="34"/>
        <w:rPr>
          <w:color w:val="000000" w:themeColor="text1"/>
          <w14:textFill>
            <w14:solidFill>
              <w14:schemeClr w14:val="tx1"/>
            </w14:solidFill>
          </w14:textFill>
        </w:rPr>
      </w:pPr>
    </w:p>
    <w:p w14:paraId="426A2A7F">
      <w:pPr>
        <w:rPr>
          <w:color w:val="000000" w:themeColor="text1"/>
          <w14:textFill>
            <w14:solidFill>
              <w14:schemeClr w14:val="tx1"/>
            </w14:solidFill>
          </w14:textFill>
        </w:rPr>
      </w:pPr>
    </w:p>
    <w:p w14:paraId="6A0E6508">
      <w:pPr>
        <w:pStyle w:val="20"/>
        <w:rPr>
          <w:color w:val="000000" w:themeColor="text1"/>
          <w14:textFill>
            <w14:solidFill>
              <w14:schemeClr w14:val="tx1"/>
            </w14:solidFill>
          </w14:textFill>
        </w:rPr>
      </w:pPr>
    </w:p>
    <w:p w14:paraId="491DD987">
      <w:pPr>
        <w:rPr>
          <w:color w:val="000000" w:themeColor="text1"/>
          <w14:textFill>
            <w14:solidFill>
              <w14:schemeClr w14:val="tx1"/>
            </w14:solidFill>
          </w14:textFill>
        </w:rPr>
      </w:pPr>
    </w:p>
    <w:p w14:paraId="6C29A489">
      <w:pPr>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ascii="Times New Roman" w:hAnsi="Times New Roman" w:eastAsia="黑体"/>
          <w:color w:val="000000" w:themeColor="text1"/>
          <w:kern w:val="0"/>
          <w:sz w:val="72"/>
          <w:szCs w:val="72"/>
          <w14:textFill>
            <w14:solidFill>
              <w14:schemeClr w14:val="tx1"/>
            </w14:solidFill>
          </w14:textFill>
        </w:rPr>
      </w:pPr>
      <w:r>
        <w:rPr>
          <w:rFonts w:hint="eastAsia" w:ascii="宋体" w:hAnsi="宋体" w:eastAsia="宋体" w:cs="宋体"/>
          <w:color w:val="000000" w:themeColor="text1"/>
          <w:kern w:val="0"/>
          <w:sz w:val="72"/>
          <w:szCs w:val="72"/>
          <w14:textFill>
            <w14:solidFill>
              <w14:schemeClr w14:val="tx1"/>
            </w14:solidFill>
          </w14:textFill>
        </w:rPr>
        <w:t>建设项目环境影响报告表</w:t>
      </w:r>
    </w:p>
    <w:p w14:paraId="5AFF0088">
      <w:pPr>
        <w:pStyle w:val="36"/>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eastAsia="宋体"/>
          <w:color w:val="000000" w:themeColor="text1"/>
          <w:sz w:val="44"/>
          <w:szCs w:val="48"/>
          <w:lang w:eastAsia="zh-CN"/>
          <w14:textFill>
            <w14:solidFill>
              <w14:schemeClr w14:val="tx1"/>
            </w14:solidFill>
          </w14:textFill>
        </w:rPr>
      </w:pPr>
      <w:bookmarkStart w:id="1" w:name="_Hlk57883728"/>
      <w:r>
        <w:rPr>
          <w:rFonts w:hint="eastAsia"/>
          <w:color w:val="000000" w:themeColor="text1"/>
          <w:sz w:val="44"/>
          <w:szCs w:val="48"/>
          <w:lang w:eastAsia="zh-CN"/>
          <w14:textFill>
            <w14:solidFill>
              <w14:schemeClr w14:val="tx1"/>
            </w14:solidFill>
          </w14:textFill>
        </w:rPr>
        <w:t>（生态影响类）</w:t>
      </w:r>
    </w:p>
    <w:p w14:paraId="7E78937E">
      <w:pPr>
        <w:pStyle w:val="36"/>
        <w:ind w:firstLine="492"/>
        <w:rPr>
          <w:color w:val="000000" w:themeColor="text1"/>
          <w14:textFill>
            <w14:solidFill>
              <w14:schemeClr w14:val="tx1"/>
            </w14:solidFill>
          </w14:textFill>
        </w:rPr>
      </w:pPr>
      <w:bookmarkStart w:id="2" w:name="OLE_LINK7"/>
    </w:p>
    <w:p w14:paraId="1DBAA466">
      <w:pPr>
        <w:pStyle w:val="36"/>
        <w:ind w:firstLine="492"/>
        <w:rPr>
          <w:color w:val="000000" w:themeColor="text1"/>
          <w14:textFill>
            <w14:solidFill>
              <w14:schemeClr w14:val="tx1"/>
            </w14:solidFill>
          </w14:textFill>
        </w:rPr>
      </w:pPr>
    </w:p>
    <w:p w14:paraId="35BAFB8D">
      <w:pPr>
        <w:pStyle w:val="36"/>
        <w:ind w:firstLine="492"/>
        <w:rPr>
          <w:color w:val="000000" w:themeColor="text1"/>
          <w14:textFill>
            <w14:solidFill>
              <w14:schemeClr w14:val="tx1"/>
            </w14:solidFill>
          </w14:textFill>
        </w:rPr>
      </w:pPr>
    </w:p>
    <w:p w14:paraId="79F3A975">
      <w:pPr>
        <w:pStyle w:val="36"/>
        <w:ind w:firstLine="492"/>
        <w:rPr>
          <w:color w:val="000000" w:themeColor="text1"/>
          <w14:textFill>
            <w14:solidFill>
              <w14:schemeClr w14:val="tx1"/>
            </w14:solidFill>
          </w14:textFill>
        </w:rPr>
      </w:pPr>
    </w:p>
    <w:p w14:paraId="493ACB3C">
      <w:pPr>
        <w:pStyle w:val="36"/>
        <w:ind w:firstLine="492"/>
        <w:rPr>
          <w:color w:val="000000" w:themeColor="text1"/>
          <w14:textFill>
            <w14:solidFill>
              <w14:schemeClr w14:val="tx1"/>
            </w14:solidFill>
          </w14:textFill>
        </w:rPr>
      </w:pPr>
    </w:p>
    <w:p w14:paraId="0424F0BC">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both"/>
        <w:textAlignment w:val="auto"/>
        <w:rPr>
          <w:rFonts w:hint="default" w:ascii="Times New Roman" w:hAnsi="Times New Roman" w:eastAsia="宋体" w:cs="Times New Roman"/>
          <w:color w:val="000000" w:themeColor="text1"/>
          <w:kern w:val="0"/>
          <w:sz w:val="36"/>
          <w:szCs w:val="36"/>
          <w:lang w:val="en-US" w:eastAsia="zh-CN"/>
          <w14:textFill>
            <w14:solidFill>
              <w14:schemeClr w14:val="tx1"/>
            </w14:solidFill>
          </w14:textFill>
        </w:rPr>
      </w:pPr>
      <w:r>
        <w:rPr>
          <w:rFonts w:hint="default" w:ascii="Times New Roman" w:hAnsi="Times New Roman" w:eastAsia="宋体"/>
          <w:color w:val="000000" w:themeColor="text1"/>
          <w:kern w:val="0"/>
          <w:sz w:val="36"/>
          <w:szCs w:val="36"/>
          <w14:textFill>
            <w14:solidFill>
              <w14:schemeClr w14:val="tx1"/>
            </w14:solidFill>
          </w14:textFill>
        </w:rPr>
        <w:t>项目名称：</w:t>
      </w:r>
      <w:r>
        <w:rPr>
          <w:rFonts w:hint="eastAsia"/>
          <w:color w:val="000000" w:themeColor="text1"/>
          <w:kern w:val="0"/>
          <w:sz w:val="36"/>
          <w:szCs w:val="36"/>
          <w:u w:val="single"/>
          <w:lang w:val="en-US" w:eastAsia="zh-CN"/>
          <w14:textFill>
            <w14:solidFill>
              <w14:schemeClr w14:val="tx1"/>
            </w14:solidFill>
          </w14:textFill>
        </w:rPr>
        <w:t>六安市霍山县排水防涝能力提升项目</w:t>
      </w:r>
    </w:p>
    <w:p w14:paraId="6EA864FA">
      <w:pPr>
        <w:pStyle w:val="36"/>
        <w:ind w:firstLine="492"/>
        <w:rPr>
          <w:rFonts w:hint="eastAsia" w:cs="Times New Roman"/>
          <w:color w:val="000000" w:themeColor="text1"/>
          <w:kern w:val="0"/>
          <w:sz w:val="36"/>
          <w:szCs w:val="36"/>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36"/>
          <w:szCs w:val="36"/>
          <w14:textFill>
            <w14:solidFill>
              <w14:schemeClr w14:val="tx1"/>
            </w14:solidFill>
          </w14:textFill>
        </w:rPr>
        <w:t>建设单位：</w:t>
      </w:r>
      <w:r>
        <w:rPr>
          <w:rFonts w:hint="eastAsia" w:cs="Times New Roman"/>
          <w:color w:val="000000" w:themeColor="text1"/>
          <w:kern w:val="0"/>
          <w:sz w:val="36"/>
          <w:szCs w:val="36"/>
          <w:u w:val="single"/>
          <w:lang w:val="en-US" w:eastAsia="zh-CN"/>
          <w14:textFill>
            <w14:solidFill>
              <w14:schemeClr w14:val="tx1"/>
            </w14:solidFill>
          </w14:textFill>
        </w:rPr>
        <w:t xml:space="preserve">        霍山县水务局            </w:t>
      </w:r>
    </w:p>
    <w:p w14:paraId="6D24E465">
      <w:pPr>
        <w:pStyle w:val="36"/>
        <w:ind w:firstLine="492"/>
        <w:rPr>
          <w:rFonts w:hint="default"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kern w:val="0"/>
          <w:sz w:val="36"/>
          <w:szCs w:val="36"/>
          <w:u w:val="none"/>
          <w:lang w:val="en-US" w:eastAsia="zh-CN"/>
          <w14:textFill>
            <w14:solidFill>
              <w14:schemeClr w14:val="tx1"/>
            </w14:solidFill>
          </w14:textFill>
        </w:rPr>
        <w:t>编制日期：</w:t>
      </w:r>
      <w:r>
        <w:rPr>
          <w:rFonts w:hint="eastAsia" w:cs="Times New Roman"/>
          <w:color w:val="000000" w:themeColor="text1"/>
          <w:kern w:val="0"/>
          <w:sz w:val="36"/>
          <w:szCs w:val="36"/>
          <w:u w:val="singl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20</w:t>
      </w:r>
      <w:r>
        <w:rPr>
          <w:rFonts w:hint="eastAsia" w:cs="Times New Roman"/>
          <w:color w:val="000000" w:themeColor="text1"/>
          <w:kern w:val="0"/>
          <w:sz w:val="36"/>
          <w:szCs w:val="36"/>
          <w:u w:val="single"/>
          <w:lang w:val="en-US" w:eastAsia="zh-CN"/>
          <w14:textFill>
            <w14:solidFill>
              <w14:schemeClr w14:val="tx1"/>
            </w14:solidFill>
          </w14:textFill>
        </w:rPr>
        <w:t>26</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年</w:t>
      </w:r>
      <w:r>
        <w:rPr>
          <w:rFonts w:hint="eastAsia" w:cs="Times New Roman"/>
          <w:color w:val="000000" w:themeColor="text1"/>
          <w:kern w:val="0"/>
          <w:sz w:val="36"/>
          <w:szCs w:val="36"/>
          <w:u w:val="single"/>
          <w:lang w:val="en-US" w:eastAsia="zh-CN"/>
          <w14:textFill>
            <w14:solidFill>
              <w14:schemeClr w14:val="tx1"/>
            </w14:solidFill>
          </w14:textFill>
        </w:rPr>
        <w:t>1</w:t>
      </w:r>
      <w:r>
        <w:rPr>
          <w:rFonts w:hint="eastAsia" w:ascii="Times New Roman" w:hAnsi="Times New Roman" w:eastAsia="宋体" w:cs="Times New Roman"/>
          <w:color w:val="000000" w:themeColor="text1"/>
          <w:kern w:val="0"/>
          <w:sz w:val="36"/>
          <w:szCs w:val="36"/>
          <w:u w:val="single"/>
          <w:lang w:val="en-US" w:eastAsia="zh-CN"/>
          <w14:textFill>
            <w14:solidFill>
              <w14:schemeClr w14:val="tx1"/>
            </w14:solidFill>
          </w14:textFill>
        </w:rPr>
        <w:t>月</w:t>
      </w:r>
      <w:r>
        <w:rPr>
          <w:rFonts w:hint="eastAsia" w:cs="Times New Roman"/>
          <w:color w:val="000000" w:themeColor="text1"/>
          <w:kern w:val="0"/>
          <w:sz w:val="36"/>
          <w:szCs w:val="36"/>
          <w:u w:val="single"/>
          <w:lang w:val="en-US" w:eastAsia="zh-CN"/>
          <w14:textFill>
            <w14:solidFill>
              <w14:schemeClr w14:val="tx1"/>
            </w14:solidFill>
          </w14:textFill>
        </w:rPr>
        <w:t xml:space="preserve">             </w:t>
      </w:r>
    </w:p>
    <w:p w14:paraId="56FED490">
      <w:pPr>
        <w:pStyle w:val="36"/>
        <w:ind w:firstLine="492"/>
        <w:rPr>
          <w:color w:val="000000" w:themeColor="text1"/>
          <w14:textFill>
            <w14:solidFill>
              <w14:schemeClr w14:val="tx1"/>
            </w14:solidFill>
          </w14:textFill>
        </w:rPr>
      </w:pPr>
    </w:p>
    <w:p w14:paraId="529EBA86">
      <w:pPr>
        <w:pStyle w:val="36"/>
        <w:ind w:firstLine="492"/>
        <w:rPr>
          <w:color w:val="000000" w:themeColor="text1"/>
          <w14:textFill>
            <w14:solidFill>
              <w14:schemeClr w14:val="tx1"/>
            </w14:solidFill>
          </w14:textFill>
        </w:rPr>
      </w:pPr>
    </w:p>
    <w:p w14:paraId="6413CF1C">
      <w:pPr>
        <w:pStyle w:val="36"/>
        <w:ind w:firstLine="492"/>
        <w:rPr>
          <w:color w:val="000000" w:themeColor="text1"/>
          <w14:textFill>
            <w14:solidFill>
              <w14:schemeClr w14:val="tx1"/>
            </w14:solidFill>
          </w14:textFill>
        </w:rPr>
      </w:pPr>
    </w:p>
    <w:p w14:paraId="3EC56041">
      <w:pPr>
        <w:pStyle w:val="36"/>
        <w:ind w:firstLine="492"/>
        <w:rPr>
          <w:color w:val="000000" w:themeColor="text1"/>
          <w14:textFill>
            <w14:solidFill>
              <w14:schemeClr w14:val="tx1"/>
            </w14:solidFill>
          </w14:textFill>
        </w:rPr>
      </w:pPr>
    </w:p>
    <w:p w14:paraId="787C5C22">
      <w:pPr>
        <w:keepNext w:val="0"/>
        <w:keepLines w:val="0"/>
        <w:pageBreakBefore w:val="0"/>
        <w:widowControl w:val="0"/>
        <w:kinsoku/>
        <w:wordWrap/>
        <w:overflowPunct/>
        <w:topLinePunct w:val="0"/>
        <w:autoSpaceDE/>
        <w:autoSpaceDN/>
        <w:bidi w:val="0"/>
        <w:adjustRightInd w:val="0"/>
        <w:snapToGrid w:val="0"/>
        <w:spacing w:line="288" w:lineRule="auto"/>
        <w:ind w:firstLine="720" w:firstLineChars="200"/>
        <w:jc w:val="center"/>
        <w:textAlignment w:val="auto"/>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中华人民共和国生态环境部制</w:t>
      </w:r>
      <w:bookmarkEnd w:id="1"/>
      <w:bookmarkEnd w:id="2"/>
    </w:p>
    <w:p w14:paraId="620F7EF3">
      <w:pPr>
        <w:pStyle w:val="2"/>
        <w:rPr>
          <w:color w:val="000000" w:themeColor="text1"/>
          <w:sz w:val="36"/>
          <w:szCs w:val="36"/>
          <w14:textFill>
            <w14:solidFill>
              <w14:schemeClr w14:val="tx1"/>
            </w14:solidFill>
          </w14:textFill>
        </w:rPr>
      </w:pPr>
    </w:p>
    <w:p w14:paraId="090307C7">
      <w:pPr>
        <w:pStyle w:val="2"/>
        <w:rPr>
          <w:color w:val="000000" w:themeColor="text1"/>
          <w:sz w:val="36"/>
          <w:szCs w:val="36"/>
          <w14:textFill>
            <w14:solidFill>
              <w14:schemeClr w14:val="tx1"/>
            </w14:solidFill>
          </w14:textFill>
        </w:rPr>
      </w:pPr>
    </w:p>
    <w:p w14:paraId="31C670DA">
      <w:pPr>
        <w:pStyle w:val="2"/>
        <w:rPr>
          <w:color w:val="000000" w:themeColor="text1"/>
          <w:sz w:val="36"/>
          <w:szCs w:val="36"/>
          <w14:textFill>
            <w14:solidFill>
              <w14:schemeClr w14:val="tx1"/>
            </w14:solidFill>
          </w14:textFill>
        </w:rPr>
      </w:pPr>
    </w:p>
    <w:p w14:paraId="0A393BD1">
      <w:pPr>
        <w:pStyle w:val="2"/>
        <w:rPr>
          <w:color w:val="000000" w:themeColor="text1"/>
          <w:sz w:val="36"/>
          <w:szCs w:val="36"/>
          <w14:textFill>
            <w14:solidFill>
              <w14:schemeClr w14:val="tx1"/>
            </w14:solidFill>
          </w14:textFill>
        </w:rPr>
      </w:pPr>
    </w:p>
    <w:p w14:paraId="6F1CE424">
      <w:pPr>
        <w:pStyle w:val="2"/>
        <w:rPr>
          <w:color w:val="000000" w:themeColor="text1"/>
          <w:sz w:val="36"/>
          <w:szCs w:val="36"/>
          <w14:textFill>
            <w14:solidFill>
              <w14:schemeClr w14:val="tx1"/>
            </w14:solidFill>
          </w14:textFill>
        </w:rPr>
      </w:pPr>
    </w:p>
    <w:p w14:paraId="3CD334F7">
      <w:pPr>
        <w:pStyle w:val="2"/>
        <w:rPr>
          <w:color w:val="000000" w:themeColor="text1"/>
          <w:sz w:val="36"/>
          <w:szCs w:val="36"/>
          <w14:textFill>
            <w14:solidFill>
              <w14:schemeClr w14:val="tx1"/>
            </w14:solidFill>
          </w14:textFill>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7FB6A1E">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02" w:firstLineChars="200"/>
        <w:jc w:val="center"/>
        <w:textAlignment w:val="auto"/>
        <w:outlineLvl w:val="0"/>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pPr>
      <w:bookmarkStart w:id="3" w:name="OLE_LINK2"/>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一、建设项目基本情况</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2"/>
        <w:gridCol w:w="2826"/>
        <w:gridCol w:w="2218"/>
        <w:gridCol w:w="9"/>
        <w:gridCol w:w="2939"/>
      </w:tblGrid>
      <w:tr w14:paraId="58099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4C5D5FE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建设项目名称</w:t>
            </w:r>
          </w:p>
        </w:tc>
        <w:tc>
          <w:tcPr>
            <w:tcW w:w="7992" w:type="dxa"/>
            <w:gridSpan w:val="4"/>
            <w:tcBorders>
              <w:tl2br w:val="nil"/>
              <w:tr2bl w:val="nil"/>
            </w:tcBorders>
            <w:vAlign w:val="center"/>
          </w:tcPr>
          <w:p w14:paraId="2D590E7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六安市霍山县排水防涝能力提升项目</w:t>
            </w:r>
          </w:p>
        </w:tc>
      </w:tr>
      <w:tr w14:paraId="5E9F4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6E20347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项目代码</w:t>
            </w:r>
          </w:p>
        </w:tc>
        <w:tc>
          <w:tcPr>
            <w:tcW w:w="7992" w:type="dxa"/>
            <w:gridSpan w:val="4"/>
            <w:tcBorders>
              <w:tl2br w:val="nil"/>
              <w:tr2bl w:val="nil"/>
            </w:tcBorders>
            <w:vAlign w:val="center"/>
          </w:tcPr>
          <w:p w14:paraId="637753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2511-341525-04-01-946999</w:t>
            </w:r>
          </w:p>
        </w:tc>
      </w:tr>
      <w:tr w14:paraId="0E1EA5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2BFB18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建设单位联系人</w:t>
            </w:r>
          </w:p>
        </w:tc>
        <w:tc>
          <w:tcPr>
            <w:tcW w:w="2826" w:type="dxa"/>
            <w:tcBorders>
              <w:tl2br w:val="nil"/>
              <w:tr2bl w:val="nil"/>
            </w:tcBorders>
            <w:vAlign w:val="center"/>
          </w:tcPr>
          <w:p w14:paraId="7422CBC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p>
        </w:tc>
        <w:tc>
          <w:tcPr>
            <w:tcW w:w="2227" w:type="dxa"/>
            <w:gridSpan w:val="2"/>
            <w:tcBorders>
              <w:tl2br w:val="nil"/>
              <w:tr2bl w:val="nil"/>
            </w:tcBorders>
            <w:vAlign w:val="center"/>
          </w:tcPr>
          <w:p w14:paraId="00C91C8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联系方式</w:t>
            </w:r>
          </w:p>
        </w:tc>
        <w:tc>
          <w:tcPr>
            <w:tcW w:w="2939" w:type="dxa"/>
            <w:tcBorders>
              <w:tl2br w:val="nil"/>
              <w:tr2bl w:val="nil"/>
            </w:tcBorders>
            <w:vAlign w:val="center"/>
          </w:tcPr>
          <w:p w14:paraId="4732E85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bookmarkStart w:id="211" w:name="_GoBack"/>
            <w:bookmarkEnd w:id="211"/>
          </w:p>
        </w:tc>
      </w:tr>
      <w:tr w14:paraId="2CDE0D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7A2AE6E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建设地点</w:t>
            </w:r>
          </w:p>
        </w:tc>
        <w:tc>
          <w:tcPr>
            <w:tcW w:w="7992" w:type="dxa"/>
            <w:gridSpan w:val="4"/>
            <w:tcBorders>
              <w:tl2br w:val="nil"/>
              <w:tr2bl w:val="nil"/>
            </w:tcBorders>
            <w:vAlign w:val="center"/>
          </w:tcPr>
          <w:p w14:paraId="201CA9C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u w:val="single"/>
                <w:lang w:eastAsia="zh-CN"/>
                <w14:textFill>
                  <w14:solidFill>
                    <w14:schemeClr w14:val="tx1"/>
                  </w14:solidFill>
                </w14:textFill>
              </w:rPr>
              <w:t>安徽</w:t>
            </w:r>
            <w:r>
              <w:rPr>
                <w:rFonts w:hint="default" w:ascii="Times New Roman" w:hAnsi="Times New Roman" w:cs="Times New Roman" w:eastAsiaTheme="minorEastAsia"/>
                <w:color w:val="000000" w:themeColor="text1"/>
                <w:sz w:val="24"/>
                <w:highlight w:val="none"/>
                <w14:textFill>
                  <w14:solidFill>
                    <w14:schemeClr w14:val="tx1"/>
                  </w14:solidFill>
                </w14:textFill>
              </w:rPr>
              <w:t>省（自治区）</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六安</w:t>
            </w:r>
            <w:r>
              <w:rPr>
                <w:rFonts w:hint="default" w:ascii="Times New Roman" w:hAnsi="Times New Roman" w:cs="Times New Roman" w:eastAsiaTheme="minorEastAsia"/>
                <w:color w:val="000000" w:themeColor="text1"/>
                <w:sz w:val="24"/>
                <w:highlight w:val="none"/>
                <w14:textFill>
                  <w14:solidFill>
                    <w14:schemeClr w14:val="tx1"/>
                  </w14:solidFill>
                </w14:textFill>
              </w:rPr>
              <w:t>市</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霍山</w:t>
            </w:r>
            <w:r>
              <w:rPr>
                <w:rFonts w:hint="default" w:ascii="Times New Roman" w:hAnsi="Times New Roman" w:cs="Times New Roman" w:eastAsiaTheme="minorEastAsia"/>
                <w:color w:val="000000" w:themeColor="text1"/>
                <w:sz w:val="24"/>
                <w:highlight w:val="none"/>
                <w14:textFill>
                  <w14:solidFill>
                    <w14:schemeClr w14:val="tx1"/>
                  </w14:solidFill>
                </w14:textFill>
              </w:rPr>
              <w:t>县（区）</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衡山镇</w:t>
            </w:r>
            <w:r>
              <w:rPr>
                <w:rFonts w:hint="default" w:ascii="Times New Roman" w:hAnsi="Times New Roman" w:cs="Times New Roman" w:eastAsiaTheme="minorEastAsia"/>
                <w:color w:val="000000" w:themeColor="text1"/>
                <w:sz w:val="24"/>
                <w:highlight w:val="none"/>
                <w14:textFill>
                  <w14:solidFill>
                    <w14:schemeClr w14:val="tx1"/>
                  </w14:solidFill>
                </w14:textFill>
              </w:rPr>
              <w:t>乡（街道）</w:t>
            </w:r>
            <w:r>
              <w:rPr>
                <w:rFonts w:hint="default" w:ascii="Times New Roman" w:hAnsi="Times New Roman" w:cs="Times New Roman" w:eastAsiaTheme="minorEastAsia"/>
                <w:color w:val="000000" w:themeColor="text1"/>
                <w:sz w:val="24"/>
                <w:highlight w:val="none"/>
                <w:u w:val="single"/>
                <w:lang w:val="en-US" w:eastAsia="zh-CN"/>
                <w14:textFill>
                  <w14:solidFill>
                    <w14:schemeClr w14:val="tx1"/>
                  </w14:solidFill>
                </w14:textFill>
              </w:rPr>
              <w:t>/</w:t>
            </w:r>
          </w:p>
        </w:tc>
      </w:tr>
      <w:tr w14:paraId="465363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570EEF8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地理坐标</w:t>
            </w:r>
          </w:p>
        </w:tc>
        <w:tc>
          <w:tcPr>
            <w:tcW w:w="7992" w:type="dxa"/>
            <w:gridSpan w:val="4"/>
            <w:tcBorders>
              <w:tl2br w:val="nil"/>
              <w:tr2bl w:val="nil"/>
            </w:tcBorders>
            <w:vAlign w:val="center"/>
          </w:tcPr>
          <w:p w14:paraId="042060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highlight w:val="none"/>
                <w:lang w:val="en-US" w:eastAsia="zh-CN"/>
                <w14:textFill>
                  <w14:solidFill>
                    <w14:schemeClr w14:val="tx1"/>
                  </w14:solidFill>
                </w14:textFill>
              </w:rPr>
              <w:t>1、区域排涝能力提升工程</w:t>
            </w:r>
          </w:p>
          <w:p w14:paraId="417723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西部新城排涝站中心坐标：</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E</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116</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18</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31.186</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″，N</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31</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15.131</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p>
          <w:p w14:paraId="006D5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北侧边沟起止坐标：E116°16′40.070″，N31°25′4.925″~E116°18′40.888″，N315°257′184593″；</w:t>
            </w:r>
          </w:p>
          <w:p w14:paraId="42F65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六佛路排涝沟起止坐标：E116°16′16.785″，N31°24′58.491″~E116°17′48.887″，N31°25′1.8190″；</w:t>
            </w:r>
          </w:p>
          <w:p w14:paraId="3AE37C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中心排涝沟起止坐标：E116°16′58.179″，N31°24′57.27051″~E116°18'27.952"，N31°25'12.580"；</w:t>
            </w:r>
          </w:p>
          <w:p w14:paraId="6A7D7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项家院排涝沟起止坐标：E116°16'22.736"，N31°24'25.539"~E116°16'14.845"，N31°25'7.587"；</w:t>
            </w:r>
          </w:p>
          <w:p w14:paraId="05DC90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戴家河排涝片起止坐标：E116°16'0.616"，N31°25'39.869"~E116°16'24.676"，N31°26'45.088"；</w:t>
            </w:r>
          </w:p>
          <w:p w14:paraId="63AE33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highlight w:val="none"/>
                <w:lang w:val="en-US" w:eastAsia="zh-CN"/>
                <w14:textFill>
                  <w14:solidFill>
                    <w14:schemeClr w14:val="tx1"/>
                  </w14:solidFill>
                </w14:textFill>
              </w:rPr>
              <w:t>2、城区排涝通道整治工程</w:t>
            </w:r>
          </w:p>
          <w:p w14:paraId="25A59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高庙河排涝通道整治起止坐标：E116°23'26.134"，N31°21'52.919"~E116°20'35.772"，N31°25'33.130"；</w:t>
            </w:r>
          </w:p>
          <w:p w14:paraId="3AB26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柳林河排涝通道整治起止坐标：E116°19'26.049"，N31°22'3.630"~E116°18'43.879"，N31°25'15.159"；</w:t>
            </w:r>
          </w:p>
          <w:p w14:paraId="0614C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新店河排涝通道整治起止坐标：E116°14'46.822"，N31°26'1.601"~E116°15'58.873"，N31°25'51.673"；</w:t>
            </w:r>
          </w:p>
          <w:p w14:paraId="66FF0B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left"/>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幽芳河排涝通道整治起止坐标：E116°21'02.3323"，N31°21'44.1372"~E116°20'42.33</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93"，N31°24'33.0139"；</w:t>
            </w:r>
          </w:p>
          <w:p w14:paraId="5FE7B0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highlight w:val="none"/>
                <w:lang w:val="en-US" w:eastAsia="zh-CN"/>
                <w14:textFill>
                  <w14:solidFill>
                    <w14:schemeClr w14:val="tx1"/>
                  </w14:solidFill>
                </w14:textFill>
              </w:rPr>
              <w:t>3、排水管网改造工程</w:t>
            </w:r>
          </w:p>
          <w:p w14:paraId="754E5D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幽芳河片区排水管网改造起止坐标：E116°21'33.323"，N31°22'4.148"~E116°21'5.706"，N31°24'52.768"；</w:t>
            </w:r>
          </w:p>
          <w:p w14:paraId="79353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柳林河片区排水管网改造起止坐标：E116°19'26.049"，N31°22'3.630"~E116°18'43.879"，N31°25'15.159"；</w:t>
            </w:r>
          </w:p>
          <w:p w14:paraId="543F7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sz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14:textFill>
                  <w14:solidFill>
                    <w14:schemeClr w14:val="tx1"/>
                  </w14:solidFill>
                </w14:textFill>
              </w:rPr>
              <w:t>南岳花都片排水管网新建工程</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中心坐标：E116°20'15.6874"</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N31°23'32.2231"；</w:t>
            </w:r>
          </w:p>
          <w:p w14:paraId="2A46C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衡山工业园片排水管网新建工程中心坐标：E116°18'35.4608"</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N31°24'43.0653"。</w:t>
            </w:r>
          </w:p>
        </w:tc>
      </w:tr>
      <w:tr w14:paraId="78DE6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0" w:hRule="atLeast"/>
          <w:jc w:val="center"/>
        </w:trPr>
        <w:tc>
          <w:tcPr>
            <w:tcW w:w="1022" w:type="dxa"/>
            <w:tcBorders>
              <w:tl2br w:val="nil"/>
              <w:tr2bl w:val="nil"/>
            </w:tcBorders>
            <w:tcMar>
              <w:top w:w="16" w:type="dxa"/>
              <w:left w:w="16" w:type="dxa"/>
              <w:right w:w="16" w:type="dxa"/>
            </w:tcMar>
            <w:vAlign w:val="center"/>
          </w:tcPr>
          <w:p w14:paraId="290E8A9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建设项目行业类别</w:t>
            </w:r>
          </w:p>
        </w:tc>
        <w:tc>
          <w:tcPr>
            <w:tcW w:w="2826" w:type="dxa"/>
            <w:tcBorders>
              <w:tl2br w:val="nil"/>
              <w:tr2bl w:val="nil"/>
            </w:tcBorders>
            <w:vAlign w:val="center"/>
          </w:tcPr>
          <w:p w14:paraId="24A0C7DE">
            <w:pPr>
              <w:keepNext w:val="0"/>
              <w:keepLines w:val="0"/>
              <w:pageBreakBefore w:val="0"/>
              <w:suppressLineNumbers w:val="0"/>
              <w:kinsoku/>
              <w:bidi w:val="0"/>
              <w:adjustRightInd/>
              <w:snapToGrid/>
              <w:spacing w:before="0" w:beforeAutospacing="0" w:after="0" w:afterAutospacing="0" w:line="240" w:lineRule="auto"/>
              <w:ind w:left="0" w:leftChars="0" w:right="0" w:rightChars="0" w:hanging="28" w:firstLineChars="0"/>
              <w:jc w:val="center"/>
              <w:rPr>
                <w:rFonts w:hint="eastAsia"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五十一、水利；12</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highlight w:val="none"/>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防洪除涝工程</w:t>
            </w:r>
            <w:r>
              <w:rPr>
                <w:rFonts w:hint="eastAsia" w:cs="Times New Roman" w:eastAsiaTheme="minorEastAsia"/>
                <w:color w:val="000000" w:themeColor="text1"/>
                <w:sz w:val="24"/>
                <w:highlight w:val="none"/>
                <w:lang w:eastAsia="zh-CN"/>
                <w14:textFill>
                  <w14:solidFill>
                    <w14:schemeClr w14:val="tx1"/>
                  </w14:solidFill>
                </w14:textFill>
              </w:rPr>
              <w:t>；</w:t>
            </w:r>
            <w:r>
              <w:rPr>
                <w:rFonts w:hint="eastAsia" w:cs="Times New Roman" w:eastAsiaTheme="minorEastAsia"/>
                <w:color w:val="000000" w:themeColor="text1"/>
                <w:sz w:val="24"/>
                <w:highlight w:val="none"/>
                <w:lang w:val="en-US" w:eastAsia="zh-CN"/>
                <w14:textFill>
                  <w14:solidFill>
                    <w14:schemeClr w14:val="tx1"/>
                  </w14:solidFill>
                </w14:textFill>
              </w:rPr>
              <w:t>五十二、交通运输业、管道运输业-146城市（镇）管网及管廊建设</w:t>
            </w:r>
          </w:p>
        </w:tc>
        <w:tc>
          <w:tcPr>
            <w:tcW w:w="2218" w:type="dxa"/>
            <w:tcBorders>
              <w:tl2br w:val="nil"/>
              <w:tr2bl w:val="nil"/>
            </w:tcBorders>
            <w:vAlign w:val="center"/>
          </w:tcPr>
          <w:p w14:paraId="3B87BBF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用地（用海）面积（</w:t>
            </w:r>
            <w:r>
              <w:rPr>
                <w:rFonts w:hint="eastAsia" w:cs="Times New Roman" w:eastAsiaTheme="minorEastAsia"/>
                <w:color w:val="000000" w:themeColor="text1"/>
                <w:sz w:val="24"/>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vertAlign w:val="superscript"/>
                <w14:textFill>
                  <w14:solidFill>
                    <w14:schemeClr w14:val="tx1"/>
                  </w14:solidFill>
                </w14:textFill>
              </w:rPr>
              <w:t>2</w:t>
            </w:r>
            <w:r>
              <w:rPr>
                <w:rFonts w:hint="default" w:ascii="Times New Roman" w:hAnsi="Times New Roman" w:cs="Times New Roman" w:eastAsiaTheme="minorEastAsia"/>
                <w:color w:val="000000" w:themeColor="text1"/>
                <w:sz w:val="24"/>
                <w:highlight w:val="none"/>
                <w14:textFill>
                  <w14:solidFill>
                    <w14:schemeClr w14:val="tx1"/>
                  </w14:solidFill>
                </w14:textFill>
              </w:rPr>
              <w:t>）/长度（k</w:t>
            </w:r>
            <w:r>
              <w:rPr>
                <w:rFonts w:hint="eastAsia" w:cs="Times New Roman" w:eastAsiaTheme="minorEastAsia"/>
                <w:color w:val="000000" w:themeColor="text1"/>
                <w:sz w:val="24"/>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4"/>
                <w:highlight w:val="none"/>
                <w14:textFill>
                  <w14:solidFill>
                    <w14:schemeClr w14:val="tx1"/>
                  </w14:solidFill>
                </w14:textFill>
              </w:rPr>
              <w:t>）</w:t>
            </w:r>
          </w:p>
        </w:tc>
        <w:tc>
          <w:tcPr>
            <w:tcW w:w="2948" w:type="dxa"/>
            <w:gridSpan w:val="2"/>
            <w:tcBorders>
              <w:tl2br w:val="nil"/>
              <w:tr2bl w:val="nil"/>
            </w:tcBorders>
            <w:vAlign w:val="center"/>
          </w:tcPr>
          <w:p w14:paraId="481F47D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新建排水管网30.8k</w:t>
            </w:r>
            <w:r>
              <w:rPr>
                <w:rFonts w:hint="eastAsia" w:cs="Times New Roman" w:eastAsiaTheme="minorEastAsia"/>
                <w:color w:val="000000" w:themeColor="text1"/>
                <w:sz w:val="21"/>
                <w:szCs w:val="21"/>
                <w:highlight w:val="none"/>
                <w:lang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highlight w:val="none"/>
                <w:lang w:eastAsia="zh-CN"/>
                <w14:textFill>
                  <w14:solidFill>
                    <w14:schemeClr w14:val="tx1"/>
                  </w14:solidFill>
                </w14:textFill>
              </w:rPr>
              <w:t>；增设西部新城排涝泵站1座，迎驾厂排涝片新建西部新城排涝泵站1座；整治四条排涝通道，总长度25.62公里。</w:t>
            </w:r>
          </w:p>
        </w:tc>
      </w:tr>
      <w:tr w14:paraId="208F88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142D671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建设性质</w:t>
            </w:r>
          </w:p>
        </w:tc>
        <w:tc>
          <w:tcPr>
            <w:tcW w:w="2826" w:type="dxa"/>
            <w:tcBorders>
              <w:tl2br w:val="nil"/>
              <w:tr2bl w:val="nil"/>
            </w:tcBorders>
            <w:vAlign w:val="center"/>
          </w:tcPr>
          <w:p w14:paraId="7FF317B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新建（迁建）</w:t>
            </w:r>
          </w:p>
          <w:p w14:paraId="08C199B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改建</w:t>
            </w:r>
          </w:p>
          <w:p w14:paraId="76656C3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扩建</w:t>
            </w:r>
          </w:p>
          <w:p w14:paraId="583E0B4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14:textFill>
                  <w14:solidFill>
                    <w14:schemeClr w14:val="tx1"/>
                  </w14:solidFill>
                </w14:textFill>
              </w:rPr>
              <w:t>技术改造</w:t>
            </w:r>
          </w:p>
        </w:tc>
        <w:tc>
          <w:tcPr>
            <w:tcW w:w="2218" w:type="dxa"/>
            <w:tcBorders>
              <w:tl2br w:val="nil"/>
              <w:tr2bl w:val="nil"/>
            </w:tcBorders>
            <w:vAlign w:val="center"/>
          </w:tcPr>
          <w:p w14:paraId="5B6F07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建设项目</w:t>
            </w:r>
          </w:p>
          <w:p w14:paraId="1F48613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申报情形</w:t>
            </w:r>
          </w:p>
        </w:tc>
        <w:tc>
          <w:tcPr>
            <w:tcW w:w="2948" w:type="dxa"/>
            <w:gridSpan w:val="2"/>
            <w:tcBorders>
              <w:tl2br w:val="nil"/>
              <w:tr2bl w:val="nil"/>
            </w:tcBorders>
            <w:vAlign w:val="center"/>
          </w:tcPr>
          <w:p w14:paraId="2D55EFD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■首次申报项目</w:t>
            </w:r>
          </w:p>
          <w:p w14:paraId="403E572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□不予批准后再次申报项目</w:t>
            </w:r>
          </w:p>
          <w:p w14:paraId="2940FBA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□超五年重新审核项目</w:t>
            </w:r>
          </w:p>
          <w:p w14:paraId="10E1401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□重大变动重新报批项目</w:t>
            </w:r>
          </w:p>
        </w:tc>
      </w:tr>
      <w:tr w14:paraId="663C16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5803C39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项目审批（核准/备案）部门（选填）</w:t>
            </w:r>
          </w:p>
        </w:tc>
        <w:tc>
          <w:tcPr>
            <w:tcW w:w="2826" w:type="dxa"/>
            <w:tcBorders>
              <w:tl2br w:val="nil"/>
              <w:tr2bl w:val="nil"/>
            </w:tcBorders>
            <w:vAlign w:val="center"/>
          </w:tcPr>
          <w:p w14:paraId="15435524">
            <w:pPr>
              <w:keepNext w:val="0"/>
              <w:keepLines w:val="0"/>
              <w:pageBreakBefore w:val="0"/>
              <w:suppressLineNumbers w:val="0"/>
              <w:kinsoku/>
              <w:bidi w:val="0"/>
              <w:adjustRightInd/>
              <w:snapToGrid/>
              <w:spacing w:before="0" w:beforeAutospacing="0" w:after="0" w:afterAutospacing="0" w:line="240" w:lineRule="auto"/>
              <w:ind w:left="0" w:leftChars="0" w:right="0" w:rightChars="0" w:hanging="28" w:firstLineChars="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霍山县发改委</w:t>
            </w:r>
          </w:p>
        </w:tc>
        <w:tc>
          <w:tcPr>
            <w:tcW w:w="2218" w:type="dxa"/>
            <w:tcBorders>
              <w:tl2br w:val="nil"/>
              <w:tr2bl w:val="nil"/>
            </w:tcBorders>
            <w:vAlign w:val="center"/>
          </w:tcPr>
          <w:p w14:paraId="280547A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项目审批（核准/</w:t>
            </w:r>
          </w:p>
          <w:p w14:paraId="761A1A2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备案）文号（选填）</w:t>
            </w:r>
          </w:p>
        </w:tc>
        <w:tc>
          <w:tcPr>
            <w:tcW w:w="2948" w:type="dxa"/>
            <w:gridSpan w:val="2"/>
            <w:tcBorders>
              <w:tl2br w:val="nil"/>
              <w:tr2bl w:val="nil"/>
            </w:tcBorders>
            <w:vAlign w:val="center"/>
          </w:tcPr>
          <w:p w14:paraId="3A7BBE6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霍发改投资〔</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2025</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2</w:t>
            </w:r>
            <w:r>
              <w:rPr>
                <w:rFonts w:hint="eastAsia" w:cs="Times New Roman" w:eastAsiaTheme="minorEastAsia"/>
                <w:color w:val="000000" w:themeColor="text1"/>
                <w:sz w:val="24"/>
                <w:highlight w:val="none"/>
                <w:lang w:val="en-US" w:eastAsia="zh-CN"/>
                <w14:textFill>
                  <w14:solidFill>
                    <w14:schemeClr w14:val="tx1"/>
                  </w14:solidFill>
                </w14:textFill>
              </w:rPr>
              <w:t>84</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号</w:t>
            </w:r>
          </w:p>
        </w:tc>
      </w:tr>
      <w:tr w14:paraId="262B6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710DBFB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总投资（万元）</w:t>
            </w:r>
          </w:p>
        </w:tc>
        <w:tc>
          <w:tcPr>
            <w:tcW w:w="2826" w:type="dxa"/>
            <w:tcBorders>
              <w:tl2br w:val="nil"/>
              <w:tr2bl w:val="nil"/>
            </w:tcBorders>
            <w:vAlign w:val="center"/>
          </w:tcPr>
          <w:p w14:paraId="19C33264">
            <w:pPr>
              <w:keepNext w:val="0"/>
              <w:keepLines w:val="0"/>
              <w:pageBreakBefore w:val="0"/>
              <w:suppressLineNumbers w:val="0"/>
              <w:kinsoku/>
              <w:bidi w:val="0"/>
              <w:adjustRightInd/>
              <w:snapToGrid/>
              <w:spacing w:before="0" w:beforeAutospacing="0" w:after="0" w:afterAutospacing="0" w:line="240" w:lineRule="auto"/>
              <w:ind w:left="0" w:leftChars="0" w:right="0" w:rightChars="0" w:hanging="28" w:firstLineChars="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39550.68</w:t>
            </w:r>
          </w:p>
        </w:tc>
        <w:tc>
          <w:tcPr>
            <w:tcW w:w="2218" w:type="dxa"/>
            <w:tcBorders>
              <w:tl2br w:val="nil"/>
              <w:tr2bl w:val="nil"/>
            </w:tcBorders>
            <w:tcMar>
              <w:top w:w="16" w:type="dxa"/>
              <w:left w:w="16" w:type="dxa"/>
              <w:right w:w="16" w:type="dxa"/>
            </w:tcMar>
            <w:vAlign w:val="center"/>
          </w:tcPr>
          <w:p w14:paraId="38213D4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环保投资（万元）</w:t>
            </w:r>
          </w:p>
        </w:tc>
        <w:tc>
          <w:tcPr>
            <w:tcW w:w="2948" w:type="dxa"/>
            <w:gridSpan w:val="2"/>
            <w:tcBorders>
              <w:tl2br w:val="nil"/>
              <w:tr2bl w:val="nil"/>
            </w:tcBorders>
            <w:vAlign w:val="center"/>
          </w:tcPr>
          <w:p w14:paraId="08BC53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490</w:t>
            </w:r>
          </w:p>
        </w:tc>
      </w:tr>
      <w:tr w14:paraId="7E2BD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6E55A2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环保投资占比（%）</w:t>
            </w:r>
          </w:p>
        </w:tc>
        <w:tc>
          <w:tcPr>
            <w:tcW w:w="2826" w:type="dxa"/>
            <w:tcBorders>
              <w:tl2br w:val="nil"/>
              <w:tr2bl w:val="nil"/>
            </w:tcBorders>
            <w:vAlign w:val="center"/>
          </w:tcPr>
          <w:p w14:paraId="71DC8A79">
            <w:pPr>
              <w:keepNext w:val="0"/>
              <w:keepLines w:val="0"/>
              <w:pageBreakBefore w:val="0"/>
              <w:suppressLineNumbers w:val="0"/>
              <w:kinsoku/>
              <w:bidi w:val="0"/>
              <w:adjustRightInd/>
              <w:snapToGrid/>
              <w:spacing w:before="0" w:beforeAutospacing="0" w:after="0" w:afterAutospacing="0" w:line="240" w:lineRule="auto"/>
              <w:ind w:left="0" w:leftChars="0" w:right="0" w:rightChars="0" w:hanging="28" w:firstLineChars="0"/>
              <w:jc w:val="cente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eastAsia" w:cs="Times New Roman" w:eastAsiaTheme="minorEastAsia"/>
                <w:color w:val="000000" w:themeColor="text1"/>
                <w:sz w:val="24"/>
                <w:highlight w:val="none"/>
                <w:lang w:val="en-US" w:eastAsia="zh-CN"/>
                <w14:textFill>
                  <w14:solidFill>
                    <w14:schemeClr w14:val="tx1"/>
                  </w14:solidFill>
                </w14:textFill>
              </w:rPr>
              <w:t>1.24</w:t>
            </w: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w:t>
            </w:r>
          </w:p>
        </w:tc>
        <w:tc>
          <w:tcPr>
            <w:tcW w:w="2218" w:type="dxa"/>
            <w:tcBorders>
              <w:tl2br w:val="nil"/>
              <w:tr2bl w:val="nil"/>
            </w:tcBorders>
            <w:tcMar>
              <w:top w:w="16" w:type="dxa"/>
              <w:left w:w="16" w:type="dxa"/>
              <w:right w:w="16" w:type="dxa"/>
            </w:tcMar>
            <w:vAlign w:val="center"/>
          </w:tcPr>
          <w:p w14:paraId="66940FA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施工工期</w:t>
            </w:r>
          </w:p>
        </w:tc>
        <w:tc>
          <w:tcPr>
            <w:tcW w:w="2948" w:type="dxa"/>
            <w:gridSpan w:val="2"/>
            <w:tcBorders>
              <w:tl2br w:val="nil"/>
              <w:tr2bl w:val="nil"/>
            </w:tcBorders>
            <w:vAlign w:val="center"/>
          </w:tcPr>
          <w:p w14:paraId="6D5A78B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eastAsia" w:ascii="Times New Roman" w:hAnsi="Times New Roman" w:cs="Times New Roman" w:eastAsiaTheme="minorEastAsia"/>
                <w:color w:val="000000" w:themeColor="text1"/>
                <w:sz w:val="24"/>
                <w:highlight w:val="none"/>
                <w:lang w:val="en-US" w:eastAsia="zh-CN"/>
                <w14:textFill>
                  <w14:solidFill>
                    <w14:schemeClr w14:val="tx1"/>
                  </w14:solidFill>
                </w14:textFill>
              </w:rPr>
              <w:t>14</w:t>
            </w:r>
            <w:r>
              <w:rPr>
                <w:rFonts w:hint="default" w:ascii="Times New Roman" w:hAnsi="Times New Roman" w:cs="Times New Roman" w:eastAsiaTheme="minorEastAsia"/>
                <w:color w:val="000000" w:themeColor="text1"/>
                <w:sz w:val="24"/>
                <w:highlight w:val="none"/>
                <w14:textFill>
                  <w14:solidFill>
                    <w14:schemeClr w14:val="tx1"/>
                  </w14:solidFill>
                </w14:textFill>
              </w:rPr>
              <w:t>个月</w:t>
            </w:r>
          </w:p>
        </w:tc>
      </w:tr>
      <w:tr w14:paraId="4C0411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1F25BA0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是否开工建设</w:t>
            </w:r>
          </w:p>
        </w:tc>
        <w:tc>
          <w:tcPr>
            <w:tcW w:w="7992" w:type="dxa"/>
            <w:gridSpan w:val="4"/>
            <w:tcBorders>
              <w:tl2br w:val="nil"/>
              <w:tr2bl w:val="nil"/>
            </w:tcBorders>
            <w:vAlign w:val="center"/>
          </w:tcPr>
          <w:p w14:paraId="69D0C10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480" w:firstLineChars="200"/>
              <w:jc w:val="left"/>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■否</w:t>
            </w:r>
          </w:p>
          <w:p w14:paraId="427FC25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480" w:firstLineChars="200"/>
              <w:jc w:val="left"/>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□是：</w:t>
            </w:r>
          </w:p>
        </w:tc>
      </w:tr>
      <w:tr w14:paraId="43792C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3C58746C">
            <w:pPr>
              <w:keepNext w:val="0"/>
              <w:keepLines w:val="0"/>
              <w:pageBreakBefore w:val="0"/>
              <w:suppressLineNumbers w:val="0"/>
              <w:kinsoku/>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专项评价设置情况</w:t>
            </w:r>
          </w:p>
        </w:tc>
        <w:tc>
          <w:tcPr>
            <w:tcW w:w="7992" w:type="dxa"/>
            <w:gridSpan w:val="4"/>
            <w:tcBorders>
              <w:tl2br w:val="nil"/>
              <w:tr2bl w:val="nil"/>
            </w:tcBorders>
            <w:tcMar>
              <w:top w:w="16" w:type="dxa"/>
              <w:left w:w="16" w:type="dxa"/>
              <w:right w:w="16" w:type="dxa"/>
            </w:tcMar>
            <w:vAlign w:val="center"/>
          </w:tcPr>
          <w:p w14:paraId="690CDF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表1-1  专项评价设置原则表</w:t>
            </w:r>
          </w:p>
          <w:tbl>
            <w:tblPr>
              <w:tblStyle w:val="26"/>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4298"/>
              <w:gridCol w:w="1652"/>
              <w:gridCol w:w="1069"/>
            </w:tblGrid>
            <w:tr w14:paraId="3E89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 w:type="dxa"/>
                  <w:tcBorders>
                    <w:tl2br w:val="nil"/>
                    <w:tr2bl w:val="nil"/>
                  </w:tcBorders>
                  <w:vAlign w:val="center"/>
                </w:tcPr>
                <w:p w14:paraId="15668CD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t>专项评价类别</w:t>
                  </w:r>
                </w:p>
              </w:tc>
              <w:tc>
                <w:tcPr>
                  <w:tcW w:w="4298" w:type="dxa"/>
                  <w:tcBorders>
                    <w:tl2br w:val="nil"/>
                    <w:tr2bl w:val="nil"/>
                  </w:tcBorders>
                  <w:vAlign w:val="center"/>
                </w:tcPr>
                <w:p w14:paraId="6487EC2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t>涉及项目类别</w:t>
                  </w:r>
                </w:p>
              </w:tc>
              <w:tc>
                <w:tcPr>
                  <w:tcW w:w="1652" w:type="dxa"/>
                  <w:tcBorders>
                    <w:tl2br w:val="nil"/>
                    <w:tr2bl w:val="nil"/>
                  </w:tcBorders>
                  <w:vAlign w:val="center"/>
                </w:tcPr>
                <w:p w14:paraId="084AD6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t>本项目</w:t>
                  </w:r>
                </w:p>
              </w:tc>
              <w:tc>
                <w:tcPr>
                  <w:tcW w:w="1069" w:type="dxa"/>
                  <w:tcBorders>
                    <w:tl2br w:val="nil"/>
                    <w:tr2bl w:val="nil"/>
                  </w:tcBorders>
                  <w:vAlign w:val="center"/>
                </w:tcPr>
                <w:p w14:paraId="6FA244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vertAlign w:val="baseline"/>
                      <w:lang w:val="en-US" w:eastAsia="zh-CN"/>
                      <w14:textFill>
                        <w14:solidFill>
                          <w14:schemeClr w14:val="tx1"/>
                        </w14:solidFill>
                      </w14:textFill>
                    </w:rPr>
                    <w:t>专项评价设置情况</w:t>
                  </w:r>
                </w:p>
              </w:tc>
            </w:tr>
            <w:tr w14:paraId="3DBF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Borders>
                    <w:tl2br w:val="nil"/>
                    <w:tr2bl w:val="nil"/>
                  </w:tcBorders>
                  <w:vAlign w:val="center"/>
                </w:tcPr>
                <w:p w14:paraId="0504A4D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地表水</w:t>
                  </w:r>
                </w:p>
              </w:tc>
              <w:tc>
                <w:tcPr>
                  <w:tcW w:w="4298" w:type="dxa"/>
                  <w:tcBorders>
                    <w:tl2br w:val="nil"/>
                    <w:tr2bl w:val="nil"/>
                  </w:tcBorders>
                  <w:vAlign w:val="center"/>
                </w:tcPr>
                <w:p w14:paraId="2D068E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水力发电：引水式发电、涉及调峰发电的项目；</w:t>
                  </w:r>
                </w:p>
                <w:p w14:paraId="3308922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人工湖、人工湿地：全部；</w:t>
                  </w:r>
                </w:p>
                <w:p w14:paraId="5F5656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水库：全部；</w:t>
                  </w:r>
                </w:p>
                <w:p w14:paraId="7A2DD0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引水工程：全部（配套的管线工程等除外）；</w:t>
                  </w:r>
                </w:p>
                <w:p w14:paraId="62D8D4F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防洪除涝工程：包含水库的项目；</w:t>
                  </w:r>
                </w:p>
                <w:p w14:paraId="3D8E8E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河湖整治：涉及清淤且底泥存在重金属污染的项目</w:t>
                  </w:r>
                </w:p>
              </w:tc>
              <w:tc>
                <w:tcPr>
                  <w:tcW w:w="1652" w:type="dxa"/>
                  <w:tcBorders>
                    <w:tl2br w:val="nil"/>
                    <w:tr2bl w:val="nil"/>
                  </w:tcBorders>
                  <w:vAlign w:val="center"/>
                </w:tcPr>
                <w:p w14:paraId="3C48E0D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本项目为排水防涝能力提升项目，不包含水库</w:t>
                  </w:r>
                  <w:r>
                    <w:rPr>
                      <w:rFonts w:hint="eastAsia" w:cs="Times New Roman" w:eastAsiaTheme="minorEastAsia"/>
                      <w:color w:val="000000" w:themeColor="text1"/>
                      <w:kern w:val="0"/>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涉及清淤</w:t>
                  </w:r>
                  <w:r>
                    <w:rPr>
                      <w:rFonts w:hint="eastAsia" w:cs="Times New Roman" w:eastAsiaTheme="minorEastAsia"/>
                      <w:color w:val="000000" w:themeColor="text1"/>
                      <w:kern w:val="0"/>
                      <w:sz w:val="21"/>
                      <w:szCs w:val="21"/>
                      <w:highlight w:val="none"/>
                      <w:vertAlign w:val="baseline"/>
                      <w:lang w:val="en-US" w:eastAsia="zh-CN"/>
                      <w14:textFill>
                        <w14:solidFill>
                          <w14:schemeClr w14:val="tx1"/>
                        </w14:solidFill>
                      </w14:textFill>
                    </w:rPr>
                    <w:t>，不涉及</w:t>
                  </w: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底泥存在重金属污染</w:t>
                  </w:r>
                </w:p>
              </w:tc>
              <w:tc>
                <w:tcPr>
                  <w:tcW w:w="1069" w:type="dxa"/>
                  <w:tcBorders>
                    <w:tl2br w:val="nil"/>
                    <w:tr2bl w:val="nil"/>
                  </w:tcBorders>
                  <w:vAlign w:val="center"/>
                </w:tcPr>
                <w:p w14:paraId="46BD182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不设置</w:t>
                  </w:r>
                </w:p>
              </w:tc>
            </w:tr>
            <w:tr w14:paraId="6BF95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Borders>
                    <w:tl2br w:val="nil"/>
                    <w:tr2bl w:val="nil"/>
                  </w:tcBorders>
                  <w:vAlign w:val="center"/>
                </w:tcPr>
                <w:p w14:paraId="78E87B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地下水</w:t>
                  </w:r>
                </w:p>
              </w:tc>
              <w:tc>
                <w:tcPr>
                  <w:tcW w:w="4298" w:type="dxa"/>
                  <w:tcBorders>
                    <w:tl2br w:val="nil"/>
                    <w:tr2bl w:val="nil"/>
                  </w:tcBorders>
                  <w:vAlign w:val="center"/>
                </w:tcPr>
                <w:p w14:paraId="70BE48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陆地石油和天然气开采：全部；</w:t>
                  </w:r>
                </w:p>
                <w:p w14:paraId="722003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地下水（含矿泉水）开采：全部；</w:t>
                  </w:r>
                </w:p>
                <w:p w14:paraId="6FD758C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水利、水电、交通等：含穿越可溶岩地层隧道的项目</w:t>
                  </w:r>
                </w:p>
              </w:tc>
              <w:tc>
                <w:tcPr>
                  <w:tcW w:w="1652" w:type="dxa"/>
                  <w:tcBorders>
                    <w:tl2br w:val="nil"/>
                    <w:tr2bl w:val="nil"/>
                  </w:tcBorders>
                  <w:vAlign w:val="center"/>
                </w:tcPr>
                <w:p w14:paraId="5B5217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本项目不涉及</w:t>
                  </w:r>
                </w:p>
              </w:tc>
              <w:tc>
                <w:tcPr>
                  <w:tcW w:w="1069" w:type="dxa"/>
                  <w:tcBorders>
                    <w:tl2br w:val="nil"/>
                    <w:tr2bl w:val="nil"/>
                  </w:tcBorders>
                  <w:vAlign w:val="center"/>
                </w:tcPr>
                <w:p w14:paraId="63813F7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不设置</w:t>
                  </w:r>
                </w:p>
              </w:tc>
            </w:tr>
            <w:tr w14:paraId="1DC8E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Borders>
                    <w:tl2br w:val="nil"/>
                    <w:tr2bl w:val="nil"/>
                  </w:tcBorders>
                  <w:vAlign w:val="center"/>
                </w:tcPr>
                <w:p w14:paraId="5F13ED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生态</w:t>
                  </w:r>
                </w:p>
              </w:tc>
              <w:tc>
                <w:tcPr>
                  <w:tcW w:w="4298" w:type="dxa"/>
                  <w:tcBorders>
                    <w:tl2br w:val="nil"/>
                    <w:tr2bl w:val="nil"/>
                  </w:tcBorders>
                  <w:vAlign w:val="center"/>
                </w:tcPr>
                <w:p w14:paraId="510375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涉及环境敏感区(不包括饮用水水源保护区，以居住、医疗卫生、文化教育、科研、行政办公为主要功能的区域，以及文物保护单位)的项目。</w:t>
                  </w:r>
                </w:p>
              </w:tc>
              <w:tc>
                <w:tcPr>
                  <w:tcW w:w="1652" w:type="dxa"/>
                  <w:tcBorders>
                    <w:tl2br w:val="nil"/>
                    <w:tr2bl w:val="nil"/>
                  </w:tcBorders>
                  <w:vAlign w:val="center"/>
                </w:tcPr>
                <w:p w14:paraId="26E41E7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本项目涉及环境敏感区</w:t>
                  </w:r>
                </w:p>
              </w:tc>
              <w:tc>
                <w:tcPr>
                  <w:tcW w:w="1069" w:type="dxa"/>
                  <w:tcBorders>
                    <w:tl2br w:val="nil"/>
                    <w:tr2bl w:val="nil"/>
                  </w:tcBorders>
                  <w:vAlign w:val="center"/>
                </w:tcPr>
                <w:p w14:paraId="301D42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设置</w:t>
                  </w:r>
                </w:p>
              </w:tc>
            </w:tr>
            <w:tr w14:paraId="3419C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Borders>
                    <w:tl2br w:val="nil"/>
                    <w:tr2bl w:val="nil"/>
                  </w:tcBorders>
                  <w:vAlign w:val="center"/>
                </w:tcPr>
                <w:p w14:paraId="4C45C3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大气</w:t>
                  </w:r>
                </w:p>
              </w:tc>
              <w:tc>
                <w:tcPr>
                  <w:tcW w:w="4298" w:type="dxa"/>
                  <w:tcBorders>
                    <w:tl2br w:val="nil"/>
                    <w:tr2bl w:val="nil"/>
                  </w:tcBorders>
                  <w:vAlign w:val="center"/>
                </w:tcPr>
                <w:p w14:paraId="4A430B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油气、液体化工码头：全部；</w:t>
                  </w:r>
                </w:p>
                <w:p w14:paraId="3502D8B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干散货（含煤炭、矿石）、件杂、多用途、通用码头：涉及粉尘、挥发性有机物排放的项目</w:t>
                  </w:r>
                </w:p>
              </w:tc>
              <w:tc>
                <w:tcPr>
                  <w:tcW w:w="1652" w:type="dxa"/>
                  <w:tcBorders>
                    <w:tl2br w:val="nil"/>
                    <w:tr2bl w:val="nil"/>
                  </w:tcBorders>
                  <w:vAlign w:val="center"/>
                </w:tcPr>
                <w:p w14:paraId="6BFBDE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本项目不涉及</w:t>
                  </w:r>
                </w:p>
              </w:tc>
              <w:tc>
                <w:tcPr>
                  <w:tcW w:w="1069" w:type="dxa"/>
                  <w:tcBorders>
                    <w:tl2br w:val="nil"/>
                    <w:tr2bl w:val="nil"/>
                  </w:tcBorders>
                  <w:vAlign w:val="center"/>
                </w:tcPr>
                <w:p w14:paraId="30E805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不设置</w:t>
                  </w:r>
                </w:p>
              </w:tc>
            </w:tr>
            <w:tr w14:paraId="6A0F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Borders>
                    <w:tl2br w:val="nil"/>
                    <w:tr2bl w:val="nil"/>
                  </w:tcBorders>
                  <w:vAlign w:val="center"/>
                </w:tcPr>
                <w:p w14:paraId="2BFF93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噪声</w:t>
                  </w:r>
                </w:p>
              </w:tc>
              <w:tc>
                <w:tcPr>
                  <w:tcW w:w="4298" w:type="dxa"/>
                  <w:tcBorders>
                    <w:tl2br w:val="nil"/>
                    <w:tr2bl w:val="nil"/>
                  </w:tcBorders>
                  <w:vAlign w:val="center"/>
                </w:tcPr>
                <w:p w14:paraId="5DAA3F1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公路、铁路、机场等交通运输业涉及环境敏感区（以居住、医疗卫生、文化教育、科研、行政办公为主要功能的区域）的项目；</w:t>
                  </w:r>
                </w:p>
                <w:p w14:paraId="2349E1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城市道路（不含维护，不含支路、人行天桥、人行地道）：全部</w:t>
                  </w:r>
                </w:p>
              </w:tc>
              <w:tc>
                <w:tcPr>
                  <w:tcW w:w="1652" w:type="dxa"/>
                  <w:tcBorders>
                    <w:tl2br w:val="nil"/>
                    <w:tr2bl w:val="nil"/>
                  </w:tcBorders>
                  <w:vAlign w:val="center"/>
                </w:tcPr>
                <w:p w14:paraId="4164E9C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本项目不涉及道路建设</w:t>
                  </w:r>
                </w:p>
              </w:tc>
              <w:tc>
                <w:tcPr>
                  <w:tcW w:w="1069" w:type="dxa"/>
                  <w:tcBorders>
                    <w:tl2br w:val="nil"/>
                    <w:tr2bl w:val="nil"/>
                  </w:tcBorders>
                  <w:vAlign w:val="center"/>
                </w:tcPr>
                <w:p w14:paraId="1852BE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不设置</w:t>
                  </w:r>
                </w:p>
              </w:tc>
            </w:tr>
            <w:tr w14:paraId="4BCD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 w:type="dxa"/>
                  <w:tcBorders>
                    <w:tl2br w:val="nil"/>
                    <w:tr2bl w:val="nil"/>
                  </w:tcBorders>
                  <w:vAlign w:val="center"/>
                </w:tcPr>
                <w:p w14:paraId="3ADBB1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环境风险</w:t>
                  </w:r>
                </w:p>
              </w:tc>
              <w:tc>
                <w:tcPr>
                  <w:tcW w:w="4298" w:type="dxa"/>
                  <w:tcBorders>
                    <w:tl2br w:val="nil"/>
                    <w:tr2bl w:val="nil"/>
                  </w:tcBorders>
                  <w:vAlign w:val="center"/>
                </w:tcPr>
                <w:p w14:paraId="7733E4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石油和天然气开采：全部；</w:t>
                  </w:r>
                </w:p>
                <w:p w14:paraId="53EC8D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油气、液体化工码头：全部；</w:t>
                  </w:r>
                </w:p>
                <w:p w14:paraId="089543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原油、成品油、天然气管线（不含城镇天然气管线、企业厂区内管线），危险化学品输送管线（不含企业厂区内管线）：全部</w:t>
                  </w:r>
                </w:p>
              </w:tc>
              <w:tc>
                <w:tcPr>
                  <w:tcW w:w="1652" w:type="dxa"/>
                  <w:tcBorders>
                    <w:tl2br w:val="nil"/>
                    <w:tr2bl w:val="nil"/>
                  </w:tcBorders>
                  <w:vAlign w:val="center"/>
                </w:tcPr>
                <w:p w14:paraId="46AE50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本项目不涉及</w:t>
                  </w:r>
                </w:p>
              </w:tc>
              <w:tc>
                <w:tcPr>
                  <w:tcW w:w="1069" w:type="dxa"/>
                  <w:tcBorders>
                    <w:tl2br w:val="nil"/>
                    <w:tr2bl w:val="nil"/>
                  </w:tcBorders>
                  <w:vAlign w:val="center"/>
                </w:tcPr>
                <w:p w14:paraId="668172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vertAlign w:val="baseline"/>
                      <w:lang w:val="en-US" w:eastAsia="zh-CN"/>
                      <w14:textFill>
                        <w14:solidFill>
                          <w14:schemeClr w14:val="tx1"/>
                        </w14:solidFill>
                      </w14:textFill>
                    </w:rPr>
                    <w:t>不设置</w:t>
                  </w:r>
                </w:p>
              </w:tc>
            </w:tr>
          </w:tbl>
          <w:p w14:paraId="6A4B94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根据《建设项目环境影响报告表编制技术指南（生态影响类）（试行）》中“专项评价设置原则表”内容，涉及环境敏感区的项目</w:t>
            </w:r>
            <w:r>
              <w:rPr>
                <w:rFonts w:hint="eastAsia" w:cs="Times New Roman" w:eastAsiaTheme="minorEastAsia"/>
                <w:color w:val="000000" w:themeColor="text1"/>
                <w:kern w:val="0"/>
                <w:sz w:val="24"/>
                <w:highlight w:val="none"/>
                <w:lang w:val="en-US" w:eastAsia="zh-CN"/>
                <w14:textFill>
                  <w14:solidFill>
                    <w14:schemeClr w14:val="tx1"/>
                  </w14:solidFill>
                </w14:textFill>
              </w:rPr>
              <w:t>需设置生态专项</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。涉及环境敏感区是指建设项目位于、穿越、跨越环境敏感区，或环境影响范围涵盖环境敏感区。本项目环境影响范围涵盖</w:t>
            </w:r>
            <w:r>
              <w:rPr>
                <w:rFonts w:hint="eastAsia" w:cs="Times New Roman" w:eastAsiaTheme="minorEastAsia"/>
                <w:color w:val="000000" w:themeColor="text1"/>
                <w:kern w:val="0"/>
                <w:sz w:val="24"/>
                <w:highlight w:val="none"/>
                <w:lang w:val="en-US" w:eastAsia="zh-CN"/>
                <w14:textFill>
                  <w14:solidFill>
                    <w14:schemeClr w14:val="tx1"/>
                  </w14:solidFill>
                </w14:textFill>
              </w:rPr>
              <w:t>生态红线区，故</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设置</w:t>
            </w:r>
            <w:r>
              <w:rPr>
                <w:rFonts w:hint="eastAsia" w:cs="Times New Roman" w:eastAsiaTheme="minorEastAsia"/>
                <w:color w:val="000000" w:themeColor="text1"/>
                <w:kern w:val="0"/>
                <w:sz w:val="24"/>
                <w:highlight w:val="none"/>
                <w:lang w:val="en-US" w:eastAsia="zh-CN"/>
                <w14:textFill>
                  <w14:solidFill>
                    <w14:schemeClr w14:val="tx1"/>
                  </w14:solidFill>
                </w14:textFill>
              </w:rPr>
              <w:t>生态</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专项评价。</w:t>
            </w:r>
          </w:p>
        </w:tc>
      </w:tr>
      <w:tr w14:paraId="553790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1CA3AF1F">
            <w:pPr>
              <w:keepNext w:val="0"/>
              <w:keepLines w:val="0"/>
              <w:pageBreakBefore w:val="0"/>
              <w:suppressLineNumbers w:val="0"/>
              <w:kinsoku/>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规划情况</w:t>
            </w:r>
          </w:p>
        </w:tc>
        <w:tc>
          <w:tcPr>
            <w:tcW w:w="7992" w:type="dxa"/>
            <w:gridSpan w:val="4"/>
            <w:tcBorders>
              <w:tl2br w:val="nil"/>
              <w:tr2bl w:val="nil"/>
            </w:tcBorders>
            <w:tcMar>
              <w:top w:w="16" w:type="dxa"/>
              <w:left w:w="16" w:type="dxa"/>
              <w:right w:w="16" w:type="dxa"/>
            </w:tcMar>
            <w:vAlign w:val="center"/>
          </w:tcPr>
          <w:p w14:paraId="23551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pPr>
          </w:p>
          <w:p w14:paraId="734BA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规划名称：《六安市水利发展“十四五”规划》</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p>
          <w:p w14:paraId="5A5D1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审批机关：</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六安市人民政府</w:t>
            </w:r>
          </w:p>
          <w:p w14:paraId="4E9C21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审批文件名称及文号：</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六安市人民政府办公室关于印发《六安市水利发展“十四五”规划》的通知，六政办[2021]30号；</w:t>
            </w:r>
          </w:p>
          <w:p w14:paraId="06C2B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规划名称：</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《霍山县城市防洪规划》(2020-2035)</w:t>
            </w:r>
          </w:p>
          <w:p w14:paraId="7F2FB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4"/>
                <w:highlight w:val="none"/>
                <w:lang w:eastAsia="zh-CN"/>
                <w14:textFill>
                  <w14:solidFill>
                    <w14:schemeClr w14:val="tx1"/>
                  </w14:solidFill>
                </w14:textFill>
              </w:rPr>
              <w:t>编制单位：</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连云港市水利规划设计院有限公司</w:t>
            </w:r>
          </w:p>
          <w:p w14:paraId="6F0801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规划名称：</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《霍山县水利发展规划“十四五”》</w:t>
            </w:r>
          </w:p>
          <w:p w14:paraId="368BD0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eastAsia" w:ascii="Times New Roman" w:hAnsi="Times New Roman" w:cs="Times New Roman" w:eastAsiaTheme="minorEastAsia"/>
                <w:b w:val="0"/>
                <w:bCs w:val="0"/>
                <w:color w:val="000000" w:themeColor="text1"/>
                <w:kern w:val="0"/>
                <w:sz w:val="24"/>
                <w:highlight w:val="none"/>
                <w:lang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4"/>
                <w:highlight w:val="none"/>
                <w:lang w:eastAsia="zh-CN"/>
                <w14:textFill>
                  <w14:solidFill>
                    <w14:schemeClr w14:val="tx1"/>
                  </w14:solidFill>
                </w14:textFill>
              </w:rPr>
              <w:t>编制单位：</w:t>
            </w:r>
            <w:r>
              <w:rPr>
                <w:rFonts w:hint="eastAsia" w:ascii="Times New Roman" w:hAnsi="Times New Roman" w:cs="Times New Roman" w:eastAsiaTheme="minorEastAsia"/>
                <w:b w:val="0"/>
                <w:bCs w:val="0"/>
                <w:color w:val="000000" w:themeColor="text1"/>
                <w:kern w:val="0"/>
                <w:sz w:val="24"/>
                <w:highlight w:val="none"/>
                <w:lang w:eastAsia="zh-CN"/>
                <w14:textFill>
                  <w14:solidFill>
                    <w14:schemeClr w14:val="tx1"/>
                  </w14:solidFill>
                </w14:textFill>
              </w:rPr>
              <w:t>安徽省水利水电勘测设计研究总院有限公司</w:t>
            </w:r>
          </w:p>
          <w:p w14:paraId="14D6D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规划名称：</w:t>
            </w:r>
            <w:r>
              <w:rPr>
                <w:rFonts w:hint="eastAsia" w:cs="Times New Roman" w:eastAsiaTheme="minorEastAsia"/>
                <w:b/>
                <w:color w:val="000000" w:themeColor="text1"/>
                <w:kern w:val="0"/>
                <w:sz w:val="24"/>
                <w:highlight w:val="none"/>
                <w:lang w:val="en-US" w:eastAsia="zh-CN"/>
                <w14:textFill>
                  <w14:solidFill>
                    <w14:schemeClr w14:val="tx1"/>
                  </w14:solidFill>
                </w14:textFill>
              </w:rPr>
              <w:t>《霍山县国土空间总体规划（2021-2035年）》</w:t>
            </w: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w:t>
            </w:r>
          </w:p>
          <w:p w14:paraId="635758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val="0"/>
                <w:bCs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审批机关：</w:t>
            </w:r>
            <w:r>
              <w:rPr>
                <w:rFonts w:hint="default" w:ascii="Times New Roman" w:hAnsi="Times New Roman" w:cs="Times New Roman" w:eastAsiaTheme="minorEastAsia"/>
                <w:b w:val="0"/>
                <w:bCs w:val="0"/>
                <w:color w:val="000000" w:themeColor="text1"/>
                <w:kern w:val="0"/>
                <w:sz w:val="24"/>
                <w:highlight w:val="none"/>
                <w:lang w:val="en-US" w:eastAsia="zh-CN"/>
                <w14:textFill>
                  <w14:solidFill>
                    <w14:schemeClr w14:val="tx1"/>
                  </w14:solidFill>
                </w14:textFill>
              </w:rPr>
              <w:t>六安市人民政府</w:t>
            </w:r>
            <w:r>
              <w:rPr>
                <w:rFonts w:hint="eastAsia" w:ascii="Times New Roman" w:hAnsi="Times New Roman" w:cs="Times New Roman" w:eastAsiaTheme="minorEastAsia"/>
                <w:b w:val="0"/>
                <w:bCs w:val="0"/>
                <w:color w:val="000000" w:themeColor="text1"/>
                <w:kern w:val="0"/>
                <w:sz w:val="24"/>
                <w:highlight w:val="none"/>
                <w:lang w:val="en-US" w:eastAsia="zh-CN"/>
                <w14:textFill>
                  <w14:solidFill>
                    <w14:schemeClr w14:val="tx1"/>
                  </w14:solidFill>
                </w14:textFill>
              </w:rPr>
              <w:t>；</w:t>
            </w:r>
          </w:p>
          <w:p w14:paraId="20E60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审批文件名称及文号</w:t>
            </w:r>
            <w:r>
              <w:rPr>
                <w:rFonts w:hint="eastAsia"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kern w:val="0"/>
                <w:sz w:val="24"/>
                <w:highlight w:val="none"/>
                <w:lang w:val="en-US" w:eastAsia="zh-CN"/>
                <w14:textFill>
                  <w14:solidFill>
                    <w14:schemeClr w14:val="tx1"/>
                  </w14:solidFill>
                </w14:textFill>
              </w:rPr>
              <w:t>六安市人民政府关于《霍山县国土空间总体规划（2021-2035年）》的批复，六政秘〔2024〕69号；</w:t>
            </w:r>
          </w:p>
          <w:p w14:paraId="3447C5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规划名称：</w:t>
            </w: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《霍山县城市排水（雨水）防涝综合规划》（2014-2030）</w:t>
            </w:r>
          </w:p>
          <w:p w14:paraId="707DB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default" w:ascii="Times New Roman" w:hAnsi="Times New Roman" w:cs="Times New Roman" w:eastAsiaTheme="minorEastAsia"/>
                <w:b w:val="0"/>
                <w:bCs w:val="0"/>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审批机关：</w:t>
            </w:r>
            <w:r>
              <w:rPr>
                <w:rFonts w:hint="default" w:ascii="Times New Roman" w:hAnsi="Times New Roman" w:cs="Times New Roman" w:eastAsiaTheme="minorEastAsia"/>
                <w:b w:val="0"/>
                <w:bCs w:val="0"/>
                <w:color w:val="000000" w:themeColor="text1"/>
                <w:kern w:val="0"/>
                <w:sz w:val="24"/>
                <w:highlight w:val="none"/>
                <w:lang w:val="en-US" w:eastAsia="zh-CN"/>
                <w14:textFill>
                  <w14:solidFill>
                    <w14:schemeClr w14:val="tx1"/>
                  </w14:solidFill>
                </w14:textFill>
              </w:rPr>
              <w:t>六安市住房和城乡建设局</w:t>
            </w:r>
          </w:p>
          <w:p w14:paraId="60EB3D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审批文号：</w:t>
            </w: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w:t>
            </w:r>
          </w:p>
          <w:p w14:paraId="06CE46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pPr>
          </w:p>
        </w:tc>
      </w:tr>
      <w:tr w14:paraId="2E3889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7ED79A7B">
            <w:pPr>
              <w:keepNext w:val="0"/>
              <w:keepLines w:val="0"/>
              <w:pageBreakBefore w:val="0"/>
              <w:suppressLineNumbers w:val="0"/>
              <w:kinsoku/>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规划环境影响评价情况</w:t>
            </w:r>
          </w:p>
        </w:tc>
        <w:tc>
          <w:tcPr>
            <w:tcW w:w="7992" w:type="dxa"/>
            <w:gridSpan w:val="4"/>
            <w:tcBorders>
              <w:tl2br w:val="nil"/>
              <w:tr2bl w:val="nil"/>
            </w:tcBorders>
            <w:tcMar>
              <w:top w:w="16" w:type="dxa"/>
              <w:left w:w="16" w:type="dxa"/>
              <w:right w:w="16" w:type="dxa"/>
            </w:tcMar>
            <w:vAlign w:val="center"/>
          </w:tcPr>
          <w:p w14:paraId="4EF98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无</w:t>
            </w:r>
          </w:p>
        </w:tc>
      </w:tr>
      <w:tr w14:paraId="52B276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33C6484B">
            <w:pPr>
              <w:keepNext w:val="0"/>
              <w:keepLines w:val="0"/>
              <w:pageBreakBefore w:val="0"/>
              <w:suppressLineNumbers w:val="0"/>
              <w:kinsoku/>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规划及</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规划环境影响评价</w:t>
            </w: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符合性分析</w:t>
            </w:r>
          </w:p>
        </w:tc>
        <w:tc>
          <w:tcPr>
            <w:tcW w:w="7992" w:type="dxa"/>
            <w:gridSpan w:val="4"/>
            <w:tcBorders>
              <w:tl2br w:val="nil"/>
              <w:tr2bl w:val="nil"/>
            </w:tcBorders>
            <w:tcMar>
              <w:top w:w="16" w:type="dxa"/>
              <w:left w:w="16" w:type="dxa"/>
              <w:right w:w="16" w:type="dxa"/>
            </w:tcMar>
            <w:vAlign w:val="center"/>
          </w:tcPr>
          <w:p w14:paraId="7E014C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1、与《六安市水利发展“十四五”规划》符合性分析</w:t>
            </w:r>
          </w:p>
          <w:p w14:paraId="3C99085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根据《六安市水利发展“十四五”规划》：（三）中小河流治理：结合2020年等大水年份的洪涝灾情，按照系统治理的思路，加快主要支流治理，全面提高防洪标准。完成杭埠河治理工程，推进史河、淠河防洪治理和汲河流域综合治理。加快流域面积200～3000平方公里中小河流治理，优先安排防洪问题突出、近几年发生过较大洪涝灾害的中小河流治理，适当安排因社会经济发展亟需提高防洪标准的中小河流城镇河段治理，解决中小河流城镇河段防洪不达标、近年洪涝灾害频发、河堤损毁等问题。推进32条中小河流治理，完成其中15条中小河流治理，治理总长度269公里。</w:t>
            </w:r>
          </w:p>
          <w:p w14:paraId="326E9F1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四）重点涝区排涝能力建设：加快重点涝区排涝能力建设，提高易涝地区排涝能力，保障粮食安全。根据易涝区工程现状、历年受灾情况，按照轻重缓急、逐步实施的原则，完成沿淮行蓄洪区等其他洼地近期治理工程；加快推进淮河流域重点涝区排涝能力建设、长江流域重点涝区排涝能力建设工程。</w:t>
            </w:r>
          </w:p>
          <w:p w14:paraId="545468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六）城市防洪体系建设：进一步完善城市防洪规划，强化城市防洪与流域、区域防洪体系统筹协调，科学确定防洪保护范围、防洪排涝标准。提高六安市城区，叶集区、舒城县、金寨县、霍山县的城镇防洪标准。完善堤防、涵闸、泵站、蓄滞场所等水利设施，增强城市防洪排涝减灾能力。”</w:t>
            </w:r>
          </w:p>
          <w:p w14:paraId="48D6B6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本</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lang w:eastAsia="zh-CN"/>
                <w14:textFill>
                  <w14:solidFill>
                    <w14:schemeClr w14:val="tx1"/>
                  </w14:solidFill>
                </w14:textFill>
              </w:rPr>
              <w:t>，通过区域排涝工程建设，解决区域排涝能力不足、排水沟渠不成系统的问题，保障区域工农业生产及人民群众的生命财产安全，促进霍山县经济发展。通过高庙河、柳林河、新店河等霍山县城区排涝通道整治，解决排涝通道防洪排涝不达标，护岸损毁、滩地坡面裸露、河床下切等问题，为区域发展提供安全的水利基础设施，并建设山洪灾害预防系统以提升水利工程管理能力。通过排水管网改造工程，保证柳林河沿岸生活污水搜集排放，促进污水处理提质增效。项目整体提升霍山县城区排水防涝能力。</w:t>
            </w:r>
          </w:p>
          <w:p w14:paraId="22870C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因此，本项目的建设</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符合</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《六安市水利发展“十四五”规划》</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的要求。</w:t>
            </w:r>
          </w:p>
          <w:p w14:paraId="182615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p>
          <w:p w14:paraId="57EF26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p>
          <w:p w14:paraId="2D10BD96">
            <w:pPr>
              <w:keepNext w:val="0"/>
              <w:keepLines w:val="0"/>
              <w:pageBreakBefore w:val="0"/>
              <w:widowControl w:val="0"/>
              <w:numPr>
                <w:ilvl w:val="0"/>
                <w:numId w:val="1"/>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eastAsia" w:cs="Times New Roman" w:eastAsiaTheme="minorEastAsia"/>
                <w:b/>
                <w:color w:val="000000" w:themeColor="text1"/>
                <w:kern w:val="0"/>
                <w:sz w:val="24"/>
                <w:highlight w:val="none"/>
                <w:lang w:val="en-US" w:eastAsia="zh-CN"/>
                <w14:textFill>
                  <w14:solidFill>
                    <w14:schemeClr w14:val="tx1"/>
                  </w14:solidFill>
                </w14:textFill>
              </w:rPr>
              <w:t>与</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《霍山县城市防洪规划》(2020-2035)符合性分析</w:t>
            </w:r>
          </w:p>
          <w:p w14:paraId="241F36D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1、规划范围</w:t>
            </w:r>
          </w:p>
          <w:p w14:paraId="5C4303E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规划范围与《霍山县城市总体规划》(2011~2030)确定的规划范围相一致，规划范围为城市中心城区建设用地27.50km</w:t>
            </w:r>
            <w:r>
              <w:rPr>
                <w:rFonts w:hint="eastAsia" w:cs="Times New Roman" w:eastAsiaTheme="minorEastAsia"/>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范围。</w:t>
            </w:r>
          </w:p>
          <w:p w14:paraId="044076C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2、规划目标</w:t>
            </w:r>
          </w:p>
          <w:p w14:paraId="3A72E0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通过工程与非工程措施相结合，逐步构建安全可靠的城市综合防洪体系，使规划范围内防洪保护对象的防洪能力达到国家规定的防洪标准，遇超标准洪水有可靠的防洪对策，最大限度地减轻洪涝灾害损失，为霍山县社会经济、城市建设可持续发展提供良好的防洪保障。同时，通过防洪工程的实施，着力构建集防洪、蓄水、景观、生态为一体的城市防洪保安体系，实现“水宁、水活、水清、水美”的综合治理目标。</w:t>
            </w:r>
          </w:p>
          <w:p w14:paraId="0CD3C5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3、规划水平年</w:t>
            </w:r>
          </w:p>
          <w:p w14:paraId="70FB08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基准年为2020年，近期2025年，远期为2035年。</w:t>
            </w:r>
          </w:p>
          <w:p w14:paraId="759628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4、规划标准</w:t>
            </w:r>
          </w:p>
          <w:p w14:paraId="2B286A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(1)防洪标准</w:t>
            </w:r>
          </w:p>
          <w:p w14:paraId="2E38D06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参照《防洪标准》(GB50201-2014)、《治涝标准》(SL723-2016)，结合淠河流域防洪规划的要求，并考虑经济、政治、社会、环境等因素以及与城市总体规划相衔接，霍山县中心城区近期2020年，城市人口为16.5万人，霍山县城区属于一般城市，防洪标准确定为20年一遇</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规划远期2030年，霍山县城区属于比较重要城市，防洪标准确定为50年一遇。本次霍山县城市防洪规划标准确定为</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霍山县城区防洪标准为50年一遇。</w:t>
            </w:r>
          </w:p>
          <w:p w14:paraId="4556B9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(2)治涝标准</w:t>
            </w:r>
          </w:p>
          <w:p w14:paraId="62702B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城区治涝采取自排和抽排相结合，排水区自排和抽排均按20年一遇标准。</w:t>
            </w:r>
          </w:p>
          <w:p w14:paraId="2E4F77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5、防洪规划方案</w:t>
            </w:r>
          </w:p>
          <w:p w14:paraId="2FF40C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(1)柳林河两岸</w:t>
            </w:r>
          </w:p>
          <w:p w14:paraId="2164AC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堤防级别</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柳林河从小河沿~柳林河口，长2.1km构成封闭堤，堤防的防洪标准为50年一遇，堤防级别为2级。</w:t>
            </w:r>
          </w:p>
          <w:p w14:paraId="2F9BA1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规划方案</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柳林河两岸封闭堤堤防高程已达到20一年一遇，但堤防防护标准较低，局部护坡塌陷，堤顶为土路。规划维修护坡护岸，新建混凝土堤顶防汛道路，两岸堤顶道路长1.58km，道路采用宽4m混凝土道路。</w:t>
            </w:r>
          </w:p>
          <w:p w14:paraId="3BA7A7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(2)幽芳河、高庙河</w:t>
            </w:r>
          </w:p>
          <w:p w14:paraId="2E026A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幽芳河、高庙河高程局部段落不满足防洪要求，按照防洪标准为50年一遇规划对不达标堤段进行加固，幽芳河不达标堤段规划采用增设混凝土防浪墙方案，墙高1.05m。高庙河采用堤身加培，坡比为1</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2.5，堤顶宽度不小于5m。</w:t>
            </w:r>
          </w:p>
          <w:p w14:paraId="1D2AC76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eastAsia" w:cs="Times New Roman" w:eastAsiaTheme="minorEastAsia"/>
                <w:color w:val="000000" w:themeColor="text1"/>
                <w:kern w:val="0"/>
                <w:sz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治涝规划方案</w:t>
            </w:r>
          </w:p>
          <w:p w14:paraId="4B7FDDD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(1)城市排水通道</w:t>
            </w:r>
          </w:p>
          <w:p w14:paraId="68553D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规划对各排区的排涝沟进行整治，主要内容是排涝干沟的清淤、清障、拓宽及跨沟建筑物的配套。根据规划排涝方案、结合河道现状情况对城市内河水系进行疏(拓)浚，本次规划治理河道主要包括</w:t>
            </w:r>
            <w:r>
              <w:rPr>
                <w:rFonts w:hint="eastAsia" w:cs="Times New Roman" w:eastAsiaTheme="minorEastAsia"/>
                <w:color w:val="000000" w:themeColor="text1"/>
                <w:kern w:val="0"/>
                <w:sz w:val="24"/>
                <w:highlight w:val="none"/>
                <w:lang w:val="en-US" w:eastAsia="zh-CN"/>
                <w14:textFill>
                  <w14:solidFill>
                    <w14:schemeClr w14:val="tx1"/>
                  </w14:solidFill>
                </w14:textFill>
              </w:rPr>
              <w:t>：</w:t>
            </w:r>
          </w:p>
          <w:p w14:paraId="50CC50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迎驾厂片</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规划新建、疏通排涝渠道，底宽1.5m，长1.8km。</w:t>
            </w:r>
          </w:p>
          <w:p w14:paraId="789A725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柳林河西片</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新建北外环排涝沟，疏浚中心排涝沟，采用底宽2.5m、坡比1</w:t>
            </w:r>
            <w:r>
              <w:rPr>
                <w:rFonts w:hint="eastAsia" w:cs="Times New Roman" w:eastAsiaTheme="minorEastAsia"/>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2的梯形渠。</w:t>
            </w:r>
          </w:p>
          <w:p w14:paraId="33315B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新建、扩建排涝沟采用能与岸坡水体交互且能植草的生态挡土墙护岸或护坡。</w:t>
            </w:r>
          </w:p>
          <w:p w14:paraId="75BF7B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（2）排涝泵站及自排涵闸</w:t>
            </w:r>
          </w:p>
          <w:p w14:paraId="0110DE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柳林河口排涝站：迎驾厂片主要通过项家院排涝涵、张家湾排涝涵、永康排涝涵排涝，本次规划新建北外环排涝沟，将涝水引至张家湾排涝涵。</w:t>
            </w:r>
          </w:p>
          <w:p w14:paraId="3785EA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7、山洪灾害防治</w:t>
            </w:r>
          </w:p>
          <w:p w14:paraId="01FACF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山丘区发生的暴涨暴落的溪河洪水，威胁人民生命安全，造成财产损失和基础设施毁坏的灾害，为增强沿岸城镇、集中居民区、重要基础设施等防护对象的山洪灾害综合防御能力，有效减少人员伤亡和财产损失，对涉及城区的山洪沟进行综合治理是非常必要的，防治措施如下</w:t>
            </w:r>
            <w:r>
              <w:rPr>
                <w:rFonts w:hint="eastAsia" w:cs="Times New Roman" w:eastAsiaTheme="minorEastAsia"/>
                <w:color w:val="000000" w:themeColor="text1"/>
                <w:kern w:val="0"/>
                <w:sz w:val="24"/>
                <w:highlight w:val="none"/>
                <w:lang w:val="en-US" w:eastAsia="zh-CN"/>
                <w14:textFill>
                  <w14:solidFill>
                    <w14:schemeClr w14:val="tx1"/>
                  </w14:solidFill>
                </w14:textFill>
              </w:rPr>
              <w:t>：</w:t>
            </w:r>
          </w:p>
          <w:p w14:paraId="1990F1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(1)柳林河山洪沟治理</w:t>
            </w:r>
          </w:p>
          <w:p w14:paraId="42A665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柳林河为东淠河支流，主流发源于桃花寨，总流向先向西北，后折转向东北，流经通水灌(黄泥)、谢家畈、俞家山根、西门畈(俞家畈)，在潜台寺西汇入东淠河干流。河道全长约15.92km，流域面积35.78km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，河道平均坡降8.1%o。</w:t>
            </w:r>
          </w:p>
          <w:p w14:paraId="3BC157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规划对柳林河山洪沟进行治理，起点从太平地，终点至小河沿，总长约8.6km，规划实施河道疏浚工程、护坡护岸工程、险工段治理、蓄水堰坝等。</w:t>
            </w:r>
          </w:p>
          <w:p w14:paraId="13ECC7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(2)幽芳河山洪沟治理</w:t>
            </w:r>
          </w:p>
          <w:p w14:paraId="1822334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幽芳河发源于白石岗，经东石门，在县城东门外石担桥下汇入护城河，河道全长约10.5km，流域面积28.25km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，平均比降10.2%o。</w:t>
            </w:r>
          </w:p>
          <w:p w14:paraId="7BA7CD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规划对幽芳河山洪沟进行治理，起点从友谊水库，终点至迎宾大道，总长约3.9km，规划实施河道疏浚工程、护坡护岸工程、险工段治理、蓄水堰坝等。</w:t>
            </w:r>
          </w:p>
          <w:p w14:paraId="6D80BB5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(3)高庙河山洪沟治理</w:t>
            </w:r>
          </w:p>
          <w:p w14:paraId="1B025F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高庙河源于霍山县白沙岭，向北流经牛角冲、桥头堰、县渔场，在北镇庙汇入东淠河干流，河道全长约为27.14km，流域面积27.14km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，河道平均坡降8.3%o。规划对高庙河山洪沟进行治理，起点从友谊水库，终点至迎宾大道，总长约3.9km，规划实施河道疏浚工程、护坡护岸工程、险工段治理、蓄水堰坝等。</w:t>
            </w:r>
          </w:p>
          <w:p w14:paraId="451953A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本项目与《霍山县城市防洪规划》的符合性：本次项目建设标准、等级参照规划执行，工程建设内容完全符合规划的相关内容，包括区域排涝及幽芳河、高庙河、柳林河等山洪沟本次为排涝通道整治。</w:t>
            </w:r>
          </w:p>
          <w:p w14:paraId="4006D341">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eastAsia" w:cs="Times New Roman" w:eastAsiaTheme="minorEastAsia"/>
                <w:b/>
                <w:color w:val="000000" w:themeColor="text1"/>
                <w:kern w:val="0"/>
                <w:sz w:val="24"/>
                <w:highlight w:val="none"/>
                <w:lang w:val="en-US" w:eastAsia="zh-CN"/>
                <w14:textFill>
                  <w14:solidFill>
                    <w14:schemeClr w14:val="tx1"/>
                  </w14:solidFill>
                </w14:textFill>
              </w:rPr>
              <w:t>3、与</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《霍山县水利发展规划“十四五”》符合性分析</w:t>
            </w:r>
          </w:p>
          <w:p w14:paraId="6508EDF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1、规划目标</w:t>
            </w:r>
          </w:p>
          <w:p w14:paraId="3943442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(1)总体目标</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建成与经济社会发展和生态文明建设要求相适应与社会主义现代化进程相协调的水早灾害防御、水资源集约节约利用与优化配置、水资源保护和河湖健康保障、涉水事务监管四大体系。</w:t>
            </w:r>
          </w:p>
          <w:p w14:paraId="0BD5B60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到2025年，防洪抗早减灾能力全面提升，水资源利用效率和效益明显提高，城乡供水安全保障程度明显增强，重点河湖水生态环境明显改善，涉水事务监管和风险防控能力全面增强，水安全保障能力显著提升。</w:t>
            </w:r>
          </w:p>
          <w:p w14:paraId="0A0102F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(2)具体目标</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p>
          <w:p w14:paraId="53C0050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1)水旱灾害防御目标。进行水利自然灾害风险普查，完善水旱灾害分析预警能力。霍山县城市防洪标准由20年一遇提高到50年一遇，县城排涝标准达到20年一遇</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主要支流、中小河流防洪标准达到规划确定的防洪标准，淠河洼地等重点易涝区排涝标准达到5~10年一遇</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V级及以上江河堤防达标率提高到60%，水早灾害风险防范化解能力进一步增强</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重点山洪灾害易发区得到有效治理</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现有病险水库、水闸安全隐患全面消除</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中小河流重要河段达到规划确定的防洪标准。</w:t>
            </w:r>
          </w:p>
          <w:p w14:paraId="10DA6DB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2)水资源集约节约利用与优化配置目标。节水型生产和生活方式基本建立，全社会节水意识明显增强，水资源和人口社会经济均衡协调发展的格局进一步完善</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全县用水总量控制在1.7亿m</w:t>
            </w:r>
            <w:r>
              <w:rPr>
                <w:rFonts w:hint="default" w:ascii="Times New Roman" w:hAnsi="Times New Roman" w:cs="Times New Roman" w:eastAsiaTheme="minorEastAsia"/>
                <w:b w:val="0"/>
                <w:bCs/>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以内，万元国内生产总值用水量、万元工业增加值用水量较2020年分别下降15%，农田灌溉水有效利用系数提高到0.57</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提升水利工程的调控能力，现有中小型水库通过清淤逐步恢复其设计供水能力，实现标准化管理</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水资源配置格局逐步完善，水利工程新增年供水能力200万m，供水保障能力和抗早应急能力明显增强</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城乡供水一体化覆盖程度大幅提高，乡镇自来水普及率达到95%。</w:t>
            </w:r>
          </w:p>
          <w:p w14:paraId="5FE1C0A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3)水资源保护和河湖健康保障目标。水生态空间管控体系基本建立，完成流域面积50km</w:t>
            </w:r>
            <w:r>
              <w:rPr>
                <w:rFonts w:hint="default" w:ascii="Times New Roman" w:hAnsi="Times New Roman" w:cs="Times New Roman" w:eastAsiaTheme="minorEastAsia"/>
                <w:b w:val="0"/>
                <w:bCs/>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及以上河流和常年水面面积1km以上的水库管理范围划定。水源涵养与保护能力明显提升，河流水生态环境明显改善，水景观质量明显提高，主要断面生态流量基本得到保障，水质满足水功能区及断面考核管理目标，乡镇水系水环境状况明显改善，区域主要河流水系、水库等地表水达到或好于Ⅲ类水体占地表水比例大于75%；人为水土流失得到有效控制，重点地区水土流失得到有效治理，水土流失治理面积40km2，水土保持率达到60%。</w:t>
            </w:r>
          </w:p>
          <w:p w14:paraId="531F864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4）涉水事务监管目标。水文水资源、河湖生态、水土流失、水灾害等监测预警体系基本建立，水利信息化水平显著提升。河长制湖长制深入推进，主要河湖水域岸线得到有效管控。最严格水资源管理考核体系逐步完善，水资源节约、开发、利用、保护配置、调度等各环节得到全面监管。基本实现大中型水利工程安全监测全覆盖，水工程安全风险防控能力明显提升。水权水价水市场改革取得重要进展。政府主导、金融支持、社会参与的水利投融资机制进一步完善。</w:t>
            </w:r>
          </w:p>
          <w:p w14:paraId="3E9A5CA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2、提升防洪保安能力</w:t>
            </w:r>
          </w:p>
          <w:p w14:paraId="7572E7E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加强防洪排涝基础设施体系建设，构筑全县防洪保安网，全面提升防洪保安能力和超标准洪水应对能力。以防御水灾害、保障人民群众生命财产安全、促进经济社会稳定发展为根本出发点坚持兴利除害结合、防洪排涝并举，全面实施防汛水利提升工程提升洪涝灾害防御能力，保障人民群众生命财产安全。</w:t>
            </w:r>
          </w:p>
          <w:p w14:paraId="561B667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推进山洪灾害防治。坚持以防为主、防治结合，非工程措施和工程措施相结合，加强山洪灾害防治能力建设，全面提升防灾减灾效益。对南部山丘进行全面调查，以山洪灾害严重、影响人口较多的重点山洪沟为重点，优先开展近期发生过山洪且损失严重的重点山洪沟进行治理，根据山洪及泥石流、滑坡发生的特点因地制宜，采取可行的治理措施。同时，强化山洪灾害监测预警，优化调整雨情监测站网布局，定期开展山洪灾害防御常识与自救技能培训，切实增强群众防灾避灾能力。“十四五”计划治理宋家河等18条山洪沟，主要工程措施有疏浚整治、滑坡防治、居民区避险搬迁、加固堤岸等，共治理长度18.84km。</w:t>
            </w:r>
          </w:p>
          <w:p w14:paraId="21C58A4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加强重点涝区排涝能力建设。继续推进安徽省沿淮行蓄洪区等其他洼地治理工程。改建小河口排涝站工程。规划对现有小河口排涝闸进行拆除重建，排涝标准采用20年一遇。新建潜台寺排涝站工程：规划新增潜台寺区域排涝面积10km</w:t>
            </w:r>
            <w:r>
              <w:rPr>
                <w:rFonts w:hint="default" w:ascii="Times New Roman" w:hAnsi="Times New Roman" w:cs="Times New Roman" w:eastAsiaTheme="minorEastAsia"/>
                <w:b w:val="0"/>
                <w:bCs/>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，排涝标准采用20年一遇。实施重灾区下符桥镇防洪排涝提升工程。主要建设内容包括但家庙河下符桥镇段右岸堤防加固、新建挡墙，左岸新建排涝泵站。</w:t>
            </w:r>
          </w:p>
          <w:p w14:paraId="4F6E912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center"/>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drawing>
                <wp:inline distT="0" distB="0" distL="114300" distR="114300">
                  <wp:extent cx="4632325" cy="1165860"/>
                  <wp:effectExtent l="0" t="0" r="15875" b="15240"/>
                  <wp:docPr id="17" name="图片 17" descr="9ffcf0b1-70db-4acc-be84-42d5d13d5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ffcf0b1-70db-4acc-be84-42d5d13d5a11"/>
                          <pic:cNvPicPr>
                            <a:picLocks noChangeAspect="1"/>
                          </pic:cNvPicPr>
                        </pic:nvPicPr>
                        <pic:blipFill>
                          <a:blip r:embed="rId9"/>
                          <a:stretch>
                            <a:fillRect/>
                          </a:stretch>
                        </pic:blipFill>
                        <pic:spPr>
                          <a:xfrm>
                            <a:off x="0" y="0"/>
                            <a:ext cx="4632325" cy="1165860"/>
                          </a:xfrm>
                          <a:prstGeom prst="rect">
                            <a:avLst/>
                          </a:prstGeom>
                        </pic:spPr>
                      </pic:pic>
                    </a:graphicData>
                  </a:graphic>
                </wp:inline>
              </w:drawing>
            </w:r>
          </w:p>
          <w:p w14:paraId="7E34ED7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center"/>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val="0"/>
                <w:color w:val="000000" w:themeColor="text1"/>
                <w:kern w:val="0"/>
                <w:sz w:val="24"/>
                <w:highlight w:val="none"/>
                <w:lang w:val="en-US" w:eastAsia="zh-CN"/>
                <w14:textFill>
                  <w14:solidFill>
                    <w14:schemeClr w14:val="tx1"/>
                  </w14:solidFill>
                </w14:textFill>
              </w:rPr>
              <w:t>图 1-1</w:t>
            </w:r>
            <w:r>
              <w:rPr>
                <w:rFonts w:hint="eastAsia" w:cs="Times New Roman" w:eastAsiaTheme="minorEastAsia"/>
                <w:b/>
                <w:bCs w:val="0"/>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cs="Times New Roman" w:eastAsiaTheme="minorEastAsia"/>
                <w:b/>
                <w:bCs w:val="0"/>
                <w:color w:val="000000" w:themeColor="text1"/>
                <w:kern w:val="0"/>
                <w:sz w:val="24"/>
                <w:highlight w:val="none"/>
                <w:lang w:val="en-US" w:eastAsia="zh-CN"/>
                <w14:textFill>
                  <w14:solidFill>
                    <w14:schemeClr w14:val="tx1"/>
                  </w14:solidFill>
                </w14:textFill>
              </w:rPr>
              <w:t>《霍山县水利发展“十四五”规划》中项目所在页面</w:t>
            </w:r>
          </w:p>
          <w:p w14:paraId="7F5358E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jc w:val="left"/>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本项目已列入《霍山县水利发展“十四五”规划》的霍山县水利发展“十四五”规划项目表，属于重点建设项目。</w:t>
            </w:r>
          </w:p>
          <w:p w14:paraId="4AA4BED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80" w:leftChars="200" w:right="0" w:rightChars="0"/>
              <w:textAlignment w:val="auto"/>
              <w:rPr>
                <w:rFonts w:hint="eastAsia" w:cs="Times New Roman" w:eastAsiaTheme="minorEastAsia"/>
                <w:b/>
                <w:color w:val="000000" w:themeColor="text1"/>
                <w:kern w:val="0"/>
                <w:sz w:val="24"/>
                <w:highlight w:val="none"/>
                <w:lang w:val="en-US" w:eastAsia="zh-CN"/>
                <w14:textFill>
                  <w14:solidFill>
                    <w14:schemeClr w14:val="tx1"/>
                  </w14:solidFill>
                </w14:textFill>
              </w:rPr>
            </w:pPr>
            <w:r>
              <w:rPr>
                <w:rFonts w:hint="eastAsia" w:cs="Times New Roman" w:eastAsiaTheme="minorEastAsia"/>
                <w:b/>
                <w:color w:val="000000" w:themeColor="text1"/>
                <w:kern w:val="0"/>
                <w:sz w:val="24"/>
                <w:highlight w:val="none"/>
                <w:lang w:val="en-US" w:eastAsia="zh-CN"/>
                <w14:textFill>
                  <w14:solidFill>
                    <w14:schemeClr w14:val="tx1"/>
                  </w14:solidFill>
                </w14:textFill>
              </w:rPr>
              <w:t>4、与《霍山县国土空间总体规划（2021-2035年）》符合性分析</w:t>
            </w:r>
          </w:p>
          <w:p w14:paraId="66B778C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《霍山县国土空间总体规划（2021-2035年）》（以下简称《总体规划》）中提出“优化排水设施布局，中心城区排水体制采用雨、污分流制。到2035年，城市污水处理率达到100%，并与国家同时期相关标准一致……”</w:t>
            </w:r>
          </w:p>
          <w:p w14:paraId="16F16D6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本项目是霍山县城市防洪排涝提升工程，符合《规划》中的优化排水设施布局要求，是提高防洪排涝能力，建立安全韧性的综合防灾设施体系的具体措施。</w:t>
            </w:r>
          </w:p>
          <w:p w14:paraId="2CA92F8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pPr>
            <w:r>
              <w:rPr>
                <w:rFonts w:hint="eastAsia" w:cs="Times New Roman" w:eastAsiaTheme="minorEastAsia"/>
                <w:b/>
                <w:color w:val="000000" w:themeColor="text1"/>
                <w:kern w:val="0"/>
                <w:sz w:val="24"/>
                <w:highlight w:val="none"/>
                <w:lang w:val="en-US" w:eastAsia="zh-CN"/>
                <w14:textFill>
                  <w14:solidFill>
                    <w14:schemeClr w14:val="tx1"/>
                  </w14:solidFill>
                </w14:textFill>
              </w:rPr>
              <w:t>5、</w:t>
            </w: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与《霍山县城市排水（雨水）防涝综合规划》（2014-2030）符合性分析</w:t>
            </w:r>
          </w:p>
          <w:p w14:paraId="1F60AA7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lang w:eastAsia="zh-CN"/>
                <w14:textFill>
                  <w14:solidFill>
                    <w14:schemeClr w14:val="tx1"/>
                  </w14:solidFill>
                </w14:textFill>
              </w:rPr>
              <w:t>根据</w:t>
            </w:r>
            <w:r>
              <w:rPr>
                <w:rFonts w:hint="default" w:ascii="Times New Roman" w:hAnsi="Times New Roman" w:cs="Times New Roman" w:eastAsiaTheme="minorEastAsia"/>
                <w:color w:val="000000" w:themeColor="text1"/>
                <w14:textFill>
                  <w14:solidFill>
                    <w14:schemeClr w14:val="tx1"/>
                  </w14:solidFill>
                </w14:textFill>
              </w:rPr>
              <w:t>《霍山县城市排水（</w:t>
            </w:r>
            <w:r>
              <w:rPr>
                <w:rFonts w:hint="default" w:ascii="Times New Roman" w:hAnsi="Times New Roman" w:cs="Times New Roman" w:eastAsiaTheme="minorEastAsia"/>
                <w:color w:val="000000" w:themeColor="text1"/>
                <w:spacing w:val="2"/>
                <w14:textFill>
                  <w14:solidFill>
                    <w14:schemeClr w14:val="tx1"/>
                  </w14:solidFill>
                </w14:textFill>
              </w:rPr>
              <w:t>雨水</w:t>
            </w:r>
            <w:r>
              <w:rPr>
                <w:rFonts w:hint="default" w:ascii="Times New Roman" w:hAnsi="Times New Roman" w:cs="Times New Roman" w:eastAsiaTheme="minorEastAsia"/>
                <w:color w:val="000000" w:themeColor="text1"/>
                <w:spacing w:val="4"/>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防涝综合规划（2014-2030）</w:t>
            </w:r>
            <w:r>
              <w:rPr>
                <w:rFonts w:hint="default" w:ascii="Times New Roman" w:hAnsi="Times New Roman" w:cs="Times New Roman" w:eastAsiaTheme="minorEastAsia"/>
                <w:color w:val="000000" w:themeColor="text1"/>
                <w:spacing w:val="2"/>
                <w14:textFill>
                  <w14:solidFill>
                    <w14:schemeClr w14:val="tx1"/>
                  </w14:solidFill>
                </w14:textFill>
              </w:rPr>
              <w:t>》规划目标</w:t>
            </w:r>
            <w:r>
              <w:rPr>
                <w:rFonts w:hint="default" w:ascii="Times New Roman" w:hAnsi="Times New Roman" w:cs="Times New Roman" w:eastAsiaTheme="minorEastAsia"/>
                <w:color w:val="000000" w:themeColor="text1"/>
                <w:spacing w:val="2"/>
                <w:lang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统筹气象降雨、地表径流、雨水管网系统、城市内河，在霍山县总体规划指导下，根据相关规划要求，完善城市排水防涝体系，提高城市排水防涝系统功能，促进城市排水防涝设施规划建设，促进城市快速、健康、可持续发展。至规划期末，通过规划的实施，最大限度保证在城市内涝防治标准以内的暴雨不造成灾害，不造成较大的经济损失和人员伤亡。</w:t>
            </w:r>
          </w:p>
          <w:p w14:paraId="0349C0E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本</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项目</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lang w:eastAsia="zh-CN"/>
                <w14:textFill>
                  <w14:solidFill>
                    <w14:schemeClr w14:val="tx1"/>
                  </w14:solidFill>
                </w14:textFill>
              </w:rPr>
              <w:t>，通过区域排涝工程建设，解决区域排涝能力不足、排水沟渠不成系统的问题；通过高庙河、柳林河、新店河等霍山县城区排涝通道整治，解决排涝通道防洪排涝不达标，护岸损毁、滩地坡面裸露、河床下切等问题；通过排水管网改造工程，保证柳林河沿岸生活污水</w:t>
            </w:r>
            <w:r>
              <w:rPr>
                <w:rFonts w:hint="eastAsia" w:cs="Times New Roman" w:eastAsiaTheme="minorEastAsia"/>
                <w:color w:val="000000" w:themeColor="text1"/>
                <w:lang w:eastAsia="zh-CN"/>
                <w14:textFill>
                  <w14:solidFill>
                    <w14:schemeClr w14:val="tx1"/>
                  </w14:solidFill>
                </w14:textFill>
              </w:rPr>
              <w:t>收</w:t>
            </w:r>
            <w:r>
              <w:rPr>
                <w:rFonts w:hint="default" w:ascii="Times New Roman" w:hAnsi="Times New Roman" w:cs="Times New Roman" w:eastAsiaTheme="minorEastAsia"/>
                <w:color w:val="000000" w:themeColor="text1"/>
                <w:lang w:eastAsia="zh-CN"/>
                <w14:textFill>
                  <w14:solidFill>
                    <w14:schemeClr w14:val="tx1"/>
                  </w14:solidFill>
                </w14:textFill>
              </w:rPr>
              <w:t>集排放，促进污水处理提质增效。项目整体提升霍山县城区排水防涝能力。</w:t>
            </w:r>
          </w:p>
          <w:p w14:paraId="27D5B8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因此，本项目的建设</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符合</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《霍山县城市排水（雨水）防涝综合规划》（2014-2030）</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的要求。</w:t>
            </w:r>
          </w:p>
        </w:tc>
      </w:tr>
      <w:tr w14:paraId="066A61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022" w:type="dxa"/>
            <w:tcBorders>
              <w:tl2br w:val="nil"/>
              <w:tr2bl w:val="nil"/>
            </w:tcBorders>
            <w:tcMar>
              <w:top w:w="16" w:type="dxa"/>
              <w:left w:w="16" w:type="dxa"/>
              <w:right w:w="16" w:type="dxa"/>
            </w:tcMar>
            <w:vAlign w:val="center"/>
          </w:tcPr>
          <w:p w14:paraId="630FA1FD">
            <w:pPr>
              <w:keepNext w:val="0"/>
              <w:keepLines w:val="0"/>
              <w:pageBreakBefore w:val="0"/>
              <w:suppressLineNumbers w:val="0"/>
              <w:kinsoku/>
              <w:autoSpaceDE w:val="0"/>
              <w:autoSpaceDN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bookmarkStart w:id="4" w:name="_Hlk56690880"/>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其他符合性分析</w:t>
            </w:r>
          </w:p>
        </w:tc>
        <w:tc>
          <w:tcPr>
            <w:tcW w:w="7992" w:type="dxa"/>
            <w:gridSpan w:val="4"/>
            <w:tcBorders>
              <w:tl2br w:val="nil"/>
              <w:tr2bl w:val="nil"/>
            </w:tcBorders>
            <w:tcMar>
              <w:top w:w="16" w:type="dxa"/>
              <w:left w:w="16" w:type="dxa"/>
              <w:right w:w="16" w:type="dxa"/>
            </w:tcMar>
            <w:vAlign w:val="center"/>
          </w:tcPr>
          <w:p w14:paraId="59C5EC09">
            <w:pPr>
              <w:keepNext w:val="0"/>
              <w:keepLines w:val="0"/>
              <w:pageBreakBefore w:val="0"/>
              <w:widowControl w:val="0"/>
              <w:suppressLineNumbers w:val="0"/>
              <w:kinsoku/>
              <w:wordWrap/>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1、产业政策合理性分析</w:t>
            </w:r>
          </w:p>
          <w:p w14:paraId="0B9DFE0D">
            <w:pPr>
              <w:keepNext w:val="0"/>
              <w:keepLines w:val="0"/>
              <w:pageBreakBefore w:val="0"/>
              <w:widowControl w:val="0"/>
              <w:suppressLineNumbers w:val="0"/>
              <w:kinsoku/>
              <w:wordWrap/>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根据中华人民共和国国家发展和改革委员会令第7号《产业结构调整指导目录（2024年本）》，本项目属于第一类鼓励类，二、水利—3．防洪提升工程：“城市积涝预警和防洪工程，江河湖库清淤疏浚工程，堤防隐患排查与修复”，因此本项目符合国家产业政策。</w:t>
            </w:r>
          </w:p>
          <w:p w14:paraId="09B8739E">
            <w:pPr>
              <w:keepNext w:val="0"/>
              <w:keepLines w:val="0"/>
              <w:pageBreakBefore w:val="0"/>
              <w:widowControl w:val="0"/>
              <w:suppressLineNumbers w:val="0"/>
              <w:kinsoku/>
              <w:wordWrap/>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2、“三线一单”符合性分析</w:t>
            </w:r>
          </w:p>
          <w:p w14:paraId="57A6A211">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根据生态环境部《关于实施“三线一单”生态环境分区管控的指导意见（试行）》（环环评〔2021〕108号），“三线一单”指生态保护红线、环境质量底线、资源利用上线和环境准入负面清单。本工程与“三线一单”相符性判定如下：</w:t>
            </w:r>
          </w:p>
          <w:p w14:paraId="24445126">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（1）与生态保护红线符合性分析</w:t>
            </w:r>
          </w:p>
          <w:p w14:paraId="6C6FC437">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cs="Times New Roman" w:eastAsiaTheme="minorEastAsia"/>
                <w:color w:val="000000" w:themeColor="text1"/>
                <w:kern w:val="0"/>
                <w:sz w:val="24"/>
                <w:highlight w:val="none"/>
                <w:lang w:val="en-US" w:eastAsia="zh-CN"/>
                <w14:textFill>
                  <w14:solidFill>
                    <w14:schemeClr w14:val="tx1"/>
                  </w14:solidFill>
                </w14:textFill>
              </w:rPr>
              <w:t>本项目用地位于霍山县佛子岭镇、黑石渡镇和衡山镇境内，根据2025年11月19日《霍山县自然资源和规划局关于六安市霍山县排水防涝能力提升项目预审与规划选址意见的复函》（霍自然资函[2025]38号）中内容可知，本工程用地范围内不涉及占用生态保护红线和永久基本农田。</w:t>
            </w:r>
          </w:p>
          <w:p w14:paraId="5785E773">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（2）与环境质量底线及分区管控符合性分析</w:t>
            </w:r>
          </w:p>
          <w:p w14:paraId="0FDFE1C1">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根据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《2024年霍山县环境质量报告》</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可知，2024年</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霍山县</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各监测点的NO</w:t>
            </w:r>
            <w:r>
              <w:rPr>
                <w:rFonts w:hint="default" w:ascii="Times New Roman" w:hAnsi="Times New Roman" w:cs="Times New Roman" w:eastAsiaTheme="minorEastAsia"/>
                <w:color w:val="000000" w:themeColor="text1"/>
                <w:kern w:val="0"/>
                <w:sz w:val="15"/>
                <w:szCs w:val="15"/>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、SO</w:t>
            </w:r>
            <w:r>
              <w:rPr>
                <w:rFonts w:hint="default" w:ascii="Times New Roman" w:hAnsi="Times New Roman" w:cs="Times New Roman" w:eastAsiaTheme="minorEastAsia"/>
                <w:color w:val="000000" w:themeColor="text1"/>
                <w:kern w:val="0"/>
                <w:sz w:val="15"/>
                <w:szCs w:val="15"/>
                <w:lang w:val="en-US" w:eastAsia="zh-CN" w:bidi="ar"/>
                <w14:textFill>
                  <w14:solidFill>
                    <w14:schemeClr w14:val="tx1"/>
                  </w14:solidFill>
                </w14:textFill>
              </w:rPr>
              <w:t>2</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、CO、</w:t>
            </w:r>
            <w:r>
              <w:rPr>
                <w:rFonts w:hint="eastAsia" w:cs="Times New Roman" w:eastAsiaTheme="minorEastAsia"/>
                <w:color w:val="000000" w:themeColor="text1"/>
                <w:kern w:val="0"/>
                <w:sz w:val="24"/>
                <w:szCs w:val="24"/>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kern w:val="0"/>
                <w:sz w:val="15"/>
                <w:szCs w:val="15"/>
                <w:lang w:val="en-US" w:eastAsia="zh-CN" w:bidi="ar"/>
                <w14:textFill>
                  <w14:solidFill>
                    <w14:schemeClr w14:val="tx1"/>
                  </w14:solidFill>
                </w14:textFill>
              </w:rPr>
              <w:t>10</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、O</w:t>
            </w:r>
            <w:r>
              <w:rPr>
                <w:rFonts w:hint="default" w:ascii="Times New Roman" w:hAnsi="Times New Roman" w:cs="Times New Roman" w:eastAsiaTheme="minorEastAsia"/>
                <w:color w:val="000000" w:themeColor="text1"/>
                <w:kern w:val="0"/>
                <w:sz w:val="15"/>
                <w:szCs w:val="15"/>
                <w:lang w:val="en-US" w:eastAsia="zh-CN" w:bidi="ar"/>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w:t>
            </w:r>
            <w:r>
              <w:rPr>
                <w:rFonts w:hint="eastAsia" w:cs="Times New Roman" w:eastAsiaTheme="minorEastAsia"/>
                <w:color w:val="000000" w:themeColor="text1"/>
                <w:kern w:val="0"/>
                <w:sz w:val="24"/>
                <w:szCs w:val="24"/>
                <w:lang w:val="en-US" w:eastAsia="zh-CN" w:bidi="ar"/>
                <w14:textFill>
                  <w14:solidFill>
                    <w14:schemeClr w14:val="tx1"/>
                  </w14:solidFill>
                </w14:textFill>
              </w:rPr>
              <w:t>PM</w:t>
            </w:r>
            <w:r>
              <w:rPr>
                <w:rFonts w:hint="default" w:ascii="Times New Roman" w:hAnsi="Times New Roman" w:cs="Times New Roman" w:eastAsiaTheme="minorEastAsia"/>
                <w:color w:val="000000" w:themeColor="text1"/>
                <w:kern w:val="0"/>
                <w:sz w:val="15"/>
                <w:szCs w:val="15"/>
                <w:lang w:val="en-US" w:eastAsia="zh-CN" w:bidi="ar"/>
                <w14:textFill>
                  <w14:solidFill>
                    <w14:schemeClr w14:val="tx1"/>
                  </w14:solidFill>
                </w14:textFill>
              </w:rPr>
              <w:t>2.5</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浓度均满足《环境空气质量标准》（GB3095-2012）中二级标准要求；地表水环境质量各项指标达到《地表水环境质量标准》（GB3838-2002）II类标准限值要求；不会突破项目所在地的环境质量底线。</w:t>
            </w:r>
          </w:p>
          <w:p w14:paraId="22CB60AB">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①大气环境质量底线及分区管控符合性分析</w:t>
            </w:r>
          </w:p>
          <w:p w14:paraId="23974CDB">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结合大气环境优先保护区管控要求及大气环境受体敏感重点管控区要求，本项目为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，不属于新建、扩建涉及大气污染物排放的各类工业项目及生活垃圾焚烧发电项目。同时，本项目无</w:t>
            </w:r>
            <w:r>
              <w:rPr>
                <w:rFonts w:hint="default" w:ascii="Times New Roman" w:hAnsi="Times New Roman" w:cs="Times New Roman" w:eastAsiaTheme="minorEastAsia"/>
                <w:color w:val="000000" w:themeColor="text1"/>
                <w:sz w:val="24"/>
                <w:highlight w:val="none"/>
                <w14:textFill>
                  <w14:solidFill>
                    <w14:schemeClr w14:val="tx1"/>
                  </w14:solidFill>
                </w14:textFill>
              </w:rPr>
              <w:t>有毒有害烟尘和恶臭气体的物质</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排放、无</w:t>
            </w:r>
            <w:r>
              <w:rPr>
                <w:rFonts w:hint="default" w:ascii="Times New Roman" w:hAnsi="Times New Roman" w:cs="Times New Roman" w:eastAsiaTheme="minorEastAsia"/>
                <w:color w:val="000000" w:themeColor="text1"/>
                <w:sz w:val="24"/>
                <w:highlight w:val="none"/>
                <w14:textFill>
                  <w14:solidFill>
                    <w14:schemeClr w14:val="tx1"/>
                  </w14:solidFill>
                </w14:textFill>
              </w:rPr>
              <w:t>黑烟等明显可视污染物的非道路移动柴油工程机械</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，运营期无大气污染物排放，仅在施工期有少量施工扬尘扩散，</w:t>
            </w:r>
            <w:r>
              <w:rPr>
                <w:rFonts w:hint="default" w:ascii="Times New Roman" w:hAnsi="Times New Roman" w:cs="Times New Roman" w:eastAsiaTheme="minorEastAsia"/>
                <w:color w:val="000000" w:themeColor="text1"/>
                <w:sz w:val="24"/>
                <w:highlight w:val="none"/>
                <w14:textFill>
                  <w14:solidFill>
                    <w14:schemeClr w14:val="tx1"/>
                  </w14:solidFill>
                </w14:textFill>
              </w:rPr>
              <w:t>可满足</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大气环境优先保护区管控要求及大气环境受体敏感重点管控区</w:t>
            </w:r>
            <w:r>
              <w:rPr>
                <w:rFonts w:hint="default" w:ascii="Times New Roman" w:hAnsi="Times New Roman" w:cs="Times New Roman" w:eastAsiaTheme="minorEastAsia"/>
                <w:color w:val="000000" w:themeColor="text1"/>
                <w:sz w:val="24"/>
                <w:highlight w:val="none"/>
                <w14:textFill>
                  <w14:solidFill>
                    <w14:schemeClr w14:val="tx1"/>
                  </w14:solidFill>
                </w14:textFill>
              </w:rPr>
              <w:t>管控要求。</w:t>
            </w:r>
          </w:p>
          <w:p w14:paraId="3660A194">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②水环境质量底线及分区管控符合性分析</w:t>
            </w:r>
          </w:p>
          <w:p w14:paraId="4665CB00">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本项目为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，不属于</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在饮用水水源一级保护区内新建、改建、扩建与供水设施和保护水源无关的建设项目及不属于对水体污染严重的建设项目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。同时项目确保河湖面积不减少、生态功能不退化。本</w:t>
            </w:r>
            <w:r>
              <w:rPr>
                <w:rFonts w:hint="default" w:ascii="Times New Roman" w:hAnsi="Times New Roman" w:cs="Times New Roman" w:eastAsiaTheme="minorEastAsia"/>
                <w:color w:val="000000" w:themeColor="text1"/>
                <w:sz w:val="24"/>
                <w:highlight w:val="none"/>
                <w14:textFill>
                  <w14:solidFill>
                    <w14:schemeClr w14:val="tx1"/>
                  </w14:solidFill>
                </w14:textFill>
              </w:rPr>
              <w:t>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废水只在施工期产生设备清洗废水，设置沉淀池沉淀后，用于场地洒水抑尘、车辆冲洗等，不外排，因此本项目符合水环境优先保护区及</w:t>
            </w:r>
            <w:r>
              <w:rPr>
                <w:rFonts w:hint="default" w:ascii="Times New Roman" w:hAnsi="Times New Roman" w:cs="Times New Roman" w:eastAsiaTheme="minorEastAsia"/>
                <w:color w:val="000000" w:themeColor="text1"/>
                <w:sz w:val="24"/>
                <w:highlight w:val="none"/>
                <w14:textFill>
                  <w14:solidFill>
                    <w14:schemeClr w14:val="tx1"/>
                  </w14:solidFill>
                </w14:textFill>
              </w:rPr>
              <w:t>水环境一般管控区</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管控要求。</w:t>
            </w:r>
          </w:p>
          <w:p w14:paraId="4CFEA77E">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③土壤环境质量底线及分区管控符合性分析</w:t>
            </w:r>
          </w:p>
          <w:p w14:paraId="1FAA30A5">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为</w:t>
            </w:r>
            <w:r>
              <w:rPr>
                <w:rFonts w:hint="default" w:ascii="Times New Roman" w:hAnsi="Times New Roman" w:cs="Times New Roman" w:eastAsiaTheme="minorEastAsia"/>
                <w:color w:val="000000" w:themeColor="text1"/>
                <w14:textFill>
                  <w14:solidFill>
                    <w14:schemeClr w14:val="tx1"/>
                  </w14:solidFill>
                </w14:textFill>
              </w:rPr>
              <w:t>六安市霍山县排水防涝能力提升项目</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，不排放重点污染物，</w:t>
            </w:r>
            <w:r>
              <w:rPr>
                <w:rFonts w:hint="default" w:ascii="Times New Roman" w:hAnsi="Times New Roman" w:cs="Times New Roman" w:eastAsiaTheme="minorEastAsia"/>
                <w:color w:val="000000" w:themeColor="text1"/>
                <w:sz w:val="24"/>
                <w:highlight w:val="none"/>
                <w14:textFill>
                  <w14:solidFill>
                    <w14:schemeClr w14:val="tx1"/>
                  </w14:solidFill>
                </w14:textFill>
              </w:rPr>
              <w:t>不存在土壤、地下水污染途径。项目根据《建设项目环境影响报告表编制技术指南（</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生态</w:t>
            </w:r>
            <w:r>
              <w:rPr>
                <w:rFonts w:hint="default" w:ascii="Times New Roman" w:hAnsi="Times New Roman" w:cs="Times New Roman" w:eastAsiaTheme="minorEastAsia"/>
                <w:color w:val="000000" w:themeColor="text1"/>
                <w:sz w:val="24"/>
                <w:highlight w:val="none"/>
                <w14:textFill>
                  <w14:solidFill>
                    <w14:schemeClr w14:val="tx1"/>
                  </w14:solidFill>
                </w14:textFill>
              </w:rPr>
              <w:t>影响类）》（试行），不开展土壤环境质量现状评价。因此，符合其相关管控要求。</w:t>
            </w:r>
          </w:p>
          <w:p w14:paraId="6F3DD7ED">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本项目产生的环境影响经防治措施治理后，能保障基本环境质量要求的安全线。总体来看，项目符合环境质量底线要求。</w:t>
            </w:r>
          </w:p>
          <w:p w14:paraId="6F4827AA">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⑶资源利用上限符合性分析</w:t>
            </w:r>
          </w:p>
          <w:p w14:paraId="77EDA85A">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本项目占用的资源包括：土地、水、电等资源，经分析，项目占用的资源相较于区域资源利用上线的比重很小，符合资源利用上线的要求。</w:t>
            </w:r>
          </w:p>
          <w:p w14:paraId="269FD633">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⑷环境准入清单符合性分析</w:t>
            </w:r>
          </w:p>
          <w:p w14:paraId="03B11F28">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项目评价范围内不涉及生态红线保护区域，不属于禁止开发建设活动、限制开发建设活动、不符合空间布局要求活动的范围内，符合单元有关空间布局约束、污染物排放管控、环境风险防控、资源开发效率要求等相关管控要求，符合生态环境准入清单要求。</w:t>
            </w:r>
          </w:p>
          <w:p w14:paraId="7E39E855">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highlight w:val="none"/>
                <w:lang w:val="en-US" w:eastAsia="zh-CN"/>
                <w14:textFill>
                  <w14:solidFill>
                    <w14:schemeClr w14:val="tx1"/>
                  </w14:solidFill>
                </w14:textFill>
              </w:rPr>
              <w:t>综上所述，本项目的建设符合“三线一单”控制条件要求。</w:t>
            </w:r>
          </w:p>
          <w:p w14:paraId="7CF339B9">
            <w:pPr>
              <w:pStyle w:val="54"/>
              <w:keepNext w:val="0"/>
              <w:keepLines w:val="0"/>
              <w:suppressLineNumbers w:val="0"/>
              <w:spacing w:before="0" w:beforeAutospacing="0" w:after="0" w:afterAutospacing="0"/>
              <w:ind w:left="0" w:right="0" w:firstLine="482" w:firstLineChars="200"/>
              <w:rPr>
                <w:rFonts w:hint="default" w:ascii="Times New Roman" w:hAnsi="Times New Roman" w:cs="Times New Roman"/>
                <w:color w:val="000000" w:themeColor="text1"/>
                <w:szCs w:val="21"/>
                <w:lang w:val="en-US"/>
                <w14:textFill>
                  <w14:solidFill>
                    <w14:schemeClr w14:val="tx1"/>
                  </w14:solidFill>
                </w14:textFill>
              </w:rPr>
            </w:pPr>
            <w:r>
              <w:rPr>
                <w:rFonts w:hint="eastAsia" w:ascii="Times New Roman" w:hAnsi="Times New Roman" w:cs="Times New Roman" w:eastAsiaTheme="minorEastAsia"/>
                <w:b/>
                <w:bCs/>
                <w:color w:val="000000" w:themeColor="text1"/>
                <w:sz w:val="24"/>
                <w:highlight w:val="none"/>
                <w:lang w:val="en-US" w:eastAsia="zh-CN"/>
                <w14:textFill>
                  <w14:solidFill>
                    <w14:schemeClr w14:val="tx1"/>
                  </w14:solidFill>
                </w14:textFill>
              </w:rPr>
              <w:t>3、</w:t>
            </w:r>
            <w:r>
              <w:rPr>
                <w:rFonts w:hint="default" w:ascii="Times New Roman" w:hAnsi="Times New Roman" w:cs="Times New Roman"/>
                <w:color w:val="000000" w:themeColor="text1"/>
                <w:szCs w:val="21"/>
                <w:lang w:val="en-US"/>
                <w14:textFill>
                  <w14:solidFill>
                    <w14:schemeClr w14:val="tx1"/>
                  </w14:solidFill>
                </w14:textFill>
              </w:rPr>
              <w:t>与</w:t>
            </w:r>
            <w:r>
              <w:rPr>
                <w:rFonts w:hint="eastAsia" w:cs="Times New Roman"/>
                <w:color w:val="000000" w:themeColor="text1"/>
                <w:szCs w:val="21"/>
                <w:lang w:val="en-US" w:eastAsia="zh-CN"/>
                <w14:textFill>
                  <w14:solidFill>
                    <w14:schemeClr w14:val="tx1"/>
                  </w14:solidFill>
                </w14:textFill>
              </w:rPr>
              <w:t>霍山</w:t>
            </w:r>
            <w:r>
              <w:rPr>
                <w:rFonts w:hint="default" w:ascii="Times New Roman" w:hAnsi="Times New Roman" w:cs="Times New Roman"/>
                <w:color w:val="000000" w:themeColor="text1"/>
                <w:szCs w:val="21"/>
                <w:lang w:val="en-US"/>
                <w14:textFill>
                  <w14:solidFill>
                    <w14:schemeClr w14:val="tx1"/>
                  </w14:solidFill>
                </w14:textFill>
              </w:rPr>
              <w:t>县“三区三线”划定成果相符性分析</w:t>
            </w:r>
          </w:p>
          <w:p w14:paraId="59A422FF">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“三区三线”：“三区”是指城镇空间、农业空间、生态空间。“三线”是指城镇开发边界、永久基本农田、生态保护红线。依据</w:t>
            </w:r>
            <w:r>
              <w:rPr>
                <w:rFonts w:hint="eastAsia" w:ascii="Times New Roman" w:hAnsi="Times New Roman" w:cs="Times New Roman"/>
                <w:color w:val="000000" w:themeColor="text1"/>
                <w:szCs w:val="21"/>
                <w:lang w:val="en-US" w:eastAsia="zh-CN"/>
                <w14:textFill>
                  <w14:solidFill>
                    <w14:schemeClr w14:val="tx1"/>
                  </w14:solidFill>
                </w14:textFill>
              </w:rPr>
              <w:t>霍山</w:t>
            </w:r>
            <w:r>
              <w:rPr>
                <w:rFonts w:hint="default" w:ascii="Times New Roman" w:hAnsi="Times New Roman" w:cs="Times New Roman"/>
                <w:color w:val="000000" w:themeColor="text1"/>
                <w:szCs w:val="21"/>
                <w:lang w:val="en-US"/>
                <w14:textFill>
                  <w14:solidFill>
                    <w14:schemeClr w14:val="tx1"/>
                  </w14:solidFill>
                </w14:textFill>
              </w:rPr>
              <w:t>县“三区三线”划定成果相关内容，“三区三线”是按照耕地和永久基本农田、生态保护红线、城镇开发边界的优先顺序，在国土空间规划中统筹划定落实三条控制线，做到现状耕地应保尽保、用划尽划，确保三条控制线不交叉、不重叠、不冲突。其中：</w:t>
            </w:r>
          </w:p>
          <w:p w14:paraId="1522CF83">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永久基本农田需落实严格的耕地保护制度，保质保量划定永久基本农田，建立完善基本农田储备区，实施现有耕地提质改造，促进耕地规模化、集中化。</w:t>
            </w:r>
          </w:p>
          <w:p w14:paraId="59FCFF70">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生态保护红线需统筹考虑全县自然生态系统，划定全县生态保护红线。生态保护红线按照禁止建设区管理，坚持严格保护、分级管控、损害追责、违法严惩原则。</w:t>
            </w:r>
          </w:p>
          <w:p w14:paraId="4B0246C5">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lang w:val="en-US"/>
                <w14:textFill>
                  <w14:solidFill>
                    <w14:schemeClr w14:val="tx1"/>
                  </w14:solidFill>
                </w14:textFill>
              </w:rPr>
            </w:pPr>
            <w:r>
              <w:rPr>
                <w:rFonts w:hint="default" w:ascii="Times New Roman" w:hAnsi="Times New Roman" w:cs="Times New Roman"/>
                <w:color w:val="000000" w:themeColor="text1"/>
                <w:szCs w:val="21"/>
                <w:lang w:val="en-US"/>
                <w14:textFill>
                  <w14:solidFill>
                    <w14:schemeClr w14:val="tx1"/>
                  </w14:solidFill>
                </w14:textFill>
              </w:rPr>
              <w:t>城镇开发边界需基于国土空间开发适宜性评价及资源环境承载力评价，避让永久基本农田和生态保护红线，划定城镇开发边界。城镇开发边界外建设用地有序腾退，不得进行城镇集中建设。</w:t>
            </w:r>
          </w:p>
          <w:p w14:paraId="6CB90BC8">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highlight w:val="none"/>
                <w:lang w:val="en-US"/>
                <w14:textFill>
                  <w14:solidFill>
                    <w14:schemeClr w14:val="tx1"/>
                  </w14:solidFill>
                </w14:textFill>
              </w:rPr>
              <w:t>本</w:t>
            </w:r>
            <w:r>
              <w:rPr>
                <w:rFonts w:hint="default" w:ascii="Times New Roman" w:hAnsi="Times New Roman" w:cs="Times New Roman"/>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color w:val="000000" w:themeColor="text1"/>
                <w:szCs w:val="21"/>
                <w:highlight w:val="none"/>
                <w:lang w:val="en-US"/>
                <w14:textFill>
                  <w14:solidFill>
                    <w14:schemeClr w14:val="tx1"/>
                  </w14:solidFill>
                </w14:textFill>
              </w:rPr>
              <w:t>为六安市霍山县排水防涝能力提升项目</w:t>
            </w:r>
            <w:r>
              <w:rPr>
                <w:rFonts w:hint="default" w:ascii="Times New Roman" w:hAnsi="Times New Roman" w:cs="Times New Roman"/>
                <w:color w:val="000000" w:themeColor="text1"/>
                <w:szCs w:val="21"/>
                <w:highlight w:val="none"/>
                <w:lang w:val="en-US" w:eastAsia="zh-CN"/>
                <w14:textFill>
                  <w14:solidFill>
                    <w14:schemeClr w14:val="tx1"/>
                  </w14:solidFill>
                </w14:textFill>
              </w:rPr>
              <w:t>，通过区域排涝工程建设，解决区域排涝能力不足、排水沟渠不成系统的问题，保障区域工农业生产及人民群众的生命财产安全，促进霍山县经济发展。</w:t>
            </w:r>
            <w:r>
              <w:rPr>
                <w:rFonts w:hint="eastAsia" w:ascii="Times New Roman" w:hAnsi="Times New Roman" w:cs="Times New Roman"/>
                <w:color w:val="000000" w:themeColor="text1"/>
                <w:szCs w:val="21"/>
                <w:highlight w:val="none"/>
                <w:lang w:val="en-US" w:eastAsia="zh-CN"/>
                <w14:textFill>
                  <w14:solidFill>
                    <w14:schemeClr w14:val="tx1"/>
                  </w14:solidFill>
                </w14:textFill>
              </w:rPr>
              <w:t>项目</w:t>
            </w:r>
            <w:r>
              <w:rPr>
                <w:rFonts w:hint="default" w:ascii="Times New Roman" w:hAnsi="Times New Roman" w:cs="Times New Roman"/>
                <w:color w:val="000000" w:themeColor="text1"/>
                <w:szCs w:val="21"/>
                <w:highlight w:val="none"/>
                <w:lang w:val="en-US"/>
                <w14:textFill>
                  <w14:solidFill>
                    <w14:schemeClr w14:val="tx1"/>
                  </w14:solidFill>
                </w14:textFill>
              </w:rPr>
              <w:t>所在场址用地主要为水域及水利设施用地，经套合部质检通过的“三区三线”划定成果，项目用地部分位于城镇开发边界内，不涉及占用永久基本农田，不涉及生态保护红线，符合现行规划管控规则。三区三线</w:t>
            </w:r>
            <w:r>
              <w:rPr>
                <w:rFonts w:hint="eastAsia" w:ascii="Times New Roman" w:hAnsi="Times New Roman" w:cs="Times New Roman"/>
                <w:color w:val="000000" w:themeColor="text1"/>
                <w:szCs w:val="21"/>
                <w:highlight w:val="none"/>
                <w:lang w:val="en-US" w:eastAsia="zh-CN"/>
                <w14:textFill>
                  <w14:solidFill>
                    <w14:schemeClr w14:val="tx1"/>
                  </w14:solidFill>
                </w14:textFill>
              </w:rPr>
              <w:t>套合图</w:t>
            </w:r>
            <w:r>
              <w:rPr>
                <w:rFonts w:hint="eastAsia" w:ascii="Times New Roman" w:hAnsi="Times New Roman" w:cs="Times New Roman"/>
                <w:color w:val="000000" w:themeColor="text1"/>
                <w:szCs w:val="21"/>
                <w:lang w:val="en-US" w:eastAsia="zh-CN"/>
                <w14:textFill>
                  <w14:solidFill>
                    <w14:schemeClr w14:val="tx1"/>
                  </w14:solidFill>
                </w14:textFill>
              </w:rPr>
              <w:t>见附图。</w:t>
            </w:r>
          </w:p>
          <w:p w14:paraId="78E25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sz w:val="24"/>
                <w:highlight w:val="none"/>
                <w14:textFill>
                  <w14:solidFill>
                    <w14:schemeClr w14:val="tx1"/>
                  </w14:solidFill>
                </w14:textFill>
              </w:rPr>
            </w:pPr>
            <w:r>
              <w:rPr>
                <w:rFonts w:hint="eastAsia" w:cs="Times New Roman" w:eastAsiaTheme="minorEastAsia"/>
                <w:b/>
                <w:bCs/>
                <w:color w:val="000000" w:themeColor="text1"/>
                <w:sz w:val="24"/>
                <w:highlight w:val="none"/>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z w:val="24"/>
                <w:highlight w:val="none"/>
                <w14:textFill>
                  <w14:solidFill>
                    <w14:schemeClr w14:val="tx1"/>
                  </w14:solidFill>
                </w14:textFill>
              </w:rPr>
              <w:t>、与《水利建设项目（河湖整治与河湖整治工程）环境影响评价文件审批原则》符合性分析</w:t>
            </w:r>
          </w:p>
          <w:p w14:paraId="379FFA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表1-</w:t>
            </w:r>
            <w:r>
              <w:rPr>
                <w:rFonts w:hint="eastAsia" w:cs="Times New Roman" w:eastAsiaTheme="minorEastAsia"/>
                <w:b/>
                <w:bCs/>
                <w:color w:val="000000" w:themeColor="text1"/>
                <w:kern w:val="0"/>
                <w:sz w:val="24"/>
                <w:highlight w:val="none"/>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 xml:space="preserve">  </w:t>
            </w:r>
            <w:r>
              <w:rPr>
                <w:rFonts w:hint="eastAsia" w:ascii="Times New Roman" w:hAnsi="Times New Roman" w:cs="Times New Roman" w:eastAsiaTheme="minorEastAsia"/>
                <w:b/>
                <w:bCs/>
                <w:color w:val="000000" w:themeColor="text1"/>
                <w:kern w:val="0"/>
                <w:sz w:val="24"/>
                <w:highlight w:val="none"/>
                <w:lang w:val="en-US" w:eastAsia="zh-CN"/>
                <w14:textFill>
                  <w14:solidFill>
                    <w14:schemeClr w14:val="tx1"/>
                  </w14:solidFill>
                </w14:textFill>
              </w:rPr>
              <w:t>相符性分析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3176"/>
            </w:tblGrid>
            <w:tr w14:paraId="251B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7C93A0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t>审批原则</w:t>
                  </w:r>
                </w:p>
              </w:tc>
              <w:tc>
                <w:tcPr>
                  <w:tcW w:w="3176" w:type="dxa"/>
                  <w:vAlign w:val="center"/>
                </w:tcPr>
                <w:p w14:paraId="60C0A2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pPr>
                  <w:r>
                    <w:rPr>
                      <w:rFonts w:hint="eastAsia" w:ascii="宋体" w:hAnsi="宋体" w:eastAsia="宋体" w:cs="宋体"/>
                      <w:b/>
                      <w:bCs/>
                      <w:color w:val="000000" w:themeColor="text1"/>
                      <w:sz w:val="21"/>
                      <w:szCs w:val="21"/>
                      <w:highlight w:val="none"/>
                      <w:vertAlign w:val="baseline"/>
                      <w:lang w:eastAsia="zh-CN"/>
                      <w14:textFill>
                        <w14:solidFill>
                          <w14:schemeClr w14:val="tx1"/>
                        </w14:solidFill>
                      </w14:textFill>
                    </w:rPr>
                    <w:t>本项目</w:t>
                  </w:r>
                </w:p>
              </w:tc>
            </w:tr>
            <w:tr w14:paraId="79A0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07A69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项目符合环境保护相关法律法规和政策要求，与主体功能区规划、生态功能区划、水环境功能区划、水功能区划、生态环境保护规划、流域综合规划、防洪规划等协调，满足相关规划环评要求。</w:t>
                  </w:r>
                </w:p>
              </w:tc>
              <w:tc>
                <w:tcPr>
                  <w:tcW w:w="3176" w:type="dxa"/>
                  <w:vAlign w:val="center"/>
                </w:tcPr>
                <w:p w14:paraId="73AD1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本项目符合环境保护相关法律法规和政策要求，符合</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六安市</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生态管控</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要求</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w:t>
                  </w:r>
                </w:p>
              </w:tc>
            </w:tr>
            <w:tr w14:paraId="134A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1E73F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176" w:type="dxa"/>
                  <w:vAlign w:val="center"/>
                </w:tcPr>
                <w:p w14:paraId="07DEB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本项目不占用自然保护区、风景名胜区、世界文化和自然遗产地以及其他生态保护红线等环境敏感区中法律法规禁止占用的区域。</w:t>
                  </w:r>
                </w:p>
              </w:tc>
            </w:tr>
            <w:tr w14:paraId="77AA0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2172FE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项目实施改变水动力条件或水文过程且对水质产生不利影响的，提出了工程优化调整、科学调度、实施区域流域水污染防治等措施。对地下水环境产生不利影响或次生影响的，提出了优化工程设计、导排、防护等针对性的防治措施。在采取上述措施后，对水环境的不利影响能够得到缓解和控制，居民用水安全能够得到保障，相关区域不会出现显著的土壤潜育化、沼泽化、盐碱化等次生问题</w:t>
                  </w:r>
                </w:p>
              </w:tc>
              <w:tc>
                <w:tcPr>
                  <w:tcW w:w="3176" w:type="dxa"/>
                  <w:vAlign w:val="center"/>
                </w:tcPr>
                <w:p w14:paraId="09E25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本项目施工过程中会对水环境产生一定的不利影响，本环评提出了相应的施工期水污染防治措施，在施工结束后，施工不利影响消失，项目的实施有利于提高河流水质和防洪减灾能力；本项目建设基本不会对地下水产生影响。项目严格执行各项污染防治措施，减少对水环境的影响；项目建成后有利于防洪能力的提升、水环境和生态环境的改善。</w:t>
                  </w:r>
                </w:p>
              </w:tc>
            </w:tr>
            <w:tr w14:paraId="4BA1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615F5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项目施工组织方案具有环境合理性，对料场、弃土(渣)场等施工场地提出了水士流失防治和生态修复等措施。根据环境保护相关标准和要求，对施工期各类废(污)水、扬尘、废气、噪声、固体废物等提出子防治或处置措施。其中，涉水施工涉及饮用水水源保护区或取水口并可能对水质造成不利影响的，提出了避让、施工方案优化、污染物控制等措施</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涉水施工对鱼类等水生生物及其重要生境造成不利影响的，提出了避让、施工方案优化、控制施工噪声等措施</w:t>
                  </w:r>
                  <w:r>
                    <w:rPr>
                      <w:rFonts w:hint="eastAsia" w:cs="Times New Roman" w:eastAsiaTheme="minorEastAsia"/>
                      <w:color w:val="000000" w:themeColor="text1"/>
                      <w:sz w:val="21"/>
                      <w:szCs w:val="21"/>
                      <w:highlight w:val="none"/>
                      <w:vertAlign w:val="baseli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针对清淤、疏浚等产生的淤泥，提出了符合相关规定的处置或综合利用方案。在采取上述措施后，施工期的不利环境影响能够得到缓解和控制，不会对周围环境和敏感保护目标造成重大不利影响。</w:t>
                  </w:r>
                </w:p>
              </w:tc>
              <w:tc>
                <w:tcPr>
                  <w:tcW w:w="3176" w:type="dxa"/>
                  <w:vAlign w:val="center"/>
                </w:tcPr>
                <w:p w14:paraId="6BD2B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对工程区提出了水土流失防治措施和生态修复等措施；并根据环保要求，对废水、废气、噪声、固废等均提出了防治或处置措施。</w:t>
                  </w:r>
                </w:p>
                <w:p w14:paraId="5B4338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r>
            <w:tr w14:paraId="1CA61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40B0D2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3176" w:type="dxa"/>
                  <w:vAlign w:val="center"/>
                </w:tcPr>
                <w:p w14:paraId="0183A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已按要求编制相关监测计划、保护措施、管理要求。</w:t>
                  </w:r>
                </w:p>
                <w:p w14:paraId="4CC66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p>
              </w:tc>
            </w:tr>
            <w:tr w14:paraId="1B5F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vAlign w:val="center"/>
                </w:tcPr>
                <w:p w14:paraId="23C89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环境影响评价文件编制规范，符合相关管理规定和环评技术标准要求。</w:t>
                  </w:r>
                </w:p>
              </w:tc>
              <w:tc>
                <w:tcPr>
                  <w:tcW w:w="3176" w:type="dxa"/>
                  <w:vAlign w:val="center"/>
                </w:tcPr>
                <w:p w14:paraId="31DD4C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vertAlign w:val="baseline"/>
                      <w:lang w:val="en-US" w:eastAsia="zh-CN"/>
                      <w14:textFill>
                        <w14:solidFill>
                          <w14:schemeClr w14:val="tx1"/>
                        </w14:solidFill>
                      </w14:textFill>
                    </w:rPr>
                    <w:t>已按环境影响评价文件编制，符合相关管理规定和环境技术标准要求。</w:t>
                  </w:r>
                </w:p>
              </w:tc>
            </w:tr>
          </w:tbl>
          <w:p w14:paraId="1972E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BE5A34C">
            <w:pPr>
              <w:pStyle w:val="6"/>
              <w:suppressLineNumbers w:val="0"/>
              <w:ind w:left="0" w:right="0"/>
              <w:rPr>
                <w:rFonts w:hint="default"/>
                <w:color w:val="000000" w:themeColor="text1"/>
                <w14:textFill>
                  <w14:solidFill>
                    <w14:schemeClr w14:val="tx1"/>
                  </w14:solidFill>
                </w14:textFill>
              </w:rPr>
            </w:pPr>
          </w:p>
          <w:p w14:paraId="3C138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7E5E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40FB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608D3B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3169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7AF4F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58006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01B891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367C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184A5FFF">
            <w:pPr>
              <w:pStyle w:val="6"/>
              <w:suppressLineNumbers w:val="0"/>
              <w:ind w:left="0" w:right="0"/>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B89A5F2">
            <w:pPr>
              <w:pStyle w:val="6"/>
              <w:suppressLineNumbers w:val="0"/>
              <w:ind w:left="0" w:leftChars="0" w:right="0" w:firstLine="0" w:firstLineChars="0"/>
              <w:rPr>
                <w:rFonts w:hint="default"/>
                <w:color w:val="000000" w:themeColor="text1"/>
                <w14:textFill>
                  <w14:solidFill>
                    <w14:schemeClr w14:val="tx1"/>
                  </w14:solidFill>
                </w14:textFill>
              </w:rPr>
            </w:pPr>
          </w:p>
          <w:p w14:paraId="7FBA5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highlight w:val="none"/>
                <w14:textFill>
                  <w14:solidFill>
                    <w14:schemeClr w14:val="tx1"/>
                  </w14:solidFill>
                </w14:textFill>
              </w:rPr>
            </w:pPr>
          </w:p>
          <w:p w14:paraId="29A6D0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p>
        </w:tc>
      </w:tr>
      <w:bookmarkEnd w:id="4"/>
    </w:tbl>
    <w:p w14:paraId="2B39A06C">
      <w:pPr>
        <w:pageBreakBefore w:val="0"/>
        <w:kinsoku/>
        <w:bidi w:val="0"/>
        <w:adjustRightInd/>
        <w:snapToGrid/>
        <w:spacing w:beforeAutospacing="0" w:afterAutospacing="0" w:line="360" w:lineRule="auto"/>
        <w:ind w:left="0" w:leftChars="0" w:right="0" w:rightChars="0"/>
        <w:outlineLvl w:val="0"/>
        <w:rPr>
          <w:rFonts w:hint="default" w:ascii="Times New Roman" w:hAnsi="Times New Roman" w:cs="Times New Roman" w:eastAsiaTheme="minorEastAsia"/>
          <w:color w:val="000000" w:themeColor="text1"/>
          <w:sz w:val="30"/>
          <w14:textFill>
            <w14:solidFill>
              <w14:schemeClr w14:val="tx1"/>
            </w14:solidFill>
          </w14:textFill>
        </w:rPr>
        <w:sectPr>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start="1"/>
          <w:cols w:space="0" w:num="1"/>
          <w:rtlGutter w:val="0"/>
          <w:docGrid w:type="lines" w:linePitch="312" w:charSpace="0"/>
        </w:sectPr>
      </w:pPr>
    </w:p>
    <w:p w14:paraId="1735B60D">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0" w:firstLineChars="0"/>
        <w:jc w:val="center"/>
        <w:textAlignment w:val="auto"/>
        <w:outlineLvl w:val="0"/>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二、建设内容</w:t>
      </w:r>
    </w:p>
    <w:tbl>
      <w:tblPr>
        <w:tblStyle w:val="25"/>
        <w:tblW w:w="90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297"/>
      </w:tblGrid>
      <w:tr w14:paraId="7DD42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2EE06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地理位置</w:t>
            </w:r>
          </w:p>
        </w:tc>
        <w:tc>
          <w:tcPr>
            <w:tcW w:w="8297" w:type="dxa"/>
            <w:tcBorders>
              <w:tl2br w:val="nil"/>
              <w:tr2bl w:val="nil"/>
            </w:tcBorders>
            <w:vAlign w:val="center"/>
          </w:tcPr>
          <w:p w14:paraId="70915482">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cs="Times New Roman" w:eastAsiaTheme="minorEastAsia"/>
                <w:color w:val="000000" w:themeColor="text1"/>
                <w:kern w:val="0"/>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本项目主要工程建设内容为：</w:t>
            </w:r>
            <w:r>
              <w:rPr>
                <w:rFonts w:hint="default" w:ascii="Times New Roman" w:hAnsi="Times New Roman" w:cs="Times New Roman" w:eastAsiaTheme="minorEastAsia"/>
                <w:color w:val="000000" w:themeColor="text1"/>
                <w:sz w:val="24"/>
                <w:szCs w:val="24"/>
                <w14:textFill>
                  <w14:solidFill>
                    <w14:schemeClr w14:val="tx1"/>
                  </w14:solidFill>
                </w14:textFill>
              </w:rPr>
              <w:t>新建排水管网30.8k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；增设西部新城排涝泵站1座，改造排涝沟11.49k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；整治城区柳林河、幽芳河、高庙河、新店河四条排涝通道总长25.62k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。工程投资估算</w:t>
            </w:r>
            <w:r>
              <w:rPr>
                <w:rFonts w:hint="eastAsia" w:cs="Times New Roman" w:eastAsiaTheme="minorEastAsia"/>
                <w:color w:val="000000" w:themeColor="text1"/>
                <w:sz w:val="24"/>
                <w:szCs w:val="24"/>
                <w:lang w:eastAsia="zh-CN"/>
                <w14:textFill>
                  <w14:solidFill>
                    <w14:schemeClr w14:val="tx1"/>
                  </w14:solidFill>
                </w14:textFill>
              </w:rPr>
              <w:t>39550.68</w:t>
            </w:r>
            <w:r>
              <w:rPr>
                <w:rFonts w:hint="default" w:ascii="Times New Roman" w:hAnsi="Times New Roman" w:cs="Times New Roman" w:eastAsiaTheme="minorEastAsia"/>
                <w:color w:val="000000" w:themeColor="text1"/>
                <w:sz w:val="24"/>
                <w:szCs w:val="24"/>
                <w14:textFill>
                  <w14:solidFill>
                    <w14:schemeClr w14:val="tx1"/>
                  </w14:solidFill>
                </w14:textFill>
              </w:rPr>
              <w:t>万元</w:t>
            </w: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w:t>
            </w:r>
          </w:p>
          <w:p w14:paraId="7D20F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1、区域排涝能力提升工程</w:t>
            </w:r>
          </w:p>
          <w:p w14:paraId="019994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西部新城排涝站中心坐标：</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E</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116</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18</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31.186</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″，N</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31</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15.131</w:t>
            </w:r>
            <w:r>
              <w:rPr>
                <w:rFonts w:hint="default" w:ascii="Times New Roman" w:hAnsi="Times New Roman" w:cs="Times New Roman" w:eastAsiaTheme="minorEastAsia"/>
                <w:color w:val="000000" w:themeColor="text1"/>
                <w:kern w:val="0"/>
                <w:sz w:val="21"/>
                <w:szCs w:val="21"/>
                <w:highlight w:val="none"/>
                <w:lang w:val="en-US"/>
                <w14:textFill>
                  <w14:solidFill>
                    <w14:schemeClr w14:val="tx1"/>
                  </w14:solidFill>
                </w14:textFill>
              </w:rPr>
              <w:t>″</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w:t>
            </w:r>
          </w:p>
          <w:p w14:paraId="0DE7F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北侧边沟起止坐标：E116°16′40.070″，N31°25′4.925″~E116°18′40.888″，N315°257′184593″；</w:t>
            </w:r>
          </w:p>
          <w:p w14:paraId="5D6F8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六佛路排涝沟起止坐标：E116°16′16.785″</w:t>
            </w:r>
            <w:r>
              <w:rPr>
                <w:rFonts w:hint="eastAsia"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N31°24′58.491″~E116°17′48.887″，N31°25′1.8190″；</w:t>
            </w:r>
          </w:p>
          <w:p w14:paraId="79E7F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中心排涝沟起止坐标：E116°16′58.179″，N31°24′57.27051″~E116°18'27.952"，N31°25'12.580"；</w:t>
            </w:r>
          </w:p>
          <w:p w14:paraId="26CD3B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项家院排涝沟起止坐标：E116°16'22.736"，N31°24'25.539"~E116°16'14.845"，N31°25'7.587"；</w:t>
            </w:r>
          </w:p>
          <w:p w14:paraId="4BCFCA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戴家河排涝片起止坐标：E116°16'0.616"，N31°25'39.869"~E116°16'24.676"，N31°26'45.088"；</w:t>
            </w:r>
          </w:p>
          <w:p w14:paraId="48475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2、城区排涝通道整治工程</w:t>
            </w:r>
          </w:p>
          <w:p w14:paraId="460895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高庙河排涝通道整治起止坐标：E116°23'26.134"，N31°21'52.919"~E116°20'35.772"，N31°25'33.130"；</w:t>
            </w:r>
          </w:p>
          <w:p w14:paraId="6D259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柳林河排涝通道整治起止坐标：E116°19'26.049"，N31°22'3.630"~E116°18'43.879"，N31°25'15.159"；</w:t>
            </w:r>
          </w:p>
          <w:p w14:paraId="16D22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新店河排涝通道整治起止坐标：E116°14'46.822"，N31°26'1.601"~E116°15'58.873"，N31°25'51.673"；</w:t>
            </w:r>
          </w:p>
          <w:p w14:paraId="49446B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幽芳河排涝通道整治起止坐标：E116°21'02.3323"，N31°21'44.1372"~E116°20'42.3393"，N31°24'33.0139"；</w:t>
            </w:r>
          </w:p>
          <w:p w14:paraId="349F42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lang w:val="en-US" w:eastAsia="zh-CN"/>
                <w14:textFill>
                  <w14:solidFill>
                    <w14:schemeClr w14:val="tx1"/>
                  </w14:solidFill>
                </w14:textFill>
              </w:rPr>
              <w:t>3、排水管网改造工程</w:t>
            </w:r>
          </w:p>
          <w:p w14:paraId="7C2C7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幽芳河片区排水管网改造起止坐标：E116°21'33.323"，N31°22'4.148"~E116°21'5.706"，N31°24'52.768"；</w:t>
            </w:r>
          </w:p>
          <w:p w14:paraId="7CC2D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柳林河片区排水管网改造起止坐标：E116°19'26.049"，N31°22'3.630"~E116°18'43.879"，N31°25'15.159"；</w:t>
            </w:r>
          </w:p>
          <w:p w14:paraId="503F8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南岳花都片排水管网新建工程</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中心坐标：E116°20'15.6874"</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N31°23'32.2231"；</w:t>
            </w:r>
          </w:p>
          <w:p w14:paraId="53705FD7">
            <w:pPr>
              <w:keepNext w:val="0"/>
              <w:keepLines w:val="0"/>
              <w:pageBreakBefore w:val="0"/>
              <w:widowControl w:val="0"/>
              <w:suppressLineNumbers w:val="0"/>
              <w:kinsoku/>
              <w:wordWrap/>
              <w:overflowPunct/>
              <w:topLinePunct/>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衡山工业园片排水管网新建工程中心坐标：E116°18'35.4608"</w:t>
            </w:r>
            <w:r>
              <w:rPr>
                <w:rFonts w:hint="eastAsia" w:cs="Times New Roman" w:eastAsiaTheme="minorEastAsia"/>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kern w:val="0"/>
                <w:sz w:val="21"/>
                <w:szCs w:val="21"/>
                <w:highlight w:val="none"/>
                <w:lang w:val="en-US" w:eastAsia="zh-CN"/>
                <w14:textFill>
                  <w14:solidFill>
                    <w14:schemeClr w14:val="tx1"/>
                  </w14:solidFill>
                </w14:textFill>
              </w:rPr>
              <w:t>N31°24'43.0653"。</w:t>
            </w:r>
          </w:p>
        </w:tc>
      </w:tr>
      <w:tr w14:paraId="23646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8" w:type="dxa"/>
            <w:tcBorders>
              <w:tl2br w:val="nil"/>
              <w:tr2bl w:val="nil"/>
            </w:tcBorders>
            <w:vAlign w:val="center"/>
          </w:tcPr>
          <w:p w14:paraId="71CC20A8">
            <w:pPr>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项目组成及规模</w:t>
            </w:r>
          </w:p>
        </w:tc>
        <w:tc>
          <w:tcPr>
            <w:tcW w:w="8297" w:type="dxa"/>
            <w:tcBorders>
              <w:right w:val="single" w:color="auto" w:sz="4" w:space="0"/>
              <w:tl2br w:val="nil"/>
              <w:tr2bl w:val="nil"/>
            </w:tcBorders>
            <w:vAlign w:val="center"/>
          </w:tcPr>
          <w:p w14:paraId="5D9CC6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1、项目建设背景</w:t>
            </w:r>
          </w:p>
          <w:p w14:paraId="0819199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霍山县地处大别山区，城区多山地丘陵地貌，地势起伏大。这种地形特点导致了降雨汇流速度快，短时强降水极易形成地面径流涌向低洼地带，引发内涝。霍山县城现状排水防涝标准低，防洪、除涝问题突出，历史上多次严重内涝灾害事件暴露了现有系统的脆弱性和不足。</w:t>
            </w:r>
          </w:p>
          <w:p w14:paraId="2B61B9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霍山县西部新城（柳林河西片区）为低洼圩区，圩堤由东淠河、柳林河、淠源渠堤防组成，区内现状无抽排泵站，现状排涝涵闸遇外河水位较高时无法有效排除区内积水，导致民房受淹、交通中断、财产损失等问题，存在极大安全隐患。</w:t>
            </w:r>
          </w:p>
          <w:p w14:paraId="4348F4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霍山县城北侧为东淠河，南侧为大别山区，虽近年来实施了淠源渠等优质工程切实减缓了南侧山区汇水引起的洪涝灾害，但城区排涝通道包括高庙河、柳林河、新店河等河道未进行系统治理，存在堤防不达标、护岸损毁、管理设施不健全、建筑物损毁严重等工程问题，排涝通道未能发挥作用，仍存在加大安全隐患。</w:t>
            </w:r>
          </w:p>
          <w:p w14:paraId="6B6773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霍山县城沿河管网建设年代久远、标准偏低：部分老城区或早期建成区域的排水管网设计标准较低，管径偏小、坡度不合理，难以应对当前高强度、短历时的强降雨系统存在短板与瓶颈。部分区域管网覆盖率不足、老化、淤积堵塞现象严重，降低了排水效率。雨水收集系统不完善，泵站提升能力不足，行泄通道（河道、沟渠等）过流能力受限或行洪空间被挤占。原有的设计标准已不能有效满足当前和未来的防洪排涝需求。</w:t>
            </w:r>
          </w:p>
          <w:p w14:paraId="1B0A44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随着霍山县城镇化的快速推进，城区规模扩大，建筑密度和道路硬化率提高，导致城市下垫面的自然渗水能力大幅降低，地表径流量显著增加，对排水系统带来更大压力，同样量级暴雨洪水造成的洪涝灾害损失将更加巨大，洪涝灾害是制约霍山县经济健康快速发展的主要因素之一。因此，霍山县政府和有关部门十分重视霍山县的排水防涝工作，霍山县总体规划、城市防洪规划等规划都将防洪排涝规划列为重要内容，并视为城镇发展中急需优先解决的问题之一。</w:t>
            </w:r>
          </w:p>
          <w:p w14:paraId="0F539E1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项目位于六安市霍山县县城，积极贯彻落实国家和省市关于提升城市防洪排涝能力的决策部署和政策要求。项目旨在系统提升霍山县城区排水防涝能力，适应城镇化快速发展带来的更高排水防涝需求。通过系统性、现代化的工程建设，增强城区抵御暴雨、应对极端天气事件的韧性，保障人民生命财产安全和经济社会可持续发展。</w:t>
            </w:r>
          </w:p>
          <w:p w14:paraId="6B6695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根据《</w:t>
            </w:r>
            <w:r>
              <w:rPr>
                <w:rFonts w:hint="eastAsia" w:cs="Times New Roman"/>
                <w:color w:val="000000" w:themeColor="text1"/>
                <w:lang w:eastAsia="zh-CN"/>
                <w14:textFill>
                  <w14:solidFill>
                    <w14:schemeClr w14:val="tx1"/>
                  </w14:solidFill>
                </w14:textFill>
              </w:rPr>
              <w:t>关于</w:t>
            </w:r>
            <w:r>
              <w:rPr>
                <w:rFonts w:hint="default" w:ascii="Times New Roman" w:hAnsi="Times New Roman" w:eastAsia="宋体" w:cs="Times New Roman"/>
                <w:color w:val="000000" w:themeColor="text1"/>
                <w:lang w:eastAsia="zh-CN"/>
                <w14:textFill>
                  <w14:solidFill>
                    <w14:schemeClr w14:val="tx1"/>
                  </w14:solidFill>
                </w14:textFill>
              </w:rPr>
              <w:t>六安市霍山县排水防涝能力提升项目可行性研究报告</w:t>
            </w:r>
            <w:r>
              <w:rPr>
                <w:rFonts w:hint="eastAsia" w:cs="Times New Roman"/>
                <w:color w:val="000000" w:themeColor="text1"/>
                <w:lang w:eastAsia="zh-CN"/>
                <w14:textFill>
                  <w14:solidFill>
                    <w14:schemeClr w14:val="tx1"/>
                  </w14:solidFill>
                </w14:textFill>
              </w:rPr>
              <w:t>的批复</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可行</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主要工程建设内容及投资：新建排水管网30.80公里，其中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幽芳河及柳林河片排水管网长19.34公里，南岳花都片排水管网长0.46公里，衡山工业园片排水管网长11.00公里，配套建设检查井及提升泵站</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迎驾厂排涝片新建西部新城排涝泵站1座，排涝面积5.3平方公里，配套改造区内排涝沟总长10.07公里</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戴家河排涝片改造排涝沟总长1.43公里，配套建设穿堤路涵</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整治四条排涝通道，总长度25.62公里，其中</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幽芳河排涝通道长6.36公里，高庙河排涝通道长5.65公里，柳林河排涝通道长11</w:t>
            </w:r>
            <w:r>
              <w:rPr>
                <w:rFonts w:hint="eastAsia"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14:textFill>
                  <w14:solidFill>
                    <w14:schemeClr w14:val="tx1"/>
                  </w14:solidFill>
                </w14:textFill>
              </w:rPr>
              <w:t>10公里，新店河排涝通道长2.51公里，主要内容为清淤疏浚、新建加固护坡护岸等。工程投资估算</w:t>
            </w:r>
            <w:r>
              <w:rPr>
                <w:rFonts w:hint="eastAsia" w:cs="Times New Roman"/>
                <w:color w:val="000000" w:themeColor="text1"/>
                <w:lang w:eastAsia="zh-CN"/>
                <w14:textFill>
                  <w14:solidFill>
                    <w14:schemeClr w14:val="tx1"/>
                  </w14:solidFill>
                </w14:textFill>
              </w:rPr>
              <w:t>39550.68</w:t>
            </w:r>
            <w:r>
              <w:rPr>
                <w:rFonts w:hint="default" w:ascii="Times New Roman" w:hAnsi="Times New Roman" w:eastAsia="宋体" w:cs="Times New Roman"/>
                <w:color w:val="000000" w:themeColor="text1"/>
                <w14:textFill>
                  <w14:solidFill>
                    <w14:schemeClr w14:val="tx1"/>
                  </w14:solidFill>
                </w14:textFill>
              </w:rPr>
              <w:t>万元。</w:t>
            </w:r>
          </w:p>
          <w:p w14:paraId="6B6A95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项目防洪保护人口约16万人，排涝方面治涝面积约1万亩，综合判定本工程等别为Ⅳ等。</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对照《建设项目环境影响评价分类管理名录（2021年版）》的要求，本项目属于“五十一、水利-127防洪除涝工程中的其它”</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五十二、交通运输业、管道运输业-146城市（镇）管网及管廊建设（不含给水管道；不含光纤；不含1.6兆帕及以下的天然气管道）中的其他</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，应编制环境影响报告表。</w:t>
            </w:r>
          </w:p>
          <w:p w14:paraId="5F161B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具体情况详见下表：</w:t>
            </w:r>
          </w:p>
          <w:p w14:paraId="10847941">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表2-1  对照《建设项目环境影响评价分类管理名录（2021年版）》分析</w:t>
            </w:r>
          </w:p>
          <w:tbl>
            <w:tblPr>
              <w:tblStyle w:val="26"/>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1500"/>
              <w:gridCol w:w="772"/>
              <w:gridCol w:w="1905"/>
              <w:gridCol w:w="1065"/>
              <w:gridCol w:w="1944"/>
            </w:tblGrid>
            <w:tr w14:paraId="08EB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251" w:type="dxa"/>
                  <w:gridSpan w:val="2"/>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14:paraId="244F17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p>
                <w:p w14:paraId="50C16FC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项目类别</w:t>
                  </w:r>
                </w:p>
                <w:p w14:paraId="22A692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环评类别</w:t>
                  </w:r>
                </w:p>
              </w:tc>
              <w:tc>
                <w:tcPr>
                  <w:tcW w:w="772" w:type="dxa"/>
                  <w:tcBorders>
                    <w:tl2br w:val="nil"/>
                    <w:tr2bl w:val="nil"/>
                  </w:tcBorders>
                  <w:vAlign w:val="center"/>
                </w:tcPr>
                <w:p w14:paraId="4A7632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报告书</w:t>
                  </w:r>
                </w:p>
              </w:tc>
              <w:tc>
                <w:tcPr>
                  <w:tcW w:w="1905" w:type="dxa"/>
                  <w:tcBorders>
                    <w:tl2br w:val="nil"/>
                    <w:tr2bl w:val="nil"/>
                  </w:tcBorders>
                  <w:vAlign w:val="center"/>
                </w:tcPr>
                <w:p w14:paraId="7F033C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报告表</w:t>
                  </w:r>
                </w:p>
              </w:tc>
              <w:tc>
                <w:tcPr>
                  <w:tcW w:w="1065" w:type="dxa"/>
                  <w:tcBorders>
                    <w:tl2br w:val="nil"/>
                    <w:tr2bl w:val="nil"/>
                  </w:tcBorders>
                  <w:vAlign w:val="center"/>
                </w:tcPr>
                <w:p w14:paraId="2CF9A3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登记表</w:t>
                  </w:r>
                </w:p>
              </w:tc>
              <w:tc>
                <w:tcPr>
                  <w:tcW w:w="1944" w:type="dxa"/>
                  <w:tcBorders>
                    <w:tl2br w:val="nil"/>
                    <w:tr2bl w:val="nil"/>
                  </w:tcBorders>
                  <w:vAlign w:val="center"/>
                </w:tcPr>
                <w:p w14:paraId="7DDD41E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val="en-US" w:eastAsia="zh-CN"/>
                      <w14:textFill>
                        <w14:solidFill>
                          <w14:schemeClr w14:val="tx1"/>
                        </w14:solidFill>
                      </w14:textFill>
                    </w:rPr>
                    <w:t>环境敏感区含义</w:t>
                  </w:r>
                </w:p>
              </w:tc>
            </w:tr>
            <w:tr w14:paraId="0DE6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6"/>
                  <w:tcBorders>
                    <w:tl2br w:val="nil"/>
                    <w:tr2bl w:val="nil"/>
                  </w:tcBorders>
                  <w:vAlign w:val="center"/>
                </w:tcPr>
                <w:p w14:paraId="2FD13A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五十一、水利</w:t>
                  </w:r>
                </w:p>
              </w:tc>
            </w:tr>
            <w:tr w14:paraId="55461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tcBorders>
                    <w:tl2br w:val="nil"/>
                    <w:tr2bl w:val="nil"/>
                  </w:tcBorders>
                  <w:vAlign w:val="center"/>
                </w:tcPr>
                <w:p w14:paraId="108C10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127</w:t>
                  </w:r>
                </w:p>
              </w:tc>
              <w:tc>
                <w:tcPr>
                  <w:tcW w:w="1500" w:type="dxa"/>
                  <w:tcBorders>
                    <w:tl2br w:val="nil"/>
                    <w:tr2bl w:val="nil"/>
                  </w:tcBorders>
                  <w:vAlign w:val="center"/>
                </w:tcPr>
                <w:p w14:paraId="671A1C7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防洪除涝工程</w:t>
                  </w:r>
                </w:p>
              </w:tc>
              <w:tc>
                <w:tcPr>
                  <w:tcW w:w="772" w:type="dxa"/>
                  <w:tcBorders>
                    <w:tl2br w:val="nil"/>
                    <w:tr2bl w:val="nil"/>
                  </w:tcBorders>
                  <w:vAlign w:val="center"/>
                </w:tcPr>
                <w:p w14:paraId="741DB9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新建大中型</w:t>
                  </w:r>
                </w:p>
              </w:tc>
              <w:tc>
                <w:tcPr>
                  <w:tcW w:w="1905" w:type="dxa"/>
                  <w:tcBorders>
                    <w:tl2br w:val="nil"/>
                    <w:tr2bl w:val="nil"/>
                  </w:tcBorders>
                  <w:vAlign w:val="center"/>
                </w:tcPr>
                <w:p w14:paraId="702730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其他（小型沟渠的护坡除外；城镇排涝河流水闸、排涝泵站除外））</w:t>
                  </w:r>
                </w:p>
              </w:tc>
              <w:tc>
                <w:tcPr>
                  <w:tcW w:w="1065" w:type="dxa"/>
                  <w:tcBorders>
                    <w:tl2br w:val="nil"/>
                    <w:tr2bl w:val="nil"/>
                  </w:tcBorders>
                  <w:vAlign w:val="center"/>
                </w:tcPr>
                <w:p w14:paraId="47DB60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城镇排涝河流水闸、排涝泵站</w:t>
                  </w:r>
                </w:p>
              </w:tc>
              <w:tc>
                <w:tcPr>
                  <w:tcW w:w="1944" w:type="dxa"/>
                  <w:tcBorders>
                    <w:tl2br w:val="nil"/>
                    <w:tr2bl w:val="nil"/>
                  </w:tcBorders>
                  <w:vAlign w:val="center"/>
                </w:tcPr>
                <w:p w14:paraId="4ADC28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w:t>
                  </w:r>
                </w:p>
              </w:tc>
            </w:tr>
            <w:tr w14:paraId="5C03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37" w:type="dxa"/>
                  <w:gridSpan w:val="6"/>
                  <w:tcBorders>
                    <w:tl2br w:val="nil"/>
                    <w:tr2bl w:val="nil"/>
                  </w:tcBorders>
                  <w:vAlign w:val="center"/>
                </w:tcPr>
                <w:p w14:paraId="1633C7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五十二、交通运输业、管道运输业</w:t>
                  </w:r>
                </w:p>
              </w:tc>
            </w:tr>
            <w:tr w14:paraId="0279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1" w:type="dxa"/>
                  <w:tcBorders>
                    <w:tl2br w:val="nil"/>
                    <w:tr2bl w:val="nil"/>
                  </w:tcBorders>
                  <w:vAlign w:val="center"/>
                </w:tcPr>
                <w:p w14:paraId="5C31D13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146</w:t>
                  </w:r>
                </w:p>
              </w:tc>
              <w:tc>
                <w:tcPr>
                  <w:tcW w:w="1500" w:type="dxa"/>
                  <w:tcBorders>
                    <w:tl2br w:val="nil"/>
                    <w:tr2bl w:val="nil"/>
                  </w:tcBorders>
                  <w:vAlign w:val="center"/>
                </w:tcPr>
                <w:p w14:paraId="69C9AE9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城市（镇）管网及管廊建设（不含给水管道；不含光纤；不含1.6兆帕及以下的天然气管道）</w:t>
                  </w:r>
                </w:p>
              </w:tc>
              <w:tc>
                <w:tcPr>
                  <w:tcW w:w="772" w:type="dxa"/>
                  <w:tcBorders>
                    <w:tl2br w:val="nil"/>
                    <w:tr2bl w:val="nil"/>
                  </w:tcBorders>
                  <w:vAlign w:val="center"/>
                </w:tcPr>
                <w:p w14:paraId="6AEDA2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w:t>
                  </w:r>
                </w:p>
              </w:tc>
              <w:tc>
                <w:tcPr>
                  <w:tcW w:w="1905" w:type="dxa"/>
                  <w:tcBorders>
                    <w:tl2br w:val="nil"/>
                    <w:tr2bl w:val="nil"/>
                  </w:tcBorders>
                  <w:vAlign w:val="center"/>
                </w:tcPr>
                <w:p w14:paraId="79CC45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新建涉及环境敏感区的</w:t>
                  </w:r>
                </w:p>
              </w:tc>
              <w:tc>
                <w:tcPr>
                  <w:tcW w:w="1065" w:type="dxa"/>
                  <w:tcBorders>
                    <w:tl2br w:val="nil"/>
                    <w:tr2bl w:val="nil"/>
                  </w:tcBorders>
                  <w:vAlign w:val="center"/>
                </w:tcPr>
                <w:p w14:paraId="2C95093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其他</w:t>
                  </w:r>
                </w:p>
              </w:tc>
              <w:tc>
                <w:tcPr>
                  <w:tcW w:w="1944" w:type="dxa"/>
                  <w:tcBorders>
                    <w:tl2br w:val="nil"/>
                    <w:tr2bl w:val="nil"/>
                  </w:tcBorders>
                  <w:vAlign w:val="center"/>
                </w:tcPr>
                <w:p w14:paraId="483A31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第三条（一）中的全部区域；第三条（二）中的除（一）外的生态保护红线管控范围，永久基本农田、地质公园、重要湿地、天然林</w:t>
                  </w:r>
                </w:p>
              </w:tc>
            </w:tr>
          </w:tbl>
          <w:p w14:paraId="2B0716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sz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highlight w:val="none"/>
                <w14:textFill>
                  <w14:solidFill>
                    <w14:schemeClr w14:val="tx1"/>
                  </w14:solidFill>
                </w14:textFill>
              </w:rPr>
              <w:t>、主要建设内容及建设规模</w:t>
            </w:r>
          </w:p>
          <w:p w14:paraId="3461D9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（1）区域排涝能力提升工程</w:t>
            </w:r>
          </w:p>
          <w:p w14:paraId="44053C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本次工程迎驾厂排涝片拟新建西部新城排涝泵站1座，配套改造区内排涝沟总长10.065km；戴家河排涝片改造排涝沟总长1.425km</w:t>
            </w:r>
            <w:r>
              <w:rPr>
                <w:rFonts w:hint="default" w:ascii="Times New Roman" w:hAnsi="Times New Roman" w:eastAsia="宋体" w:cs="Times New Roman"/>
                <w:color w:val="000000" w:themeColor="text1"/>
                <w14:textFill>
                  <w14:solidFill>
                    <w14:schemeClr w14:val="tx1"/>
                  </w14:solidFill>
                </w14:textFill>
              </w:rPr>
              <w:t>，配套建设穿堤路涵</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。具体建设内容如下：</w:t>
            </w:r>
          </w:p>
          <w:p w14:paraId="66571C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1）在迎驾厂片新建西部新城排涝泵站1座，设计排涝面积为5.3km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配备先进排水设备以满足高峰流量需求。同时，配套改建区内的多条排涝沟，包括北侧边沟、六佛路排涝沟、中心排涝沟以及项家院排涝沟等，总长度达10.065km；改建涉及沟渠的拓宽、加深及加固处理，以提升抗洪能力，确保排水通道畅通无阻。</w:t>
            </w:r>
          </w:p>
          <w:p w14:paraId="4905FE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2）在戴家河排涝片扩挖截流沟、疏通区内农田沟，扩大S332穿路涵等工程措施。</w:t>
            </w:r>
          </w:p>
          <w:p w14:paraId="53D00983">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表2-2  区域排涝能力提升工程建设内容详表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4"/>
              <w:gridCol w:w="930"/>
              <w:gridCol w:w="1380"/>
              <w:gridCol w:w="1275"/>
              <w:gridCol w:w="4022"/>
            </w:tblGrid>
            <w:tr w14:paraId="2B095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68C3701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930" w:type="dxa"/>
                  <w:vAlign w:val="center"/>
                </w:tcPr>
                <w:p w14:paraId="7AB9EBA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工程项目名称</w:t>
                  </w:r>
                </w:p>
              </w:tc>
              <w:tc>
                <w:tcPr>
                  <w:tcW w:w="1380" w:type="dxa"/>
                  <w:vAlign w:val="center"/>
                </w:tcPr>
                <w:p w14:paraId="02DD1529">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1275" w:type="dxa"/>
                  <w:vAlign w:val="center"/>
                </w:tcPr>
                <w:p w14:paraId="095C46BD">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4022" w:type="dxa"/>
                  <w:vAlign w:val="center"/>
                </w:tcPr>
                <w:p w14:paraId="3862CC7D">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设计主要参数</w:t>
                  </w:r>
                </w:p>
              </w:tc>
            </w:tr>
            <w:tr w14:paraId="38E36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415D2AB9">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c>
                <w:tcPr>
                  <w:tcW w:w="930" w:type="dxa"/>
                  <w:vAlign w:val="center"/>
                </w:tcPr>
                <w:p w14:paraId="36D3FD6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西部新城排涝站</w:t>
                  </w:r>
                </w:p>
              </w:tc>
              <w:tc>
                <w:tcPr>
                  <w:tcW w:w="1380" w:type="dxa"/>
                  <w:vAlign w:val="center"/>
                </w:tcPr>
                <w:p w14:paraId="2F6FB8E1">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衡山镇永康桥村/柳林河堤防</w:t>
                  </w:r>
                </w:p>
              </w:tc>
              <w:tc>
                <w:tcPr>
                  <w:tcW w:w="1275" w:type="dxa"/>
                  <w:vAlign w:val="center"/>
                </w:tcPr>
                <w:p w14:paraId="45C6B0D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新建泵站1座</w:t>
                  </w:r>
                </w:p>
              </w:tc>
              <w:tc>
                <w:tcPr>
                  <w:tcW w:w="4022" w:type="dxa"/>
                  <w:vAlign w:val="center"/>
                </w:tcPr>
                <w:p w14:paraId="5BDE795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泵站设计流量10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/s，选用4台立式轴流泵，单泵流量2.5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/s，总装机功率740kw。</w:t>
                  </w:r>
                </w:p>
              </w:tc>
            </w:tr>
            <w:tr w14:paraId="02DF0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59910E6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c>
                <w:tcPr>
                  <w:tcW w:w="930" w:type="dxa"/>
                  <w:vAlign w:val="center"/>
                </w:tcPr>
                <w:p w14:paraId="790BDCB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1380" w:type="dxa"/>
                  <w:vAlign w:val="center"/>
                </w:tcPr>
                <w:p w14:paraId="53C3AF2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东淠河堤后</w:t>
                  </w:r>
                </w:p>
              </w:tc>
              <w:tc>
                <w:tcPr>
                  <w:tcW w:w="1275" w:type="dxa"/>
                  <w:vAlign w:val="center"/>
                </w:tcPr>
                <w:p w14:paraId="7A5C8701">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09D1B2B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vAlign w:val="center"/>
                </w:tcPr>
                <w:p w14:paraId="16E48C6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矩形排涝沟长</w:t>
                  </w:r>
                  <w:r>
                    <w:rPr>
                      <w:rFonts w:hint="default" w:ascii="Times New Roman" w:hAnsi="Times New Roman" w:eastAsia="宋体" w:cs="Times New Roman"/>
                      <w:color w:val="000000" w:themeColor="text1"/>
                      <w:sz w:val="21"/>
                      <w:szCs w:val="21"/>
                      <w14:textFill>
                        <w14:solidFill>
                          <w14:schemeClr w14:val="tx1"/>
                        </w14:solidFill>
                      </w14:textFill>
                    </w:rPr>
                    <w:t>1.65k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5"/>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p w14:paraId="1B037BF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梯形断面排涝沟长2.05k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，底宽2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1"/>
                      <w:sz w:val="21"/>
                      <w:szCs w:val="21"/>
                      <w14:textFill>
                        <w14:solidFill>
                          <w14:schemeClr w14:val="tx1"/>
                        </w14:solidFill>
                      </w14:textFill>
                    </w:rPr>
                    <w:t>，口宽约</w:t>
                  </w:r>
                  <w:r>
                    <w:rPr>
                      <w:rFonts w:hint="default" w:ascii="Times New Roman" w:hAnsi="Times New Roman" w:eastAsia="宋体" w:cs="Times New Roman"/>
                      <w:color w:val="000000" w:themeColor="text1"/>
                      <w:sz w:val="21"/>
                      <w:szCs w:val="21"/>
                      <w14:textFill>
                        <w14:solidFill>
                          <w14:schemeClr w14:val="tx1"/>
                        </w14:solidFill>
                      </w14:textFill>
                    </w:rPr>
                    <w:t>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5"/>
                      <w:sz w:val="21"/>
                      <w:szCs w:val="21"/>
                      <w14:textFill>
                        <w14:solidFill>
                          <w14:schemeClr w14:val="tx1"/>
                        </w14:solidFill>
                      </w14:textFill>
                    </w:rPr>
                    <w:t>，边坡</w:t>
                  </w:r>
                  <w:r>
                    <w:rPr>
                      <w:rFonts w:hint="default" w:ascii="Times New Roman" w:hAnsi="Times New Roman" w:eastAsia="宋体" w:cs="Times New Roman"/>
                      <w:color w:val="000000" w:themeColor="text1"/>
                      <w:sz w:val="21"/>
                      <w:szCs w:val="21"/>
                      <w14:textFill>
                        <w14:solidFill>
                          <w14:schemeClr w14:val="tx1"/>
                        </w14:solidFill>
                      </w14:textFill>
                    </w:rPr>
                    <w:t>1：1.5，采用联锁块护坡。</w:t>
                  </w:r>
                </w:p>
              </w:tc>
            </w:tr>
            <w:tr w14:paraId="46859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3E08F09D">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3</w:t>
                  </w:r>
                </w:p>
              </w:tc>
              <w:tc>
                <w:tcPr>
                  <w:tcW w:w="930" w:type="dxa"/>
                  <w:vAlign w:val="center"/>
                </w:tcPr>
                <w:p w14:paraId="392C95E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1380" w:type="dxa"/>
                  <w:vAlign w:val="center"/>
                </w:tcPr>
                <w:p w14:paraId="347967C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永康桥村六佛路南侧</w:t>
                  </w:r>
                </w:p>
              </w:tc>
              <w:tc>
                <w:tcPr>
                  <w:tcW w:w="1275" w:type="dxa"/>
                  <w:vAlign w:val="center"/>
                </w:tcPr>
                <w:p w14:paraId="41505F6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7782A12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vAlign w:val="center"/>
                </w:tcPr>
                <w:p w14:paraId="08BCBA7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矩形断面，净宽2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25E72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3B4E934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4</w:t>
                  </w:r>
                </w:p>
              </w:tc>
              <w:tc>
                <w:tcPr>
                  <w:tcW w:w="930" w:type="dxa"/>
                  <w:vAlign w:val="center"/>
                </w:tcPr>
                <w:p w14:paraId="57A3EEF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1380" w:type="dxa"/>
                  <w:vAlign w:val="center"/>
                </w:tcPr>
                <w:p w14:paraId="453AD9F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1275" w:type="dxa"/>
                  <w:vAlign w:val="center"/>
                </w:tcPr>
                <w:p w14:paraId="2CDEFF4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37B9383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2.585k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vAlign w:val="center"/>
                </w:tcPr>
                <w:p w14:paraId="3E15881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6"/>
                      <w:sz w:val="21"/>
                      <w:szCs w:val="21"/>
                      <w14:textFill>
                        <w14:solidFill>
                          <w14:schemeClr w14:val="tx1"/>
                        </w14:solidFill>
                      </w14:textFill>
                    </w:rPr>
                    <w:t>矩形断面，分为规格</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4"/>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4.5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8"/>
                      <w:sz w:val="21"/>
                      <w:szCs w:val="21"/>
                      <w14:textFill>
                        <w14:solidFill>
                          <w14:schemeClr w14:val="tx1"/>
                        </w14:solidFill>
                      </w14:textFill>
                    </w:rPr>
                    <w:t>、深</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42A20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245FD3C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5</w:t>
                  </w:r>
                </w:p>
              </w:tc>
              <w:tc>
                <w:tcPr>
                  <w:tcW w:w="930" w:type="dxa"/>
                  <w:vAlign w:val="center"/>
                </w:tcPr>
                <w:p w14:paraId="0123929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1380" w:type="dxa"/>
                  <w:vAlign w:val="center"/>
                </w:tcPr>
                <w:p w14:paraId="3497CBAD">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1275" w:type="dxa"/>
                  <w:vAlign w:val="center"/>
                </w:tcPr>
                <w:p w14:paraId="3483B34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p>
                <w:p w14:paraId="3D3948BA">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vAlign w:val="center"/>
                </w:tcPr>
                <w:p w14:paraId="7F3F900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梯形断面，底宽</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1"/>
                      <w:sz w:val="21"/>
                      <w:szCs w:val="21"/>
                      <w14:textFill>
                        <w14:solidFill>
                          <w14:schemeClr w14:val="tx1"/>
                        </w14:solidFill>
                      </w14:textFill>
                    </w:rPr>
                    <w:t>，口宽约</w:t>
                  </w:r>
                  <w:r>
                    <w:rPr>
                      <w:rFonts w:hint="default" w:ascii="Times New Roman" w:hAnsi="Times New Roman" w:eastAsia="宋体" w:cs="Times New Roman"/>
                      <w:color w:val="000000" w:themeColor="text1"/>
                      <w:sz w:val="21"/>
                      <w:szCs w:val="21"/>
                      <w14:textFill>
                        <w14:solidFill>
                          <w14:schemeClr w14:val="tx1"/>
                        </w14:solidFill>
                      </w14:textFill>
                    </w:rPr>
                    <w:t>6~8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7"/>
                      <w:sz w:val="21"/>
                      <w:szCs w:val="21"/>
                      <w14:textFill>
                        <w14:solidFill>
                          <w14:schemeClr w14:val="tx1"/>
                        </w14:solidFill>
                      </w14:textFill>
                    </w:rPr>
                    <w:t>边坡</w:t>
                  </w:r>
                  <w:r>
                    <w:rPr>
                      <w:rFonts w:hint="default" w:ascii="Times New Roman" w:hAnsi="Times New Roman" w:eastAsia="宋体" w:cs="Times New Roman"/>
                      <w:color w:val="000000" w:themeColor="text1"/>
                      <w:sz w:val="21"/>
                      <w:szCs w:val="21"/>
                      <w14:textFill>
                        <w14:solidFill>
                          <w14:schemeClr w14:val="tx1"/>
                        </w14:solidFill>
                      </w14:textFill>
                    </w:rPr>
                    <w:t>1：1.5，采用联锁块护坡。</w:t>
                  </w:r>
                </w:p>
              </w:tc>
            </w:tr>
            <w:tr w14:paraId="253E54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vAlign w:val="center"/>
                </w:tcPr>
                <w:p w14:paraId="09444FE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6</w:t>
                  </w:r>
                </w:p>
              </w:tc>
              <w:tc>
                <w:tcPr>
                  <w:tcW w:w="930" w:type="dxa"/>
                  <w:vAlign w:val="center"/>
                </w:tcPr>
                <w:p w14:paraId="77EC1B6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戴家河排涝片</w:t>
                  </w:r>
                </w:p>
              </w:tc>
              <w:tc>
                <w:tcPr>
                  <w:tcW w:w="1380" w:type="dxa"/>
                  <w:vAlign w:val="center"/>
                </w:tcPr>
                <w:p w14:paraId="72CC20D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戴家河</w:t>
                  </w:r>
                </w:p>
              </w:tc>
              <w:tc>
                <w:tcPr>
                  <w:tcW w:w="1275" w:type="dxa"/>
                  <w:vAlign w:val="center"/>
                </w:tcPr>
                <w:p w14:paraId="53795F3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拆建穿路涵13座，改造排涝沟总长1.425k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4022" w:type="dxa"/>
                  <w:vAlign w:val="center"/>
                </w:tcPr>
                <w:p w14:paraId="227BB1EB">
                  <w:pPr>
                    <w:pStyle w:val="39"/>
                    <w:keepNext w:val="0"/>
                    <w:keepLines w:val="0"/>
                    <w:numPr>
                      <w:ilvl w:val="0"/>
                      <w:numId w:val="2"/>
                    </w:numPr>
                    <w:suppressLineNumbers w:val="0"/>
                    <w:tabs>
                      <w:tab w:val="left" w:pos="634"/>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拆建穿路涵共计</w:t>
                  </w:r>
                  <w:r>
                    <w:rPr>
                      <w:rFonts w:hint="default" w:ascii="Times New Roman" w:hAnsi="Times New Roman" w:eastAsia="宋体" w:cs="Times New Roman"/>
                      <w:color w:val="000000" w:themeColor="text1"/>
                      <w:sz w:val="21"/>
                      <w:szCs w:val="21"/>
                      <w14:textFill>
                        <w14:solidFill>
                          <w14:schemeClr w14:val="tx1"/>
                        </w14:solidFill>
                      </w14:textFill>
                    </w:rPr>
                    <w:t>13座，其中：S332</w:t>
                  </w:r>
                  <w:r>
                    <w:rPr>
                      <w:rFonts w:hint="default" w:ascii="Times New Roman" w:hAnsi="Times New Roman" w:eastAsia="宋体" w:cs="Times New Roman"/>
                      <w:color w:val="000000" w:themeColor="text1"/>
                      <w:spacing w:val="-14"/>
                      <w:sz w:val="21"/>
                      <w:szCs w:val="21"/>
                      <w14:textFill>
                        <w14:solidFill>
                          <w14:schemeClr w14:val="tx1"/>
                        </w14:solidFill>
                      </w14:textFill>
                    </w:rPr>
                    <w:t>穿路涵</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1"/>
                      <w:sz w:val="21"/>
                      <w:szCs w:val="21"/>
                      <w14:textFill>
                        <w14:solidFill>
                          <w14:schemeClr w14:val="tx1"/>
                        </w14:solidFill>
                      </w14:textFill>
                    </w:rPr>
                    <w:t>座，尺寸</w:t>
                  </w:r>
                  <w:r>
                    <w:rPr>
                      <w:rFonts w:hint="default" w:ascii="Times New Roman" w:hAnsi="Times New Roman" w:eastAsia="宋体" w:cs="Times New Roman"/>
                      <w:color w:val="000000" w:themeColor="text1"/>
                      <w:sz w:val="21"/>
                      <w:szCs w:val="21"/>
                      <w14:textFill>
                        <w14:solidFill>
                          <w14:schemeClr w14:val="tx1"/>
                        </w14:solidFill>
                      </w14:textFill>
                    </w:rPr>
                    <w:t>3×1.8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，长37</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；1#、2#、3#</w:t>
                  </w:r>
                  <w:r>
                    <w:rPr>
                      <w:rFonts w:hint="default" w:ascii="Times New Roman" w:hAnsi="Times New Roman" w:eastAsia="宋体" w:cs="Times New Roman"/>
                      <w:color w:val="000000" w:themeColor="text1"/>
                      <w:spacing w:val="-14"/>
                      <w:sz w:val="21"/>
                      <w:szCs w:val="21"/>
                      <w14:textFill>
                        <w14:solidFill>
                          <w14:schemeClr w14:val="tx1"/>
                        </w14:solidFill>
                      </w14:textFill>
                    </w:rPr>
                    <w:t>穿路涵</w:t>
                  </w:r>
                  <w:r>
                    <w:rPr>
                      <w:rFonts w:hint="default" w:ascii="Times New Roman" w:hAnsi="Times New Roman" w:eastAsia="宋体" w:cs="Times New Roman"/>
                      <w:color w:val="000000" w:themeColor="text1"/>
                      <w:sz w:val="21"/>
                      <w:szCs w:val="21"/>
                      <w14:textFill>
                        <w14:solidFill>
                          <w14:schemeClr w14:val="tx1"/>
                        </w14:solidFill>
                      </w14:textFill>
                    </w:rPr>
                    <w:t>3座，尺寸3×1.8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，长9</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；4#穿路涵1座，尺寸3×3.8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，长7.3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。另拆建穿路管涵8座，管径0.5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p w14:paraId="493FF3ED">
                  <w:pPr>
                    <w:pStyle w:val="39"/>
                    <w:keepNext w:val="0"/>
                    <w:keepLines w:val="0"/>
                    <w:numPr>
                      <w:ilvl w:val="0"/>
                      <w:numId w:val="2"/>
                    </w:numPr>
                    <w:suppressLineNumbers w:val="0"/>
                    <w:tabs>
                      <w:tab w:val="left" w:pos="634"/>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8"/>
                      <w:sz w:val="21"/>
                      <w:szCs w:val="21"/>
                      <w14:textFill>
                        <w14:solidFill>
                          <w14:schemeClr w14:val="tx1"/>
                        </w14:solidFill>
                      </w14:textFill>
                    </w:rPr>
                    <w:t>拆建</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3"/>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135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，尺寸1.5×1.5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630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，尺寸2×1.8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0"/>
                      <w:sz w:val="21"/>
                      <w:szCs w:val="21"/>
                      <w14:textFill>
                        <w14:solidFill>
                          <w14:schemeClr w14:val="tx1"/>
                        </w14:solidFill>
                      </w14:textFill>
                    </w:rPr>
                    <w:t>；清淤护砌</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pacing w:val="-14"/>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630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8"/>
                      <w:sz w:val="21"/>
                      <w:szCs w:val="21"/>
                      <w14:textFill>
                        <w14:solidFill>
                          <w14:schemeClr w14:val="tx1"/>
                        </w14:solidFill>
                      </w14:textFill>
                    </w:rPr>
                    <w:t>新建</w:t>
                  </w:r>
                  <w:r>
                    <w:rPr>
                      <w:rFonts w:hint="default" w:ascii="Times New Roman" w:hAnsi="Times New Roman" w:eastAsia="宋体" w:cs="Times New Roman"/>
                      <w:color w:val="000000" w:themeColor="text1"/>
                      <w:sz w:val="21"/>
                      <w:szCs w:val="21"/>
                      <w14:textFill>
                        <w14:solidFill>
                          <w14:schemeClr w14:val="tx1"/>
                        </w14:solidFill>
                      </w14:textFill>
                    </w:rPr>
                    <w:t>4#</w:t>
                  </w:r>
                  <w:r>
                    <w:rPr>
                      <w:rFonts w:hint="default" w:ascii="Times New Roman" w:hAnsi="Times New Roman" w:eastAsia="宋体" w:cs="Times New Roman"/>
                      <w:color w:val="000000" w:themeColor="text1"/>
                      <w:spacing w:val="-14"/>
                      <w:sz w:val="21"/>
                      <w:szCs w:val="21"/>
                      <w14:textFill>
                        <w14:solidFill>
                          <w14:schemeClr w14:val="tx1"/>
                        </w14:solidFill>
                      </w14:textFill>
                    </w:rPr>
                    <w:t>排涝沟</w:t>
                  </w:r>
                  <w:r>
                    <w:rPr>
                      <w:rFonts w:hint="default" w:ascii="Times New Roman" w:hAnsi="Times New Roman" w:eastAsia="宋体" w:cs="Times New Roman"/>
                      <w:color w:val="000000" w:themeColor="text1"/>
                      <w:sz w:val="21"/>
                      <w:szCs w:val="21"/>
                      <w14:textFill>
                        <w14:solidFill>
                          <w14:schemeClr w14:val="tx1"/>
                        </w14:solidFill>
                      </w14:textFill>
                    </w:rPr>
                    <w:t>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，尺寸</w:t>
                  </w:r>
                  <w:r>
                    <w:rPr>
                      <w:rFonts w:hint="default" w:ascii="Times New Roman" w:hAnsi="Times New Roman" w:eastAsia="宋体" w:cs="Times New Roman"/>
                      <w:color w:val="000000" w:themeColor="text1"/>
                      <w:sz w:val="21"/>
                      <w:szCs w:val="21"/>
                      <w14:textFill>
                        <w14:solidFill>
                          <w14:schemeClr w14:val="tx1"/>
                        </w14:solidFill>
                      </w14:textFill>
                    </w:rPr>
                    <w:t>4×1.8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。（4#排涝沟与3#穿路涵衔接）。</w:t>
                  </w:r>
                </w:p>
              </w:tc>
            </w:tr>
          </w:tbl>
          <w:p w14:paraId="04EFA1D4">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（2）城区排涝通道整治工程</w:t>
            </w:r>
          </w:p>
          <w:p w14:paraId="06B58A05">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本次工程重点整治城区幽芳河、高庙河、柳林河、新店河等4条排涝通道，总长25.62k</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，建设内容包括河道疏浚、护岸加固、新（拆）建蓄水建筑物等</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1CD2D1FE">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表 2-3  </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ab/>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城区排涝通道整治工程建设内容详表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839"/>
              <w:gridCol w:w="1031"/>
              <w:gridCol w:w="2179"/>
              <w:gridCol w:w="3489"/>
            </w:tblGrid>
            <w:tr w14:paraId="5B152B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Align w:val="center"/>
                </w:tcPr>
                <w:p w14:paraId="74A197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w w:val="99"/>
                      <w:sz w:val="21"/>
                      <w:szCs w:val="21"/>
                      <w14:textFill>
                        <w14:solidFill>
                          <w14:schemeClr w14:val="tx1"/>
                        </w14:solidFill>
                      </w14:textFill>
                    </w:rPr>
                    <w:t>序号</w:t>
                  </w:r>
                </w:p>
              </w:tc>
              <w:tc>
                <w:tcPr>
                  <w:tcW w:w="839" w:type="dxa"/>
                  <w:vAlign w:val="center"/>
                </w:tcPr>
                <w:p w14:paraId="23104E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工程项目名称</w:t>
                  </w:r>
                </w:p>
              </w:tc>
              <w:tc>
                <w:tcPr>
                  <w:tcW w:w="1031" w:type="dxa"/>
                  <w:vAlign w:val="center"/>
                </w:tcPr>
                <w:p w14:paraId="43D1A7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工程范围</w:t>
                  </w:r>
                </w:p>
              </w:tc>
              <w:tc>
                <w:tcPr>
                  <w:tcW w:w="2179" w:type="dxa"/>
                  <w:vAlign w:val="center"/>
                </w:tcPr>
                <w:p w14:paraId="3D5B08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3489" w:type="dxa"/>
                  <w:vAlign w:val="center"/>
                </w:tcPr>
                <w:p w14:paraId="08CF8A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设计主要参数</w:t>
                  </w:r>
                </w:p>
              </w:tc>
            </w:tr>
            <w:tr w14:paraId="3C5A6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Align w:val="center"/>
                </w:tcPr>
                <w:p w14:paraId="0B9BDE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c>
                <w:tcPr>
                  <w:tcW w:w="839" w:type="dxa"/>
                  <w:vAlign w:val="center"/>
                </w:tcPr>
                <w:p w14:paraId="58BE61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幽芳河排涝通道整治</w:t>
                  </w:r>
                </w:p>
              </w:tc>
              <w:tc>
                <w:tcPr>
                  <w:tcW w:w="1031" w:type="dxa"/>
                  <w:vAlign w:val="center"/>
                </w:tcPr>
                <w:p w14:paraId="7D814A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东石门水库~高庙河，长6.36k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vAlign w:val="center"/>
                </w:tcPr>
                <w:p w14:paraId="7FA712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河道疏拓</w:t>
                  </w:r>
                  <w:r>
                    <w:rPr>
                      <w:rFonts w:hint="default" w:ascii="Times New Roman" w:hAnsi="Times New Roman" w:eastAsia="宋体" w:cs="Times New Roman"/>
                      <w:color w:val="000000" w:themeColor="text1"/>
                      <w:sz w:val="21"/>
                      <w:szCs w:val="21"/>
                      <w14:textFill>
                        <w14:solidFill>
                          <w14:schemeClr w14:val="tx1"/>
                        </w14:solidFill>
                      </w14:textFill>
                    </w:rPr>
                    <w:t>6.36k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，防</w:t>
                  </w:r>
                  <w:r>
                    <w:rPr>
                      <w:rFonts w:hint="default" w:ascii="Times New Roman" w:hAnsi="Times New Roman" w:eastAsia="宋体" w:cs="Times New Roman"/>
                      <w:color w:val="000000" w:themeColor="text1"/>
                      <w:spacing w:val="-15"/>
                      <w:sz w:val="21"/>
                      <w:szCs w:val="21"/>
                      <w14:textFill>
                        <w14:solidFill>
                          <w14:schemeClr w14:val="tx1"/>
                        </w14:solidFill>
                      </w14:textFill>
                    </w:rPr>
                    <w:t>洪达标</w:t>
                  </w:r>
                  <w:r>
                    <w:rPr>
                      <w:rFonts w:hint="default" w:ascii="Times New Roman" w:hAnsi="Times New Roman" w:eastAsia="宋体" w:cs="Times New Roman"/>
                      <w:color w:val="000000" w:themeColor="text1"/>
                      <w:sz w:val="21"/>
                      <w:szCs w:val="21"/>
                      <w14:textFill>
                        <w14:solidFill>
                          <w14:schemeClr w14:val="tx1"/>
                        </w14:solidFill>
                      </w14:textFill>
                    </w:rPr>
                    <w:t>2.4k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，护岸加</w:t>
                  </w:r>
                  <w:r>
                    <w:rPr>
                      <w:rFonts w:hint="default" w:ascii="Times New Roman" w:hAnsi="Times New Roman" w:eastAsia="宋体" w:cs="Times New Roman"/>
                      <w:color w:val="000000" w:themeColor="text1"/>
                      <w:spacing w:val="-29"/>
                      <w:sz w:val="21"/>
                      <w:szCs w:val="21"/>
                      <w14:textFill>
                        <w14:solidFill>
                          <w14:schemeClr w14:val="tx1"/>
                        </w14:solidFill>
                      </w14:textFill>
                    </w:rPr>
                    <w:t>固</w:t>
                  </w:r>
                  <w:r>
                    <w:rPr>
                      <w:rFonts w:hint="default" w:ascii="Times New Roman" w:hAnsi="Times New Roman" w:eastAsia="宋体" w:cs="Times New Roman"/>
                      <w:color w:val="000000" w:themeColor="text1"/>
                      <w:sz w:val="21"/>
                      <w:szCs w:val="21"/>
                      <w14:textFill>
                        <w14:solidFill>
                          <w14:schemeClr w14:val="tx1"/>
                        </w14:solidFill>
                      </w14:textFill>
                    </w:rPr>
                    <w:t>12.72k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w:t>
                  </w:r>
                  <w:r>
                    <w:rPr>
                      <w:rFonts w:hint="default" w:ascii="Times New Roman" w:hAnsi="Times New Roman" w:eastAsia="宋体" w:cs="Times New Roman"/>
                      <w:color w:val="000000" w:themeColor="text1"/>
                      <w:spacing w:val="-8"/>
                      <w:sz w:val="21"/>
                      <w:szCs w:val="21"/>
                      <w14:textFill>
                        <w14:solidFill>
                          <w14:schemeClr w14:val="tx1"/>
                        </w14:solidFill>
                      </w14:textFill>
                    </w:rPr>
                    <w:t>建蓄水建筑物</w:t>
                  </w:r>
                  <w:r>
                    <w:rPr>
                      <w:rFonts w:hint="default" w:ascii="Times New Roman" w:hAnsi="Times New Roman" w:eastAsia="宋体" w:cs="Times New Roman"/>
                      <w:color w:val="000000" w:themeColor="text1"/>
                      <w:sz w:val="21"/>
                      <w:szCs w:val="21"/>
                      <w14:textFill>
                        <w14:solidFill>
                          <w14:schemeClr w14:val="tx1"/>
                        </w14:solidFill>
                      </w14:textFill>
                    </w:rPr>
                    <w:t>7</w:t>
                  </w:r>
                  <w:r>
                    <w:rPr>
                      <w:rFonts w:hint="default" w:ascii="Times New Roman" w:hAnsi="Times New Roman" w:eastAsia="宋体" w:cs="Times New Roman"/>
                      <w:color w:val="000000" w:themeColor="text1"/>
                      <w:spacing w:val="-5"/>
                      <w:sz w:val="21"/>
                      <w:szCs w:val="21"/>
                      <w14:textFill>
                        <w14:solidFill>
                          <w14:schemeClr w14:val="tx1"/>
                        </w14:solidFill>
                      </w14:textFill>
                    </w:rPr>
                    <w:t>座，改</w:t>
                  </w:r>
                  <w:r>
                    <w:rPr>
                      <w:rFonts w:hint="default" w:ascii="Times New Roman" w:hAnsi="Times New Roman" w:eastAsia="宋体" w:cs="Times New Roman"/>
                      <w:color w:val="000000" w:themeColor="text1"/>
                      <w:spacing w:val="-10"/>
                      <w:sz w:val="21"/>
                      <w:szCs w:val="21"/>
                      <w14:textFill>
                        <w14:solidFill>
                          <w14:schemeClr w14:val="tx1"/>
                        </w14:solidFill>
                      </w14:textFill>
                    </w:rPr>
                    <w:t>造防汛道路</w:t>
                  </w:r>
                  <w:r>
                    <w:rPr>
                      <w:rFonts w:hint="default" w:ascii="Times New Roman" w:hAnsi="Times New Roman" w:eastAsia="宋体" w:cs="Times New Roman"/>
                      <w:color w:val="000000" w:themeColor="text1"/>
                      <w:sz w:val="21"/>
                      <w:szCs w:val="21"/>
                      <w14:textFill>
                        <w14:solidFill>
                          <w14:schemeClr w14:val="tx1"/>
                        </w14:solidFill>
                      </w14:textFill>
                    </w:rPr>
                    <w:t>1.8k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3489" w:type="dxa"/>
                  <w:vAlign w:val="center"/>
                </w:tcPr>
                <w:p w14:paraId="32D3D6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①防洪达标采用挡浪墙，墙高1.0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左右。②护岸采用生态挡墙6.813k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，格宾石笼护脚3.727k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，岸坡清杂1.03k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，预制块护坡1.15k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。③拆建拦河坝1座，改造拦河坝2座，新建拦河坝2座，坝高0.8~1.74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9"/>
                      <w:sz w:val="21"/>
                      <w:szCs w:val="21"/>
                      <w14:textFill>
                        <w14:solidFill>
                          <w14:schemeClr w14:val="tx1"/>
                        </w14:solidFill>
                      </w14:textFill>
                    </w:rPr>
                    <w:t>④新建气盾坝</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1"/>
                      <w:sz w:val="21"/>
                      <w:szCs w:val="21"/>
                      <w14:textFill>
                        <w14:solidFill>
                          <w14:schemeClr w14:val="tx1"/>
                        </w14:solidFill>
                      </w14:textFill>
                    </w:rPr>
                    <w:t>座，坝高</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，拦</w:t>
                  </w:r>
                  <w:r>
                    <w:rPr>
                      <w:rFonts w:hint="default" w:ascii="Times New Roman" w:hAnsi="Times New Roman" w:eastAsia="宋体" w:cs="Times New Roman"/>
                      <w:color w:val="000000" w:themeColor="text1"/>
                      <w:spacing w:val="-3"/>
                      <w:sz w:val="21"/>
                      <w:szCs w:val="21"/>
                      <w14:textFill>
                        <w14:solidFill>
                          <w14:schemeClr w14:val="tx1"/>
                        </w14:solidFill>
                      </w14:textFill>
                    </w:rPr>
                    <w:t>河坝拆建为气盾坝</w:t>
                  </w:r>
                  <w:r>
                    <w:rPr>
                      <w:rFonts w:hint="default" w:ascii="Times New Roman" w:hAnsi="Times New Roman" w:eastAsia="宋体" w:cs="Times New Roman"/>
                      <w:color w:val="000000" w:themeColor="text1"/>
                      <w:sz w:val="21"/>
                      <w:szCs w:val="21"/>
                      <w14:textFill>
                        <w14:solidFill>
                          <w14:schemeClr w14:val="tx1"/>
                        </w14:solidFill>
                      </w14:textFill>
                    </w:rPr>
                    <w:t>1座，坝高1.5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。⑤堤顶防汛道路白改黑长1.8k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7CF62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Align w:val="center"/>
                </w:tcPr>
                <w:p w14:paraId="00BAA4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c>
                <w:tcPr>
                  <w:tcW w:w="839" w:type="dxa"/>
                  <w:vAlign w:val="center"/>
                </w:tcPr>
                <w:p w14:paraId="710503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高庙河排涝通道整治</w:t>
                  </w:r>
                </w:p>
              </w:tc>
              <w:tc>
                <w:tcPr>
                  <w:tcW w:w="1031" w:type="dxa"/>
                  <w:vAlign w:val="center"/>
                </w:tcPr>
                <w:p w14:paraId="1B2E3C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牛角冲水库~东淠河，长5.65k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vAlign w:val="center"/>
                </w:tcPr>
                <w:p w14:paraId="2CBD13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新建护岸7.22k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，石笼固脚3.19k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，拆（新）建蓄水建筑物4座，新建巡查便道0.525k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，新建防洪墙0.8k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3489" w:type="dxa"/>
                  <w:vAlign w:val="center"/>
                </w:tcPr>
                <w:p w14:paraId="514C24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7"/>
                      <w:sz w:val="21"/>
                      <w:szCs w:val="21"/>
                      <w14:textFill>
                        <w14:solidFill>
                          <w14:schemeClr w14:val="tx1"/>
                        </w14:solidFill>
                      </w14:textFill>
                    </w:rPr>
                    <w:t>①仰斜式挡墙护岸</w:t>
                  </w:r>
                  <w:r>
                    <w:rPr>
                      <w:rFonts w:hint="default" w:ascii="Times New Roman" w:hAnsi="Times New Roman" w:eastAsia="宋体" w:cs="Times New Roman"/>
                      <w:color w:val="000000" w:themeColor="text1"/>
                      <w:sz w:val="21"/>
                      <w:szCs w:val="21"/>
                      <w14:textFill>
                        <w14:solidFill>
                          <w14:schemeClr w14:val="tx1"/>
                        </w14:solidFill>
                      </w14:textFill>
                    </w:rPr>
                    <w:t>1580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，阶梯式</w:t>
                  </w:r>
                  <w:r>
                    <w:rPr>
                      <w:rFonts w:hint="default" w:ascii="Times New Roman" w:hAnsi="Times New Roman" w:eastAsia="宋体" w:cs="Times New Roman"/>
                      <w:color w:val="000000" w:themeColor="text1"/>
                      <w:spacing w:val="-8"/>
                      <w:sz w:val="21"/>
                      <w:szCs w:val="21"/>
                      <w14:textFill>
                        <w14:solidFill>
                          <w14:schemeClr w14:val="tx1"/>
                        </w14:solidFill>
                      </w14:textFill>
                    </w:rPr>
                    <w:t>生态挡墙护岸</w:t>
                  </w:r>
                  <w:r>
                    <w:rPr>
                      <w:rFonts w:hint="default" w:ascii="Times New Roman" w:hAnsi="Times New Roman" w:eastAsia="宋体" w:cs="Times New Roman"/>
                      <w:color w:val="000000" w:themeColor="text1"/>
                      <w:sz w:val="21"/>
                      <w:szCs w:val="21"/>
                      <w14:textFill>
                        <w14:solidFill>
                          <w14:schemeClr w14:val="tx1"/>
                        </w14:solidFill>
                      </w14:textFill>
                    </w:rPr>
                    <w:t>4080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，浆砌石挡墙200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8"/>
                      <w:sz w:val="21"/>
                      <w:szCs w:val="21"/>
                      <w14:textFill>
                        <w14:solidFill>
                          <w14:schemeClr w14:val="tx1"/>
                        </w14:solidFill>
                      </w14:textFill>
                    </w:rPr>
                    <w:t>，格宾石笼挡墙</w:t>
                  </w:r>
                  <w:r>
                    <w:rPr>
                      <w:rFonts w:hint="default" w:ascii="Times New Roman" w:hAnsi="Times New Roman" w:eastAsia="宋体" w:cs="Times New Roman"/>
                      <w:color w:val="000000" w:themeColor="text1"/>
                      <w:sz w:val="21"/>
                      <w:szCs w:val="21"/>
                      <w14:textFill>
                        <w14:solidFill>
                          <w14:schemeClr w14:val="tx1"/>
                        </w14:solidFill>
                      </w14:textFill>
                    </w:rPr>
                    <w:t>1180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，雷诺</w:t>
                  </w:r>
                  <w:r>
                    <w:rPr>
                      <w:rFonts w:hint="default" w:ascii="Times New Roman" w:hAnsi="Times New Roman" w:eastAsia="宋体" w:cs="Times New Roman"/>
                      <w:color w:val="000000" w:themeColor="text1"/>
                      <w:spacing w:val="-11"/>
                      <w:sz w:val="21"/>
                      <w:szCs w:val="21"/>
                      <w14:textFill>
                        <w14:solidFill>
                          <w14:schemeClr w14:val="tx1"/>
                        </w14:solidFill>
                      </w14:textFill>
                    </w:rPr>
                    <w:t>护垫护坡</w:t>
                  </w:r>
                  <w:r>
                    <w:rPr>
                      <w:rFonts w:hint="default" w:ascii="Times New Roman" w:hAnsi="Times New Roman" w:eastAsia="宋体" w:cs="Times New Roman"/>
                      <w:color w:val="000000" w:themeColor="text1"/>
                      <w:sz w:val="21"/>
                      <w:szCs w:val="21"/>
                      <w14:textFill>
                        <w14:solidFill>
                          <w14:schemeClr w14:val="tx1"/>
                        </w14:solidFill>
                      </w14:textFill>
                    </w:rPr>
                    <w:t>200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，格宾石笼固脚3152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7"/>
                      <w:sz w:val="21"/>
                      <w:szCs w:val="21"/>
                      <w14:textFill>
                        <w14:solidFill>
                          <w14:schemeClr w14:val="tx1"/>
                        </w14:solidFill>
                      </w14:textFill>
                    </w:rPr>
                    <w:t>。②拆建拦河坝</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pacing w:val="-3"/>
                      <w:sz w:val="21"/>
                      <w:szCs w:val="21"/>
                      <w14:textFill>
                        <w14:solidFill>
                          <w14:schemeClr w14:val="tx1"/>
                        </w14:solidFill>
                      </w14:textFill>
                    </w:rPr>
                    <w:t>座，新建拦</w:t>
                  </w:r>
                  <w:r>
                    <w:rPr>
                      <w:rFonts w:hint="default" w:ascii="Times New Roman" w:hAnsi="Times New Roman" w:eastAsia="宋体" w:cs="Times New Roman"/>
                      <w:color w:val="000000" w:themeColor="text1"/>
                      <w:spacing w:val="-18"/>
                      <w:sz w:val="21"/>
                      <w:szCs w:val="21"/>
                      <w14:textFill>
                        <w14:solidFill>
                          <w14:schemeClr w14:val="tx1"/>
                        </w14:solidFill>
                      </w14:textFill>
                    </w:rPr>
                    <w:t>河坝</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1"/>
                      <w:sz w:val="21"/>
                      <w:szCs w:val="21"/>
                      <w14:textFill>
                        <w14:solidFill>
                          <w14:schemeClr w14:val="tx1"/>
                        </w14:solidFill>
                      </w14:textFill>
                    </w:rPr>
                    <w:t>座，净高</w:t>
                  </w: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。③新建巡查</w:t>
                  </w:r>
                  <w:r>
                    <w:rPr>
                      <w:rFonts w:hint="default" w:ascii="Times New Roman" w:hAnsi="Times New Roman" w:eastAsia="宋体" w:cs="Times New Roman"/>
                      <w:color w:val="000000" w:themeColor="text1"/>
                      <w:spacing w:val="-18"/>
                      <w:sz w:val="21"/>
                      <w:szCs w:val="21"/>
                      <w14:textFill>
                        <w14:solidFill>
                          <w14:schemeClr w14:val="tx1"/>
                        </w14:solidFill>
                      </w14:textFill>
                    </w:rPr>
                    <w:t>便道</w:t>
                  </w:r>
                  <w:r>
                    <w:rPr>
                      <w:rFonts w:hint="default" w:ascii="Times New Roman" w:hAnsi="Times New Roman" w:eastAsia="宋体" w:cs="Times New Roman"/>
                      <w:color w:val="000000" w:themeColor="text1"/>
                      <w:sz w:val="21"/>
                      <w:szCs w:val="21"/>
                      <w14:textFill>
                        <w14:solidFill>
                          <w14:schemeClr w14:val="tx1"/>
                        </w14:solidFill>
                      </w14:textFill>
                    </w:rPr>
                    <w:t>0.525k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8"/>
                      <w:sz w:val="21"/>
                      <w:szCs w:val="21"/>
                      <w14:textFill>
                        <w14:solidFill>
                          <w14:schemeClr w14:val="tx1"/>
                        </w14:solidFill>
                      </w14:textFill>
                    </w:rPr>
                    <w:t>，宽</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。④新建防洪墙0.8k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，高1.0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0A566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Align w:val="center"/>
                </w:tcPr>
                <w:p w14:paraId="18F364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3</w:t>
                  </w:r>
                </w:p>
              </w:tc>
              <w:tc>
                <w:tcPr>
                  <w:tcW w:w="839" w:type="dxa"/>
                  <w:vAlign w:val="center"/>
                </w:tcPr>
                <w:p w14:paraId="3C2447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柳林河排涝通道整治</w:t>
                  </w:r>
                </w:p>
              </w:tc>
              <w:tc>
                <w:tcPr>
                  <w:tcW w:w="1031" w:type="dxa"/>
                  <w:vAlign w:val="center"/>
                </w:tcPr>
                <w:p w14:paraId="0AA9D1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团结水库~东淠河，长11.1k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vAlign w:val="center"/>
                </w:tcPr>
                <w:p w14:paraId="6A3127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3.415k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6"/>
                      <w:sz w:val="21"/>
                      <w:szCs w:val="21"/>
                      <w14:textFill>
                        <w14:solidFill>
                          <w14:schemeClr w14:val="tx1"/>
                        </w14:solidFill>
                      </w14:textFill>
                    </w:rPr>
                    <w:t>、护</w:t>
                  </w:r>
                  <w:r>
                    <w:rPr>
                      <w:rFonts w:hint="default" w:ascii="Times New Roman" w:hAnsi="Times New Roman" w:eastAsia="宋体" w:cs="Times New Roman"/>
                      <w:color w:val="000000" w:themeColor="text1"/>
                      <w:spacing w:val="-28"/>
                      <w:sz w:val="21"/>
                      <w:szCs w:val="21"/>
                      <w14:textFill>
                        <w14:solidFill>
                          <w14:schemeClr w14:val="tx1"/>
                        </w14:solidFill>
                      </w14:textFill>
                    </w:rPr>
                    <w:t>坡</w:t>
                  </w:r>
                  <w:r>
                    <w:rPr>
                      <w:rFonts w:hint="default" w:ascii="Times New Roman" w:hAnsi="Times New Roman" w:eastAsia="宋体" w:cs="Times New Roman"/>
                      <w:color w:val="000000" w:themeColor="text1"/>
                      <w:sz w:val="21"/>
                      <w:szCs w:val="21"/>
                      <w14:textFill>
                        <w14:solidFill>
                          <w14:schemeClr w14:val="tx1"/>
                        </w14:solidFill>
                      </w14:textFill>
                    </w:rPr>
                    <w:t>5.28k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，石笼固脚9.19k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，堤防封闭300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，加固拦河坝2座，拆建防洪闸1座，拆建（加固）排涝涵5座，堤顶防汛道路白改黑长7.2k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，水毁段修复16处。</w:t>
                  </w:r>
                </w:p>
              </w:tc>
              <w:tc>
                <w:tcPr>
                  <w:tcW w:w="3489" w:type="dxa"/>
                  <w:vAlign w:val="center"/>
                </w:tcPr>
                <w:p w14:paraId="6E7F1D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①仰斜式挡墙护岸1535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，生态挡墙护岸1552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，格宾石笼固脚9190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，预制块护坡5280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；②加固拦河坝2座，设增设消能工③拆建防洪闸1座，孔口3×2.5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；④拆建排涝箱涵两座，孔口3.5×2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；DN1000涵管1座；维修涵闸2座；⑤堤顶防汛道路白改黑长7.2k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，宽5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；⑥水毁段修复16处。</w:t>
                  </w:r>
                </w:p>
              </w:tc>
            </w:tr>
            <w:tr w14:paraId="687B9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vAlign w:val="center"/>
                </w:tcPr>
                <w:p w14:paraId="50166F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4</w:t>
                  </w:r>
                </w:p>
              </w:tc>
              <w:tc>
                <w:tcPr>
                  <w:tcW w:w="839" w:type="dxa"/>
                  <w:vAlign w:val="center"/>
                </w:tcPr>
                <w:p w14:paraId="47A096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新店河排涝通道整治</w:t>
                  </w:r>
                </w:p>
              </w:tc>
              <w:tc>
                <w:tcPr>
                  <w:tcW w:w="1031" w:type="dxa"/>
                  <w:vAlign w:val="center"/>
                </w:tcPr>
                <w:p w14:paraId="73627C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印墩村~入戴家河河口，长2.51k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2179" w:type="dxa"/>
                  <w:vAlign w:val="center"/>
                </w:tcPr>
                <w:p w14:paraId="3967FD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2.106k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，现</w:t>
                  </w:r>
                  <w:r>
                    <w:rPr>
                      <w:rFonts w:hint="default" w:ascii="Times New Roman" w:hAnsi="Times New Roman" w:eastAsia="宋体" w:cs="Times New Roman"/>
                      <w:color w:val="000000" w:themeColor="text1"/>
                      <w:spacing w:val="-11"/>
                      <w:sz w:val="21"/>
                      <w:szCs w:val="21"/>
                      <w14:textFill>
                        <w14:solidFill>
                          <w14:schemeClr w14:val="tx1"/>
                        </w14:solidFill>
                      </w14:textFill>
                    </w:rPr>
                    <w:t>状护岸改造</w:t>
                  </w:r>
                  <w:r>
                    <w:rPr>
                      <w:rFonts w:hint="default" w:ascii="Times New Roman" w:hAnsi="Times New Roman" w:eastAsia="宋体" w:cs="Times New Roman"/>
                      <w:color w:val="000000" w:themeColor="text1"/>
                      <w:sz w:val="21"/>
                      <w:szCs w:val="21"/>
                      <w14:textFill>
                        <w14:solidFill>
                          <w14:schemeClr w14:val="tx1"/>
                        </w14:solidFill>
                      </w14:textFill>
                    </w:rPr>
                    <w:t>0.195k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1"/>
                      <w:sz w:val="21"/>
                      <w:szCs w:val="21"/>
                      <w14:textFill>
                        <w14:solidFill>
                          <w14:schemeClr w14:val="tx1"/>
                        </w14:solidFill>
                      </w14:textFill>
                    </w:rPr>
                    <w:t>河道疏浚</w:t>
                  </w:r>
                  <w:r>
                    <w:rPr>
                      <w:rFonts w:hint="default" w:ascii="Times New Roman" w:hAnsi="Times New Roman" w:eastAsia="宋体" w:cs="Times New Roman"/>
                      <w:color w:val="000000" w:themeColor="text1"/>
                      <w:sz w:val="21"/>
                      <w:szCs w:val="21"/>
                      <w14:textFill>
                        <w14:solidFill>
                          <w14:schemeClr w14:val="tx1"/>
                        </w14:solidFill>
                      </w14:textFill>
                    </w:rPr>
                    <w:t>0.7k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w:t>
                  </w:r>
                  <w:r>
                    <w:rPr>
                      <w:rFonts w:hint="default" w:ascii="Times New Roman" w:hAnsi="Times New Roman" w:eastAsia="宋体" w:cs="Times New Roman"/>
                      <w:color w:val="000000" w:themeColor="text1"/>
                      <w:spacing w:val="-12"/>
                      <w:sz w:val="21"/>
                      <w:szCs w:val="21"/>
                      <w14:textFill>
                        <w14:solidFill>
                          <w14:schemeClr w14:val="tx1"/>
                        </w14:solidFill>
                      </w14:textFill>
                    </w:rPr>
                    <w:t>建拦河坝</w:t>
                  </w:r>
                  <w:r>
                    <w:rPr>
                      <w:rFonts w:hint="default" w:ascii="Times New Roman" w:hAnsi="Times New Roman" w:eastAsia="宋体" w:cs="Times New Roman"/>
                      <w:color w:val="000000" w:themeColor="text1"/>
                      <w:sz w:val="21"/>
                      <w:szCs w:val="21"/>
                      <w14:textFill>
                        <w14:solidFill>
                          <w14:schemeClr w14:val="tx1"/>
                        </w14:solidFill>
                      </w14:textFill>
                    </w:rPr>
                    <w:t>5座，</w:t>
                  </w:r>
                  <w:r>
                    <w:rPr>
                      <w:rFonts w:hint="default" w:ascii="Times New Roman" w:hAnsi="Times New Roman" w:eastAsia="宋体" w:cs="Times New Roman"/>
                      <w:color w:val="000000" w:themeColor="text1"/>
                      <w:spacing w:val="-10"/>
                      <w:sz w:val="21"/>
                      <w:szCs w:val="21"/>
                      <w14:textFill>
                        <w14:solidFill>
                          <w14:schemeClr w14:val="tx1"/>
                        </w14:solidFill>
                      </w14:textFill>
                    </w:rPr>
                    <w:t>加固拦河坝</w:t>
                  </w:r>
                  <w:r>
                    <w:rPr>
                      <w:rFonts w:hint="default" w:ascii="Times New Roman" w:hAnsi="Times New Roman" w:eastAsia="宋体" w:cs="Times New Roman"/>
                      <w:color w:val="000000" w:themeColor="text1"/>
                      <w:sz w:val="21"/>
                      <w:szCs w:val="21"/>
                      <w14:textFill>
                        <w14:solidFill>
                          <w14:schemeClr w14:val="tx1"/>
                        </w14:solidFill>
                      </w14:textFill>
                    </w:rPr>
                    <w:t>1座，拆建漫水桥1座（改建为桥涵）。</w:t>
                  </w:r>
                </w:p>
              </w:tc>
              <w:tc>
                <w:tcPr>
                  <w:tcW w:w="3489" w:type="dxa"/>
                  <w:vAlign w:val="center"/>
                </w:tcPr>
                <w:p w14:paraId="201AD4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①新建浆砌石挡墙568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、素砼挡墙1538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；②左岸挡墙修复100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2"/>
                      <w:sz w:val="21"/>
                      <w:szCs w:val="21"/>
                      <w14:textFill>
                        <w14:solidFill>
                          <w14:schemeClr w14:val="tx1"/>
                        </w14:solidFill>
                      </w14:textFill>
                    </w:rPr>
                    <w:t>，现状挡墙加</w:t>
                  </w:r>
                  <w:r>
                    <w:rPr>
                      <w:rFonts w:hint="default" w:ascii="Times New Roman" w:hAnsi="Times New Roman" w:eastAsia="宋体" w:cs="Times New Roman"/>
                      <w:color w:val="000000" w:themeColor="text1"/>
                      <w:sz w:val="21"/>
                      <w:szCs w:val="21"/>
                      <w14:textFill>
                        <w14:solidFill>
                          <w14:schemeClr w14:val="tx1"/>
                        </w14:solidFill>
                      </w14:textFill>
                    </w:rPr>
                    <w:t>高95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；③河道疏浚700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；④拆（新）建拦河坝5座，加固拦河坝1座，拆建漫水桥1座（改建为桥涵）。</w:t>
                  </w:r>
                </w:p>
              </w:tc>
            </w:tr>
          </w:tbl>
          <w:p w14:paraId="5022FE33">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（3）排水管网改造工程</w:t>
            </w:r>
          </w:p>
          <w:p w14:paraId="4B705446">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color w:val="000000" w:themeColor="text1"/>
                <w:spacing w:val="-28"/>
                <w:sz w:val="2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次整治工程坚持“系统治理、厂网并重、雨污分流、绿色韧性”的理念，针对幽芳河与柳林河沿岸区域、南岳花都片、衡山工业园片长期存在的雨水排放不畅、内涝频发、雨污混接、管网容量不足、调蓄能力弱等系统性问题，以系统治理、源头管控、韧性提升、智慧赋能为核心理念，全面推进雨水系统的整体性、结构性、前瞻性改造，构建“安全、生态、智慧、可持续”的城市管理体系。本次工程新建排水管网总长30.8k</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，并配套建设检查井、提升泵站等附属建筑物</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14:paraId="1C907BE1">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表2-4    排水管网新建工程建设内容详表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1578"/>
              <w:gridCol w:w="1146"/>
              <w:gridCol w:w="2010"/>
              <w:gridCol w:w="2679"/>
            </w:tblGrid>
            <w:tr w14:paraId="5E7C69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vAlign w:val="center"/>
                </w:tcPr>
                <w:p w14:paraId="24486DD1">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578" w:type="dxa"/>
                  <w:vAlign w:val="center"/>
                </w:tcPr>
                <w:p w14:paraId="248A801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工程项目名称</w:t>
                  </w:r>
                </w:p>
              </w:tc>
              <w:tc>
                <w:tcPr>
                  <w:tcW w:w="1146" w:type="dxa"/>
                  <w:vAlign w:val="center"/>
                </w:tcPr>
                <w:p w14:paraId="66DFCDB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建设地点</w:t>
                  </w:r>
                </w:p>
              </w:tc>
              <w:tc>
                <w:tcPr>
                  <w:tcW w:w="2010" w:type="dxa"/>
                  <w:vAlign w:val="center"/>
                </w:tcPr>
                <w:p w14:paraId="62E77D4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2679" w:type="dxa"/>
                  <w:vAlign w:val="center"/>
                </w:tcPr>
                <w:p w14:paraId="5E4208A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设计主要参数</w:t>
                  </w:r>
                </w:p>
              </w:tc>
            </w:tr>
            <w:tr w14:paraId="2D159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vAlign w:val="center"/>
                </w:tcPr>
                <w:p w14:paraId="3500BC0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c>
                <w:tcPr>
                  <w:tcW w:w="1578" w:type="dxa"/>
                  <w:vAlign w:val="center"/>
                </w:tcPr>
                <w:p w14:paraId="4C4FF2D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幽芳河、柳林河片区排水管网新建工程</w:t>
                  </w:r>
                </w:p>
              </w:tc>
              <w:tc>
                <w:tcPr>
                  <w:tcW w:w="1146" w:type="dxa"/>
                  <w:vAlign w:val="center"/>
                </w:tcPr>
                <w:p w14:paraId="519C248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东石门社区、柳林河西片（柳林河左岸堤后）</w:t>
                  </w:r>
                </w:p>
              </w:tc>
              <w:tc>
                <w:tcPr>
                  <w:tcW w:w="2010" w:type="dxa"/>
                  <w:vAlign w:val="center"/>
                </w:tcPr>
                <w:p w14:paraId="78693A5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排水管网总长19.34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，其中：幽芳河排水管网约13.74k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，设检查井270座，提升泵站1座。柳林河片区排水管网约5.6k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，设检查井127座。</w:t>
                  </w:r>
                </w:p>
              </w:tc>
              <w:tc>
                <w:tcPr>
                  <w:tcW w:w="2679" w:type="dxa"/>
                  <w:vAlign w:val="center"/>
                </w:tcPr>
                <w:p w14:paraId="3AE7A4E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幽芳河片区排水管网主管采用De315，均为HDPE</w:t>
                  </w:r>
                  <w:r>
                    <w:rPr>
                      <w:rFonts w:hint="default" w:ascii="Times New Roman" w:hAnsi="Times New Roman" w:eastAsia="宋体" w:cs="Times New Roman"/>
                      <w:color w:val="000000" w:themeColor="text1"/>
                      <w:spacing w:val="-11"/>
                      <w:sz w:val="21"/>
                      <w:szCs w:val="21"/>
                      <w14:textFill>
                        <w14:solidFill>
                          <w14:schemeClr w14:val="tx1"/>
                        </w14:solidFill>
                      </w14:textFill>
                    </w:rPr>
                    <w:t>排</w:t>
                  </w:r>
                  <w:r>
                    <w:rPr>
                      <w:rFonts w:hint="default" w:ascii="Times New Roman" w:hAnsi="Times New Roman" w:eastAsia="宋体" w:cs="Times New Roman"/>
                      <w:color w:val="000000" w:themeColor="text1"/>
                      <w:sz w:val="21"/>
                      <w:szCs w:val="21"/>
                      <w14:textFill>
                        <w14:solidFill>
                          <w14:schemeClr w14:val="tx1"/>
                        </w14:solidFill>
                      </w14:textFill>
                    </w:rPr>
                    <w:t>水管材；检查井Φ700；设计总处理规模约为70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/d。柳林河片区排水管网主管采用De315、De110，均为HDPE</w:t>
                  </w:r>
                  <w:r>
                    <w:rPr>
                      <w:rFonts w:hint="default" w:ascii="Times New Roman" w:hAnsi="Times New Roman" w:eastAsia="宋体" w:cs="Times New Roman"/>
                      <w:color w:val="000000" w:themeColor="text1"/>
                      <w:spacing w:val="-4"/>
                      <w:sz w:val="21"/>
                      <w:szCs w:val="21"/>
                      <w14:textFill>
                        <w14:solidFill>
                          <w14:schemeClr w14:val="tx1"/>
                        </w14:solidFill>
                      </w14:textFill>
                    </w:rPr>
                    <w:t>排水管</w:t>
                  </w:r>
                  <w:r>
                    <w:rPr>
                      <w:rFonts w:hint="default" w:ascii="Times New Roman" w:hAnsi="Times New Roman" w:eastAsia="宋体" w:cs="Times New Roman"/>
                      <w:color w:val="000000" w:themeColor="text1"/>
                      <w:sz w:val="21"/>
                      <w:szCs w:val="21"/>
                      <w14:textFill>
                        <w14:solidFill>
                          <w14:schemeClr w14:val="tx1"/>
                        </w14:solidFill>
                      </w14:textFill>
                    </w:rPr>
                    <w:t>材；检查井Φ700；设计总处理规模约为40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w:t>
                  </w:r>
                </w:p>
              </w:tc>
            </w:tr>
            <w:tr w14:paraId="39A94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vAlign w:val="center"/>
                </w:tcPr>
                <w:p w14:paraId="543305C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c>
                <w:tcPr>
                  <w:tcW w:w="1578" w:type="dxa"/>
                  <w:vAlign w:val="center"/>
                </w:tcPr>
                <w:p w14:paraId="190581B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南岳花都片排水管网新建工程</w:t>
                  </w:r>
                </w:p>
              </w:tc>
              <w:tc>
                <w:tcPr>
                  <w:tcW w:w="1146" w:type="dxa"/>
                  <w:vAlign w:val="center"/>
                </w:tcPr>
                <w:p w14:paraId="43FCA96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南岳花都小区西侧绿地</w:t>
                  </w:r>
                </w:p>
              </w:tc>
              <w:tc>
                <w:tcPr>
                  <w:tcW w:w="2010" w:type="dxa"/>
                  <w:vAlign w:val="center"/>
                </w:tcPr>
                <w:p w14:paraId="49CEF51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排水管网约460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，检查井7座。</w:t>
                  </w:r>
                </w:p>
              </w:tc>
              <w:tc>
                <w:tcPr>
                  <w:tcW w:w="2679" w:type="dxa"/>
                  <w:vAlign w:val="center"/>
                </w:tcPr>
                <w:p w14:paraId="116E888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主管采用d1.8钢筋混凝土III级管，检查井为钢筋混凝土井。设计排水流量7.3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w:t>
                  </w:r>
                </w:p>
              </w:tc>
            </w:tr>
            <w:tr w14:paraId="75C81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vAlign w:val="center"/>
                </w:tcPr>
                <w:p w14:paraId="04EC39B9">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3</w:t>
                  </w:r>
                </w:p>
              </w:tc>
              <w:tc>
                <w:tcPr>
                  <w:tcW w:w="1578" w:type="dxa"/>
                  <w:vAlign w:val="center"/>
                </w:tcPr>
                <w:p w14:paraId="1F0E6A9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衡山工业园片排水管网新建工程</w:t>
                  </w:r>
                </w:p>
              </w:tc>
              <w:tc>
                <w:tcPr>
                  <w:tcW w:w="1146" w:type="dxa"/>
                  <w:vAlign w:val="center"/>
                </w:tcPr>
                <w:p w14:paraId="5A5ACC31">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w:t>
                  </w:r>
                </w:p>
              </w:tc>
              <w:tc>
                <w:tcPr>
                  <w:tcW w:w="2010" w:type="dxa"/>
                  <w:vAlign w:val="center"/>
                </w:tcPr>
                <w:p w14:paraId="1BE9B7A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排水管网约11k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，设检查井约214座。</w:t>
                  </w:r>
                </w:p>
              </w:tc>
              <w:tc>
                <w:tcPr>
                  <w:tcW w:w="2679" w:type="dxa"/>
                  <w:vAlign w:val="center"/>
                </w:tcPr>
                <w:p w14:paraId="1BBD145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幽芳河排水管网主管采用d500-d1200，为Ⅱ级钢筋混凝土管，检查井主要为Φ1000、Φ1200的钢筋混凝土检查井。箱涵采用1500×2000、2000×2000，2500×3000的矩形钢筋混凝土预制箱涵。</w:t>
                  </w:r>
                </w:p>
              </w:tc>
            </w:tr>
          </w:tbl>
          <w:p w14:paraId="108E442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p>
          <w:p w14:paraId="298CBB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p>
          <w:p w14:paraId="231F99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p>
          <w:p w14:paraId="30D812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p>
          <w:p w14:paraId="21D4D06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p>
          <w:p w14:paraId="165A63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具体的项目工程组成情况见表2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w:t>
            </w:r>
          </w:p>
          <w:p w14:paraId="3F340F8C">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表2-5  本项目工程组成一览表</w:t>
            </w:r>
          </w:p>
          <w:tbl>
            <w:tblPr>
              <w:tblStyle w:val="2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
              <w:gridCol w:w="1268"/>
              <w:gridCol w:w="5909"/>
            </w:tblGrid>
            <w:tr w14:paraId="6ADC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tcBorders>
                    <w:tl2br w:val="nil"/>
                    <w:tr2bl w:val="nil"/>
                  </w:tcBorders>
                  <w:vAlign w:val="center"/>
                </w:tcPr>
                <w:p w14:paraId="04248E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pPr>
                  <w:bookmarkStart w:id="5" w:name="OLE_LINK9"/>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类别</w:t>
                  </w:r>
                </w:p>
              </w:tc>
              <w:tc>
                <w:tcPr>
                  <w:tcW w:w="1640" w:type="dxa"/>
                  <w:gridSpan w:val="2"/>
                  <w:tcBorders>
                    <w:tl2br w:val="nil"/>
                    <w:tr2bl w:val="nil"/>
                  </w:tcBorders>
                  <w:vAlign w:val="center"/>
                </w:tcPr>
                <w:p w14:paraId="5CCB48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color w:val="000000" w:themeColor="text1"/>
                      <w:sz w:val="21"/>
                      <w:szCs w:val="21"/>
                      <w:highlight w:val="none"/>
                      <w14:textFill>
                        <w14:solidFill>
                          <w14:schemeClr w14:val="tx1"/>
                        </w14:solidFill>
                      </w14:textFill>
                    </w:rPr>
                    <w:t>名称</w:t>
                  </w:r>
                </w:p>
              </w:tc>
              <w:tc>
                <w:tcPr>
                  <w:tcW w:w="5909" w:type="dxa"/>
                  <w:tcBorders>
                    <w:tl2br w:val="nil"/>
                    <w:tr2bl w:val="nil"/>
                  </w:tcBorders>
                  <w:vAlign w:val="center"/>
                </w:tcPr>
                <w:p w14:paraId="73C44D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建设内容</w:t>
                  </w:r>
                </w:p>
              </w:tc>
            </w:tr>
            <w:tr w14:paraId="02C3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vAlign w:val="center"/>
                </w:tcPr>
                <w:p w14:paraId="542D5B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主体工程</w:t>
                  </w:r>
                </w:p>
              </w:tc>
              <w:tc>
                <w:tcPr>
                  <w:tcW w:w="372" w:type="dxa"/>
                  <w:vMerge w:val="restart"/>
                  <w:tcBorders>
                    <w:tl2br w:val="nil"/>
                    <w:tr2bl w:val="nil"/>
                  </w:tcBorders>
                  <w:vAlign w:val="center"/>
                </w:tcPr>
                <w:p w14:paraId="7AD62F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区域排涝能力提升工程</w:t>
                  </w:r>
                </w:p>
                <w:p w14:paraId="0A1478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268" w:type="dxa"/>
                  <w:tcBorders>
                    <w:tl2br w:val="nil"/>
                    <w:tr2bl w:val="nil"/>
                  </w:tcBorders>
                  <w:shd w:val="clear" w:color="auto" w:fill="auto"/>
                  <w:vAlign w:val="center"/>
                </w:tcPr>
                <w:p w14:paraId="745814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西部新城排涝站</w:t>
                  </w:r>
                </w:p>
              </w:tc>
              <w:tc>
                <w:tcPr>
                  <w:tcW w:w="5909" w:type="dxa"/>
                  <w:tcBorders>
                    <w:tl2br w:val="nil"/>
                    <w:tr2bl w:val="nil"/>
                  </w:tcBorders>
                  <w:shd w:val="clear" w:color="auto" w:fill="auto"/>
                  <w:vAlign w:val="center"/>
                </w:tcPr>
                <w:p w14:paraId="0702758D">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新建泵站1座，</w:t>
                  </w:r>
                  <w:r>
                    <w:rPr>
                      <w:rFonts w:hint="default" w:ascii="Times New Roman" w:hAnsi="Times New Roman" w:eastAsia="宋体" w:cs="Times New Roman"/>
                      <w:color w:val="000000" w:themeColor="text1"/>
                      <w:sz w:val="21"/>
                      <w:szCs w:val="21"/>
                      <w14:textFill>
                        <w14:solidFill>
                          <w14:schemeClr w14:val="tx1"/>
                        </w14:solidFill>
                      </w14:textFill>
                    </w:rPr>
                    <w:t>设计流量10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/s，选用4台立式轴流泵，单泵流量2.5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/s，总装机功率740kw。</w:t>
                  </w:r>
                </w:p>
              </w:tc>
            </w:tr>
            <w:tr w14:paraId="539C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0EE360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04E3E2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268" w:type="dxa"/>
                  <w:tcBorders>
                    <w:tl2br w:val="nil"/>
                    <w:tr2bl w:val="nil"/>
                  </w:tcBorders>
                  <w:vAlign w:val="center"/>
                </w:tcPr>
                <w:p w14:paraId="729940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5909" w:type="dxa"/>
                  <w:tcBorders>
                    <w:tl2br w:val="nil"/>
                    <w:tr2bl w:val="nil"/>
                  </w:tcBorders>
                  <w:vAlign w:val="center"/>
                </w:tcPr>
                <w:p w14:paraId="1BB02605">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北侧边沟长3.7km，其中：矩形排涝沟长1.65km，净宽2m、深1.5m；梯形断面排涝沟长2.05km，底宽2m，口宽约8m，边坡1：1.5，采用联锁块护坡。</w:t>
                  </w:r>
                </w:p>
              </w:tc>
            </w:tr>
            <w:tr w14:paraId="09FAD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4B037E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1C330C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74D1E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5909" w:type="dxa"/>
                  <w:tcBorders>
                    <w:tl2br w:val="nil"/>
                    <w:tr2bl w:val="nil"/>
                  </w:tcBorders>
                  <w:vAlign w:val="center"/>
                </w:tcPr>
                <w:p w14:paraId="12ABE2CE">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2.58km，矩形断面，净宽2m、深1.5m。</w:t>
                  </w:r>
                </w:p>
              </w:tc>
            </w:tr>
            <w:tr w14:paraId="15C9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687F4D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5776D4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5DD135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5909" w:type="dxa"/>
                  <w:tcBorders>
                    <w:tl2br w:val="nil"/>
                    <w:tr2bl w:val="nil"/>
                  </w:tcBorders>
                  <w:vAlign w:val="center"/>
                </w:tcPr>
                <w:p w14:paraId="0ED1FD3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改造排涝沟2.585k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pacing w:val="-6"/>
                      <w:sz w:val="21"/>
                      <w:szCs w:val="21"/>
                      <w14:textFill>
                        <w14:solidFill>
                          <w14:schemeClr w14:val="tx1"/>
                        </w14:solidFill>
                      </w14:textFill>
                    </w:rPr>
                    <w:t>矩形断面，分为规格</w:t>
                  </w: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pacing w:val="-14"/>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4"/>
                      <w:sz w:val="21"/>
                      <w:szCs w:val="21"/>
                      <w14:textFill>
                        <w14:solidFill>
                          <w14:schemeClr w14:val="tx1"/>
                        </w14:solidFill>
                      </w14:textFill>
                    </w:rPr>
                    <w:t>；规格</w:t>
                  </w:r>
                  <w:r>
                    <w:rPr>
                      <w:rFonts w:hint="default" w:ascii="Times New Roman" w:hAnsi="Times New Roman" w:eastAsia="宋体" w:cs="Times New Roman"/>
                      <w:color w:val="000000" w:themeColor="text1"/>
                      <w:sz w:val="21"/>
                      <w:szCs w:val="21"/>
                      <w14:textFill>
                        <w14:solidFill>
                          <w14:schemeClr w14:val="tx1"/>
                        </w14:solidFill>
                      </w14:textFill>
                    </w:rPr>
                    <w:t>2</w:t>
                  </w:r>
                  <w:r>
                    <w:rPr>
                      <w:rFonts w:hint="default" w:ascii="Times New Roman" w:hAnsi="Times New Roman" w:eastAsia="宋体" w:cs="Times New Roman"/>
                      <w:color w:val="000000" w:themeColor="text1"/>
                      <w:spacing w:val="-15"/>
                      <w:sz w:val="21"/>
                      <w:szCs w:val="21"/>
                      <w14:textFill>
                        <w14:solidFill>
                          <w14:schemeClr w14:val="tx1"/>
                        </w14:solidFill>
                      </w14:textFill>
                    </w:rPr>
                    <w:t>：净宽</w:t>
                  </w:r>
                  <w:r>
                    <w:rPr>
                      <w:rFonts w:hint="default" w:ascii="Times New Roman" w:hAnsi="Times New Roman" w:eastAsia="宋体" w:cs="Times New Roman"/>
                      <w:color w:val="000000" w:themeColor="text1"/>
                      <w:sz w:val="21"/>
                      <w:szCs w:val="21"/>
                      <w14:textFill>
                        <w14:solidFill>
                          <w14:schemeClr w14:val="tx1"/>
                        </w14:solidFill>
                      </w14:textFill>
                    </w:rPr>
                    <w:t>4.5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8"/>
                      <w:sz w:val="21"/>
                      <w:szCs w:val="21"/>
                      <w14:textFill>
                        <w14:solidFill>
                          <w14:schemeClr w14:val="tx1"/>
                        </w14:solidFill>
                      </w14:textFill>
                    </w:rPr>
                    <w:t>、深</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tc>
            </w:tr>
            <w:tr w14:paraId="39B5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35CE09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3F1A18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40108C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5909" w:type="dxa"/>
                  <w:tcBorders>
                    <w:tl2br w:val="nil"/>
                    <w:tr2bl w:val="nil"/>
                  </w:tcBorders>
                  <w:vAlign w:val="center"/>
                </w:tcPr>
                <w:p w14:paraId="3B8924E3">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改造排涝沟</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1.2km，梯形断面，底宽2m，口宽约6~8m，边坡1：1.5，采用联锁块护坡。</w:t>
                  </w:r>
                </w:p>
              </w:tc>
            </w:tr>
            <w:tr w14:paraId="760C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7E954F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786FAB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5B74BDD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戴家河排涝片</w:t>
                  </w:r>
                </w:p>
              </w:tc>
              <w:tc>
                <w:tcPr>
                  <w:tcW w:w="5909" w:type="dxa"/>
                  <w:tcBorders>
                    <w:tl2br w:val="nil"/>
                    <w:tr2bl w:val="nil"/>
                  </w:tcBorders>
                  <w:vAlign w:val="center"/>
                </w:tcPr>
                <w:p w14:paraId="17EB532C">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拆建穿路涵13座，改造排涝沟总长1.425k</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。（1）拆建穿路涵共计13座，其中：S332穿路涵1座，尺寸3×1.8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，长37</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；1#、2#、3#穿路涵3座，尺寸3×1.8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，长9</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；4#穿路涵1座，尺寸3×3.8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，长7.3</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。另拆建穿路管涵8座，管径0.5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。（2）拆建1#排涝沟135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，尺寸1.5×1.5</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；新建2#排涝沟630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，尺寸2×1.8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；清淤护砌3#排涝沟630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；新建4#排涝沟30</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，尺寸4×1.8</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。（4#排涝沟与3#穿路涵衔接）</w:t>
                  </w:r>
                </w:p>
              </w:tc>
            </w:tr>
            <w:tr w14:paraId="781F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138C12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restart"/>
                  <w:tcBorders>
                    <w:tl2br w:val="nil"/>
                    <w:tr2bl w:val="nil"/>
                  </w:tcBorders>
                  <w:vAlign w:val="center"/>
                </w:tcPr>
                <w:p w14:paraId="2D4B49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城区排涝通道整治工程</w:t>
                  </w:r>
                </w:p>
              </w:tc>
              <w:tc>
                <w:tcPr>
                  <w:tcW w:w="1268" w:type="dxa"/>
                  <w:tcBorders>
                    <w:tl2br w:val="nil"/>
                    <w:tr2bl w:val="nil"/>
                  </w:tcBorders>
                  <w:vAlign w:val="center"/>
                </w:tcPr>
                <w:p w14:paraId="2D3C7B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幽芳河排涝通道整治</w:t>
                  </w:r>
                </w:p>
              </w:tc>
              <w:tc>
                <w:tcPr>
                  <w:tcW w:w="5909" w:type="dxa"/>
                  <w:tcBorders>
                    <w:tl2br w:val="nil"/>
                    <w:tr2bl w:val="nil"/>
                  </w:tcBorders>
                  <w:vAlign w:val="center"/>
                </w:tcPr>
                <w:p w14:paraId="3E5B8517">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东石门水库~高庙河，长6.36k</w:t>
                  </w:r>
                  <w:r>
                    <w:rPr>
                      <w:rFonts w:hint="default" w:ascii="Times New Roman" w:hAnsi="Times New Roman" w:eastAsia="宋体" w:cs="Times New Roman"/>
                      <w:color w:val="000000" w:themeColor="text1"/>
                      <w:sz w:val="21"/>
                      <w:szCs w:val="21"/>
                      <w:lang w:eastAsia="zh-CN"/>
                      <w14:textFill>
                        <w14:solidFill>
                          <w14:schemeClr w14:val="tx1"/>
                        </w14:solidFill>
                      </w14:textFill>
                    </w:rPr>
                    <w:t>m；河道疏拓6.36km，防洪达标2.4km，护岸加固12.72km，拆（新）建蓄水建筑物7座，改造防汛道路1.8km。</w:t>
                  </w:r>
                </w:p>
              </w:tc>
            </w:tr>
            <w:tr w14:paraId="21177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62FB38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38AA00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268" w:type="dxa"/>
                  <w:tcBorders>
                    <w:tl2br w:val="nil"/>
                    <w:tr2bl w:val="nil"/>
                  </w:tcBorders>
                  <w:vAlign w:val="center"/>
                </w:tcPr>
                <w:p w14:paraId="0CEA46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高庙河排涝通道整治</w:t>
                  </w:r>
                </w:p>
              </w:tc>
              <w:tc>
                <w:tcPr>
                  <w:tcW w:w="5909" w:type="dxa"/>
                  <w:tcBorders>
                    <w:tl2br w:val="nil"/>
                    <w:tr2bl w:val="nil"/>
                  </w:tcBorders>
                  <w:vAlign w:val="center"/>
                </w:tcPr>
                <w:p w14:paraId="081D70EF">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牛角冲水库~东淠河，长5.65k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新建护岸7.22k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，石笼固脚3.19k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，拆（新）建蓄水建筑物4座，新建巡查便道0.525k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，新建防洪墙0.8k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r>
            <w:tr w14:paraId="62DA4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516EF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06348D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5B5B4D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柳林河排涝通道整治</w:t>
                  </w:r>
                </w:p>
              </w:tc>
              <w:tc>
                <w:tcPr>
                  <w:tcW w:w="5909" w:type="dxa"/>
                  <w:tcBorders>
                    <w:tl2br w:val="nil"/>
                    <w:tr2bl w:val="nil"/>
                  </w:tcBorders>
                  <w:vAlign w:val="center"/>
                </w:tcPr>
                <w:p w14:paraId="0A995586">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团结水库~东淠河，长11.1k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3.415k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6"/>
                      <w:sz w:val="21"/>
                      <w:szCs w:val="21"/>
                      <w14:textFill>
                        <w14:solidFill>
                          <w14:schemeClr w14:val="tx1"/>
                        </w14:solidFill>
                      </w14:textFill>
                    </w:rPr>
                    <w:t>、护</w:t>
                  </w:r>
                  <w:r>
                    <w:rPr>
                      <w:rFonts w:hint="default" w:ascii="Times New Roman" w:hAnsi="Times New Roman" w:eastAsia="宋体" w:cs="Times New Roman"/>
                      <w:color w:val="000000" w:themeColor="text1"/>
                      <w:spacing w:val="-28"/>
                      <w:sz w:val="21"/>
                      <w:szCs w:val="21"/>
                      <w14:textFill>
                        <w14:solidFill>
                          <w14:schemeClr w14:val="tx1"/>
                        </w14:solidFill>
                      </w14:textFill>
                    </w:rPr>
                    <w:t>坡</w:t>
                  </w:r>
                  <w:r>
                    <w:rPr>
                      <w:rFonts w:hint="default" w:ascii="Times New Roman" w:hAnsi="Times New Roman" w:eastAsia="宋体" w:cs="Times New Roman"/>
                      <w:color w:val="000000" w:themeColor="text1"/>
                      <w:sz w:val="21"/>
                      <w:szCs w:val="21"/>
                      <w14:textFill>
                        <w14:solidFill>
                          <w14:schemeClr w14:val="tx1"/>
                        </w14:solidFill>
                      </w14:textFill>
                    </w:rPr>
                    <w:t>5.28k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，石笼固脚9.19k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，堤防封闭300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，加固拦河坝2座，拆建防洪闸1座，拆建（加固）排涝涵5座，堤顶防汛道路白改黑长7.2k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，水毁段修复16处。</w:t>
                  </w:r>
                </w:p>
              </w:tc>
            </w:tr>
            <w:tr w14:paraId="4CC5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38B188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1BA74D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23A9CA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新店河排涝通道整治</w:t>
                  </w:r>
                </w:p>
              </w:tc>
              <w:tc>
                <w:tcPr>
                  <w:tcW w:w="5909" w:type="dxa"/>
                  <w:tcBorders>
                    <w:tl2br w:val="nil"/>
                    <w:tr2bl w:val="nil"/>
                  </w:tcBorders>
                  <w:vAlign w:val="center"/>
                </w:tcPr>
                <w:p w14:paraId="4251E2C8">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印墩村~入戴家河河口，长2.51k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pacing w:val="-12"/>
                      <w:sz w:val="21"/>
                      <w:szCs w:val="21"/>
                      <w14:textFill>
                        <w14:solidFill>
                          <w14:schemeClr w14:val="tx1"/>
                        </w14:solidFill>
                      </w14:textFill>
                    </w:rPr>
                    <w:t>新建护岸</w:t>
                  </w:r>
                  <w:r>
                    <w:rPr>
                      <w:rFonts w:hint="default" w:ascii="Times New Roman" w:hAnsi="Times New Roman" w:eastAsia="宋体" w:cs="Times New Roman"/>
                      <w:color w:val="000000" w:themeColor="text1"/>
                      <w:sz w:val="21"/>
                      <w:szCs w:val="21"/>
                      <w14:textFill>
                        <w14:solidFill>
                          <w14:schemeClr w14:val="tx1"/>
                        </w14:solidFill>
                      </w14:textFill>
                    </w:rPr>
                    <w:t>2.106k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，现</w:t>
                  </w:r>
                  <w:r>
                    <w:rPr>
                      <w:rFonts w:hint="default" w:ascii="Times New Roman" w:hAnsi="Times New Roman" w:eastAsia="宋体" w:cs="Times New Roman"/>
                      <w:color w:val="000000" w:themeColor="text1"/>
                      <w:spacing w:val="-11"/>
                      <w:sz w:val="21"/>
                      <w:szCs w:val="21"/>
                      <w14:textFill>
                        <w14:solidFill>
                          <w14:schemeClr w14:val="tx1"/>
                        </w14:solidFill>
                      </w14:textFill>
                    </w:rPr>
                    <w:t>状护岸改造</w:t>
                  </w:r>
                  <w:r>
                    <w:rPr>
                      <w:rFonts w:hint="default" w:ascii="Times New Roman" w:hAnsi="Times New Roman" w:eastAsia="宋体" w:cs="Times New Roman"/>
                      <w:color w:val="000000" w:themeColor="text1"/>
                      <w:sz w:val="21"/>
                      <w:szCs w:val="21"/>
                      <w14:textFill>
                        <w14:solidFill>
                          <w14:schemeClr w14:val="tx1"/>
                        </w14:solidFill>
                      </w14:textFill>
                    </w:rPr>
                    <w:t>0.195k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pacing w:val="-11"/>
                      <w:sz w:val="21"/>
                      <w:szCs w:val="21"/>
                      <w14:textFill>
                        <w14:solidFill>
                          <w14:schemeClr w14:val="tx1"/>
                        </w14:solidFill>
                      </w14:textFill>
                    </w:rPr>
                    <w:t>河道疏浚</w:t>
                  </w:r>
                  <w:r>
                    <w:rPr>
                      <w:rFonts w:hint="default" w:ascii="Times New Roman" w:hAnsi="Times New Roman" w:eastAsia="宋体" w:cs="Times New Roman"/>
                      <w:color w:val="000000" w:themeColor="text1"/>
                      <w:sz w:val="21"/>
                      <w:szCs w:val="21"/>
                      <w14:textFill>
                        <w14:solidFill>
                          <w14:schemeClr w14:val="tx1"/>
                        </w14:solidFill>
                      </w14:textFill>
                    </w:rPr>
                    <w:t>0.7k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，拆（新）</w:t>
                  </w:r>
                  <w:r>
                    <w:rPr>
                      <w:rFonts w:hint="default" w:ascii="Times New Roman" w:hAnsi="Times New Roman" w:eastAsia="宋体" w:cs="Times New Roman"/>
                      <w:color w:val="000000" w:themeColor="text1"/>
                      <w:spacing w:val="-12"/>
                      <w:sz w:val="21"/>
                      <w:szCs w:val="21"/>
                      <w14:textFill>
                        <w14:solidFill>
                          <w14:schemeClr w14:val="tx1"/>
                        </w14:solidFill>
                      </w14:textFill>
                    </w:rPr>
                    <w:t>建拦河坝</w:t>
                  </w:r>
                  <w:r>
                    <w:rPr>
                      <w:rFonts w:hint="default" w:ascii="Times New Roman" w:hAnsi="Times New Roman" w:eastAsia="宋体" w:cs="Times New Roman"/>
                      <w:color w:val="000000" w:themeColor="text1"/>
                      <w:sz w:val="21"/>
                      <w:szCs w:val="21"/>
                      <w14:textFill>
                        <w14:solidFill>
                          <w14:schemeClr w14:val="tx1"/>
                        </w14:solidFill>
                      </w14:textFill>
                    </w:rPr>
                    <w:t>5座，</w:t>
                  </w:r>
                  <w:r>
                    <w:rPr>
                      <w:rFonts w:hint="default" w:ascii="Times New Roman" w:hAnsi="Times New Roman" w:eastAsia="宋体" w:cs="Times New Roman"/>
                      <w:color w:val="000000" w:themeColor="text1"/>
                      <w:spacing w:val="-10"/>
                      <w:sz w:val="21"/>
                      <w:szCs w:val="21"/>
                      <w14:textFill>
                        <w14:solidFill>
                          <w14:schemeClr w14:val="tx1"/>
                        </w14:solidFill>
                      </w14:textFill>
                    </w:rPr>
                    <w:t>加固拦河坝</w:t>
                  </w:r>
                  <w:r>
                    <w:rPr>
                      <w:rFonts w:hint="default" w:ascii="Times New Roman" w:hAnsi="Times New Roman" w:eastAsia="宋体" w:cs="Times New Roman"/>
                      <w:color w:val="000000" w:themeColor="text1"/>
                      <w:sz w:val="21"/>
                      <w:szCs w:val="21"/>
                      <w14:textFill>
                        <w14:solidFill>
                          <w14:schemeClr w14:val="tx1"/>
                        </w14:solidFill>
                      </w14:textFill>
                    </w:rPr>
                    <w:t>1座，拆建漫水桥1座（改建为桥涵）。</w:t>
                  </w:r>
                </w:p>
              </w:tc>
            </w:tr>
            <w:tr w14:paraId="71220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05646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restart"/>
                  <w:tcBorders>
                    <w:tl2br w:val="nil"/>
                    <w:tr2bl w:val="nil"/>
                  </w:tcBorders>
                  <w:vAlign w:val="center"/>
                </w:tcPr>
                <w:p w14:paraId="553444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排水管网改造工程</w:t>
                  </w:r>
                </w:p>
              </w:tc>
              <w:tc>
                <w:tcPr>
                  <w:tcW w:w="1268" w:type="dxa"/>
                  <w:tcBorders>
                    <w:tl2br w:val="nil"/>
                    <w:tr2bl w:val="nil"/>
                  </w:tcBorders>
                  <w:vAlign w:val="center"/>
                </w:tcPr>
                <w:p w14:paraId="4CB29A25">
                  <w:pPr>
                    <w:pStyle w:val="3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幽芳河、柳林河片区排水管网新建工程</w:t>
                  </w:r>
                </w:p>
              </w:tc>
              <w:tc>
                <w:tcPr>
                  <w:tcW w:w="5909" w:type="dxa"/>
                  <w:tcBorders>
                    <w:tl2br w:val="nil"/>
                    <w:tr2bl w:val="nil"/>
                  </w:tcBorders>
                  <w:vAlign w:val="center"/>
                </w:tcPr>
                <w:p w14:paraId="59DDA2FA">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东石门社区、柳林河西片（柳林河左岸堤后）</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排水管网总长19.34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，其中：幽芳河排水管网约13.74k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，设检查井270座，提升泵站1座。柳林河片区排水管网约5.6k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，设检查井127座。</w:t>
                  </w:r>
                </w:p>
              </w:tc>
            </w:tr>
            <w:tr w14:paraId="0A63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0B3AB4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4EF002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c>
                <w:tcPr>
                  <w:tcW w:w="1268" w:type="dxa"/>
                  <w:tcBorders>
                    <w:tl2br w:val="nil"/>
                    <w:tr2bl w:val="nil"/>
                  </w:tcBorders>
                  <w:vAlign w:val="center"/>
                </w:tcPr>
                <w:p w14:paraId="183A9573">
                  <w:pPr>
                    <w:pStyle w:val="3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南岳花都片排水管网新建工程</w:t>
                  </w:r>
                </w:p>
              </w:tc>
              <w:tc>
                <w:tcPr>
                  <w:tcW w:w="5909" w:type="dxa"/>
                  <w:tcBorders>
                    <w:tl2br w:val="nil"/>
                    <w:tr2bl w:val="nil"/>
                  </w:tcBorders>
                  <w:vAlign w:val="center"/>
                </w:tcPr>
                <w:p w14:paraId="61E3F1AA">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南岳花都小区西侧绿地</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排水管网约460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，检查井7座。</w:t>
                  </w:r>
                </w:p>
              </w:tc>
            </w:tr>
            <w:tr w14:paraId="77FDD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3B5BFA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372" w:type="dxa"/>
                  <w:vMerge w:val="continue"/>
                  <w:tcBorders>
                    <w:tl2br w:val="nil"/>
                    <w:tr2bl w:val="nil"/>
                  </w:tcBorders>
                  <w:vAlign w:val="center"/>
                </w:tcPr>
                <w:p w14:paraId="55A892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268" w:type="dxa"/>
                  <w:tcBorders>
                    <w:tl2br w:val="nil"/>
                    <w:tr2bl w:val="nil"/>
                  </w:tcBorders>
                  <w:vAlign w:val="center"/>
                </w:tcPr>
                <w:p w14:paraId="1D46B29B">
                  <w:pPr>
                    <w:pStyle w:val="39"/>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衡山工业园片排水管网新建工程</w:t>
                  </w:r>
                </w:p>
              </w:tc>
              <w:tc>
                <w:tcPr>
                  <w:tcW w:w="5909" w:type="dxa"/>
                  <w:tcBorders>
                    <w:tl2br w:val="nil"/>
                    <w:tr2bl w:val="nil"/>
                  </w:tcBorders>
                  <w:vAlign w:val="center"/>
                </w:tcPr>
                <w:p w14:paraId="0AF9FD49">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排水管网约11k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，设检查井约214座。</w:t>
                  </w:r>
                </w:p>
              </w:tc>
            </w:tr>
            <w:tr w14:paraId="7CFAF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vAlign w:val="center"/>
                </w:tcPr>
                <w:p w14:paraId="22881A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临时工程</w:t>
                  </w:r>
                </w:p>
              </w:tc>
              <w:tc>
                <w:tcPr>
                  <w:tcW w:w="1640" w:type="dxa"/>
                  <w:gridSpan w:val="2"/>
                  <w:tcBorders>
                    <w:tl2br w:val="nil"/>
                    <w:tr2bl w:val="nil"/>
                  </w:tcBorders>
                  <w:vAlign w:val="center"/>
                </w:tcPr>
                <w:p w14:paraId="3E5455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施工临时道路</w:t>
                  </w:r>
                </w:p>
              </w:tc>
              <w:tc>
                <w:tcPr>
                  <w:tcW w:w="5909" w:type="dxa"/>
                  <w:tcBorders>
                    <w:tl2br w:val="nil"/>
                    <w:tr2bl w:val="nil"/>
                  </w:tcBorders>
                  <w:vAlign w:val="center"/>
                </w:tcPr>
                <w:p w14:paraId="29BE84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西部新城排涝站工程站址处有防汛道路相连，城区排涝通道整治工程和排水管新建工程中，工程沿线均有市政道路联通，场内交通便利。项目仅局部要修建临时道路便于材料和机械进场。</w:t>
                  </w:r>
                </w:p>
              </w:tc>
            </w:tr>
            <w:tr w14:paraId="62B2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3DF12D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0A316B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临时施工区</w:t>
                  </w:r>
                </w:p>
              </w:tc>
              <w:tc>
                <w:tcPr>
                  <w:tcW w:w="5909" w:type="dxa"/>
                  <w:tcBorders>
                    <w:tl2br w:val="nil"/>
                    <w:tr2bl w:val="nil"/>
                  </w:tcBorders>
                  <w:vAlign w:val="center"/>
                </w:tcPr>
                <w:p w14:paraId="78E4DC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不设</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施工营地</w:t>
                  </w:r>
                  <w:r>
                    <w:rPr>
                      <w:rFonts w:hint="default" w:ascii="Times New Roman" w:hAnsi="Times New Roman" w:eastAsia="宋体" w:cs="Times New Roman"/>
                      <w:bCs/>
                      <w:color w:val="000000" w:themeColor="text1"/>
                      <w:sz w:val="21"/>
                      <w:szCs w:val="21"/>
                      <w:highlight w:val="none"/>
                      <w14:textFill>
                        <w14:solidFill>
                          <w14:schemeClr w14:val="tx1"/>
                        </w14:solidFill>
                      </w14:textFill>
                    </w:rPr>
                    <w:t>；项目施工期较短，施工期施工人员依托周边村庄居住</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；施工结束后对临时施工区进行土地平整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播撒草籽</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，施工过程中采取洒水降尘、彩钢板拦挡等措施。</w:t>
                  </w:r>
                </w:p>
              </w:tc>
            </w:tr>
            <w:tr w14:paraId="0192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29D3A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13D39C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临时堆土场</w:t>
                  </w:r>
                </w:p>
              </w:tc>
              <w:tc>
                <w:tcPr>
                  <w:tcW w:w="5909" w:type="dxa"/>
                  <w:tcBorders>
                    <w:tl2br w:val="nil"/>
                    <w:tr2bl w:val="nil"/>
                  </w:tcBorders>
                  <w:vAlign w:val="center"/>
                </w:tcPr>
                <w:p w14:paraId="2DD0AA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本工程部分泵站主泵房全年施工，涉水工作面选择枯水期施工。考虑工程开挖与填筑时序的不匹配，在泵站施工区附近设置临时堆土场，暂存用于后续填筑的基坑开挖土石料。</w:t>
                  </w:r>
                  <w:r>
                    <w:rPr>
                      <w:rFonts w:hint="eastAsia" w:cs="Times New Roman"/>
                      <w:bCs/>
                      <w:color w:val="000000" w:themeColor="text1"/>
                      <w:sz w:val="21"/>
                      <w:szCs w:val="21"/>
                      <w:highlight w:val="none"/>
                      <w:lang w:val="en-US" w:eastAsia="zh-CN"/>
                      <w14:textFill>
                        <w14:solidFill>
                          <w14:schemeClr w14:val="tx1"/>
                        </w14:solidFill>
                      </w14:textFill>
                    </w:rPr>
                    <w:t>河道疏浚、清淤及</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余方土由县矿产公司统一运输安置</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14:paraId="0B22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vAlign w:val="center"/>
                </w:tcPr>
                <w:p w14:paraId="6A7AC5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公用工程</w:t>
                  </w:r>
                </w:p>
              </w:tc>
              <w:tc>
                <w:tcPr>
                  <w:tcW w:w="1640" w:type="dxa"/>
                  <w:gridSpan w:val="2"/>
                  <w:tcBorders>
                    <w:tl2br w:val="nil"/>
                    <w:tr2bl w:val="nil"/>
                  </w:tcBorders>
                  <w:vAlign w:val="center"/>
                </w:tcPr>
                <w:p w14:paraId="09335D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给水</w:t>
                  </w:r>
                </w:p>
              </w:tc>
              <w:tc>
                <w:tcPr>
                  <w:tcW w:w="5909" w:type="dxa"/>
                  <w:tcBorders>
                    <w:tl2br w:val="nil"/>
                    <w:tr2bl w:val="nil"/>
                  </w:tcBorders>
                  <w:vAlign w:val="center"/>
                </w:tcPr>
                <w:p w14:paraId="1F9563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施工用水就近取用</w:t>
                  </w:r>
                </w:p>
              </w:tc>
            </w:tr>
            <w:tr w14:paraId="4638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542252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245D56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排水</w:t>
                  </w:r>
                </w:p>
              </w:tc>
              <w:tc>
                <w:tcPr>
                  <w:tcW w:w="5909" w:type="dxa"/>
                  <w:tcBorders>
                    <w:tl2br w:val="nil"/>
                    <w:tr2bl w:val="nil"/>
                  </w:tcBorders>
                  <w:vAlign w:val="center"/>
                </w:tcPr>
                <w:p w14:paraId="3EDA89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施工废水沉淀后用于场地泼洒抑尘；生活污水排放依托</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附近</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租用民房</w:t>
                  </w:r>
                </w:p>
              </w:tc>
            </w:tr>
            <w:tr w14:paraId="1B67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165FA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0145E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供电</w:t>
                  </w:r>
                </w:p>
              </w:tc>
              <w:tc>
                <w:tcPr>
                  <w:tcW w:w="5909" w:type="dxa"/>
                  <w:tcBorders>
                    <w:tl2br w:val="nil"/>
                    <w:tr2bl w:val="nil"/>
                  </w:tcBorders>
                  <w:vAlign w:val="center"/>
                </w:tcPr>
                <w:p w14:paraId="4CD026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工程用电负荷较小，可就近接用附近电网</w:t>
                  </w:r>
                </w:p>
              </w:tc>
            </w:tr>
            <w:tr w14:paraId="20C4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vAlign w:val="center"/>
                </w:tcPr>
                <w:p w14:paraId="2CB9E4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14:textFill>
                        <w14:solidFill>
                          <w14:schemeClr w14:val="tx1"/>
                        </w14:solidFill>
                      </w14:textFill>
                    </w:rPr>
                    <w:t>环保工程</w:t>
                  </w:r>
                </w:p>
              </w:tc>
              <w:tc>
                <w:tcPr>
                  <w:tcW w:w="1640" w:type="dxa"/>
                  <w:gridSpan w:val="2"/>
                  <w:tcBorders>
                    <w:tl2br w:val="nil"/>
                    <w:tr2bl w:val="nil"/>
                  </w:tcBorders>
                  <w:vAlign w:val="center"/>
                </w:tcPr>
                <w:p w14:paraId="7BCF66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废气防治措施</w:t>
                  </w:r>
                </w:p>
              </w:tc>
              <w:tc>
                <w:tcPr>
                  <w:tcW w:w="5909" w:type="dxa"/>
                  <w:tcBorders>
                    <w:tl2br w:val="nil"/>
                    <w:tr2bl w:val="nil"/>
                  </w:tcBorders>
                  <w:vAlign w:val="center"/>
                </w:tcPr>
                <w:p w14:paraId="16647FE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施工期</w:t>
                  </w:r>
                  <w:r>
                    <w:rPr>
                      <w:rFonts w:hint="default" w:ascii="Times New Roman" w:hAnsi="Times New Roman" w:eastAsia="宋体" w:cs="Times New Roman"/>
                      <w:color w:val="000000" w:themeColor="text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严格落实施工过程“六个百分百”中相关要求。沿施工现场四周连续设置施工围挡；施工现场出入口及现场内主要道路应进行混凝土硬化或铺设钢板；现场裸土应采取覆盖等措施，施工现场建筑材料和其他易飞扬的细颗粒建筑材料应密闭存放或采取密目网覆盖等措施；施工现场应采用机械喷雾与人工洒水相结合的方式有效控制施工扬尘；施工现场出入口应设置车辆冲洗设施，运输土石方、散装物料、建筑垃圾等车辆，密闭且冲洗后方可驶出施工现场，严禁车辆带泥上路。加强对施工机械、运输车辆的维修保养禁止以柴油为燃料的施工机械超负荷工作。</w:t>
                  </w:r>
                </w:p>
                <w:p w14:paraId="63AFE6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运营期：</w:t>
                  </w:r>
                  <w:r>
                    <w:rPr>
                      <w:rFonts w:hint="default" w:ascii="Times New Roman" w:hAnsi="Times New Roman" w:eastAsia="宋体" w:cs="Times New Roman"/>
                      <w:b w:val="0"/>
                      <w:bCs w:val="0"/>
                      <w:color w:val="000000" w:themeColor="text1"/>
                      <w:sz w:val="21"/>
                      <w:szCs w:val="21"/>
                      <w14:textFill>
                        <w14:solidFill>
                          <w14:schemeClr w14:val="tx1"/>
                        </w14:solidFill>
                      </w14:textFill>
                    </w:rPr>
                    <w:t>项目区内无废气污染源</w:t>
                  </w:r>
                </w:p>
              </w:tc>
            </w:tr>
            <w:tr w14:paraId="67BC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17480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6F86D3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废水治理措施</w:t>
                  </w:r>
                </w:p>
              </w:tc>
              <w:tc>
                <w:tcPr>
                  <w:tcW w:w="5909" w:type="dxa"/>
                  <w:tcBorders>
                    <w:tl2br w:val="nil"/>
                    <w:tr2bl w:val="nil"/>
                  </w:tcBorders>
                  <w:vAlign w:val="center"/>
                </w:tcPr>
                <w:p w14:paraId="4DFEA98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kern w:val="0"/>
                      <w:sz w:val="21"/>
                      <w:szCs w:val="21"/>
                      <w14:textFill>
                        <w14:solidFill>
                          <w14:schemeClr w14:val="tx1"/>
                        </w14:solidFill>
                      </w14:textFill>
                    </w:rPr>
                    <w:t>施工人员住宿全部通过就近租住民宅解决，生活污水经租住的民宅内的化粪池收集后用于农肥，不外排；车辆、设备冲洗废水经隔油、沉淀处理后回用于车辆冲洗、洒水降尘，不外排；</w:t>
                  </w: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围堰及</w:t>
                  </w:r>
                  <w:r>
                    <w:rPr>
                      <w:rFonts w:hint="default" w:ascii="Times New Roman" w:hAnsi="Times New Roman" w:eastAsia="宋体" w:cs="Times New Roman"/>
                      <w:color w:val="000000" w:themeColor="text1"/>
                      <w:kern w:val="0"/>
                      <w:sz w:val="21"/>
                      <w:szCs w:val="21"/>
                      <w14:textFill>
                        <w14:solidFill>
                          <w14:schemeClr w14:val="tx1"/>
                        </w14:solidFill>
                      </w14:textFill>
                    </w:rPr>
                    <w:t>基坑废水经抽排至施工区沉淀池处理后回用于车辆冲洗、洒水降尘，不外排。</w:t>
                  </w:r>
                </w:p>
                <w:p w14:paraId="2F4874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运营期：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工程不设定点管理人员，运营期废水主要为收集的收集的沿河居民生活污水，除纳管的部分村庄外，较为集中的村庄采用集中污水处理，集中污水处理设施选用净化槽工艺；对于村庄较为分散的采用资源化利用工艺</w:t>
                  </w:r>
                  <w:r>
                    <w:rPr>
                      <w:rFonts w:hint="eastAsia" w:cs="Times New Roman"/>
                      <w:color w:val="000000" w:themeColor="text1"/>
                      <w:sz w:val="21"/>
                      <w:szCs w:val="21"/>
                      <w:lang w:val="en-US" w:eastAsia="zh-CN"/>
                      <w14:textFill>
                        <w14:solidFill>
                          <w14:schemeClr w14:val="tx1"/>
                        </w14:solidFill>
                      </w14:textFill>
                    </w:rPr>
                    <w:t>。尾水</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结合周边情况，可排入农灌沟进行农用回灌，或者进行林地漫灌。</w:t>
                  </w:r>
                </w:p>
              </w:tc>
            </w:tr>
            <w:tr w14:paraId="64A1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3161E9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6D8596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噪声治理措施</w:t>
                  </w:r>
                </w:p>
              </w:tc>
              <w:tc>
                <w:tcPr>
                  <w:tcW w:w="5909" w:type="dxa"/>
                  <w:tcBorders>
                    <w:tl2br w:val="nil"/>
                    <w:tr2bl w:val="nil"/>
                  </w:tcBorders>
                  <w:vAlign w:val="center"/>
                </w:tcPr>
                <w:p w14:paraId="637C19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sz w:val="21"/>
                      <w:szCs w:val="21"/>
                      <w14:textFill>
                        <w14:solidFill>
                          <w14:schemeClr w14:val="tx1"/>
                        </w14:solidFill>
                      </w14:textFill>
                    </w:rPr>
                    <w:t>合理安排施工机械作业时间，禁止夜间施工，选用低噪声的机械设备，合理布局施工设备，采取基础减振等降噪措施，避免高噪声设备同时运行，施工机械等。明确施工噪声控制责任，对施工期间运输车辆，也应合理安排，限制车辆鸣笛等综合降噪措施。</w:t>
                  </w:r>
                </w:p>
                <w:p w14:paraId="4492E7A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运营期：</w:t>
                  </w:r>
                  <w:r>
                    <w:rPr>
                      <w:rFonts w:hint="default" w:ascii="Times New Roman" w:hAnsi="Times New Roman" w:eastAsia="宋体" w:cs="Times New Roman"/>
                      <w:b w:val="0"/>
                      <w:bCs w:val="0"/>
                      <w:color w:val="000000" w:themeColor="text1"/>
                      <w:sz w:val="21"/>
                      <w:szCs w:val="21"/>
                      <w:lang w:eastAsia="zh-CN"/>
                      <w14:textFill>
                        <w14:solidFill>
                          <w14:schemeClr w14:val="tx1"/>
                        </w14:solidFill>
                      </w14:textFill>
                    </w:rPr>
                    <w:t>泵站</w:t>
                  </w:r>
                  <w:r>
                    <w:rPr>
                      <w:rFonts w:hint="default" w:ascii="Times New Roman" w:hAnsi="Times New Roman" w:eastAsia="宋体" w:cs="Times New Roman"/>
                      <w:color w:val="000000" w:themeColor="text1"/>
                      <w:sz w:val="21"/>
                      <w:szCs w:val="21"/>
                      <w14:textFill>
                        <w14:solidFill>
                          <w14:schemeClr w14:val="tx1"/>
                        </w14:solidFill>
                      </w14:textFill>
                    </w:rPr>
                    <w:t>优先选用低噪声设备，基础减震、加强机电设备维修及保养、距离衰减、</w:t>
                  </w:r>
                  <w:r>
                    <w:rPr>
                      <w:rFonts w:hint="default" w:ascii="Times New Roman" w:hAnsi="Times New Roman" w:eastAsia="宋体" w:cs="Times New Roman"/>
                      <w:color w:val="000000" w:themeColor="text1"/>
                      <w:sz w:val="21"/>
                      <w:szCs w:val="21"/>
                      <w:lang w:eastAsia="zh-CN"/>
                      <w14:textFill>
                        <w14:solidFill>
                          <w14:schemeClr w14:val="tx1"/>
                        </w14:solidFill>
                      </w14:textFill>
                    </w:rPr>
                    <w:t>房屋</w:t>
                  </w:r>
                  <w:r>
                    <w:rPr>
                      <w:rFonts w:hint="default" w:ascii="Times New Roman" w:hAnsi="Times New Roman" w:eastAsia="宋体" w:cs="Times New Roman"/>
                      <w:color w:val="000000" w:themeColor="text1"/>
                      <w:sz w:val="21"/>
                      <w:szCs w:val="21"/>
                      <w14:textFill>
                        <w14:solidFill>
                          <w14:schemeClr w14:val="tx1"/>
                        </w14:solidFill>
                      </w14:textFill>
                    </w:rPr>
                    <w:t>隔声等措施。</w:t>
                  </w:r>
                </w:p>
              </w:tc>
            </w:tr>
            <w:tr w14:paraId="1B6F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7CAEC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344579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固废治理措施</w:t>
                  </w:r>
                </w:p>
              </w:tc>
              <w:tc>
                <w:tcPr>
                  <w:tcW w:w="5909" w:type="dxa"/>
                  <w:tcBorders>
                    <w:tl2br w:val="nil"/>
                    <w:tr2bl w:val="nil"/>
                  </w:tcBorders>
                  <w:vAlign w:val="center"/>
                </w:tcPr>
                <w:p w14:paraId="7CD6057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施工期：</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生活</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垃圾</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采用垃圾桶集中收集后，委托环卫部门定期处理；具有回收利用价值建筑垃圾的尽可能回收利用，剩余建筑垃圾运至相关建筑垃圾处理单位综合利用；</w:t>
                  </w:r>
                  <w: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t>本项目</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余方土由县矿产公司统一运输安置</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w:t>
                  </w:r>
                </w:p>
                <w:p w14:paraId="28EE5A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运营期：</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本工程不设定点管理人员，运营期无生活垃圾生</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产；泵站拦截的垃圾量应打捞后由环卫部门运至垃圾填埋场处理；泵站、闸门检修产生的废矿物油及沾染物，按危险废物管理要求进行集中回收处理。</w:t>
                  </w:r>
                </w:p>
              </w:tc>
            </w:tr>
            <w:tr w14:paraId="5DBE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vAlign w:val="center"/>
                </w:tcPr>
                <w:p w14:paraId="1B173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1640" w:type="dxa"/>
                  <w:gridSpan w:val="2"/>
                  <w:tcBorders>
                    <w:tl2br w:val="nil"/>
                    <w:tr2bl w:val="nil"/>
                  </w:tcBorders>
                  <w:vAlign w:val="center"/>
                </w:tcPr>
                <w:p w14:paraId="482DAC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生态恢复、水土保持措施</w:t>
                  </w:r>
                </w:p>
              </w:tc>
              <w:tc>
                <w:tcPr>
                  <w:tcW w:w="5909" w:type="dxa"/>
                  <w:tcBorders>
                    <w:tl2br w:val="nil"/>
                    <w:tr2bl w:val="nil"/>
                  </w:tcBorders>
                  <w:vAlign w:val="center"/>
                </w:tcPr>
                <w:p w14:paraId="10A82E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施工结束后，及时对临时占地区域进行植被恢复或复垦。</w:t>
                  </w:r>
                </w:p>
              </w:tc>
            </w:tr>
            <w:bookmarkEnd w:id="5"/>
          </w:tbl>
          <w:p w14:paraId="768E30F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2" w:firstLineChars="200"/>
              <w:textAlignment w:val="auto"/>
              <w:rPr>
                <w:rFonts w:hint="default" w:ascii="Times New Roman" w:hAnsi="Times New Roman" w:eastAsia="宋体" w:cs="Times New Roman"/>
                <w:b/>
                <w:color w:val="000000" w:themeColor="text1"/>
                <w:kern w:val="0"/>
                <w:sz w:val="24"/>
                <w:highlight w:val="none"/>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3、设计</w:t>
            </w:r>
            <w:r>
              <w:rPr>
                <w:rFonts w:hint="default" w:ascii="Times New Roman" w:hAnsi="Times New Roman" w:eastAsia="宋体" w:cs="Times New Roman"/>
                <w:b/>
                <w:color w:val="000000" w:themeColor="text1"/>
                <w:kern w:val="0"/>
                <w:sz w:val="24"/>
                <w:highlight w:val="none"/>
                <w14:textFill>
                  <w14:solidFill>
                    <w14:schemeClr w14:val="tx1"/>
                  </w14:solidFill>
                </w14:textFill>
              </w:rPr>
              <w:t>方案</w:t>
            </w:r>
          </w:p>
          <w:p w14:paraId="7170DD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3.1区域排涝能力提升工程方案</w:t>
            </w:r>
          </w:p>
          <w:p w14:paraId="32AD6F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3.1.1设计标准</w:t>
            </w:r>
          </w:p>
          <w:p w14:paraId="4F8051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排涝标准：</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20年一遇。抽排标准采用20年一遇最大24h降雨1d排出。</w:t>
            </w:r>
          </w:p>
          <w:p w14:paraId="15E7A5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抗震标准：</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根据《中国地震动参数区划图》（GB18306－2015），本工程抗震设防取地震动峰值加速度0.1g，相应地震基本烈度为Ⅶ度。</w:t>
            </w:r>
          </w:p>
          <w:p w14:paraId="3E4603C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3.1.2工程总布置</w:t>
            </w:r>
          </w:p>
          <w:p w14:paraId="264929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迎驾厂片工程总体布置方案如下：区域内现有支沟、农田沟渠及干沟相互连通，共同发挥灌溉与排水双重功能，形成完整的农田水利功能体系。支沟水流汇入主干沟道，整体排水流向呈现由南向北、由西向东的规律，最终汇集至新建泵站的前池。新建泵站选址于柳林河左岸堤防的背水侧堤后位置，紧邻堤防布置，其主要作用是在汛期抽排涝水，有效提升区域防洪排涝能力。</w:t>
            </w:r>
          </w:p>
          <w:p w14:paraId="76D62F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194A3AB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181FD2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5609EB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4DF7F6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576EC3D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1644B6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0617F0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6A09F8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53C61C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53635" cy="3242945"/>
                  <wp:effectExtent l="0" t="0" r="18415" b="14605"/>
                  <wp:docPr id="407"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image205.png"/>
                          <pic:cNvPicPr>
                            <a:picLocks noChangeAspect="1"/>
                          </pic:cNvPicPr>
                        </pic:nvPicPr>
                        <pic:blipFill>
                          <a:blip r:embed="rId10" cstate="print"/>
                          <a:stretch>
                            <a:fillRect/>
                          </a:stretch>
                        </pic:blipFill>
                        <pic:spPr>
                          <a:xfrm>
                            <a:off x="0" y="0"/>
                            <a:ext cx="4953635" cy="3242945"/>
                          </a:xfrm>
                          <a:prstGeom prst="rect">
                            <a:avLst/>
                          </a:prstGeom>
                        </pic:spPr>
                      </pic:pic>
                    </a:graphicData>
                  </a:graphic>
                </wp:inline>
              </w:drawing>
            </w:r>
          </w:p>
          <w:p w14:paraId="15794B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 2-1</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迎驾厂片工程总体布置图</w:t>
            </w:r>
          </w:p>
          <w:p w14:paraId="22FD25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戴家河片工程总体布置：工程内拆改建排涝沟沿现有线位，建筑物主要为穿路涵，均在原位置进行扩建。</w:t>
            </w:r>
          </w:p>
          <w:p w14:paraId="15DFB10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drawing>
                <wp:inline distT="0" distB="0" distL="114300" distR="114300">
                  <wp:extent cx="5128895" cy="3194050"/>
                  <wp:effectExtent l="0" t="0" r="14605" b="6350"/>
                  <wp:docPr id="10" name="图片 10" descr="5b3d4403-ca85-4052-813e-3f40d47d54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b3d4403-ca85-4052-813e-3f40d47d541f"/>
                          <pic:cNvPicPr>
                            <a:picLocks noChangeAspect="1"/>
                          </pic:cNvPicPr>
                        </pic:nvPicPr>
                        <pic:blipFill>
                          <a:blip r:embed="rId11"/>
                          <a:stretch>
                            <a:fillRect/>
                          </a:stretch>
                        </pic:blipFill>
                        <pic:spPr>
                          <a:xfrm>
                            <a:off x="0" y="0"/>
                            <a:ext cx="5128895" cy="3194050"/>
                          </a:xfrm>
                          <a:prstGeom prst="rect">
                            <a:avLst/>
                          </a:prstGeom>
                        </pic:spPr>
                      </pic:pic>
                    </a:graphicData>
                  </a:graphic>
                </wp:inline>
              </w:drawing>
            </w:r>
          </w:p>
          <w:p w14:paraId="2E03BF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图2-2</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戴家河片工程总体布置图</w:t>
            </w:r>
          </w:p>
          <w:p w14:paraId="3EB6F9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97450" cy="3077845"/>
                  <wp:effectExtent l="0" t="0" r="12700" b="8255"/>
                  <wp:docPr id="11"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07.jpeg"/>
                          <pic:cNvPicPr>
                            <a:picLocks noChangeAspect="1"/>
                          </pic:cNvPicPr>
                        </pic:nvPicPr>
                        <pic:blipFill>
                          <a:blip r:embed="rId12" cstate="print"/>
                          <a:stretch>
                            <a:fillRect/>
                          </a:stretch>
                        </pic:blipFill>
                        <pic:spPr>
                          <a:xfrm>
                            <a:off x="0" y="0"/>
                            <a:ext cx="4997450" cy="3077845"/>
                          </a:xfrm>
                          <a:prstGeom prst="rect">
                            <a:avLst/>
                          </a:prstGeom>
                        </pic:spPr>
                      </pic:pic>
                    </a:graphicData>
                  </a:graphic>
                </wp:inline>
              </w:drawing>
            </w:r>
          </w:p>
          <w:p w14:paraId="65395F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图2-3</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戴家河片工程总体布置图（航拍示意）</w:t>
            </w:r>
          </w:p>
          <w:p w14:paraId="44E6C8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3.2西部新城排涝泵站设计</w:t>
            </w:r>
          </w:p>
          <w:p w14:paraId="187FF8D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西部新城排涝泵站布置于柳林河左岸堤后，轴线垂直柳林河布置。顺水流方向布置的主要建筑物有进水闸、前池、泵室、汇水箱、穿堤箱涵、闸门井、出水池等。配套用房集中布置在泵站东侧。</w:t>
            </w:r>
          </w:p>
          <w:p w14:paraId="2DD23F9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mc:AlternateContent>
                <mc:Choice Requires="wpg">
                  <w:drawing>
                    <wp:inline distT="0" distB="0" distL="114300" distR="114300">
                      <wp:extent cx="5059045" cy="3170555"/>
                      <wp:effectExtent l="0" t="0" r="8255" b="10795"/>
                      <wp:docPr id="15" name="组合 15"/>
                      <wp:cNvGraphicFramePr/>
                      <a:graphic xmlns:a="http://schemas.openxmlformats.org/drawingml/2006/main">
                        <a:graphicData uri="http://schemas.microsoft.com/office/word/2010/wordprocessingGroup">
                          <wpg:wgp>
                            <wpg:cNvGrpSpPr/>
                            <wpg:grpSpPr>
                              <a:xfrm>
                                <a:off x="0" y="0"/>
                                <a:ext cx="5059045" cy="3170555"/>
                                <a:chOff x="0" y="0"/>
                                <a:chExt cx="7967" cy="5382"/>
                              </a:xfrm>
                            </wpg:grpSpPr>
                            <pic:pic xmlns:pic="http://schemas.openxmlformats.org/drawingml/2006/picture">
                              <pic:nvPicPr>
                                <pic:cNvPr id="12" name="图片 6"/>
                                <pic:cNvPicPr>
                                  <a:picLocks noChangeAspect="1"/>
                                </pic:cNvPicPr>
                              </pic:nvPicPr>
                              <pic:blipFill>
                                <a:blip r:embed="rId13"/>
                                <a:stretch>
                                  <a:fillRect/>
                                </a:stretch>
                              </pic:blipFill>
                              <pic:spPr>
                                <a:xfrm>
                                  <a:off x="15" y="15"/>
                                  <a:ext cx="7937" cy="5352"/>
                                </a:xfrm>
                                <a:prstGeom prst="rect">
                                  <a:avLst/>
                                </a:prstGeom>
                                <a:noFill/>
                                <a:ln>
                                  <a:noFill/>
                                </a:ln>
                              </pic:spPr>
                            </pic:pic>
                            <wps:wsp>
                              <wps:cNvPr id="14" name="任意多边形 14"/>
                              <wps:cNvSpPr/>
                              <wps:spPr>
                                <a:xfrm>
                                  <a:off x="0" y="0"/>
                                  <a:ext cx="7967" cy="5382"/>
                                </a:xfrm>
                                <a:custGeom>
                                  <a:avLst/>
                                  <a:gdLst/>
                                  <a:ahLst/>
                                  <a:cxnLst/>
                                  <a:pathLst>
                                    <a:path w="7967" h="5382">
                                      <a:moveTo>
                                        <a:pt x="7959" y="5382"/>
                                      </a:moveTo>
                                      <a:lnTo>
                                        <a:pt x="8" y="5382"/>
                                      </a:lnTo>
                                      <a:lnTo>
                                        <a:pt x="5" y="5382"/>
                                      </a:lnTo>
                                      <a:lnTo>
                                        <a:pt x="3" y="5381"/>
                                      </a:lnTo>
                                      <a:lnTo>
                                        <a:pt x="1" y="5379"/>
                                      </a:lnTo>
                                      <a:lnTo>
                                        <a:pt x="0" y="5377"/>
                                      </a:lnTo>
                                      <a:lnTo>
                                        <a:pt x="0" y="5375"/>
                                      </a:lnTo>
                                      <a:lnTo>
                                        <a:pt x="0" y="8"/>
                                      </a:lnTo>
                                      <a:lnTo>
                                        <a:pt x="0" y="5"/>
                                      </a:lnTo>
                                      <a:lnTo>
                                        <a:pt x="1" y="3"/>
                                      </a:lnTo>
                                      <a:lnTo>
                                        <a:pt x="3" y="1"/>
                                      </a:lnTo>
                                      <a:lnTo>
                                        <a:pt x="5" y="0"/>
                                      </a:lnTo>
                                      <a:lnTo>
                                        <a:pt x="8" y="0"/>
                                      </a:lnTo>
                                      <a:lnTo>
                                        <a:pt x="7959" y="0"/>
                                      </a:lnTo>
                                      <a:lnTo>
                                        <a:pt x="7962" y="0"/>
                                      </a:lnTo>
                                      <a:lnTo>
                                        <a:pt x="7964" y="1"/>
                                      </a:lnTo>
                                      <a:lnTo>
                                        <a:pt x="7965" y="3"/>
                                      </a:lnTo>
                                      <a:lnTo>
                                        <a:pt x="7966" y="5"/>
                                      </a:lnTo>
                                      <a:lnTo>
                                        <a:pt x="7967" y="8"/>
                                      </a:lnTo>
                                      <a:lnTo>
                                        <a:pt x="15" y="8"/>
                                      </a:lnTo>
                                      <a:lnTo>
                                        <a:pt x="8" y="15"/>
                                      </a:lnTo>
                                      <a:lnTo>
                                        <a:pt x="15" y="15"/>
                                      </a:lnTo>
                                      <a:lnTo>
                                        <a:pt x="15" y="5367"/>
                                      </a:lnTo>
                                      <a:lnTo>
                                        <a:pt x="8" y="5367"/>
                                      </a:lnTo>
                                      <a:lnTo>
                                        <a:pt x="15" y="5375"/>
                                      </a:lnTo>
                                      <a:lnTo>
                                        <a:pt x="7967" y="5375"/>
                                      </a:lnTo>
                                      <a:lnTo>
                                        <a:pt x="7966" y="5377"/>
                                      </a:lnTo>
                                      <a:lnTo>
                                        <a:pt x="7965" y="5379"/>
                                      </a:lnTo>
                                      <a:lnTo>
                                        <a:pt x="7964" y="5381"/>
                                      </a:lnTo>
                                      <a:lnTo>
                                        <a:pt x="7962" y="5382"/>
                                      </a:lnTo>
                                      <a:lnTo>
                                        <a:pt x="7959" y="5382"/>
                                      </a:lnTo>
                                      <a:close/>
                                      <a:moveTo>
                                        <a:pt x="15" y="15"/>
                                      </a:moveTo>
                                      <a:lnTo>
                                        <a:pt x="8" y="15"/>
                                      </a:lnTo>
                                      <a:lnTo>
                                        <a:pt x="15" y="8"/>
                                      </a:lnTo>
                                      <a:lnTo>
                                        <a:pt x="15" y="15"/>
                                      </a:lnTo>
                                      <a:close/>
                                      <a:moveTo>
                                        <a:pt x="7952" y="15"/>
                                      </a:moveTo>
                                      <a:lnTo>
                                        <a:pt x="15" y="15"/>
                                      </a:lnTo>
                                      <a:lnTo>
                                        <a:pt x="15" y="8"/>
                                      </a:lnTo>
                                      <a:lnTo>
                                        <a:pt x="7952" y="8"/>
                                      </a:lnTo>
                                      <a:lnTo>
                                        <a:pt x="7952" y="15"/>
                                      </a:lnTo>
                                      <a:close/>
                                      <a:moveTo>
                                        <a:pt x="7952" y="5375"/>
                                      </a:moveTo>
                                      <a:lnTo>
                                        <a:pt x="7952" y="8"/>
                                      </a:lnTo>
                                      <a:lnTo>
                                        <a:pt x="7959" y="15"/>
                                      </a:lnTo>
                                      <a:lnTo>
                                        <a:pt x="7967" y="15"/>
                                      </a:lnTo>
                                      <a:lnTo>
                                        <a:pt x="7967" y="5367"/>
                                      </a:lnTo>
                                      <a:lnTo>
                                        <a:pt x="7959" y="5367"/>
                                      </a:lnTo>
                                      <a:lnTo>
                                        <a:pt x="7952" y="5375"/>
                                      </a:lnTo>
                                      <a:close/>
                                      <a:moveTo>
                                        <a:pt x="7967" y="15"/>
                                      </a:moveTo>
                                      <a:lnTo>
                                        <a:pt x="7959" y="15"/>
                                      </a:lnTo>
                                      <a:lnTo>
                                        <a:pt x="7952" y="8"/>
                                      </a:lnTo>
                                      <a:lnTo>
                                        <a:pt x="7967" y="8"/>
                                      </a:lnTo>
                                      <a:lnTo>
                                        <a:pt x="7967" y="15"/>
                                      </a:lnTo>
                                      <a:close/>
                                      <a:moveTo>
                                        <a:pt x="15" y="5375"/>
                                      </a:moveTo>
                                      <a:lnTo>
                                        <a:pt x="8" y="5367"/>
                                      </a:lnTo>
                                      <a:lnTo>
                                        <a:pt x="15" y="5367"/>
                                      </a:lnTo>
                                      <a:lnTo>
                                        <a:pt x="15" y="5375"/>
                                      </a:lnTo>
                                      <a:close/>
                                      <a:moveTo>
                                        <a:pt x="7952" y="5375"/>
                                      </a:moveTo>
                                      <a:lnTo>
                                        <a:pt x="15" y="5375"/>
                                      </a:lnTo>
                                      <a:lnTo>
                                        <a:pt x="15" y="5367"/>
                                      </a:lnTo>
                                      <a:lnTo>
                                        <a:pt x="7952" y="5367"/>
                                      </a:lnTo>
                                      <a:lnTo>
                                        <a:pt x="7952" y="5375"/>
                                      </a:lnTo>
                                      <a:close/>
                                      <a:moveTo>
                                        <a:pt x="7967" y="5375"/>
                                      </a:moveTo>
                                      <a:lnTo>
                                        <a:pt x="7952" y="5375"/>
                                      </a:lnTo>
                                      <a:lnTo>
                                        <a:pt x="7959" y="5367"/>
                                      </a:lnTo>
                                      <a:lnTo>
                                        <a:pt x="7967" y="5367"/>
                                      </a:lnTo>
                                      <a:lnTo>
                                        <a:pt x="7967" y="5375"/>
                                      </a:lnTo>
                                      <a:close/>
                                    </a:path>
                                  </a:pathLst>
                                </a:custGeom>
                                <a:solidFill>
                                  <a:srgbClr val="585858"/>
                                </a:solidFill>
                                <a:ln>
                                  <a:noFill/>
                                </a:ln>
                              </wps:spPr>
                              <wps:bodyPr upright="1"/>
                            </wps:wsp>
                          </wpg:wgp>
                        </a:graphicData>
                      </a:graphic>
                    </wp:inline>
                  </w:drawing>
                </mc:Choice>
                <mc:Fallback>
                  <w:pict>
                    <v:group id="_x0000_s1026" o:spid="_x0000_s1026" o:spt="203" style="height:249.65pt;width:398.35pt;" coordsize="7967,5382" o:gfxdata="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uK8HYi8RavAe+/H/Abq4b/wBqrXa1xWkf6P8AEC/j7N5//oFq/wD7O1AHa0UUUAV0Eazy7cCV&#10;trMKr6xxZo392eI/+RVp6/8AIWn/AOuMX/oT0zWmH9lXbf3Ymf8A75oA0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WGCzG7QAAAAi&#10;AQAAGQAAAGRycy9fcmVscy9lMm9Eb2MueG1sLnJlbHOFj8sKwjAQRfeC/xBmb9O6EJGmbkRwK/UD&#10;hmSaRpsHSRT79wbcKAgu517uOUy7f9qJPSgm452ApqqBkZNeGacFXPrjagssZXQKJ+9IwEwJ9t1y&#10;0Z5pwlxGaTQhsUJxScCYc9hxnuRIFlPlA7nSDD5azOWMmgeUN9TE13W94fGTAd0Xk52UgHhSDbB+&#10;DsX8n+2HwUg6eHm35PIPBTe2uAsQo6YswJIy+A6b6hpIA+9a/vVZ9wJ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">
                      <o:lock v:ext="edit" aspectratio="f"/>
                      <v:shape id="图片 6" o:spid="_x0000_s1026" o:spt="75" type="#_x0000_t75" style="position:absolute;left:15;top:15;height:5352;width:7937;" filled="f" o:preferrelative="t" stroked="f" coordsize="21600,21600" o:gfxdata="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g/1G8AAAA&#10;2wAAAA8AAAAAAAAAAQAgAAAAIgAAAGRycy9kb3ducmV2LnhtbFBLAQIUABQAAAAIAIdO4kAzLwWe&#10;OwAAADkAAAAQAAAAAAAAAAEAIAAAAAsBAABkcnMvc2hhcGV4bWwueG1sUEsFBgAAAAAGAAYAWwEA&#10;ALUDAAAAAA==&#10;">
                        <v:fill on="f" focussize="0,0"/>
                        <v:stroke on="f"/>
                        <v:imagedata r:id="rId13" o:title=""/>
                        <o:lock v:ext="edit" aspectratio="t"/>
                      </v:shape>
                      <v:shape id="_x0000_s1026" o:spid="_x0000_s1026" o:spt="100" style="position:absolute;left:0;top:0;height:5382;width:7967;" fillcolor="#585858" filled="t" stroked="f" coordsize="7967,5382" o:gfxdata="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E6X7sAAADb&#10;AAAADwAAAAAAAAABACAAAAAiAAAAZHJzL2Rvd25yZXYueG1sUEsBAhQAFAAAAAgAh07iQDMvBZ47&#10;AAAAOQAAABAAAAAAAAAAAQAgAAAACgEAAGRycy9zaGFwZXhtbC54bWxQSwUGAAAAAAYABgBbAQAA&#10;tAMAAAAA&#10;" path="m7959,5382l8,5382,5,5382,3,5381,1,5379,0,5377,0,5375,0,8,0,5,1,3,3,1,5,0,8,0,7959,0,7962,0,7964,1,7965,3,7966,5,7967,8,15,8,8,15,15,15,15,5367,8,5367,15,5375,7967,5375,7966,5377,7965,5379,7964,5381,7962,5382,7959,5382xm15,15l8,15,15,8,15,15xm7952,15l15,15,15,8,7952,8,7952,15xm7952,5375l7952,8,7959,15,7967,15,7967,5367,7959,5367,7952,5375xm7967,15l7959,15,7952,8,7967,8,7967,15xm15,5375l8,5367,15,5367,15,5375xm7952,5375l15,5375,15,5367,7952,5367,7952,5375xm7967,5375l7952,5375,7959,5367,7967,5367,7967,5375xe">
                        <v:fill on="t" focussize="0,0"/>
                        <v:stroke on="f"/>
                        <v:imagedata o:title=""/>
                        <o:lock v:ext="edit" aspectratio="f"/>
                      </v:shape>
                      <w10:wrap type="none"/>
                      <w10:anchorlock/>
                    </v:group>
                  </w:pict>
                </mc:Fallback>
              </mc:AlternateContent>
            </w:r>
          </w:p>
          <w:p w14:paraId="117E2E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图2-4</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工程平面布置图</w:t>
            </w:r>
          </w:p>
          <w:p w14:paraId="6B9618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p>
          <w:p w14:paraId="1AA0E7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3.2.1泵房布置</w:t>
            </w:r>
          </w:p>
          <w:p w14:paraId="79CA37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泵站采用堤后式布置。泵房内安装4台立式轴流泵机组，一列式布置，机组中心线对齐。水泵为单向排涝，下层流道兼顾自引功能，通过控制闸进行切换。泵站选用4台立式轴流泵，单泵流量2.5m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/s，设计排水总流量10.0m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/s。</w:t>
            </w:r>
          </w:p>
          <w:p w14:paraId="2719DC9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主泵房采用整体式钢筋混凝土结构，安装4台立式轴流泵，一列式布置，5t悬挂式电动单梁起重机，水泵安装高程64.50m。各台机组中心距根据水力条件及安装检修要求，确定为4.30m，各台机组的隔墩考虑检修门槽的需要厚度确定为0.80m，两侧边墩考虑挡土的需要，厚度确定为0.80m。为增强泵房结构的整体性和稳定性，减少不均匀沉降，将主、副厂房及检修间均布置在同一块底板上。经过布置，泵室底板垂直水流方向宽23.80m，顺水流方向长20.40m。</w:t>
            </w:r>
          </w:p>
          <w:p w14:paraId="6B1CFA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根据设备布置需求及防洪要求，主泵房地面以下共分三层，分别为进水流道层、水泵层及电机层，各层高程分别为62.20m、64.50m及69.60m。安装间高程同电机层为69.60m，室外地面填土高度为69.30m。</w:t>
            </w:r>
          </w:p>
          <w:p w14:paraId="4138DE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泵房底板、墩墙、梁板等均采用C30钢筋混凝土现浇结构，地面以上部分采用排架柱，柱间砌筑砖墙，柱上设吊车梁，轨顶高程为78.0m。</w:t>
            </w:r>
          </w:p>
          <w:p w14:paraId="326238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安装间紧靠泵站布置在东侧，顺水流方向长17.25m，与主厂房对齐，垂直水流方向长5.80m，其宽度满足一台水泵的检修需要。吊车梁从主厂房顺延至安装间，安装间结合泵站基坑开挖方案布置上下层辅机室。安装间地面高程69.60m，安装间内布置楼梯通向辅机室，下层辅机室底板顶高程与泵房水泵层相同，为64.50m。</w:t>
            </w:r>
          </w:p>
          <w:p w14:paraId="66E663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3.2.2厂房布置</w:t>
            </w:r>
          </w:p>
          <w:p w14:paraId="02F0EC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副厂房位于主厂房下游侧的汇水箱上，与主厂房连通，为满足配电设备布置、运行管理、机组运行监控要求，副厂房宽8.5m，长23.80m，为一层结构，设置配电房、中控房。</w:t>
            </w:r>
          </w:p>
          <w:p w14:paraId="374BFC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3.3迎驾厂片排涝沟设计</w:t>
            </w:r>
          </w:p>
          <w:p w14:paraId="3FF4E5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本工程位于霍山县城，渠道恢复原则是尽量避免增加占地、减少矛盾协调和青苗赔偿等，同时考虑到便于施工等因素，明渠断面以简单为宜。本片区沟道采用钢筋混凝土渠道、护砌渠道。各渠道设计参数如下表：</w:t>
            </w:r>
          </w:p>
          <w:p w14:paraId="71A482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0A4BD193">
            <w:pPr>
              <w:keepNext w:val="0"/>
              <w:keepLines w:val="0"/>
              <w:pageBreakBefore w:val="0"/>
              <w:suppressLineNumbers w:val="0"/>
              <w:tabs>
                <w:tab w:val="left" w:pos="4022"/>
              </w:tabs>
              <w:kinsoku/>
              <w:wordWrap/>
              <w:overflowPunct/>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2-6  </w:t>
            </w:r>
            <w:r>
              <w:rPr>
                <w:rFonts w:hint="default" w:ascii="Times New Roman" w:hAnsi="Times New Roman" w:eastAsia="宋体" w:cs="Times New Roman"/>
                <w:b/>
                <w:color w:val="000000" w:themeColor="text1"/>
                <w:sz w:val="24"/>
                <w:szCs w:val="24"/>
                <w14:textFill>
                  <w14:solidFill>
                    <w14:schemeClr w14:val="tx1"/>
                  </w14:solidFill>
                </w14:textFill>
              </w:rPr>
              <w:t>迎驾厂片排涝沟主要设计参数表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2"/>
              <w:gridCol w:w="1380"/>
              <w:gridCol w:w="1442"/>
              <w:gridCol w:w="4537"/>
            </w:tblGrid>
            <w:tr w14:paraId="01A2D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712" w:type="dxa"/>
                  <w:vAlign w:val="center"/>
                </w:tcPr>
                <w:p w14:paraId="6E51C0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1380" w:type="dxa"/>
                  <w:vAlign w:val="center"/>
                </w:tcPr>
                <w:p w14:paraId="108B4D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工程项目名称</w:t>
                  </w:r>
                </w:p>
              </w:tc>
              <w:tc>
                <w:tcPr>
                  <w:tcW w:w="1442" w:type="dxa"/>
                  <w:vAlign w:val="center"/>
                </w:tcPr>
                <w:p w14:paraId="082036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建设地点</w:t>
                  </w:r>
                </w:p>
              </w:tc>
              <w:tc>
                <w:tcPr>
                  <w:tcW w:w="4537" w:type="dxa"/>
                  <w:vAlign w:val="center"/>
                </w:tcPr>
                <w:p w14:paraId="60F16C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设计主要参数</w:t>
                  </w:r>
                </w:p>
              </w:tc>
            </w:tr>
            <w:tr w14:paraId="664D2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vAlign w:val="center"/>
                </w:tcPr>
                <w:p w14:paraId="094DE8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380" w:type="dxa"/>
                  <w:vAlign w:val="center"/>
                </w:tcPr>
                <w:p w14:paraId="41D3C8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1442" w:type="dxa"/>
                  <w:vAlign w:val="center"/>
                </w:tcPr>
                <w:p w14:paraId="7F3B8A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东淠河堤后</w:t>
                  </w:r>
                </w:p>
              </w:tc>
              <w:tc>
                <w:tcPr>
                  <w:tcW w:w="4537" w:type="dxa"/>
                  <w:vAlign w:val="center"/>
                </w:tcPr>
                <w:p w14:paraId="142B38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矩形排涝沟长1.65k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w:t>
                  </w:r>
                </w:p>
                <w:p w14:paraId="7022AE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梯形断面排涝沟长2.05k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，底宽2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，口宽约8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，边坡1：1.5，采用联锁块护坡。</w:t>
                  </w:r>
                </w:p>
              </w:tc>
            </w:tr>
            <w:tr w14:paraId="4143B3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vAlign w:val="center"/>
                </w:tcPr>
                <w:p w14:paraId="49F068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c>
                <w:tcPr>
                  <w:tcW w:w="1380" w:type="dxa"/>
                  <w:vAlign w:val="center"/>
                </w:tcPr>
                <w:p w14:paraId="23ACCC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1442" w:type="dxa"/>
                  <w:vAlign w:val="center"/>
                </w:tcPr>
                <w:p w14:paraId="4B1E5E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永康桥村六佛路南侧</w:t>
                  </w:r>
                </w:p>
              </w:tc>
              <w:tc>
                <w:tcPr>
                  <w:tcW w:w="4537" w:type="dxa"/>
                  <w:vAlign w:val="center"/>
                </w:tcPr>
                <w:p w14:paraId="549AF4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矩形断面，净宽2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r>
            <w:tr w14:paraId="51CB5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vAlign w:val="center"/>
                </w:tcPr>
                <w:p w14:paraId="739D07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3</w:t>
                  </w:r>
                </w:p>
              </w:tc>
              <w:tc>
                <w:tcPr>
                  <w:tcW w:w="1380" w:type="dxa"/>
                  <w:vAlign w:val="center"/>
                </w:tcPr>
                <w:p w14:paraId="161042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1442" w:type="dxa"/>
                  <w:vAlign w:val="center"/>
                </w:tcPr>
                <w:p w14:paraId="2AC7EF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4537" w:type="dxa"/>
                  <w:vAlign w:val="top"/>
                </w:tcPr>
                <w:p w14:paraId="3B39F1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矩形断面，分为规格1：净宽3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；规格2：净宽4.5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、深2.5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r>
            <w:tr w14:paraId="49E9E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vAlign w:val="center"/>
                </w:tcPr>
                <w:p w14:paraId="081E6F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4</w:t>
                  </w:r>
                </w:p>
              </w:tc>
              <w:tc>
                <w:tcPr>
                  <w:tcW w:w="1380" w:type="dxa"/>
                  <w:vAlign w:val="center"/>
                </w:tcPr>
                <w:p w14:paraId="3680C2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1442" w:type="dxa"/>
                  <w:vAlign w:val="center"/>
                </w:tcPr>
                <w:p w14:paraId="50AFCC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永康桥村</w:t>
                  </w:r>
                </w:p>
              </w:tc>
              <w:tc>
                <w:tcPr>
                  <w:tcW w:w="4537" w:type="dxa"/>
                  <w:vAlign w:val="top"/>
                </w:tcPr>
                <w:p w14:paraId="60D90B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梯形断面，底宽2</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，口宽约6~8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，边坡1：1.5，采用联锁块护坡。</w:t>
                  </w:r>
                </w:p>
              </w:tc>
            </w:tr>
          </w:tbl>
          <w:p w14:paraId="0FE859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0"/>
                <w14:textFill>
                  <w14:solidFill>
                    <w14:schemeClr w14:val="tx1"/>
                  </w14:solidFill>
                </w14:textFill>
              </w:rPr>
            </w:pPr>
          </w:p>
          <w:p w14:paraId="3BBB88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61255" cy="2353945"/>
                  <wp:effectExtent l="0" t="0" r="10795" b="8255"/>
                  <wp:docPr id="409" name="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217.jpeg"/>
                          <pic:cNvPicPr>
                            <a:picLocks noChangeAspect="1"/>
                          </pic:cNvPicPr>
                        </pic:nvPicPr>
                        <pic:blipFill>
                          <a:blip r:embed="rId14" cstate="print"/>
                          <a:stretch>
                            <a:fillRect/>
                          </a:stretch>
                        </pic:blipFill>
                        <pic:spPr>
                          <a:xfrm>
                            <a:off x="0" y="0"/>
                            <a:ext cx="4961255" cy="2353945"/>
                          </a:xfrm>
                          <a:prstGeom prst="rect">
                            <a:avLst/>
                          </a:prstGeom>
                        </pic:spPr>
                      </pic:pic>
                    </a:graphicData>
                  </a:graphic>
                </wp:inline>
              </w:drawing>
            </w:r>
          </w:p>
          <w:p w14:paraId="46B285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br w:type="column"/>
            </w:r>
            <w:r>
              <w:rPr>
                <w:rFonts w:hint="default" w:ascii="Times New Roman" w:hAnsi="Times New Roman" w:eastAsia="宋体" w:cs="Times New Roman"/>
                <w:b/>
                <w:bCs/>
                <w:color w:val="000000" w:themeColor="text1"/>
                <w14:textFill>
                  <w14:solidFill>
                    <w14:schemeClr w14:val="tx1"/>
                  </w14:solidFill>
                </w14:textFill>
              </w:rPr>
              <w:t>图</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14:textFill>
                  <w14:solidFill>
                    <w14:schemeClr w14:val="tx1"/>
                  </w14:solidFill>
                </w14:textFill>
              </w:rPr>
              <w:t>排涝沟平面分布图</w:t>
            </w:r>
          </w:p>
          <w:p w14:paraId="486887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3.3.1</w:t>
            </w:r>
            <w:r>
              <w:rPr>
                <w:rFonts w:hint="default" w:ascii="Times New Roman" w:hAnsi="Times New Roman" w:eastAsia="宋体" w:cs="Times New Roman"/>
                <w:b/>
                <w:bCs/>
                <w:color w:val="000000" w:themeColor="text1"/>
                <w14:textFill>
                  <w14:solidFill>
                    <w14:schemeClr w14:val="tx1"/>
                  </w14:solidFill>
                </w14:textFill>
              </w:rPr>
              <w:t>北侧边沟工程设计</w:t>
            </w:r>
          </w:p>
          <w:p w14:paraId="71DBED0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北侧边沟位于东淠河堤后，分段采用矩形钢筋砼渠道及梯形联锁块护砌渠道，其中：矩形钢筋砼渠道长1.65km，净宽2m、深1.5m，边墙及底板厚300mm，底板下设100mm厚碎石垫层；梯形渠道长2.05km，底宽2m，口宽约8m，边坡1：1.5，采用预制联锁块护坡厚100mm，设碎石找平层厚50mm。</w:t>
            </w:r>
          </w:p>
          <w:p w14:paraId="6C0ADA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3.3.2六佛路排涝沟工程设计：</w:t>
            </w:r>
          </w:p>
          <w:p w14:paraId="1BC327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六佛路排涝沟位于永康桥村六佛路南侧，采用矩形钢筋砼渠道，长2.58km，净宽2m、深1.5m，边墙及底板厚300mm，底板下设100mm厚碎石垫层。</w:t>
            </w:r>
          </w:p>
          <w:p w14:paraId="3E5A04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3.3.3中心排涝沟工程设计：</w:t>
            </w:r>
          </w:p>
          <w:p w14:paraId="708235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中心排涝沟位于永康桥村中心位置，贯通东西方向。采用矩形钢筋砼渠道，分为规格1：净宽3m、深2.5m；规格2：净宽4.5m、深2.5m；净宽3m排涝沟长1340m，桩号范围0+000~1+340；净宽4.5m排涝沟长1245m，桩号范围1+340~2+585。墙及底板厚400mm，底板下设100mm厚碎石垫层。为保证两侧过往车辆及行人安全，中心沟两侧挡墙上部布置防护栏杆。</w:t>
            </w:r>
          </w:p>
          <w:p w14:paraId="7F160F63">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3.3.4项家院排涝沟工程设计</w:t>
            </w:r>
          </w:p>
          <w:p w14:paraId="60ED1537">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项家院排涝沟位于永康桥村西部，采用梯形联锁块护砌渠道，底宽2m，口宽约6~8m，边坡1：1.5，预制联锁块护坡厚100mm，设碎石找平层厚50mm。</w:t>
            </w:r>
          </w:p>
          <w:p w14:paraId="6F7C26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3.4戴家河片排涝沟设计</w:t>
            </w:r>
          </w:p>
          <w:p w14:paraId="5C518C1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戴家河片区位于半山半圩区，区内渠道功能兼作灌溉与排涝，在排涝的同时也需要注意水源极其宝贵。尽量避免增加占地、减少矛盾协调和青苗赔偿等，同时考虑到便于施工等因素，明渠断面以简单为宜。本片区沟道采用钢筋混凝土渠道、护砌渠道。各渠道设计参数如下表：</w:t>
            </w:r>
          </w:p>
          <w:p w14:paraId="28065E5D">
            <w:pPr>
              <w:keepNext w:val="0"/>
              <w:keepLines w:val="0"/>
              <w:pageBreakBefore w:val="0"/>
              <w:suppressLineNumbers w:val="0"/>
              <w:kinsoku/>
              <w:wordWrap/>
              <w:overflowPunct/>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 xml:space="preserve">2-7  </w:t>
            </w:r>
            <w:r>
              <w:rPr>
                <w:rFonts w:hint="default" w:ascii="Times New Roman" w:hAnsi="Times New Roman" w:eastAsia="宋体" w:cs="Times New Roman"/>
                <w:b/>
                <w:color w:val="000000" w:themeColor="text1"/>
                <w:sz w:val="24"/>
                <w:szCs w:val="24"/>
                <w14:textFill>
                  <w14:solidFill>
                    <w14:schemeClr w14:val="tx1"/>
                  </w14:solidFill>
                </w14:textFill>
              </w:rPr>
              <w:t>戴家河片排涝沟主要设计参数表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4"/>
              <w:gridCol w:w="6587"/>
            </w:tblGrid>
            <w:tr w14:paraId="36ECC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vAlign w:val="center"/>
                </w:tcPr>
                <w:p w14:paraId="3165A556">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14:textFill>
                        <w14:solidFill>
                          <w14:schemeClr w14:val="tx1"/>
                        </w14:solidFill>
                      </w14:textFill>
                    </w:rPr>
                  </w:pPr>
                  <w:r>
                    <w:rPr>
                      <w:rFonts w:hint="default" w:ascii="Times New Roman" w:hAnsi="Times New Roman" w:eastAsia="宋体" w:cs="Times New Roman"/>
                      <w:b/>
                      <w:bCs w:val="0"/>
                      <w:color w:val="000000" w:themeColor="text1"/>
                      <w:sz w:val="21"/>
                      <w14:textFill>
                        <w14:solidFill>
                          <w14:schemeClr w14:val="tx1"/>
                        </w14:solidFill>
                      </w14:textFill>
                    </w:rPr>
                    <w:t>工程项目名称</w:t>
                  </w:r>
                </w:p>
              </w:tc>
              <w:tc>
                <w:tcPr>
                  <w:tcW w:w="6587" w:type="dxa"/>
                  <w:vAlign w:val="center"/>
                </w:tcPr>
                <w:p w14:paraId="343A8F4E">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val="0"/>
                      <w:color w:val="000000" w:themeColor="text1"/>
                      <w:sz w:val="21"/>
                      <w14:textFill>
                        <w14:solidFill>
                          <w14:schemeClr w14:val="tx1"/>
                        </w14:solidFill>
                      </w14:textFill>
                    </w:rPr>
                  </w:pPr>
                  <w:r>
                    <w:rPr>
                      <w:rFonts w:hint="default" w:ascii="Times New Roman" w:hAnsi="Times New Roman" w:eastAsia="宋体" w:cs="Times New Roman"/>
                      <w:b/>
                      <w:bCs w:val="0"/>
                      <w:color w:val="000000" w:themeColor="text1"/>
                      <w:sz w:val="21"/>
                      <w14:textFill>
                        <w14:solidFill>
                          <w14:schemeClr w14:val="tx1"/>
                        </w14:solidFill>
                      </w14:textFill>
                    </w:rPr>
                    <w:t>设计主要参数</w:t>
                  </w:r>
                </w:p>
              </w:tc>
            </w:tr>
            <w:tr w14:paraId="7CF7D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vAlign w:val="center"/>
                </w:tcPr>
                <w:p w14:paraId="45CDEC05">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拆建1#排涝沟</w:t>
                  </w:r>
                </w:p>
              </w:tc>
              <w:tc>
                <w:tcPr>
                  <w:tcW w:w="6587" w:type="dxa"/>
                  <w:vAlign w:val="center"/>
                </w:tcPr>
                <w:p w14:paraId="40975734">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矩形排涝沟长135</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，净宽1.5</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、深1.5</w:t>
                  </w:r>
                  <w:r>
                    <w:rPr>
                      <w:rFonts w:hint="default" w:ascii="Times New Roman" w:hAnsi="Times New Roman" w:eastAsia="宋体" w:cs="Times New Roman"/>
                      <w:color w:val="000000" w:themeColor="text1"/>
                      <w:sz w:val="21"/>
                      <w:lang w:eastAsia="zh-CN"/>
                      <w14:textFill>
                        <w14:solidFill>
                          <w14:schemeClr w14:val="tx1"/>
                        </w14:solidFill>
                      </w14:textFill>
                    </w:rPr>
                    <w:t>m</w:t>
                  </w:r>
                </w:p>
              </w:tc>
            </w:tr>
            <w:tr w14:paraId="17324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vAlign w:val="center"/>
                </w:tcPr>
                <w:p w14:paraId="3E415D2D">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新建2#排涝沟</w:t>
                  </w:r>
                </w:p>
              </w:tc>
              <w:tc>
                <w:tcPr>
                  <w:tcW w:w="6587" w:type="dxa"/>
                  <w:vAlign w:val="center"/>
                </w:tcPr>
                <w:p w14:paraId="0637C903">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lang w:eastAsia="zh-CN"/>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矩形排涝沟长630</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，净宽2</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、深1.8</w:t>
                  </w:r>
                  <w:r>
                    <w:rPr>
                      <w:rFonts w:hint="default" w:ascii="Times New Roman" w:hAnsi="Times New Roman" w:eastAsia="宋体" w:cs="Times New Roman"/>
                      <w:color w:val="000000" w:themeColor="text1"/>
                      <w:sz w:val="21"/>
                      <w:lang w:eastAsia="zh-CN"/>
                      <w14:textFill>
                        <w14:solidFill>
                          <w14:schemeClr w14:val="tx1"/>
                        </w14:solidFill>
                      </w14:textFill>
                    </w:rPr>
                    <w:t>m</w:t>
                  </w:r>
                </w:p>
              </w:tc>
            </w:tr>
            <w:tr w14:paraId="289D4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vAlign w:val="center"/>
                </w:tcPr>
                <w:p w14:paraId="2A77E375">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新建3#排涝沟</w:t>
                  </w:r>
                </w:p>
              </w:tc>
              <w:tc>
                <w:tcPr>
                  <w:tcW w:w="6587" w:type="dxa"/>
                  <w:vAlign w:val="center"/>
                </w:tcPr>
                <w:p w14:paraId="55B740F8">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梯形排涝沟长630，底宽1.5~2</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，口宽约6~8</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，边坡1：1.5，采用联锁块护坡。</w:t>
                  </w:r>
                </w:p>
              </w:tc>
            </w:tr>
            <w:tr w14:paraId="75A6F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84" w:type="dxa"/>
                  <w:vAlign w:val="center"/>
                </w:tcPr>
                <w:p w14:paraId="14DD2DE3">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新建4#排涝沟</w:t>
                  </w:r>
                </w:p>
              </w:tc>
              <w:tc>
                <w:tcPr>
                  <w:tcW w:w="6587" w:type="dxa"/>
                  <w:vAlign w:val="center"/>
                </w:tcPr>
                <w:p w14:paraId="19ED2113">
                  <w:pPr>
                    <w:pStyle w:val="39"/>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梯形断面，底宽2</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，口宽约6~8</w:t>
                  </w:r>
                  <w:r>
                    <w:rPr>
                      <w:rFonts w:hint="default" w:ascii="Times New Roman" w:hAnsi="Times New Roman" w:eastAsia="宋体" w:cs="Times New Roman"/>
                      <w:color w:val="000000" w:themeColor="text1"/>
                      <w:sz w:val="21"/>
                      <w:lang w:eastAsia="zh-CN"/>
                      <w14:textFill>
                        <w14:solidFill>
                          <w14:schemeClr w14:val="tx1"/>
                        </w14:solidFill>
                      </w14:textFill>
                    </w:rPr>
                    <w:t>m</w:t>
                  </w:r>
                  <w:r>
                    <w:rPr>
                      <w:rFonts w:hint="default" w:ascii="Times New Roman" w:hAnsi="Times New Roman" w:eastAsia="宋体" w:cs="Times New Roman"/>
                      <w:color w:val="000000" w:themeColor="text1"/>
                      <w:sz w:val="21"/>
                      <w14:textFill>
                        <w14:solidFill>
                          <w14:schemeClr w14:val="tx1"/>
                        </w14:solidFill>
                      </w14:textFill>
                    </w:rPr>
                    <w:t>，边坡1：1.5，采用联锁块护坡。</w:t>
                  </w:r>
                </w:p>
              </w:tc>
            </w:tr>
          </w:tbl>
          <w:p w14:paraId="7E821852">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3.4.1、1#排涝沟工程设计：</w:t>
            </w:r>
          </w:p>
          <w:p w14:paraId="12DBC672">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1#排涝沟位于S332穿路涵下游，现状渠道为矩形断面，过流能力不足，本次需对其进行裁剪，采用矩形钢筋砼渠道，长135m，净宽1.5m、深1.5m，边墙及底板厚300mm，底板下设100mm厚碎石垫层。</w:t>
            </w:r>
          </w:p>
          <w:p w14:paraId="43826F7A">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3.4.2、2#排涝沟工程设计：</w:t>
            </w:r>
          </w:p>
          <w:p w14:paraId="476ACE36">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2#排涝沟位于S332穿路涵下游，现状渠道杂草丛生，阻碍行洪，排涝能力不足，拟采用矩形钢筋砼渠道，长630m，净宽2m、深1.8m，边墙及底板厚300mm，底板下设100mm厚碎石垫层。</w:t>
            </w:r>
          </w:p>
          <w:p w14:paraId="29CC51DA">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3.4.3、3#排涝沟工程设计：</w:t>
            </w:r>
          </w:p>
          <w:p w14:paraId="39291724">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3#排涝沟现状渠道杂草丛生，阻碍行洪，排涝能力不足，采用梯形联锁块护砌渠道，长630m，底宽2m，口宽约6~8m，边坡1：1.5，预制联锁块护坡厚100mm，设碎石找平层厚50mm。</w:t>
            </w:r>
          </w:p>
          <w:p w14:paraId="2607E50C">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3.4.4、4#排涝沟工程设计：</w:t>
            </w:r>
          </w:p>
          <w:p w14:paraId="66E8D8EC">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排涝沟靠近排涝末端，拟采用矩形钢筋混凝土渠道结构，总长30m，净宽4m、深1.8m。边墙及底板厚度均为300mm，底板下方铺设100mm厚碎石垫层。墙顶与两侧地面平顺衔接。需特别注意的是，渠道北侧现状田面高程未能满足排涝要求，因该处存在洪水缺口，导致洪水泄入后方大棚蔬菜基地，后期需对该区域田面进行填高处理。</w:t>
            </w:r>
          </w:p>
          <w:p w14:paraId="126579EC">
            <w:pPr>
              <w:keepNext w:val="0"/>
              <w:keepLines w:val="0"/>
              <w:pageBreakBefore w:val="0"/>
              <w:widowControl/>
              <w:numPr>
                <w:ilvl w:val="0"/>
                <w:numId w:val="0"/>
              </w:numPr>
              <w:suppressLineNumbers w:val="0"/>
              <w:kinsoku/>
              <w:wordWrap/>
              <w:overflowPunct/>
              <w:bidi w:val="0"/>
              <w:adjustRightInd/>
              <w:snapToGrid/>
              <w:spacing w:before="0" w:beforeAutospacing="0" w:after="0" w:afterAutospacing="0" w:line="360" w:lineRule="auto"/>
              <w:ind w:left="480" w:leftChars="200" w:right="0" w:rightChars="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3.4.5、戴家河片穿路涵设计</w:t>
            </w:r>
          </w:p>
          <w:p w14:paraId="5AFC6FDB">
            <w:pPr>
              <w:keepNext w:val="0"/>
              <w:keepLines w:val="0"/>
              <w:pageBreakBefore w:val="0"/>
              <w:widowControl/>
              <w:numPr>
                <w:ilvl w:val="0"/>
                <w:numId w:val="0"/>
              </w:numPr>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现状戴家河片穿路涵规模不足，导致排水不畅，根据水文分析计算，戴家河片10年一遇排涝流量为9.2m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S332以北区域涝水通过S332道路现状2处穿路涵排涝，因管涵（直径1.5m）不满足过流要求，因此需进行拆建。另外，位于区域排水末端的4#穿路涵承泄上游整个区域汇水，本次拟定S332穿路涵、4#穿路涵设计流量分别为4.5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/s、9.2m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w:t>
            </w:r>
          </w:p>
          <w:p w14:paraId="2D3A436C">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（1）S332穿路涵：由进水口、涵洞洞身、出水池组成。涵洞进水口为C30钢筋砼结构，顺水流方向长4.34</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，底板及侧墙厚0.3</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，配套安装拦污栅1道；涵洞洞身为箱涵，顺水流方向长37</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，分为四节，涵洞洞身净尺寸为3.0</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×1.8</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（宽×高），为C30钢筋砼结构，底板、顶板及侧墙厚0.40</w:t>
            </w:r>
            <w:r>
              <w:rPr>
                <w:rFonts w:hint="default" w:ascii="Times New Roman" w:hAnsi="Times New Roman" w:eastAsia="宋体" w:cs="Times New Roman"/>
                <w:color w:val="000000" w:themeColor="text1"/>
                <w:lang w:eastAsia="zh-CN"/>
                <w14:textFill>
                  <w14:solidFill>
                    <w14:schemeClr w14:val="tx1"/>
                  </w14:solidFill>
                </w14:textFill>
              </w:rPr>
              <w:t>mm</w:t>
            </w:r>
            <w:r>
              <w:rPr>
                <w:rFonts w:hint="default" w:ascii="Times New Roman" w:hAnsi="Times New Roman" w:eastAsia="宋体" w:cs="Times New Roman"/>
                <w:color w:val="000000" w:themeColor="text1"/>
                <w14:textFill>
                  <w14:solidFill>
                    <w14:schemeClr w14:val="tx1"/>
                  </w14:solidFill>
                </w14:textFill>
              </w:rPr>
              <w:t>；出水池为C30钢筋砼结构，顺水流方向长5.4</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，底板厚0.35</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，侧墙厚0.3</w:t>
            </w:r>
            <w:r>
              <w:rPr>
                <w:rFonts w:hint="default" w:ascii="Times New Roman" w:hAnsi="Times New Roman" w:eastAsia="宋体" w:cs="Times New Roman"/>
                <w:color w:val="000000" w:themeColor="text1"/>
                <w:lang w:eastAsia="zh-CN"/>
                <w14:textFill>
                  <w14:solidFill>
                    <w14:schemeClr w14:val="tx1"/>
                  </w14:solidFill>
                </w14:textFill>
              </w:rPr>
              <w:t>m</w:t>
            </w:r>
            <w:r>
              <w:rPr>
                <w:rFonts w:hint="default" w:ascii="Times New Roman" w:hAnsi="Times New Roman" w:eastAsia="宋体" w:cs="Times New Roman"/>
                <w:color w:val="000000" w:themeColor="text1"/>
                <w14:textFill>
                  <w14:solidFill>
                    <w14:schemeClr w14:val="tx1"/>
                  </w14:solidFill>
                </w14:textFill>
              </w:rPr>
              <w:t>。</w:t>
            </w:r>
          </w:p>
          <w:p w14:paraId="76061B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穿路涵：由进水口、涵洞洞身、出水池组成。涵洞进水口为C30钢筋砼结构，顺水流方向长8.18m，底板及侧墙厚0.3m，配套安装拦污栅1道；涵洞洞身为箱涵，顺水流方向长7.3m，涵洞洞身净尺寸为3.0m×3.8m（宽×高），为C30钢筋砼结构，底板、顶板及侧墙厚0.40mm；出水池为C30钢筋砼结构，顺水流方向长9.2m，底板厚0.35m，侧墙厚0.3m。</w:t>
            </w:r>
          </w:p>
          <w:p w14:paraId="4359FE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3.5城区排涝通道整治工程方案</w:t>
            </w:r>
          </w:p>
          <w:p w14:paraId="0BF57EE2">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3.5.1工程等级</w:t>
            </w:r>
          </w:p>
          <w:p w14:paraId="41E3B5C6">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防洪标准》（GB50201-2014）、《堤防工程设计规范》（GB50286-2013），结合淠河流域防洪规划的要求，并考虑经济、政治、社会、环境等因素以及与城市总体规划相衔接，本次柳林河、高庙河、幽芳河等城区沿线支流回水段按照50年一遇标准，堤防级别为2级；河道上游撇洪沟段防洪标准为10年一遇，堤防级别为5级；新店河防洪标准为10年一遇。</w:t>
            </w:r>
          </w:p>
          <w:p w14:paraId="3BC866C7">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城区排涝通道整治工程中新店河及高庙河、柳林河、幽芳河上游撇洪沟防洪标准为10年一遇，堤防级别为5级，防洪建筑物中，主要建筑物为5级，如驳岸挡墙、护坡等，气盾坝以及拦河坝为拦河建筑物，级别为5级，临时建筑物级别为5级，如围堰、导流沟渠等。高庙河、柳林河城区段防洪标准为50年一遇，堤防级别为2级，防洪建筑物中，主要建筑物为2级，如驳岸挡墙、护坡等，气盾坝以及拦河坝为拦河建筑物，级别为2级，临时建筑物级别为5级，如围堰、导流沟渠等。</w:t>
            </w:r>
          </w:p>
          <w:p w14:paraId="4CADFB91">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3.5.2工程总体布置</w:t>
            </w:r>
          </w:p>
          <w:p w14:paraId="2EE15310">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本工程涉及霍山县四条排涝通道，分别为幽芳河、高庙河、柳林河、新店河。河道疏浚沿原河道中心线，维持在现状河口内疏浚。因为排涝通道为山丘区河流，纵坡坡降大，流速快，需对该段河道河坡进行防护。</w:t>
            </w:r>
          </w:p>
          <w:p w14:paraId="49D5823C">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建筑物主要为蓄水建筑物，根据河道坡降适当增设蓄水建筑物，可减缓水流流速，同时满足生态用水需求。</w:t>
            </w:r>
          </w:p>
          <w:p w14:paraId="235277C9">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themeColor="text1"/>
                <w:sz w:val="20"/>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5056505" cy="3121025"/>
                  <wp:effectExtent l="0" t="0" r="10795" b="3175"/>
                  <wp:docPr id="439" name="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age247.jpeg"/>
                          <pic:cNvPicPr>
                            <a:picLocks noChangeAspect="1"/>
                          </pic:cNvPicPr>
                        </pic:nvPicPr>
                        <pic:blipFill>
                          <a:blip r:embed="rId15" cstate="print"/>
                          <a:stretch>
                            <a:fillRect/>
                          </a:stretch>
                        </pic:blipFill>
                        <pic:spPr>
                          <a:xfrm>
                            <a:off x="0" y="0"/>
                            <a:ext cx="5056505" cy="3121025"/>
                          </a:xfrm>
                          <a:prstGeom prst="rect">
                            <a:avLst/>
                          </a:prstGeom>
                        </pic:spPr>
                      </pic:pic>
                    </a:graphicData>
                  </a:graphic>
                </wp:inline>
              </w:drawing>
            </w:r>
          </w:p>
          <w:p w14:paraId="6C400F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sz w:val="20"/>
                <w:lang w:val="en-US" w:eastAsia="zh-CN"/>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图 2-6</w:t>
            </w:r>
            <w:r>
              <w:rPr>
                <w:rFonts w:hint="default" w:ascii="Times New Roman" w:hAnsi="Times New Roman" w:eastAsia="宋体" w:cs="Times New Roman"/>
                <w:b/>
                <w:bCs/>
                <w:color w:val="000000" w:themeColor="text1"/>
                <w:lang w:val="en-US" w:eastAsia="zh-CN"/>
                <w14:textFill>
                  <w14:solidFill>
                    <w14:schemeClr w14:val="tx1"/>
                  </w14:solidFill>
                </w14:textFill>
              </w:rPr>
              <w:tab/>
            </w:r>
            <w:r>
              <w:rPr>
                <w:rFonts w:hint="default" w:ascii="Times New Roman" w:hAnsi="Times New Roman" w:eastAsia="宋体" w:cs="Times New Roman"/>
                <w:b/>
                <w:bCs/>
                <w:color w:val="000000" w:themeColor="text1"/>
                <w:lang w:val="en-US" w:eastAsia="zh-CN"/>
                <w14:textFill>
                  <w14:solidFill>
                    <w14:schemeClr w14:val="tx1"/>
                  </w14:solidFill>
                </w14:textFill>
              </w:rPr>
              <w:t>排涝通道总平面示意图</w:t>
            </w:r>
          </w:p>
          <w:p w14:paraId="4909EBE6">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3.5.3高庙河设计</w:t>
            </w:r>
          </w:p>
          <w:p w14:paraId="1C6C5CDC">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3.5.3.1堤防设计</w:t>
            </w:r>
          </w:p>
          <w:p w14:paraId="3EB27315">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规划，高庙河防洪标准为10~50年一遇。其中牛角冲水库溢洪道~迎宾大道（K0+000~K4+100），防洪标准为10年一遇，堤防等级为5级；迎宾大道~东淠河汇入口（桩号K4+100-K8+778），防洪标准为50年一遇，堤防等级为2级。</w:t>
            </w:r>
          </w:p>
          <w:p w14:paraId="2AF3CE8E">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3.5.3.2</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岸坡防护设计</w:t>
            </w:r>
          </w:p>
          <w:p w14:paraId="774E55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1、河道护岸</w:t>
            </w:r>
          </w:p>
          <w:p w14:paraId="03292F7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岸坡型式选择应结合安全、生态、景观、经济四个方面考虑，对于具备放坡条件的河段采用联锁砖护坡；对于用地受限，没有放坡条件，不适用坡面防护，采用阶梯式生态挡墙、浆砌石挡墙或格宾石笼挡墙，对于岸坡较缓，河道为梯形断面的位置，采用预制联锁块护坡。</w:t>
            </w:r>
          </w:p>
          <w:p w14:paraId="51914DA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2、河道断面设计</w:t>
            </w:r>
          </w:p>
          <w:p w14:paraId="2DA7D6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（1）牛角冲水库溢洪道~2号拦河坝（桩号K0+000-K0+266）</w:t>
            </w:r>
          </w:p>
          <w:p w14:paraId="260F40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左岸为浆砌石挡墙，右岸钢筋砼挡墙，挡墙基本完好，河床局部前滩有植被覆盖，环境较好。该段维持现状。</w:t>
            </w:r>
          </w:p>
          <w:p w14:paraId="0E5CFA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（2）2号拦河坝K0+266~3号生产桥K1+130</w:t>
            </w:r>
          </w:p>
          <w:p w14:paraId="1818767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该段河道岸坡为土坡，存在冲刷现象。对该段岸坡采用素砼仰斜式加固，墙高2.0m，墙趾埋深1.5m，墙趾采用开挖砂砾石回填。</w:t>
            </w:r>
          </w:p>
          <w:p w14:paraId="6C3E5E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（3）3号生产桥K1+130~K3+550</w:t>
            </w:r>
          </w:p>
          <w:p w14:paraId="69B956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岸坡大部分为土质岸坡，局部有高边坡，岸坡存在冲刷现象。3号生产桥下游有浆砌石墙或阶梯式生态挡墙护砌。该段岸坡采用阶梯式生态挡墙护砌，挡墙高度2~2.5m，墙趾埋深1.5m，墙趾采用开挖砂砾石回填，现状已护砌段维持现状。</w:t>
            </w:r>
          </w:p>
          <w:p w14:paraId="1429B8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（4）K3+550~8号天池桥K5+650</w:t>
            </w:r>
          </w:p>
          <w:p w14:paraId="452FF8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岸坡采用六角框格护坡或联锁块护坡，其中K3+550~K4+100护坡存在部分老化损坏，局部护坡底格埂老化剥落，格埂底部存在淘刷现象。该段对K3+550~K4+100两岸底格埂进行拆建，坡脚前沿采用格宾石笼固脚，局部老化护坡进行修复。</w:t>
            </w:r>
          </w:p>
          <w:p w14:paraId="7EB8C2E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（5）8号天池桥K5+650~幽芳河交汇点K7+225</w:t>
            </w:r>
          </w:p>
          <w:p w14:paraId="41489EC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岸坡采用复式断面，下部为直立墙，墙前布置污水管线，挡墙上部为草坪护坡或六角砖护坡。现状护岸情况良好，该段维持现状。</w:t>
            </w:r>
          </w:p>
          <w:p w14:paraId="53DA678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5CD32E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（6）幽芳河汇入点K7+225~K8+025</w:t>
            </w:r>
          </w:p>
          <w:p w14:paraId="064CCC6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左岸六角砖护坡，坡脚有淘刷现象，墙顶栏杆损坏严重；右岸K7+225~K7+375为浆砌石挡墙+草皮护坡，其余岸段土质岸坡，岸坡冲刷形成陡坎。该段左岸底格埂进行拆建，右岸采用石笼挡墙加固，墙高3.0m，两岸坡脚前沿采用格宾石笼固脚。</w:t>
            </w:r>
          </w:p>
          <w:p w14:paraId="6728C9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（7）K8+025~液压坝K8+550</w:t>
            </w:r>
          </w:p>
          <w:p w14:paraId="75141A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该段左岸为将六角块护坡，坡脚存在淘刷现象；右岸部分为土质岸坡，岸坡冲刷形成陡坎。该段左岸底格埂拆建，局部陡坎处采用素砼挡墙加固，右岸采用石笼挡墙加固，墙高3.0m，两岸坡脚前沿采用格宾石笼固脚。</w:t>
            </w:r>
          </w:p>
          <w:p w14:paraId="6C954F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（8）液压坝K8+550~外环路桥K8+707</w:t>
            </w:r>
          </w:p>
          <w:p w14:paraId="08EB33B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该段左岸为六角块护坡，运行情况良好；右岸钢筋砼挡墙+草坪护坡，运行情况良好。该段维持现状。</w:t>
            </w:r>
          </w:p>
          <w:p w14:paraId="5328F9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（9）外环路桥K8+707~K8+778</w:t>
            </w:r>
          </w:p>
          <w:p w14:paraId="5C1D5AA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该段现状河道两侧为土质岸坡，岸坡裸露，局部有冲刷陡坎。河道两侧采用雷诺护垫护砌，坡脚采用格宾石笼固脚。</w:t>
            </w:r>
          </w:p>
          <w:p w14:paraId="549D8E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3.5.3.3河道建筑物设计</w:t>
            </w:r>
          </w:p>
          <w:p w14:paraId="08D337A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高庙河现状长度8.78km，起点河底高程为114.00m，终点河底高程为60.63m，落差达53.37m，纵向坡比0.0061，落差较大。河道沿线布置了多级拦河坝，用于减缓水流和稳定河槽，防止冲刷。本次满足泄洪安全的基础上，合理改造拦河建筑物。</w:t>
            </w:r>
          </w:p>
          <w:p w14:paraId="46FD13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现状7、9、13-1（三板桥退水渠汇入高庙河位置）号拦河坝破损，本工程中予以拆除重建。此外，迎宾大道附近拦河坝间距较大，河段常水位较低，河床冲刷下切，不利于河势稳定，本工程在迎宾大道上游新建拦河坝1座。</w:t>
            </w:r>
          </w:p>
          <w:p w14:paraId="6DB068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表2-8  拦河坝改造统计表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6"/>
              <w:gridCol w:w="2017"/>
              <w:gridCol w:w="2019"/>
              <w:gridCol w:w="2019"/>
            </w:tblGrid>
            <w:tr w14:paraId="0989E1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Align w:val="center"/>
                </w:tcPr>
                <w:p w14:paraId="0725FA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工程</w:t>
                  </w:r>
                </w:p>
              </w:tc>
              <w:tc>
                <w:tcPr>
                  <w:tcW w:w="2017" w:type="dxa"/>
                  <w:vAlign w:val="center"/>
                </w:tcPr>
                <w:p w14:paraId="1639FBA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2019" w:type="dxa"/>
                  <w:vAlign w:val="center"/>
                </w:tcPr>
                <w:p w14:paraId="23DE68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位置</w:t>
                  </w:r>
                </w:p>
              </w:tc>
              <w:tc>
                <w:tcPr>
                  <w:tcW w:w="2019" w:type="dxa"/>
                  <w:vAlign w:val="center"/>
                </w:tcPr>
                <w:p w14:paraId="7F0C0E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59EAA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restart"/>
                  <w:vAlign w:val="center"/>
                </w:tcPr>
                <w:p w14:paraId="16B0141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w:t>
                  </w:r>
                </w:p>
              </w:tc>
              <w:tc>
                <w:tcPr>
                  <w:tcW w:w="2017" w:type="dxa"/>
                  <w:vAlign w:val="center"/>
                </w:tcPr>
                <w:p w14:paraId="7D96C7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拦河坝7</w:t>
                  </w:r>
                </w:p>
              </w:tc>
              <w:tc>
                <w:tcPr>
                  <w:tcW w:w="2019" w:type="dxa"/>
                  <w:vAlign w:val="center"/>
                </w:tcPr>
                <w:p w14:paraId="4473F5E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K1+220</w:t>
                  </w:r>
                </w:p>
              </w:tc>
              <w:tc>
                <w:tcPr>
                  <w:tcW w:w="2019" w:type="dxa"/>
                  <w:vAlign w:val="center"/>
                </w:tcPr>
                <w:p w14:paraId="7A30BA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47028D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750633A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62B95C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拦河坝9</w:t>
                  </w:r>
                </w:p>
              </w:tc>
              <w:tc>
                <w:tcPr>
                  <w:tcW w:w="2019" w:type="dxa"/>
                  <w:vAlign w:val="center"/>
                </w:tcPr>
                <w:p w14:paraId="66294B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K2+203</w:t>
                  </w:r>
                </w:p>
              </w:tc>
              <w:tc>
                <w:tcPr>
                  <w:tcW w:w="2019" w:type="dxa"/>
                  <w:vAlign w:val="center"/>
                </w:tcPr>
                <w:p w14:paraId="630EAF7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5EE46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552BFC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3B637E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新建拦河坝11-1</w:t>
                  </w:r>
                </w:p>
              </w:tc>
              <w:tc>
                <w:tcPr>
                  <w:tcW w:w="2019" w:type="dxa"/>
                  <w:vAlign w:val="center"/>
                </w:tcPr>
                <w:p w14:paraId="074C58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K4+057</w:t>
                  </w:r>
                </w:p>
              </w:tc>
              <w:tc>
                <w:tcPr>
                  <w:tcW w:w="2019" w:type="dxa"/>
                  <w:vAlign w:val="center"/>
                </w:tcPr>
                <w:p w14:paraId="157C2E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r w14:paraId="318BB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50DF8D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2B0656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拦河坝13-1</w:t>
                  </w:r>
                </w:p>
              </w:tc>
              <w:tc>
                <w:tcPr>
                  <w:tcW w:w="2019" w:type="dxa"/>
                  <w:vAlign w:val="center"/>
                </w:tcPr>
                <w:p w14:paraId="2BFC65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K6+239</w:t>
                  </w:r>
                </w:p>
              </w:tc>
              <w:tc>
                <w:tcPr>
                  <w:tcW w:w="2019" w:type="dxa"/>
                  <w:vAlign w:val="center"/>
                </w:tcPr>
                <w:p w14:paraId="43DFDC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bl>
          <w:p w14:paraId="036B6F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表2-9  拦河坝改造参数表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9"/>
              <w:gridCol w:w="1018"/>
              <w:gridCol w:w="1706"/>
              <w:gridCol w:w="1461"/>
              <w:gridCol w:w="1185"/>
              <w:gridCol w:w="2102"/>
            </w:tblGrid>
            <w:tr w14:paraId="171731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599" w:type="dxa"/>
                  <w:vAlign w:val="center"/>
                </w:tcPr>
                <w:p w14:paraId="7AD77FB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序号</w:t>
                  </w:r>
                </w:p>
              </w:tc>
              <w:tc>
                <w:tcPr>
                  <w:tcW w:w="1018" w:type="dxa"/>
                  <w:vAlign w:val="center"/>
                </w:tcPr>
                <w:p w14:paraId="64E8DF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桩号位置</w:t>
                  </w:r>
                </w:p>
              </w:tc>
              <w:tc>
                <w:tcPr>
                  <w:tcW w:w="1706" w:type="dxa"/>
                  <w:vAlign w:val="center"/>
                </w:tcPr>
                <w:p w14:paraId="0686E4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1461" w:type="dxa"/>
                  <w:vAlign w:val="center"/>
                </w:tcPr>
                <w:p w14:paraId="400437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坝顶高程（m）</w:t>
                  </w:r>
                </w:p>
              </w:tc>
              <w:tc>
                <w:tcPr>
                  <w:tcW w:w="1185" w:type="dxa"/>
                  <w:vAlign w:val="center"/>
                </w:tcPr>
                <w:p w14:paraId="320EA0B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净宽（m）</w:t>
                  </w:r>
                </w:p>
              </w:tc>
              <w:tc>
                <w:tcPr>
                  <w:tcW w:w="2102" w:type="dxa"/>
                  <w:vAlign w:val="center"/>
                </w:tcPr>
                <w:p w14:paraId="0A4921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41A65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vAlign w:val="center"/>
                </w:tcPr>
                <w:p w14:paraId="2C7B9C6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018" w:type="dxa"/>
                  <w:vAlign w:val="center"/>
                </w:tcPr>
                <w:p w14:paraId="142330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K1+220</w:t>
                  </w:r>
                </w:p>
              </w:tc>
              <w:tc>
                <w:tcPr>
                  <w:tcW w:w="1706" w:type="dxa"/>
                  <w:vAlign w:val="center"/>
                </w:tcPr>
                <w:p w14:paraId="102CE81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拆建拦河坝7</w:t>
                  </w:r>
                </w:p>
              </w:tc>
              <w:tc>
                <w:tcPr>
                  <w:tcW w:w="1461" w:type="dxa"/>
                  <w:vAlign w:val="center"/>
                </w:tcPr>
                <w:p w14:paraId="3329F4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102.45</w:t>
                  </w:r>
                </w:p>
              </w:tc>
              <w:tc>
                <w:tcPr>
                  <w:tcW w:w="1185" w:type="dxa"/>
                  <w:vAlign w:val="center"/>
                </w:tcPr>
                <w:p w14:paraId="57B642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26</w:t>
                  </w:r>
                </w:p>
              </w:tc>
              <w:tc>
                <w:tcPr>
                  <w:tcW w:w="2102" w:type="dxa"/>
                  <w:vAlign w:val="center"/>
                </w:tcPr>
                <w:p w14:paraId="5790FC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D4728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599" w:type="dxa"/>
                  <w:vAlign w:val="center"/>
                </w:tcPr>
                <w:p w14:paraId="201585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018" w:type="dxa"/>
                  <w:vAlign w:val="center"/>
                </w:tcPr>
                <w:p w14:paraId="5C3C133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K2+203</w:t>
                  </w:r>
                </w:p>
              </w:tc>
              <w:tc>
                <w:tcPr>
                  <w:tcW w:w="1706" w:type="dxa"/>
                  <w:vAlign w:val="center"/>
                </w:tcPr>
                <w:p w14:paraId="377FB7B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拆建拦河坝9</w:t>
                  </w:r>
                </w:p>
              </w:tc>
              <w:tc>
                <w:tcPr>
                  <w:tcW w:w="1461" w:type="dxa"/>
                  <w:vAlign w:val="center"/>
                </w:tcPr>
                <w:p w14:paraId="6D9A11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90.10</w:t>
                  </w:r>
                </w:p>
              </w:tc>
              <w:tc>
                <w:tcPr>
                  <w:tcW w:w="1185" w:type="dxa"/>
                  <w:vAlign w:val="center"/>
                </w:tcPr>
                <w:p w14:paraId="060709D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w:t>
                  </w:r>
                </w:p>
              </w:tc>
              <w:tc>
                <w:tcPr>
                  <w:tcW w:w="2102" w:type="dxa"/>
                  <w:vAlign w:val="center"/>
                </w:tcPr>
                <w:p w14:paraId="161D151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7179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99" w:type="dxa"/>
                  <w:vAlign w:val="center"/>
                </w:tcPr>
                <w:p w14:paraId="67B5B1E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1018" w:type="dxa"/>
                  <w:vAlign w:val="center"/>
                </w:tcPr>
                <w:p w14:paraId="2D7733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K4+057</w:t>
                  </w:r>
                </w:p>
              </w:tc>
              <w:tc>
                <w:tcPr>
                  <w:tcW w:w="1706" w:type="dxa"/>
                  <w:vAlign w:val="center"/>
                </w:tcPr>
                <w:p w14:paraId="100F80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新建拦河坝11-1</w:t>
                  </w:r>
                </w:p>
              </w:tc>
              <w:tc>
                <w:tcPr>
                  <w:tcW w:w="1461" w:type="dxa"/>
                  <w:vAlign w:val="center"/>
                </w:tcPr>
                <w:p w14:paraId="4680B5D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75.70</w:t>
                  </w:r>
                </w:p>
              </w:tc>
              <w:tc>
                <w:tcPr>
                  <w:tcW w:w="1185" w:type="dxa"/>
                  <w:vAlign w:val="center"/>
                </w:tcPr>
                <w:p w14:paraId="7BB577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20</w:t>
                  </w:r>
                </w:p>
              </w:tc>
              <w:tc>
                <w:tcPr>
                  <w:tcW w:w="2102" w:type="dxa"/>
                  <w:vAlign w:val="center"/>
                </w:tcPr>
                <w:p w14:paraId="2BA4B30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9A04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99" w:type="dxa"/>
                  <w:vAlign w:val="center"/>
                </w:tcPr>
                <w:p w14:paraId="0171A50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018" w:type="dxa"/>
                  <w:vAlign w:val="center"/>
                </w:tcPr>
                <w:p w14:paraId="722583D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K6+239</w:t>
                  </w:r>
                </w:p>
              </w:tc>
              <w:tc>
                <w:tcPr>
                  <w:tcW w:w="1706" w:type="dxa"/>
                  <w:vAlign w:val="center"/>
                </w:tcPr>
                <w:p w14:paraId="4A4EA6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拆建拦河坝13-1</w:t>
                  </w:r>
                </w:p>
              </w:tc>
              <w:tc>
                <w:tcPr>
                  <w:tcW w:w="1461" w:type="dxa"/>
                  <w:vAlign w:val="center"/>
                </w:tcPr>
                <w:p w14:paraId="4DD2CD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66.00</w:t>
                  </w:r>
                </w:p>
              </w:tc>
              <w:tc>
                <w:tcPr>
                  <w:tcW w:w="1185" w:type="dxa"/>
                  <w:vAlign w:val="center"/>
                </w:tcPr>
                <w:p w14:paraId="5910F0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26</w:t>
                  </w:r>
                </w:p>
              </w:tc>
              <w:tc>
                <w:tcPr>
                  <w:tcW w:w="2102" w:type="dxa"/>
                  <w:vAlign w:val="center"/>
                </w:tcPr>
                <w:p w14:paraId="16B449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位于三板桥退水渠汇入高庙河位置</w:t>
                  </w:r>
                </w:p>
              </w:tc>
            </w:tr>
          </w:tbl>
          <w:p w14:paraId="7A24605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典型设计以拆建7号拦河坝为例。</w:t>
            </w:r>
          </w:p>
          <w:p w14:paraId="237927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（1）工程布置</w:t>
            </w:r>
          </w:p>
          <w:p w14:paraId="1D8CCF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拆建7号拦河坝位于桩号K1+220处，从上游到下游分别为进口段，控制段，消力池段和海漫段。</w:t>
            </w:r>
          </w:p>
          <w:p w14:paraId="34E910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进口段为毛石砼护底，两侧为钢筋砼挡墙，进口段长4.0m，净宽26.0m，底板高程101.45m。</w:t>
            </w:r>
          </w:p>
          <w:p w14:paraId="0B8CF7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控制段为钢筋砼结构，顺水流方向长10.5m，净宽26.0m，坝身台阶式布置，台阶平面形状为花瓣布置。坝顶高程102.45~101.45m，底板厚1.5~0.5m，第一级平台上部布置人行汀步。</w:t>
            </w:r>
          </w:p>
          <w:p w14:paraId="6B0102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消力池段为钢筋砼结构，长11m，净宽26.0m，底板高程101.45~100.95m。</w:t>
            </w:r>
          </w:p>
          <w:p w14:paraId="4B5E2BB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海漫段为毛石砼护底，两侧为钢筋砼挡墙，海漫段长4.0m，净宽26.0m，底板高程101.25m。</w:t>
            </w:r>
          </w:p>
          <w:p w14:paraId="078F55E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3.5.3.4管理设施</w:t>
            </w:r>
          </w:p>
          <w:p w14:paraId="328257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高庙管理设施包括高庙河K8+025~K8+550右岸坡顶布置巡查便道；K7+225~K8+550左岸岸顶栏杆拆建。</w:t>
            </w:r>
          </w:p>
          <w:p w14:paraId="1BE16F3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新建巡查道路位于高庙河右岸，桩号范围K8+025~K8+550，净宽2.5m。道路结构方案：</w:t>
            </w:r>
          </w:p>
          <w:p w14:paraId="59A60F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3cm细粒式沥青砼(AC-13)</w:t>
            </w:r>
          </w:p>
          <w:p w14:paraId="6A3249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5cm中粒式沥青混凝土（AC-20）水泥碎石稳定层</w:t>
            </w:r>
          </w:p>
          <w:p w14:paraId="690831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黏土层</w:t>
            </w:r>
          </w:p>
          <w:p w14:paraId="3600518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道路结构详见下图：</w:t>
            </w:r>
          </w:p>
          <w:p w14:paraId="051ED8C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center"/>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drawing>
                <wp:inline distT="0" distB="0" distL="0" distR="0">
                  <wp:extent cx="4046220" cy="3274695"/>
                  <wp:effectExtent l="0" t="0" r="11430" b="1905"/>
                  <wp:docPr id="457" name="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image253.jpeg"/>
                          <pic:cNvPicPr>
                            <a:picLocks noChangeAspect="1"/>
                          </pic:cNvPicPr>
                        </pic:nvPicPr>
                        <pic:blipFill>
                          <a:blip r:embed="rId16" cstate="print"/>
                          <a:stretch>
                            <a:fillRect/>
                          </a:stretch>
                        </pic:blipFill>
                        <pic:spPr>
                          <a:xfrm>
                            <a:off x="0" y="0"/>
                            <a:ext cx="4046220" cy="3274695"/>
                          </a:xfrm>
                          <a:prstGeom prst="rect">
                            <a:avLst/>
                          </a:prstGeom>
                        </pic:spPr>
                      </pic:pic>
                    </a:graphicData>
                  </a:graphic>
                </wp:inline>
              </w:drawing>
            </w:r>
          </w:p>
          <w:p w14:paraId="4EC524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2-7  巡查道路结构图</w:t>
            </w:r>
          </w:p>
          <w:p w14:paraId="48421D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岸顶栏杆拆建位于高庙河左岸K7+225~K8+550，长度1325m，栏杆采用花岗岩材质。</w:t>
            </w:r>
          </w:p>
          <w:p w14:paraId="6E9E55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drawing>
                <wp:inline distT="0" distB="0" distL="0" distR="0">
                  <wp:extent cx="4867910" cy="1889760"/>
                  <wp:effectExtent l="0" t="0" r="8890" b="15240"/>
                  <wp:docPr id="459" name="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254.jpeg"/>
                          <pic:cNvPicPr>
                            <a:picLocks noChangeAspect="1"/>
                          </pic:cNvPicPr>
                        </pic:nvPicPr>
                        <pic:blipFill>
                          <a:blip r:embed="rId17" cstate="print"/>
                          <a:stretch>
                            <a:fillRect/>
                          </a:stretch>
                        </pic:blipFill>
                        <pic:spPr>
                          <a:xfrm>
                            <a:off x="0" y="0"/>
                            <a:ext cx="4868493" cy="1889760"/>
                          </a:xfrm>
                          <a:prstGeom prst="rect">
                            <a:avLst/>
                          </a:prstGeom>
                        </pic:spPr>
                      </pic:pic>
                    </a:graphicData>
                  </a:graphic>
                </wp:inline>
              </w:drawing>
            </w:r>
          </w:p>
          <w:p w14:paraId="457A5E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2-8  花岗岩栏杆大样图</w:t>
            </w:r>
          </w:p>
          <w:p w14:paraId="0A7A24C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3.5.4柳林河设计</w:t>
            </w:r>
          </w:p>
          <w:p w14:paraId="63D8DD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bookmarkStart w:id="6" w:name="5.3.4.1堤防设计"/>
            <w:bookmarkEnd w:id="6"/>
            <w:bookmarkStart w:id="7" w:name="5.3.4.1堤防设计"/>
            <w:bookmarkEnd w:id="7"/>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3.5.4.1堤防设计</w:t>
            </w:r>
          </w:p>
          <w:p w14:paraId="3271B5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《霍山县城市防洪规划》（2020-2035）提出：城关圩防洪圈堤防的防洪标准为50年一遇；柳林河从小河沿（龙门冲河口）～柳林河口，堤防的防洪标准为50年一遇，堤防级别为2级。</w:t>
            </w:r>
          </w:p>
          <w:p w14:paraId="657EC84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故本次治理柳林河堤防按上述规划并参照同地区同类工程项目经验，柳林河团结水库溢洪道~迎宾大道桥（K0+000~K6+600）撇洪沟段，防洪标准为10年一遇，堤防等级为5级。迎宾大道桥~龙门冲河口段（K6+600~K9+300），乡镇段防洪标准为50年一遇，堤防等级为2级。龙门冲河口~东淠河口段（K9+300~K11+300）城关圩防洪圈堤防防洪标准为50年一遇洪水标准，堤防级别为2级。</w:t>
            </w:r>
          </w:p>
          <w:p w14:paraId="5FC9AF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3.5.4.2岸坡防护设计</w:t>
            </w:r>
          </w:p>
          <w:p w14:paraId="61AAF5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柳林河岸坡防护型式选择遵循以下原则：对于具备放坡条件的河段采用预制联锁块护坡；对于堤后用地受限，没有放坡条件，采用埋石砼挡墙；对于河道断面宽，河道过流流速不大，两岸岸坡较缓，生态较好的堤段，采用阶梯式生态挡墙。</w:t>
            </w:r>
          </w:p>
          <w:p w14:paraId="05021D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1、河道断面设计</w:t>
            </w:r>
          </w:p>
          <w:p w14:paraId="088215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（1）团结水库溢流堰~溢洪道末端（K0+000~K0+045）</w:t>
            </w:r>
          </w:p>
          <w:p w14:paraId="7EB675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团结水库溢洪道段右岸为重力式挡墙，高程满足防洪要求。左岸为土坡，岸坡陡峭（1：1），有冲刷。河底为砼护底，出口有冲坑。本次对左岸采用重力式挡墙防护，末端河底C25砼护底5m。</w:t>
            </w:r>
          </w:p>
          <w:p w14:paraId="5C107E4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（2）团结水库溢洪道末端~生产桥2（K0+045~K0+600）</w:t>
            </w:r>
          </w:p>
          <w:p w14:paraId="55BBBE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弯曲，河口宽10~17m，河底岩石裸露。1号桥上游150m河道两岸为山体坡地；桥下左岸为茶田，右岸为土坡。两岸岸顶高程达标。2号生产桥上游右岸150m砼挡墙护岸，左岸28m砼挡墙护岸。现状1号桥以下段两岸凹岸冲刷，坡脚抗冲能力差。本次对1号桥以下段两岸坡脚采用格宾石笼固脚。2号生产桥下河底清杂清障。</w:t>
            </w:r>
          </w:p>
          <w:p w14:paraId="39085C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（3）生产桥2~2号拦河坝（K0+600~K1+900）</w:t>
            </w:r>
          </w:p>
          <w:p w14:paraId="29BA43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桥2~2号拦河坝段河道上段岩石裸露，下段沙石堆积。左岸临茶园坡地，局部有护岸砼挡墙。右岸上下段有护岸砼挡墙。现状两岸弯段凹岸冲刷，坡脚抗冲能力差。本次对两岸坡脚采用格宾石笼固脚。</w:t>
            </w:r>
          </w:p>
          <w:p w14:paraId="5FA08AC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（4）2号拦河坝~生产桥5（K1+900~K2+100）</w:t>
            </w:r>
          </w:p>
          <w:p w14:paraId="6C3ABA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河道右岸为挡墙护岸，挡墙底部破损、脱空；堤顶为居民区和道路。左岸山体，近河底草木茂盛，影响过流。本次对左岸坡脚清理；右岸坡脚新建素砼护脚，挡墙破损段墙脚空隙灌入素砼。</w:t>
            </w:r>
          </w:p>
          <w:p w14:paraId="6B1168A4">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6D9E97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（5）生产桥5~小黄沟防洪闸（K2+100~K2+400）</w:t>
            </w:r>
          </w:p>
          <w:p w14:paraId="34C83A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右岸防护达标，现状右岸为土坡，缺少防护；堤顶为居民区和道路。左岸为挡墙护岸，坡脚抗冲能力不足。本次对左岸坡脚新建格宾石笼护脚。右岸新建仰斜式挡墙护岸，埋深满足冲刷深度要求，墙角采用开挖料回填。</w:t>
            </w:r>
          </w:p>
          <w:p w14:paraId="20AAF1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（6）小黄沟防洪闸~生产桥6（K2+400~K2+480）</w:t>
            </w:r>
          </w:p>
          <w:p w14:paraId="5340CB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河道右岸为挡墙护岸，挡墙底部破损、脱空；堤顶为村庄和道路。左岸山体土坡，近河底草木茂盛，影响过流。本次对左岸坡脚清理；右岸坡脚新建素砼护脚，挡墙破损段墙脚空隙灌入素砼。</w:t>
            </w:r>
          </w:p>
          <w:p w14:paraId="59DE7B2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（7）生产桥6~3号拦河坝（K2+480~K3+260）</w:t>
            </w:r>
          </w:p>
          <w:p w14:paraId="7664F4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农科桥上游右岸55m为土坡，其余右岸为砼挡墙护岸，左岸为砼护坡。护坡底格埂存在冲刷和掏空。农科桥桥头衔接段土坡陡峭、坍塌。河底淤积。河底清杂清障。农科桥头衔接段土坡新建仰斜式挡墙55m防护。既有护岸坡脚外采用格宾石笼护脚。</w:t>
            </w:r>
          </w:p>
          <w:p w14:paraId="79C8FB5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（8）3号拦河坝~生产桥9（K3+260~K3+660）</w:t>
            </w:r>
          </w:p>
          <w:p w14:paraId="728165C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拦河坝3下游至右岸支渠60m河道两岸为重力式砼挡墙护岸。以下至桥9为弯段河道，右岸迎流顶冲，左岸河底砂石堆积，两岸均为土质岸坡。河底淤积，土质岸坡冲刷。本次河底清障，K3+260~K3+660两岸新建生态挡墙护岸。</w:t>
            </w:r>
          </w:p>
          <w:p w14:paraId="3A078B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（9）生产桥9~生产桥10（K3+660~K3+990）</w:t>
            </w:r>
          </w:p>
          <w:p w14:paraId="3527B84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K3+660~K3+820左岸为重力式挡墙护岸，其余两岸现状为土坡；右岸下段K3+870~K3+990段临山体。河底淤积，土质岸坡冲刷。本次在K3+660~K3+820左岸挡墙墙角采用格宾石笼防护，K3+870~K3+990段左岸新建生态挡墙护岸、K3+660~K3+870段右岸新建仰斜式挡墙护岸。</w:t>
            </w:r>
          </w:p>
          <w:p w14:paraId="1443C4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（10）生产桥10~拦河坝4（K3+990~K4+210）</w:t>
            </w:r>
          </w:p>
          <w:p w14:paraId="03C977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河段左岸为土坡，岸顶临基本农田，下段临山体。右岸为土坡，临近道路。河底淤积，土坡无防护，左岸弯段河床下切，土坡坡面冲刷。本次河底清障，两岸新建生态挡墙护岸。</w:t>
            </w:r>
          </w:p>
          <w:p w14:paraId="3DF9F3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（11）拦河坝4~山体段K4+210~K4+410</w:t>
            </w:r>
          </w:p>
          <w:p w14:paraId="4756951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河段左岸为山体，右岸直立挡墙护岸。坡脚抗冲能力不足。右岸坡脚采用格宾石笼护脚。</w:t>
            </w:r>
          </w:p>
          <w:p w14:paraId="6945CF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（12）山体段~生产桥11K4+410~K4+600</w:t>
            </w:r>
          </w:p>
          <w:p w14:paraId="440CB7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河段两岸均为土坡，坡脚冲刷。右岸草木丛生，影响行洪。两岸新建仰斜式挡墙防护。</w:t>
            </w:r>
          </w:p>
          <w:p w14:paraId="3BB33E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（13）生产桥11~拦河坝5（K4+600~K5+175）</w:t>
            </w:r>
          </w:p>
          <w:p w14:paraId="4DDEE6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河段河底岩石裸露。右岸局部有小块石墙。左岸上下段临山，中段为直立挡墙。右岸块石墙老化破损，挡墙墙脚有冲刷。本次对河道中段清障，右岸新建仰斜式挡墙防护。左岸中段挡墙墙脚格宾石笼护脚。</w:t>
            </w:r>
          </w:p>
          <w:p w14:paraId="45B77E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（14）拦河坝5~拦河坝8（K5+175~K6+660）</w:t>
            </w:r>
          </w:p>
          <w:p w14:paraId="6ADD00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河段左岸临山体，右岸有砼护岸挡墙。挡墙墙脚有冲刷。本次对右岸挡墙墙脚格宾石笼护脚。</w:t>
            </w:r>
          </w:p>
          <w:p w14:paraId="45D4897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（15）拦河坝8~养殖场上游（K6+660~K8+740）</w:t>
            </w:r>
          </w:p>
          <w:p w14:paraId="7E2A74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两岸岸坡为六角块空心护坡，护坡损毁老化严重，多处底格埂断裂倾斜等水毁现象。河道淤积。两岸水泥路多处路面开裂损坏。右岸茶乡大道桥K8+160~K9+040俞家畈泄洪闸段右岸堤顶无防汛道路。本次对河道清障，两岸护坡拆建，坡脚新建格宾石笼护脚，两岸现状堤顶水泥路白改黑，沥青砼路面层宽5m，迎水坡侧缺失的波形护栏补全。茶乡大道桥K8+160~K8+740俞家畈泄洪闸段右岸堤顶新建580m道板砖路，宽2m。</w:t>
            </w:r>
          </w:p>
          <w:p w14:paraId="598D64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（16）养殖场~俞家畈泄洪闸（K8+740~K9+040）</w:t>
            </w:r>
          </w:p>
          <w:p w14:paraId="7A13BB0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左岸岸坡为六角块空心护坡，护坡损毁老化严重，存在底格埂断裂倾斜；左岸水泥路多处路面开裂损坏。右岸堤身矮小，高程不足，土坡无防护，堤顶无防汛道路。本次两岸坡脚新建格宾石笼护脚，左岸护坡拆建，现状堤顶水泥路白改黑，沥青砼路面层宽5m，迎水坡侧缺失的波形护栏补全。右堤300m堤防达标治理，岸坡采用埋石砼仰斜式挡墙。堤顶加宽至3.0m，设2m宽巡查道路，道板砖路面。</w:t>
            </w:r>
          </w:p>
          <w:p w14:paraId="48C170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（17）俞家畈泄洪闸~便民桥(K9+040~K9+340)</w:t>
            </w:r>
          </w:p>
          <w:p w14:paraId="1115EE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两岸岸坡为六角块空心护坡，护坡损毁老化严重，多处底格埂断裂倾斜。两岸水泥路多处路面开裂损坏。本次对河道清障，两岸护坡拆建，坡脚新建格宾石笼护脚，俞家畈泄洪闸下游右岸顶冲段河道，坡脚新建石笼下部采用密打高压旋喷桩固脚防冲。两岸现状堤顶水泥路白改黑，沥青砼路面层宽5m，迎水坡侧缺失的波形护栏补全。</w:t>
            </w:r>
          </w:p>
          <w:p w14:paraId="0A73F61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（18）便民桥~迎驾酒厂（K9+340~K9+830）</w:t>
            </w:r>
          </w:p>
          <w:p w14:paraId="5A0F37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河段两岸现状为联锁块护坡，因水流冲刷，两岸护坡底格埂悬空，局部底格埂断裂倾斜。</w:t>
            </w:r>
          </w:p>
          <w:p w14:paraId="3B27A6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本次在两岸底格埂外采用格宾石笼防护，两岸现状堤顶水泥路白改黑，沥青砼路面层宽5m，迎水坡侧缺失的波形护栏补全。</w:t>
            </w:r>
          </w:p>
          <w:p w14:paraId="4C5D7A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（19）迎驾酒厂~东淠河口（K9+830~K11+300）</w:t>
            </w:r>
          </w:p>
          <w:p w14:paraId="2FC8B5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河段两岸现状为联锁块护坡，两岸多处底格埂存在损毁，据管理单位反馈在东淠河蓄水坝建成后，下段河道未出现新的水毁险情，河势基本稳定。两岸水泥路多处路面开裂损坏。</w:t>
            </w:r>
          </w:p>
          <w:p w14:paraId="03B1ED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两岸现状堤顶水泥路白改黑，沥青砼路面层宽5m，迎水坡侧缺失的波形护栏补全。</w:t>
            </w:r>
          </w:p>
          <w:p w14:paraId="2D6865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2、水毁段加固设计</w:t>
            </w:r>
          </w:p>
          <w:p w14:paraId="781C37B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在河道8号拦河坝下游段两岸共有17处水毁段，主要位于弯段及迎流顶冲段，受洪水淘刷，护坡下部损毁严重，底格埂断裂倾斜。本次将原格埂拆除后复建砼护脚挡墙，挡墙下部设置一排高喷桩，同时在挡墙前打设一排高喷桩，增强整体抗冲能力。对坡脚损毁的六角块护坡拆除，改建150mm厚现浇砼护坡。</w:t>
            </w:r>
          </w:p>
          <w:p w14:paraId="32F4C4A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3、河道纵断面设计</w:t>
            </w:r>
          </w:p>
          <w:p w14:paraId="4B24BD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设计底坡根据现状河道地形条件、天然纵坡要求确定：一般情况下维持原有天然河道的底坡不变，原河道长11300m，河底高程143.8m降至64.0m，天然纵坡为7.1‰；当某河段行洪断面偏小时，该段可适当加大底坡，但下游河道则须适当变缓；以此为原则，分段确定各河道的设计纵坡。</w:t>
            </w:r>
          </w:p>
          <w:p w14:paraId="3BCA92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本次河道治理后，防洪及抗冲均满足要求，现状河底多为岩石和角砾层，挖除困难。因此本次保持现状纵坡基本不变，为7.1‰，仅局部挖除河道内阻水滩地。</w:t>
            </w:r>
          </w:p>
          <w:p w14:paraId="727FF5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3.5.4.3河道建筑物设计</w:t>
            </w:r>
          </w:p>
          <w:p w14:paraId="3BD5C1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柳林河治理段现状长度13.30km，起点河底高程为143.80m，终点河底高程为64.00m，落差达79.8m，纵向坡比0.0071，落差较大。河道沿线布置了多级拦河坝，用于减缓水流和稳定河槽，防止冲刷。本次为确保拦河坝泄洪安全，对拦河建筑物改造。同时沿河有多处支流汇入，汇入处多为排涝管涵，口径小，排涝能力不足，且结构简陋，本次对其进行拆建。</w:t>
            </w:r>
          </w:p>
          <w:p w14:paraId="1E459A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现状拦河坝4堰身破损，不能充分发挥蓄水能力。本次加固堰身。现状拦河坝9下游左岸有淠源渠汇入，河底有冲坑，增设消力池设施，以稳定河槽。</w:t>
            </w:r>
          </w:p>
          <w:p w14:paraId="251B78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表2-10  柳林河配套建筑物统计表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16"/>
              <w:gridCol w:w="2017"/>
              <w:gridCol w:w="2019"/>
              <w:gridCol w:w="2019"/>
            </w:tblGrid>
            <w:tr w14:paraId="6309C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Align w:val="center"/>
                </w:tcPr>
                <w:p w14:paraId="2F7A27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工程</w:t>
                  </w:r>
                </w:p>
              </w:tc>
              <w:tc>
                <w:tcPr>
                  <w:tcW w:w="2017" w:type="dxa"/>
                  <w:vAlign w:val="center"/>
                </w:tcPr>
                <w:p w14:paraId="46C8EC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2019" w:type="dxa"/>
                  <w:vAlign w:val="center"/>
                </w:tcPr>
                <w:p w14:paraId="1B76BC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位置</w:t>
                  </w:r>
                </w:p>
              </w:tc>
              <w:tc>
                <w:tcPr>
                  <w:tcW w:w="2019" w:type="dxa"/>
                  <w:vAlign w:val="center"/>
                </w:tcPr>
                <w:p w14:paraId="524FB0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5C0B8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restart"/>
                  <w:vAlign w:val="center"/>
                </w:tcPr>
                <w:p w14:paraId="767C1E6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排涝涵闸</w:t>
                  </w:r>
                </w:p>
              </w:tc>
              <w:tc>
                <w:tcPr>
                  <w:tcW w:w="2017" w:type="dxa"/>
                  <w:vAlign w:val="center"/>
                </w:tcPr>
                <w:p w14:paraId="7BADBC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小黄沟涵闸</w:t>
                  </w:r>
                </w:p>
              </w:tc>
              <w:tc>
                <w:tcPr>
                  <w:tcW w:w="2019" w:type="dxa"/>
                  <w:vAlign w:val="center"/>
                </w:tcPr>
                <w:p w14:paraId="3D7828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K2+400右岸</w:t>
                  </w:r>
                </w:p>
              </w:tc>
              <w:tc>
                <w:tcPr>
                  <w:tcW w:w="2019" w:type="dxa"/>
                  <w:vAlign w:val="center"/>
                </w:tcPr>
                <w:p w14:paraId="018B40D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55CFC7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4428EE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66AE92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排水渠出水涵</w:t>
                  </w:r>
                </w:p>
              </w:tc>
              <w:tc>
                <w:tcPr>
                  <w:tcW w:w="2019" w:type="dxa"/>
                  <w:vAlign w:val="center"/>
                </w:tcPr>
                <w:p w14:paraId="782B09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K4+020左岸</w:t>
                  </w:r>
                </w:p>
              </w:tc>
              <w:tc>
                <w:tcPr>
                  <w:tcW w:w="2019" w:type="dxa"/>
                  <w:vAlign w:val="center"/>
                </w:tcPr>
                <w:p w14:paraId="4D79F6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2605D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56B0CA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0A04AD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排涝涵1</w:t>
                  </w:r>
                </w:p>
              </w:tc>
              <w:tc>
                <w:tcPr>
                  <w:tcW w:w="2019" w:type="dxa"/>
                  <w:vAlign w:val="center"/>
                </w:tcPr>
                <w:p w14:paraId="16F7A2B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K4+820左岸</w:t>
                  </w:r>
                </w:p>
              </w:tc>
              <w:tc>
                <w:tcPr>
                  <w:tcW w:w="2019" w:type="dxa"/>
                  <w:vAlign w:val="center"/>
                </w:tcPr>
                <w:p w14:paraId="10F4FD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6C393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4C02F0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702C22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排涝涵2</w:t>
                  </w:r>
                </w:p>
              </w:tc>
              <w:tc>
                <w:tcPr>
                  <w:tcW w:w="2019" w:type="dxa"/>
                  <w:vAlign w:val="center"/>
                </w:tcPr>
                <w:p w14:paraId="2F4AE3D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K5+115左岸</w:t>
                  </w:r>
                </w:p>
              </w:tc>
              <w:tc>
                <w:tcPr>
                  <w:tcW w:w="2019" w:type="dxa"/>
                  <w:vAlign w:val="center"/>
                </w:tcPr>
                <w:p w14:paraId="0F94C3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75632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48F825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454579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龙门冲涵</w:t>
                  </w:r>
                </w:p>
              </w:tc>
              <w:tc>
                <w:tcPr>
                  <w:tcW w:w="2019" w:type="dxa"/>
                  <w:vAlign w:val="center"/>
                </w:tcPr>
                <w:p w14:paraId="2183D6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K9+330右岸</w:t>
                  </w:r>
                </w:p>
              </w:tc>
              <w:tc>
                <w:tcPr>
                  <w:tcW w:w="2019" w:type="dxa"/>
                  <w:vAlign w:val="center"/>
                </w:tcPr>
                <w:p w14:paraId="098419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r w14:paraId="28923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23E839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56B9D4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排水管涵</w:t>
                  </w:r>
                </w:p>
              </w:tc>
              <w:tc>
                <w:tcPr>
                  <w:tcW w:w="2019" w:type="dxa"/>
                  <w:vAlign w:val="center"/>
                </w:tcPr>
                <w:p w14:paraId="437131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K11+250左岸</w:t>
                  </w:r>
                </w:p>
              </w:tc>
              <w:tc>
                <w:tcPr>
                  <w:tcW w:w="2019" w:type="dxa"/>
                  <w:vAlign w:val="center"/>
                </w:tcPr>
                <w:p w14:paraId="147B82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r w14:paraId="6553F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restart"/>
                  <w:vAlign w:val="center"/>
                </w:tcPr>
                <w:p w14:paraId="0529C9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w:t>
                  </w:r>
                </w:p>
              </w:tc>
              <w:tc>
                <w:tcPr>
                  <w:tcW w:w="2017" w:type="dxa"/>
                  <w:vAlign w:val="center"/>
                </w:tcPr>
                <w:p w14:paraId="2D30F8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拦河坝4</w:t>
                  </w:r>
                </w:p>
              </w:tc>
              <w:tc>
                <w:tcPr>
                  <w:tcW w:w="2019" w:type="dxa"/>
                  <w:vAlign w:val="center"/>
                </w:tcPr>
                <w:p w14:paraId="17D7959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K4+210</w:t>
                  </w:r>
                </w:p>
              </w:tc>
              <w:tc>
                <w:tcPr>
                  <w:tcW w:w="2019" w:type="dxa"/>
                  <w:vAlign w:val="center"/>
                </w:tcPr>
                <w:p w14:paraId="45F675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r w14:paraId="31CE39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16" w:type="dxa"/>
                  <w:vMerge w:val="continue"/>
                  <w:tcBorders>
                    <w:top w:val="nil"/>
                  </w:tcBorders>
                  <w:vAlign w:val="center"/>
                </w:tcPr>
                <w:p w14:paraId="4F9110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017" w:type="dxa"/>
                  <w:vAlign w:val="center"/>
                </w:tcPr>
                <w:p w14:paraId="2538E9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拦河坝9</w:t>
                  </w:r>
                </w:p>
              </w:tc>
              <w:tc>
                <w:tcPr>
                  <w:tcW w:w="2019" w:type="dxa"/>
                  <w:vAlign w:val="center"/>
                </w:tcPr>
                <w:p w14:paraId="26403E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K7+760</w:t>
                  </w:r>
                </w:p>
              </w:tc>
              <w:tc>
                <w:tcPr>
                  <w:tcW w:w="2019" w:type="dxa"/>
                  <w:vAlign w:val="center"/>
                </w:tcPr>
                <w:p w14:paraId="65CB45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bl>
          <w:p w14:paraId="06BBFBE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3.5.4.4排涝涵闸工程</w:t>
            </w:r>
          </w:p>
          <w:p w14:paraId="17377FC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1、小黄沟涵闸</w:t>
            </w:r>
          </w:p>
          <w:p w14:paraId="2FFCE01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小黄沟位于柳林河右岸K2+400处，现状为3×2.5m的敞口排涝涵，无控制闸门。堤后为通水灌村居民区，柳林河高水位期间洪水倒灌内圩通水灌村。本次拆建为小黄沟防洪闸。</w:t>
            </w:r>
          </w:p>
          <w:p w14:paraId="161451A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（1）防洪闸总体布置</w:t>
            </w:r>
          </w:p>
          <w:p w14:paraId="4A37262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小黄沟防洪闸布置于小黄沟入柳林河河口处，与堤线正交布置，采用穿堤涵闸，C30钢筋混凝土箱涵结构，底板高程由排涝水位条件、上下游沟渠条件及原底板高程综合确定，洞径由排涝流量按流能力要求来确定。穿堤段采用4.5m长C30钢筋砼进水箱涵，共1节，单孔（净尺寸3×2.5m），相邻节接缝内设橡胶止水，箱涵顶板厚0.5m，侧壁厚0.5m，底板厚0.5m。出水侧布置钢筋砼控制段闸室，设单孔平面铸铁闸门控制，上设启闭机房。闸室段顺水流长3m，钢筋砼底板厚0.7m。排涝涵闸进口设C20砼重力式岸墙，平面为一字型布置，顺接现状排涝沟，涵闸进口均C25砼护底，排涝沟底与防洪闸底以1：6斜坡段顺接。闸室出口接柳林河右岸现状护岸挡墙，受防洪闸建设影响，两岸护岸挡墙重建，采用一字墙布置型式。</w:t>
            </w:r>
          </w:p>
          <w:p w14:paraId="5CE99A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2、排涝涵</w:t>
            </w:r>
          </w:p>
          <w:p w14:paraId="7F539B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现状穿堤排涝涵原址拆建，因原排水沟规模较小，考虑施工及检修方便，现状管涵拆建为箱涵。排涝涵底板高程维持原底板高程。龙门冲涵因泄洪流量大，出口冲刷，出口挡墙断裂损坏，出口增设消能工，挡墙拆建。淮源大道桥上游左岸迎水坡的废弃排水管高水位倒灌。</w:t>
            </w:r>
          </w:p>
          <w:p w14:paraId="218820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（1）排涝涵设计参数见下表：</w:t>
            </w:r>
          </w:p>
          <w:p w14:paraId="0C7735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表2-11  排涝涵设计方案汇总表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3"/>
              <w:gridCol w:w="1316"/>
              <w:gridCol w:w="1326"/>
              <w:gridCol w:w="1524"/>
              <w:gridCol w:w="2640"/>
              <w:gridCol w:w="692"/>
            </w:tblGrid>
            <w:tr w14:paraId="69BF91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vAlign w:val="center"/>
                </w:tcPr>
                <w:p w14:paraId="41178D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序号</w:t>
                  </w:r>
                </w:p>
              </w:tc>
              <w:tc>
                <w:tcPr>
                  <w:tcW w:w="1316" w:type="dxa"/>
                  <w:vAlign w:val="center"/>
                </w:tcPr>
                <w:p w14:paraId="1593B2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桩号位置</w:t>
                  </w:r>
                </w:p>
              </w:tc>
              <w:tc>
                <w:tcPr>
                  <w:tcW w:w="1326" w:type="dxa"/>
                  <w:vAlign w:val="center"/>
                </w:tcPr>
                <w:p w14:paraId="07A907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1524" w:type="dxa"/>
                  <w:vAlign w:val="center"/>
                </w:tcPr>
                <w:p w14:paraId="0FEF70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底板高程（m）</w:t>
                  </w:r>
                </w:p>
              </w:tc>
              <w:tc>
                <w:tcPr>
                  <w:tcW w:w="2640" w:type="dxa"/>
                  <w:vAlign w:val="center"/>
                </w:tcPr>
                <w:p w14:paraId="61A95B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建设方案</w:t>
                  </w:r>
                </w:p>
              </w:tc>
              <w:tc>
                <w:tcPr>
                  <w:tcW w:w="692" w:type="dxa"/>
                  <w:vAlign w:val="center"/>
                </w:tcPr>
                <w:p w14:paraId="236CD1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04EE5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3" w:hRule="atLeast"/>
                <w:jc w:val="center"/>
              </w:trPr>
              <w:tc>
                <w:tcPr>
                  <w:tcW w:w="573" w:type="dxa"/>
                  <w:vAlign w:val="center"/>
                </w:tcPr>
                <w:p w14:paraId="4DBD23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316" w:type="dxa"/>
                  <w:vAlign w:val="center"/>
                </w:tcPr>
                <w:p w14:paraId="1E6F52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K4+820左岸</w:t>
                  </w:r>
                </w:p>
              </w:tc>
              <w:tc>
                <w:tcPr>
                  <w:tcW w:w="1326" w:type="dxa"/>
                  <w:vAlign w:val="center"/>
                </w:tcPr>
                <w:p w14:paraId="6D23E8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排涝涵1</w:t>
                  </w:r>
                </w:p>
              </w:tc>
              <w:tc>
                <w:tcPr>
                  <w:tcW w:w="1524" w:type="dxa"/>
                  <w:vAlign w:val="center"/>
                </w:tcPr>
                <w:p w14:paraId="63F857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90.00</w:t>
                  </w:r>
                </w:p>
              </w:tc>
              <w:tc>
                <w:tcPr>
                  <w:tcW w:w="2640" w:type="dxa"/>
                  <w:vAlign w:val="center"/>
                </w:tcPr>
                <w:p w14:paraId="27054D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拆建箱涵，3.5×2m（宽×高）</w:t>
                  </w:r>
                </w:p>
              </w:tc>
              <w:tc>
                <w:tcPr>
                  <w:tcW w:w="692" w:type="dxa"/>
                  <w:vAlign w:val="center"/>
                </w:tcPr>
                <w:p w14:paraId="4643ED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2D76C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jc w:val="center"/>
              </w:trPr>
              <w:tc>
                <w:tcPr>
                  <w:tcW w:w="573" w:type="dxa"/>
                  <w:vAlign w:val="center"/>
                </w:tcPr>
                <w:p w14:paraId="7E8953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316" w:type="dxa"/>
                  <w:vAlign w:val="center"/>
                </w:tcPr>
                <w:p w14:paraId="5D4B7F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K5+115左岸</w:t>
                  </w:r>
                </w:p>
              </w:tc>
              <w:tc>
                <w:tcPr>
                  <w:tcW w:w="1326" w:type="dxa"/>
                  <w:vAlign w:val="center"/>
                </w:tcPr>
                <w:p w14:paraId="357D46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排涝涵2</w:t>
                  </w:r>
                </w:p>
              </w:tc>
              <w:tc>
                <w:tcPr>
                  <w:tcW w:w="1524" w:type="dxa"/>
                  <w:vAlign w:val="center"/>
                </w:tcPr>
                <w:p w14:paraId="170441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85.33</w:t>
                  </w:r>
                </w:p>
              </w:tc>
              <w:tc>
                <w:tcPr>
                  <w:tcW w:w="2640" w:type="dxa"/>
                  <w:vAlign w:val="center"/>
                </w:tcPr>
                <w:p w14:paraId="73A5CE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拆建箱涵，2.5×2m（宽×高）</w:t>
                  </w:r>
                </w:p>
              </w:tc>
              <w:tc>
                <w:tcPr>
                  <w:tcW w:w="692" w:type="dxa"/>
                  <w:vAlign w:val="center"/>
                </w:tcPr>
                <w:p w14:paraId="4F5FAD6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3290C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vAlign w:val="center"/>
                </w:tcPr>
                <w:p w14:paraId="4ED43F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1316" w:type="dxa"/>
                  <w:vAlign w:val="center"/>
                </w:tcPr>
                <w:p w14:paraId="27EF88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K4+020左岸</w:t>
                  </w:r>
                </w:p>
              </w:tc>
              <w:tc>
                <w:tcPr>
                  <w:tcW w:w="1326" w:type="dxa"/>
                  <w:vAlign w:val="center"/>
                </w:tcPr>
                <w:p w14:paraId="01BE0A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排水渠出水涵</w:t>
                  </w:r>
                </w:p>
              </w:tc>
              <w:tc>
                <w:tcPr>
                  <w:tcW w:w="1524" w:type="dxa"/>
                  <w:vAlign w:val="center"/>
                </w:tcPr>
                <w:p w14:paraId="5666F5A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97.27</w:t>
                  </w:r>
                </w:p>
              </w:tc>
              <w:tc>
                <w:tcPr>
                  <w:tcW w:w="2640" w:type="dxa"/>
                  <w:vAlign w:val="center"/>
                </w:tcPr>
                <w:p w14:paraId="551F1A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拆建DN1000涵管</w:t>
                  </w:r>
                </w:p>
              </w:tc>
              <w:tc>
                <w:tcPr>
                  <w:tcW w:w="692" w:type="dxa"/>
                  <w:vAlign w:val="center"/>
                </w:tcPr>
                <w:p w14:paraId="3A78EFD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0B47A5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vAlign w:val="center"/>
                </w:tcPr>
                <w:p w14:paraId="38233B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316" w:type="dxa"/>
                  <w:vAlign w:val="center"/>
                </w:tcPr>
                <w:p w14:paraId="04D07C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K2+940右岸</w:t>
                  </w:r>
                </w:p>
              </w:tc>
              <w:tc>
                <w:tcPr>
                  <w:tcW w:w="1326" w:type="dxa"/>
                  <w:vAlign w:val="center"/>
                </w:tcPr>
                <w:p w14:paraId="3D876A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龙门冲涵</w:t>
                  </w:r>
                </w:p>
              </w:tc>
              <w:tc>
                <w:tcPr>
                  <w:tcW w:w="1524" w:type="dxa"/>
                  <w:vAlign w:val="center"/>
                </w:tcPr>
                <w:p w14:paraId="2BEBAF1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67.48</w:t>
                  </w:r>
                </w:p>
              </w:tc>
              <w:tc>
                <w:tcPr>
                  <w:tcW w:w="2640" w:type="dxa"/>
                  <w:vAlign w:val="center"/>
                </w:tcPr>
                <w:p w14:paraId="23183F4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出口增设消能工，挡墙拆建</w:t>
                  </w:r>
                </w:p>
              </w:tc>
              <w:tc>
                <w:tcPr>
                  <w:tcW w:w="692" w:type="dxa"/>
                  <w:vAlign w:val="center"/>
                </w:tcPr>
                <w:p w14:paraId="3AE3BB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r w14:paraId="1B9B4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73" w:type="dxa"/>
                  <w:vAlign w:val="center"/>
                </w:tcPr>
                <w:p w14:paraId="51DB8D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316" w:type="dxa"/>
                  <w:vAlign w:val="center"/>
                </w:tcPr>
                <w:p w14:paraId="19B40A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K11+250左岸</w:t>
                  </w:r>
                </w:p>
              </w:tc>
              <w:tc>
                <w:tcPr>
                  <w:tcW w:w="1326" w:type="dxa"/>
                  <w:vAlign w:val="center"/>
                </w:tcPr>
                <w:p w14:paraId="082C22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排水管</w:t>
                  </w:r>
                </w:p>
              </w:tc>
              <w:tc>
                <w:tcPr>
                  <w:tcW w:w="1524" w:type="dxa"/>
                  <w:vAlign w:val="center"/>
                </w:tcPr>
                <w:p w14:paraId="287909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68.80</w:t>
                  </w:r>
                </w:p>
              </w:tc>
              <w:tc>
                <w:tcPr>
                  <w:tcW w:w="2640" w:type="dxa"/>
                  <w:vAlign w:val="center"/>
                </w:tcPr>
                <w:p w14:paraId="5F0E5E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管涵拆除</w:t>
                  </w:r>
                </w:p>
              </w:tc>
              <w:tc>
                <w:tcPr>
                  <w:tcW w:w="692" w:type="dxa"/>
                  <w:vAlign w:val="center"/>
                </w:tcPr>
                <w:p w14:paraId="1EF9C4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拆除</w:t>
                  </w:r>
                </w:p>
              </w:tc>
            </w:tr>
          </w:tbl>
          <w:p w14:paraId="555C46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3、拦河坝工程</w:t>
            </w:r>
          </w:p>
          <w:p w14:paraId="41FBC28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本次加固拦河坝2座，现状拦河坝4堰身破损，不能充分发挥蓄水能力。本次加固堰身。现状拦河坝9下游左岸有淠源渠汇入，河底有冲坑，增设消力池设施，以稳定河槽。</w:t>
            </w:r>
          </w:p>
          <w:p w14:paraId="7FEEC2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表2-12  拦河坝改造参数表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2"/>
              <w:gridCol w:w="1166"/>
              <w:gridCol w:w="1220"/>
              <w:gridCol w:w="4214"/>
              <w:gridCol w:w="759"/>
            </w:tblGrid>
            <w:tr w14:paraId="2F2D4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712" w:type="dxa"/>
                  <w:vAlign w:val="center"/>
                </w:tcPr>
                <w:p w14:paraId="60AD71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序号</w:t>
                  </w:r>
                </w:p>
              </w:tc>
              <w:tc>
                <w:tcPr>
                  <w:tcW w:w="1166" w:type="dxa"/>
                  <w:vAlign w:val="center"/>
                </w:tcPr>
                <w:p w14:paraId="7BFDB3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桩号位置</w:t>
                  </w:r>
                </w:p>
              </w:tc>
              <w:tc>
                <w:tcPr>
                  <w:tcW w:w="1220" w:type="dxa"/>
                  <w:vAlign w:val="center"/>
                </w:tcPr>
                <w:p w14:paraId="468CE4D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4214" w:type="dxa"/>
                  <w:vAlign w:val="center"/>
                </w:tcPr>
                <w:p w14:paraId="00BFC85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建设方案</w:t>
                  </w:r>
                </w:p>
              </w:tc>
              <w:tc>
                <w:tcPr>
                  <w:tcW w:w="759" w:type="dxa"/>
                  <w:vAlign w:val="center"/>
                </w:tcPr>
                <w:p w14:paraId="355769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075EF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vAlign w:val="center"/>
                </w:tcPr>
                <w:p w14:paraId="5BE7F18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166" w:type="dxa"/>
                  <w:vAlign w:val="center"/>
                </w:tcPr>
                <w:p w14:paraId="28B20D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K4+210</w:t>
                  </w:r>
                </w:p>
              </w:tc>
              <w:tc>
                <w:tcPr>
                  <w:tcW w:w="1220" w:type="dxa"/>
                  <w:vAlign w:val="center"/>
                </w:tcPr>
                <w:p w14:paraId="16EF09E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拦河坝4</w:t>
                  </w:r>
                </w:p>
              </w:tc>
              <w:tc>
                <w:tcPr>
                  <w:tcW w:w="4214" w:type="dxa"/>
                  <w:vAlign w:val="center"/>
                </w:tcPr>
                <w:p w14:paraId="152D3C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坝身采用C30砼修复</w:t>
                  </w:r>
                </w:p>
              </w:tc>
              <w:tc>
                <w:tcPr>
                  <w:tcW w:w="759" w:type="dxa"/>
                  <w:vAlign w:val="center"/>
                </w:tcPr>
                <w:p w14:paraId="18F7F0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r w14:paraId="2568A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12" w:type="dxa"/>
                  <w:vAlign w:val="center"/>
                </w:tcPr>
                <w:p w14:paraId="4EC948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166" w:type="dxa"/>
                  <w:vAlign w:val="center"/>
                </w:tcPr>
                <w:p w14:paraId="3F8F12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K7+760</w:t>
                  </w:r>
                </w:p>
              </w:tc>
              <w:tc>
                <w:tcPr>
                  <w:tcW w:w="1220" w:type="dxa"/>
                  <w:vAlign w:val="center"/>
                </w:tcPr>
                <w:p w14:paraId="2558D9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拦河坝9</w:t>
                  </w:r>
                </w:p>
              </w:tc>
              <w:tc>
                <w:tcPr>
                  <w:tcW w:w="4214" w:type="dxa"/>
                  <w:vAlign w:val="center"/>
                </w:tcPr>
                <w:p w14:paraId="372D2E3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增设C30钢筋砼消力池，消力池长8m，宽58m。海漫长10m。</w:t>
                  </w:r>
                </w:p>
              </w:tc>
              <w:tc>
                <w:tcPr>
                  <w:tcW w:w="759" w:type="dxa"/>
                  <w:vAlign w:val="center"/>
                </w:tcPr>
                <w:p w14:paraId="420802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w:t>
                  </w:r>
                </w:p>
              </w:tc>
            </w:tr>
          </w:tbl>
          <w:p w14:paraId="411EDD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3.5.5新店河设计</w:t>
            </w:r>
          </w:p>
          <w:p w14:paraId="08DC73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bookmarkStart w:id="8" w:name="5.3.5.1堤防设计"/>
            <w:bookmarkEnd w:id="8"/>
            <w:bookmarkStart w:id="9" w:name="5.3.5.1堤防设计"/>
            <w:bookmarkEnd w:id="9"/>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3.5.5.1堤防设计</w:t>
            </w:r>
          </w:p>
          <w:p w14:paraId="507DC2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新店河执行“齐岸治理”（维持现状岸顶高程）标准，以“防冲不防淹”的治理思路进行河道治理。因此，本工程不涉及新店河堤防达标工程措施。</w:t>
            </w:r>
          </w:p>
          <w:p w14:paraId="3A807F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3.5.5.2护岸设计</w:t>
            </w:r>
          </w:p>
          <w:p w14:paraId="77CDD3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岸坡型式选择应结合安全、生态、景观、经济四个方面，考虑新店河用地受限，没有放坡条件，不适用坡面防护，采用浆砌石挡墙或素砼挡墙。</w:t>
            </w:r>
          </w:p>
          <w:p w14:paraId="0963F39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3.5.5.3河道断面设计</w:t>
            </w:r>
          </w:p>
          <w:p w14:paraId="18BF27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（1）新建挡墙</w:t>
            </w:r>
          </w:p>
          <w:p w14:paraId="5E815F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工程结合新店河的现场情况，新店河干流、支流左岸均紧临道路，道路后方分布有居民点，左岸局部冲刷造成道路破坏，甚至造成洪水漫溢，威胁居民区安全。因此，工程对新店河干流、支流左岸存在冲刷问题的岸段采用素砼挡墙加固，挡墙高度2.0m，墙趾埋深0.9m，墙趾采用开挖砂砾石回填。新店河干流、支流右岸紧临山体，局部有河漫滩，局部迎流顶冲段冲刷严重，易造成下游河道淤积，影响河道行洪。本工程对干流、支流右岸迎流顶冲段采用浆砌石挡墙加固，高度1.5~2.0m，墙趾埋深0.9m，墙趾采用开挖砂砾石回填。</w:t>
            </w:r>
          </w:p>
          <w:p w14:paraId="582F2D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（2）挡墙加固</w:t>
            </w:r>
          </w:p>
          <w:p w14:paraId="007835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根据现场调查，新店河干流桩号K0+470~K0+570现状浆砌石挡墙开裂，挡墙底部淘刷严重，本工程对该段墙面灌浆勾缝处理，挡墙底部进行灌浆加固。</w:t>
            </w:r>
          </w:p>
          <w:p w14:paraId="1926CB0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新店河干流桩号K5+960~K6+055现状挡墙高度不足，洪水易冲刷挡墙上部岸坡，形成冲刷陡坎，本工程对该段挡墙进行加高处理，挡墙加高0.5m。</w:t>
            </w:r>
          </w:p>
          <w:p w14:paraId="7F42A8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3.5.5.4河道建筑物设计</w:t>
            </w:r>
          </w:p>
          <w:p w14:paraId="170A18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新店河治理段干流总长7.0km，起点为印墩村，终点汇入戴家河。干流河底高程116.82~70.00m，纵坡纵坡0.0066，落差较大。河道沿线布置了多级拦河坝，用于减缓水流和稳定河槽，防止冲刷。</w:t>
            </w:r>
          </w:p>
          <w:p w14:paraId="729F3F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本工程新建干流拦河坝3座、加固干流拦河坝1座、拆建干流漫水桥1座、新建支流拦河坝1座。</w:t>
            </w:r>
          </w:p>
          <w:p w14:paraId="092819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表2-13  拦河坝改造参数表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1189"/>
              <w:gridCol w:w="1932"/>
              <w:gridCol w:w="1321"/>
              <w:gridCol w:w="1268"/>
              <w:gridCol w:w="1760"/>
            </w:tblGrid>
            <w:tr w14:paraId="59198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601" w:type="dxa"/>
                  <w:vAlign w:val="center"/>
                </w:tcPr>
                <w:p w14:paraId="1AF036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序号</w:t>
                  </w:r>
                </w:p>
              </w:tc>
              <w:tc>
                <w:tcPr>
                  <w:tcW w:w="1189" w:type="dxa"/>
                  <w:vAlign w:val="center"/>
                </w:tcPr>
                <w:p w14:paraId="5AD7D7E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桩号位置</w:t>
                  </w:r>
                </w:p>
              </w:tc>
              <w:tc>
                <w:tcPr>
                  <w:tcW w:w="1932" w:type="dxa"/>
                  <w:vAlign w:val="center"/>
                </w:tcPr>
                <w:p w14:paraId="0EC49E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1321" w:type="dxa"/>
                  <w:vAlign w:val="center"/>
                </w:tcPr>
                <w:p w14:paraId="3621F1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坝顶高程（m）</w:t>
                  </w:r>
                </w:p>
              </w:tc>
              <w:tc>
                <w:tcPr>
                  <w:tcW w:w="1268" w:type="dxa"/>
                  <w:vAlign w:val="center"/>
                </w:tcPr>
                <w:p w14:paraId="27A56D7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净宽（m）</w:t>
                  </w:r>
                </w:p>
              </w:tc>
              <w:tc>
                <w:tcPr>
                  <w:tcW w:w="1760" w:type="dxa"/>
                  <w:vAlign w:val="center"/>
                </w:tcPr>
                <w:p w14:paraId="15D7D8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614DC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vAlign w:val="center"/>
                </w:tcPr>
                <w:p w14:paraId="3C068E7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189" w:type="dxa"/>
                  <w:vAlign w:val="center"/>
                </w:tcPr>
                <w:p w14:paraId="132489A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K0+100</w:t>
                  </w:r>
                </w:p>
              </w:tc>
              <w:tc>
                <w:tcPr>
                  <w:tcW w:w="1932" w:type="dxa"/>
                  <w:vAlign w:val="center"/>
                </w:tcPr>
                <w:p w14:paraId="0951881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新建干流拦河坝1</w:t>
                  </w:r>
                </w:p>
              </w:tc>
              <w:tc>
                <w:tcPr>
                  <w:tcW w:w="1321" w:type="dxa"/>
                  <w:vAlign w:val="center"/>
                </w:tcPr>
                <w:p w14:paraId="470379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117.00</w:t>
                  </w:r>
                </w:p>
              </w:tc>
              <w:tc>
                <w:tcPr>
                  <w:tcW w:w="1268" w:type="dxa"/>
                  <w:vAlign w:val="center"/>
                </w:tcPr>
                <w:p w14:paraId="6F9FF0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c>
                <w:tcPr>
                  <w:tcW w:w="1760" w:type="dxa"/>
                  <w:vAlign w:val="center"/>
                </w:tcPr>
                <w:p w14:paraId="7EA108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80ED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vAlign w:val="center"/>
                </w:tcPr>
                <w:p w14:paraId="5053F3A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189" w:type="dxa"/>
                  <w:vAlign w:val="center"/>
                </w:tcPr>
                <w:p w14:paraId="593BA46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K2+070</w:t>
                  </w:r>
                </w:p>
              </w:tc>
              <w:tc>
                <w:tcPr>
                  <w:tcW w:w="1932" w:type="dxa"/>
                  <w:vAlign w:val="center"/>
                </w:tcPr>
                <w:p w14:paraId="6DF932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加固干流拦河坝2</w:t>
                  </w:r>
                </w:p>
              </w:tc>
              <w:tc>
                <w:tcPr>
                  <w:tcW w:w="1321" w:type="dxa"/>
                  <w:vAlign w:val="center"/>
                </w:tcPr>
                <w:p w14:paraId="1FB908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96.64</w:t>
                  </w:r>
                </w:p>
              </w:tc>
              <w:tc>
                <w:tcPr>
                  <w:tcW w:w="1268" w:type="dxa"/>
                  <w:vAlign w:val="center"/>
                </w:tcPr>
                <w:p w14:paraId="63D57C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w:t>
                  </w:r>
                </w:p>
              </w:tc>
              <w:tc>
                <w:tcPr>
                  <w:tcW w:w="1760" w:type="dxa"/>
                  <w:vAlign w:val="center"/>
                </w:tcPr>
                <w:p w14:paraId="76797C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8648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01" w:type="dxa"/>
                  <w:vAlign w:val="center"/>
                </w:tcPr>
                <w:p w14:paraId="2F4F84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1189" w:type="dxa"/>
                  <w:vAlign w:val="center"/>
                </w:tcPr>
                <w:p w14:paraId="36D07B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K3+322</w:t>
                  </w:r>
                </w:p>
              </w:tc>
              <w:tc>
                <w:tcPr>
                  <w:tcW w:w="1932" w:type="dxa"/>
                  <w:vAlign w:val="center"/>
                </w:tcPr>
                <w:p w14:paraId="4F0BB71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新建干流拦河坝3</w:t>
                  </w:r>
                </w:p>
              </w:tc>
              <w:tc>
                <w:tcPr>
                  <w:tcW w:w="1321" w:type="dxa"/>
                  <w:vAlign w:val="center"/>
                </w:tcPr>
                <w:p w14:paraId="33484F9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86.00</w:t>
                  </w:r>
                </w:p>
              </w:tc>
              <w:tc>
                <w:tcPr>
                  <w:tcW w:w="1268" w:type="dxa"/>
                  <w:vAlign w:val="center"/>
                </w:tcPr>
                <w:p w14:paraId="428470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22</w:t>
                  </w:r>
                </w:p>
              </w:tc>
              <w:tc>
                <w:tcPr>
                  <w:tcW w:w="1760" w:type="dxa"/>
                  <w:vAlign w:val="center"/>
                </w:tcPr>
                <w:p w14:paraId="55255F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3C0F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vAlign w:val="center"/>
                </w:tcPr>
                <w:p w14:paraId="612331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189" w:type="dxa"/>
                  <w:vAlign w:val="center"/>
                </w:tcPr>
                <w:p w14:paraId="3EC0AC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K4+122</w:t>
                  </w:r>
                </w:p>
              </w:tc>
              <w:tc>
                <w:tcPr>
                  <w:tcW w:w="1932" w:type="dxa"/>
                  <w:vAlign w:val="center"/>
                </w:tcPr>
                <w:p w14:paraId="34860A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新建干流拦河坝4</w:t>
                  </w:r>
                </w:p>
              </w:tc>
              <w:tc>
                <w:tcPr>
                  <w:tcW w:w="1321" w:type="dxa"/>
                  <w:vAlign w:val="center"/>
                </w:tcPr>
                <w:p w14:paraId="176CC1F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82.00</w:t>
                  </w:r>
                </w:p>
              </w:tc>
              <w:tc>
                <w:tcPr>
                  <w:tcW w:w="1268" w:type="dxa"/>
                  <w:vAlign w:val="center"/>
                </w:tcPr>
                <w:p w14:paraId="557665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26</w:t>
                  </w:r>
                </w:p>
              </w:tc>
              <w:tc>
                <w:tcPr>
                  <w:tcW w:w="1760" w:type="dxa"/>
                  <w:vAlign w:val="center"/>
                </w:tcPr>
                <w:p w14:paraId="0D9B5A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29EBE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vAlign w:val="center"/>
                </w:tcPr>
                <w:p w14:paraId="37E37D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189" w:type="dxa"/>
                  <w:vAlign w:val="center"/>
                </w:tcPr>
                <w:p w14:paraId="463189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K1+615</w:t>
                  </w:r>
                </w:p>
              </w:tc>
              <w:tc>
                <w:tcPr>
                  <w:tcW w:w="1932" w:type="dxa"/>
                  <w:vAlign w:val="center"/>
                </w:tcPr>
                <w:p w14:paraId="0A4666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新建支流拦河坝1</w:t>
                  </w:r>
                </w:p>
              </w:tc>
              <w:tc>
                <w:tcPr>
                  <w:tcW w:w="1321" w:type="dxa"/>
                  <w:vAlign w:val="center"/>
                </w:tcPr>
                <w:p w14:paraId="54D3452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116.00</w:t>
                  </w:r>
                </w:p>
              </w:tc>
              <w:tc>
                <w:tcPr>
                  <w:tcW w:w="1268" w:type="dxa"/>
                  <w:vAlign w:val="center"/>
                </w:tcPr>
                <w:p w14:paraId="0BE1C9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w:t>
                  </w:r>
                </w:p>
              </w:tc>
              <w:tc>
                <w:tcPr>
                  <w:tcW w:w="1760" w:type="dxa"/>
                  <w:vAlign w:val="center"/>
                </w:tcPr>
                <w:p w14:paraId="5679FD3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bl>
          <w:p w14:paraId="73B02D7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表2-14  漫水桥改造参数表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1"/>
              <w:gridCol w:w="1189"/>
              <w:gridCol w:w="1933"/>
              <w:gridCol w:w="1564"/>
              <w:gridCol w:w="1365"/>
              <w:gridCol w:w="1419"/>
            </w:tblGrid>
            <w:tr w14:paraId="3540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 w:hRule="atLeast"/>
                <w:jc w:val="center"/>
              </w:trPr>
              <w:tc>
                <w:tcPr>
                  <w:tcW w:w="601" w:type="dxa"/>
                  <w:vAlign w:val="center"/>
                </w:tcPr>
                <w:p w14:paraId="6A92B63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序号</w:t>
                  </w:r>
                </w:p>
              </w:tc>
              <w:tc>
                <w:tcPr>
                  <w:tcW w:w="1189" w:type="dxa"/>
                  <w:vAlign w:val="center"/>
                </w:tcPr>
                <w:p w14:paraId="31D3FE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桩号位置</w:t>
                  </w:r>
                </w:p>
              </w:tc>
              <w:tc>
                <w:tcPr>
                  <w:tcW w:w="1933" w:type="dxa"/>
                  <w:vAlign w:val="center"/>
                </w:tcPr>
                <w:p w14:paraId="760E411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名称</w:t>
                  </w:r>
                </w:p>
              </w:tc>
              <w:tc>
                <w:tcPr>
                  <w:tcW w:w="1564" w:type="dxa"/>
                  <w:vAlign w:val="center"/>
                </w:tcPr>
                <w:p w14:paraId="2562502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桥顶高程（m）</w:t>
                  </w:r>
                </w:p>
              </w:tc>
              <w:tc>
                <w:tcPr>
                  <w:tcW w:w="1365" w:type="dxa"/>
                  <w:vAlign w:val="center"/>
                </w:tcPr>
                <w:p w14:paraId="1318397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净宽（m）</w:t>
                  </w:r>
                </w:p>
              </w:tc>
              <w:tc>
                <w:tcPr>
                  <w:tcW w:w="1419" w:type="dxa"/>
                  <w:vAlign w:val="center"/>
                </w:tcPr>
                <w:p w14:paraId="31C624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长度（m）</w:t>
                  </w:r>
                </w:p>
              </w:tc>
            </w:tr>
            <w:tr w14:paraId="79F40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1" w:type="dxa"/>
                  <w:vAlign w:val="center"/>
                </w:tcPr>
                <w:p w14:paraId="3C4DA74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189" w:type="dxa"/>
                  <w:vAlign w:val="center"/>
                </w:tcPr>
                <w:p w14:paraId="15BF6A2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K4+860</w:t>
                  </w:r>
                </w:p>
              </w:tc>
              <w:tc>
                <w:tcPr>
                  <w:tcW w:w="1933" w:type="dxa"/>
                  <w:vAlign w:val="center"/>
                </w:tcPr>
                <w:p w14:paraId="565C8F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拆建1号漫水桥</w:t>
                  </w:r>
                </w:p>
              </w:tc>
              <w:tc>
                <w:tcPr>
                  <w:tcW w:w="1564" w:type="dxa"/>
                  <w:vAlign w:val="center"/>
                </w:tcPr>
                <w:p w14:paraId="091C1B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79.01</w:t>
                  </w:r>
                </w:p>
              </w:tc>
              <w:tc>
                <w:tcPr>
                  <w:tcW w:w="1365" w:type="dxa"/>
                  <w:vAlign w:val="center"/>
                </w:tcPr>
                <w:p w14:paraId="28D224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8.00</w:t>
                  </w:r>
                </w:p>
              </w:tc>
              <w:tc>
                <w:tcPr>
                  <w:tcW w:w="1419" w:type="dxa"/>
                  <w:vAlign w:val="center"/>
                </w:tcPr>
                <w:p w14:paraId="735696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18.12</w:t>
                  </w:r>
                </w:p>
              </w:tc>
            </w:tr>
          </w:tbl>
          <w:p w14:paraId="6B904D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bookmarkStart w:id="10" w:name="5.3.5.4.1拦河坝设计"/>
            <w:bookmarkEnd w:id="10"/>
            <w:bookmarkStart w:id="11" w:name="5.3.5.4.1拦河坝设计"/>
            <w:bookmarkEnd w:id="11"/>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拦河坝设计，典型设计以改造2号拦河坝为例。</w:t>
            </w:r>
          </w:p>
          <w:p w14:paraId="6E8263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（1）工程布置</w:t>
            </w:r>
          </w:p>
          <w:p w14:paraId="6BB8A8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改造2号拦河坝位于桩号K2+070处，从上游到下游分别为进口段，控制段，消力池段和海漫段。</w:t>
            </w:r>
          </w:p>
          <w:p w14:paraId="606AA9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进口段为毛石砼护底，两侧为浆砌石挡墙，进口段长4.0m，净宽14.0m，底板高程96.64m，进口段两岸新建浆砌石挡墙。</w:t>
            </w:r>
          </w:p>
          <w:p w14:paraId="36B362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控制段底板为钢筋砼结构，坝身采用毛石砼结构，加固段与老坝结构采用植筋加固连接，加固后控制段顺水流方向长5.52m，净宽14.0m，坝身台阶式布置，台阶平面形状为鱼麟型布置。坝顶高程96.84m，底板厚0.5m，第一级平台上部布置人行汀步。</w:t>
            </w:r>
          </w:p>
          <w:p w14:paraId="083D4E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消力池段为钢筋砼结构，长5.48m，净宽14.0m，底板高程94.50m。</w:t>
            </w:r>
          </w:p>
          <w:p w14:paraId="7F4C850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海漫段为毛石砼护底，海漫段长5.0m，净宽14.0m，底板高程95.00m，海曼段两侧为浆砌石挡墙。</w:t>
            </w:r>
          </w:p>
          <w:p w14:paraId="4646BD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（2）桥涵设计</w:t>
            </w:r>
          </w:p>
          <w:p w14:paraId="622AF5B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现状漫水桥位于新店河干流K4+860，现状已损坏且存在阻水现象，工程改建为桥涵。典型桥涵为C30混凝土现浇双孔桥涵，桥孔净尺寸为6m（宽）*3.5m（高）*5（孔），桥面长41.8m，净宽5m，总宽5.8m，上设50~100mm厚C40砼磨耗层。桥梁纵曲线结合实际地形与两端道路水平顺接连接。</w:t>
            </w:r>
          </w:p>
          <w:p w14:paraId="67FD2D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3.5.6幽芳河设计</w:t>
            </w:r>
          </w:p>
          <w:p w14:paraId="1093A3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bookmarkStart w:id="12" w:name="5.3.6.1河道设计"/>
            <w:bookmarkEnd w:id="12"/>
            <w:bookmarkStart w:id="13" w:name="5.3.6.1河道设计"/>
            <w:bookmarkEnd w:id="13"/>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3.5.6.1河道设计</w:t>
            </w:r>
          </w:p>
          <w:p w14:paraId="3B799FC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区域治理规划，幽芳河防洪标准为10~50年一遇。幽芳河沿线为高岗地无堤段。其中东石门水库溢洪道~迎宾大道（K0+000~BK3+600），防洪标准为10年一遇，堤防等级为5级；迎宾大道~高庙河段（K0+000~BK3+600），防洪标准为50年一遇，堤防等级为2级。</w:t>
            </w:r>
          </w:p>
          <w:p w14:paraId="14130D6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3.5.6.2岸坡防护设计</w:t>
            </w:r>
          </w:p>
          <w:p w14:paraId="290B97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岸坡型式选择应结合安全、生态、景观、经济四个方面考虑，对于具备放坡条件的河段采用联锁砖护坡；对于用地受限，没有放坡条件，不适用坡面防护，采用阶梯式生态挡墙，对于岸坡较缓，河道为梯形断面的位置，采用预制联锁块护坡。</w:t>
            </w:r>
          </w:p>
          <w:p w14:paraId="73D4F8B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3.5.6.3河道断面设计</w:t>
            </w:r>
          </w:p>
          <w:p w14:paraId="63D7E2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（1）东石门水库溢洪道~桥1（K0+000~K0+170）</w:t>
            </w:r>
          </w:p>
          <w:p w14:paraId="10662A7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东石门水库溢洪道~桥1防洪均满足标准，左岸K0+000~K0+088段岸坡为土坡，且该段临近居民区。其他段岸坡为浆砌石挡墙，底部存在掏空冲刷。本次对土质岸坡采用阶梯式生态挡墙进行防护，对现状浆砌石挡墙采用格宾石笼进行护底。</w:t>
            </w:r>
          </w:p>
          <w:p w14:paraId="4E21C2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（2）桥1~桥2（K0+170~K0+430）</w:t>
            </w:r>
          </w:p>
          <w:p w14:paraId="234BCF0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桥1~桥2段两岸防护达标，左岸为山体，右岸岸坡无防护且靠近道路。本次对右岸土质岸坡采用阶梯式生态挡墙进行防护，左岸山体段进行清杂整坡。</w:t>
            </w:r>
          </w:p>
          <w:p w14:paraId="7E92F92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（3）桥2~桥3（K0+430~K0+555）</w:t>
            </w:r>
          </w:p>
          <w:p w14:paraId="027C9D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桥2~桥3段两岸防护达标，左岸为山体，右岸岸坡靠近道路，现状浆砌石挡墙，墙底有冲刷和掏空问题。本次对右岸浆砌石挡墙底部采用格宾石笼进行防护，左岸山体段进行清杂整坡。</w:t>
            </w:r>
          </w:p>
          <w:p w14:paraId="2E42FE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（4）桥3~桥6（K0+555~K1+200）</w:t>
            </w:r>
          </w:p>
          <w:p w14:paraId="39C623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桥3~桥6段两岸防护达标，右岸为居民区和道路，现状岸坡为土坡，缺少防护。左岸靠近山体，杂草丛生。本次对右岸岸采用阶梯式生态挡墙护岸进行防护，左岸仅进行整坡清杂。</w:t>
            </w:r>
          </w:p>
          <w:p w14:paraId="481DDA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（5）桥6~拦河坝5（K1+200~K1+915）</w:t>
            </w:r>
          </w:p>
          <w:p w14:paraId="614BF8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桥6~拦河坝5段两岸防护达标，两岸为居民区，局部靠近山体。现状两岸为土坡，缺少防护。本次对两岸采用阶梯式生态挡墙护岸进行防护。</w:t>
            </w:r>
          </w:p>
          <w:p w14:paraId="4847A1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（6）拦河坝5~新建气盾坝2（K1+915~K4+110）</w:t>
            </w:r>
          </w:p>
          <w:p w14:paraId="218A12A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拦河坝5~新建气盾坝2段两岸现状为联锁块护坡，护坡联锁块老化缺失，底格埂开裂掏空。本次护坡进行拆建，岸坡底部采用阶梯式生态挡墙防护，挡墙顶部布置人行步道，挡墙顶至坡顶采用预制块防护。</w:t>
            </w:r>
          </w:p>
          <w:p w14:paraId="0B456D7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（7）新建气盾坝2~三斑路（K4+110~K5+210）</w:t>
            </w:r>
          </w:p>
          <w:p w14:paraId="75E39D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新建气盾坝2~三斑路段两岸现状为联锁块护坡，护坡底格埂存在冲刷和掏空。本次在底格埂外采用格宾石笼防护。</w:t>
            </w:r>
          </w:p>
          <w:p w14:paraId="6B1E3C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（8）三斑路~高庙河（K5+210~K6+360）</w:t>
            </w:r>
          </w:p>
          <w:p w14:paraId="570C0B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三斑路~文峰小学东侧段左岸为联锁块护坡，护坡底格埂存在冲刷和掏空。右岸为土质岸坡，缺少防护。本次在左岸底格埂外采用格宾石笼防护，右岸新建联锁块护坡。</w:t>
            </w:r>
          </w:p>
          <w:p w14:paraId="32E81BB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幽芳河河道岸坡防护汇总见下表：</w:t>
            </w:r>
          </w:p>
          <w:p w14:paraId="048B73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表2-15</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ab/>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幽芳河岸坡防护设计汇总表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40"/>
              <w:gridCol w:w="922"/>
              <w:gridCol w:w="922"/>
              <w:gridCol w:w="1166"/>
              <w:gridCol w:w="1644"/>
              <w:gridCol w:w="1166"/>
              <w:gridCol w:w="1411"/>
            </w:tblGrid>
            <w:tr w14:paraId="19A84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restart"/>
                  <w:vAlign w:val="center"/>
                </w:tcPr>
                <w:p w14:paraId="4AB51A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左右岸</w:t>
                  </w:r>
                </w:p>
              </w:tc>
              <w:tc>
                <w:tcPr>
                  <w:tcW w:w="922" w:type="dxa"/>
                  <w:vMerge w:val="restart"/>
                  <w:vAlign w:val="center"/>
                </w:tcPr>
                <w:p w14:paraId="30E30A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起点桩号</w:t>
                  </w:r>
                </w:p>
              </w:tc>
              <w:tc>
                <w:tcPr>
                  <w:tcW w:w="922" w:type="dxa"/>
                  <w:vMerge w:val="restart"/>
                  <w:vAlign w:val="center"/>
                </w:tcPr>
                <w:p w14:paraId="38AD78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终点桩号</w:t>
                  </w:r>
                </w:p>
              </w:tc>
              <w:tc>
                <w:tcPr>
                  <w:tcW w:w="5387" w:type="dxa"/>
                  <w:gridSpan w:val="4"/>
                  <w:vAlign w:val="center"/>
                </w:tcPr>
                <w:p w14:paraId="5C6F7F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护砌长度（</w:t>
                  </w:r>
                  <w:r>
                    <w:rPr>
                      <w:rFonts w:hint="default" w:ascii="Times New Roman" w:hAnsi="Times New Roman" w:eastAsia="宋体" w:cs="Times New Roman"/>
                      <w:b/>
                      <w:color w:val="000000" w:themeColor="text1"/>
                      <w:sz w:val="21"/>
                      <w:szCs w:val="21"/>
                      <w:lang w:eastAsia="zh-CN"/>
                      <w14:textFill>
                        <w14:solidFill>
                          <w14:schemeClr w14:val="tx1"/>
                        </w14:solidFill>
                      </w14:textFill>
                    </w:rPr>
                    <w:t>m</w:t>
                  </w:r>
                  <w:r>
                    <w:rPr>
                      <w:rFonts w:hint="default" w:ascii="Times New Roman" w:hAnsi="Times New Roman" w:eastAsia="宋体" w:cs="Times New Roman"/>
                      <w:b/>
                      <w:color w:val="000000" w:themeColor="text1"/>
                      <w:sz w:val="21"/>
                      <w:szCs w:val="21"/>
                      <w14:textFill>
                        <w14:solidFill>
                          <w14:schemeClr w14:val="tx1"/>
                        </w14:solidFill>
                      </w14:textFill>
                    </w:rPr>
                    <w:t>）</w:t>
                  </w:r>
                </w:p>
              </w:tc>
            </w:tr>
            <w:tr w14:paraId="78B9A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1CF9F8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Merge w:val="continue"/>
                  <w:tcBorders>
                    <w:top w:val="nil"/>
                  </w:tcBorders>
                  <w:vAlign w:val="center"/>
                </w:tcPr>
                <w:p w14:paraId="43F28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Merge w:val="continue"/>
                  <w:tcBorders>
                    <w:top w:val="nil"/>
                  </w:tcBorders>
                  <w:vAlign w:val="center"/>
                </w:tcPr>
                <w:p w14:paraId="2EE4B1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1F7DA5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生态挡墙</w:t>
                  </w:r>
                </w:p>
              </w:tc>
              <w:tc>
                <w:tcPr>
                  <w:tcW w:w="1644" w:type="dxa"/>
                  <w:vAlign w:val="center"/>
                </w:tcPr>
                <w:p w14:paraId="34B66C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格宾石笼固脚</w:t>
                  </w:r>
                </w:p>
              </w:tc>
              <w:tc>
                <w:tcPr>
                  <w:tcW w:w="1166" w:type="dxa"/>
                  <w:vAlign w:val="center"/>
                </w:tcPr>
                <w:p w14:paraId="24CE1F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岸坡清杂</w:t>
                  </w:r>
                </w:p>
              </w:tc>
              <w:tc>
                <w:tcPr>
                  <w:tcW w:w="1411" w:type="dxa"/>
                  <w:vAlign w:val="center"/>
                </w:tcPr>
                <w:p w14:paraId="2D2E76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预制块护坡</w:t>
                  </w:r>
                </w:p>
              </w:tc>
            </w:tr>
            <w:tr w14:paraId="0C91A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restart"/>
                  <w:vAlign w:val="center"/>
                </w:tcPr>
                <w:p w14:paraId="79C768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6481D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76A714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23AC18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左岸</w:t>
                  </w:r>
                </w:p>
              </w:tc>
              <w:tc>
                <w:tcPr>
                  <w:tcW w:w="922" w:type="dxa"/>
                  <w:vAlign w:val="center"/>
                </w:tcPr>
                <w:p w14:paraId="0CE47E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K0+000</w:t>
                  </w:r>
                </w:p>
              </w:tc>
              <w:tc>
                <w:tcPr>
                  <w:tcW w:w="922" w:type="dxa"/>
                  <w:vAlign w:val="center"/>
                </w:tcPr>
                <w:p w14:paraId="11F73A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K0+088</w:t>
                  </w:r>
                </w:p>
              </w:tc>
              <w:tc>
                <w:tcPr>
                  <w:tcW w:w="1166" w:type="dxa"/>
                  <w:vAlign w:val="center"/>
                </w:tcPr>
                <w:p w14:paraId="5A4745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w:t>
                  </w:r>
                </w:p>
              </w:tc>
              <w:tc>
                <w:tcPr>
                  <w:tcW w:w="1644" w:type="dxa"/>
                  <w:vAlign w:val="center"/>
                </w:tcPr>
                <w:p w14:paraId="4D4D38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72C200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590057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F0ED9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33C10A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023D88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K0+088</w:t>
                  </w:r>
                </w:p>
              </w:tc>
              <w:tc>
                <w:tcPr>
                  <w:tcW w:w="922" w:type="dxa"/>
                  <w:vAlign w:val="center"/>
                </w:tcPr>
                <w:p w14:paraId="224969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1166" w:type="dxa"/>
                  <w:vAlign w:val="center"/>
                </w:tcPr>
                <w:p w14:paraId="701241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068C3A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w:t>
                  </w:r>
                </w:p>
              </w:tc>
              <w:tc>
                <w:tcPr>
                  <w:tcW w:w="1166" w:type="dxa"/>
                  <w:vAlign w:val="center"/>
                </w:tcPr>
                <w:p w14:paraId="2266E8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646ADE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131C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67A24E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6066FB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922" w:type="dxa"/>
                  <w:vAlign w:val="center"/>
                </w:tcPr>
                <w:p w14:paraId="1F7CFD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K1+200</w:t>
                  </w:r>
                </w:p>
              </w:tc>
              <w:tc>
                <w:tcPr>
                  <w:tcW w:w="1166" w:type="dxa"/>
                  <w:vAlign w:val="center"/>
                </w:tcPr>
                <w:p w14:paraId="7BDB44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41BE24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0F0282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1030</w:t>
                  </w:r>
                </w:p>
              </w:tc>
              <w:tc>
                <w:tcPr>
                  <w:tcW w:w="1411" w:type="dxa"/>
                  <w:vAlign w:val="center"/>
                </w:tcPr>
                <w:p w14:paraId="18E0C5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34A4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23187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39279C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K1+200</w:t>
                  </w:r>
                </w:p>
              </w:tc>
              <w:tc>
                <w:tcPr>
                  <w:tcW w:w="922" w:type="dxa"/>
                  <w:vAlign w:val="center"/>
                </w:tcPr>
                <w:p w14:paraId="5FBE5D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1166" w:type="dxa"/>
                  <w:vAlign w:val="center"/>
                </w:tcPr>
                <w:p w14:paraId="47FC7E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715</w:t>
                  </w:r>
                </w:p>
              </w:tc>
              <w:tc>
                <w:tcPr>
                  <w:tcW w:w="1644" w:type="dxa"/>
                  <w:vAlign w:val="center"/>
                </w:tcPr>
                <w:p w14:paraId="73604B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07B10F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0C6231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6CA2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5287D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0E6919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922" w:type="dxa"/>
                  <w:vAlign w:val="center"/>
                </w:tcPr>
                <w:p w14:paraId="6A1B16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1166" w:type="dxa"/>
                  <w:vAlign w:val="center"/>
                </w:tcPr>
                <w:p w14:paraId="74F5F1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2195</w:t>
                  </w:r>
                </w:p>
              </w:tc>
              <w:tc>
                <w:tcPr>
                  <w:tcW w:w="1644" w:type="dxa"/>
                  <w:vAlign w:val="center"/>
                </w:tcPr>
                <w:p w14:paraId="64FED3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2D8E21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4652A7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76B3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79FF5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57783F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922" w:type="dxa"/>
                  <w:vAlign w:val="center"/>
                </w:tcPr>
                <w:p w14:paraId="1FE96F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K6+360</w:t>
                  </w:r>
                </w:p>
              </w:tc>
              <w:tc>
                <w:tcPr>
                  <w:tcW w:w="1166" w:type="dxa"/>
                  <w:vAlign w:val="center"/>
                </w:tcPr>
                <w:p w14:paraId="390530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3F2712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2250</w:t>
                  </w:r>
                </w:p>
              </w:tc>
              <w:tc>
                <w:tcPr>
                  <w:tcW w:w="1166" w:type="dxa"/>
                  <w:vAlign w:val="center"/>
                </w:tcPr>
                <w:p w14:paraId="7825A5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53DD58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FCB5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restart"/>
                  <w:vAlign w:val="center"/>
                </w:tcPr>
                <w:p w14:paraId="6AD3D6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017C48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338C8F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1B301B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023345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右岸</w:t>
                  </w:r>
                </w:p>
              </w:tc>
              <w:tc>
                <w:tcPr>
                  <w:tcW w:w="922" w:type="dxa"/>
                  <w:vAlign w:val="center"/>
                </w:tcPr>
                <w:p w14:paraId="49C46D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K0+000</w:t>
                  </w:r>
                </w:p>
              </w:tc>
              <w:tc>
                <w:tcPr>
                  <w:tcW w:w="922" w:type="dxa"/>
                  <w:vAlign w:val="center"/>
                </w:tcPr>
                <w:p w14:paraId="0FDD42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1166" w:type="dxa"/>
                  <w:vAlign w:val="center"/>
                </w:tcPr>
                <w:p w14:paraId="2589B1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5320E3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w:t>
                  </w:r>
                </w:p>
              </w:tc>
              <w:tc>
                <w:tcPr>
                  <w:tcW w:w="1166" w:type="dxa"/>
                  <w:vAlign w:val="center"/>
                </w:tcPr>
                <w:p w14:paraId="480AFE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00187A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4461E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7A9A67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7F1893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K0+170</w:t>
                  </w:r>
                </w:p>
              </w:tc>
              <w:tc>
                <w:tcPr>
                  <w:tcW w:w="922" w:type="dxa"/>
                  <w:vAlign w:val="center"/>
                </w:tcPr>
                <w:p w14:paraId="0A591E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K0+430</w:t>
                  </w:r>
                </w:p>
              </w:tc>
              <w:tc>
                <w:tcPr>
                  <w:tcW w:w="1166" w:type="dxa"/>
                  <w:vAlign w:val="center"/>
                </w:tcPr>
                <w:p w14:paraId="01D10D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260</w:t>
                  </w:r>
                </w:p>
              </w:tc>
              <w:tc>
                <w:tcPr>
                  <w:tcW w:w="1644" w:type="dxa"/>
                  <w:vAlign w:val="center"/>
                </w:tcPr>
                <w:p w14:paraId="77250B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5F0E13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453E52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CE4B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5BD2A2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3E1100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K0+430</w:t>
                  </w:r>
                </w:p>
              </w:tc>
              <w:tc>
                <w:tcPr>
                  <w:tcW w:w="922" w:type="dxa"/>
                  <w:vAlign w:val="center"/>
                </w:tcPr>
                <w:p w14:paraId="64C3FC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K0+555</w:t>
                  </w:r>
                </w:p>
              </w:tc>
              <w:tc>
                <w:tcPr>
                  <w:tcW w:w="1166" w:type="dxa"/>
                  <w:vAlign w:val="center"/>
                </w:tcPr>
                <w:p w14:paraId="565133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0E6A95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w:t>
                  </w:r>
                </w:p>
              </w:tc>
              <w:tc>
                <w:tcPr>
                  <w:tcW w:w="1166" w:type="dxa"/>
                  <w:vAlign w:val="center"/>
                </w:tcPr>
                <w:p w14:paraId="1CE5AF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3EE72F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2867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2F758C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34FF44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K0+555</w:t>
                  </w:r>
                </w:p>
              </w:tc>
              <w:tc>
                <w:tcPr>
                  <w:tcW w:w="922" w:type="dxa"/>
                  <w:vAlign w:val="center"/>
                </w:tcPr>
                <w:p w14:paraId="133F50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1166" w:type="dxa"/>
                  <w:vAlign w:val="center"/>
                </w:tcPr>
                <w:p w14:paraId="2CE711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1360</w:t>
                  </w:r>
                </w:p>
              </w:tc>
              <w:tc>
                <w:tcPr>
                  <w:tcW w:w="1644" w:type="dxa"/>
                  <w:vAlign w:val="center"/>
                </w:tcPr>
                <w:p w14:paraId="26484E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27EBB8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1A38F4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2F4E0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6C65D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4817BD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K1+915</w:t>
                  </w:r>
                </w:p>
              </w:tc>
              <w:tc>
                <w:tcPr>
                  <w:tcW w:w="922" w:type="dxa"/>
                  <w:vAlign w:val="center"/>
                </w:tcPr>
                <w:p w14:paraId="2805D0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1166" w:type="dxa"/>
                  <w:vAlign w:val="center"/>
                </w:tcPr>
                <w:p w14:paraId="10DB14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2195</w:t>
                  </w:r>
                </w:p>
              </w:tc>
              <w:tc>
                <w:tcPr>
                  <w:tcW w:w="1644" w:type="dxa"/>
                  <w:vAlign w:val="center"/>
                </w:tcPr>
                <w:p w14:paraId="1B8B95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3E91D0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0ECAA8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B662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7000C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26D379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K4+110</w:t>
                  </w:r>
                </w:p>
              </w:tc>
              <w:tc>
                <w:tcPr>
                  <w:tcW w:w="922" w:type="dxa"/>
                  <w:vAlign w:val="center"/>
                </w:tcPr>
                <w:p w14:paraId="2A6142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K5+210</w:t>
                  </w:r>
                </w:p>
              </w:tc>
              <w:tc>
                <w:tcPr>
                  <w:tcW w:w="1166" w:type="dxa"/>
                  <w:vAlign w:val="center"/>
                </w:tcPr>
                <w:p w14:paraId="20AEF8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6445D1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1100</w:t>
                  </w:r>
                </w:p>
              </w:tc>
              <w:tc>
                <w:tcPr>
                  <w:tcW w:w="1166" w:type="dxa"/>
                  <w:vAlign w:val="center"/>
                </w:tcPr>
                <w:p w14:paraId="334556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481E67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FFA33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6FA9B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265282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K5+210</w:t>
                  </w:r>
                </w:p>
              </w:tc>
              <w:tc>
                <w:tcPr>
                  <w:tcW w:w="922" w:type="dxa"/>
                  <w:vAlign w:val="center"/>
                </w:tcPr>
                <w:p w14:paraId="755515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K5+600</w:t>
                  </w:r>
                </w:p>
              </w:tc>
              <w:tc>
                <w:tcPr>
                  <w:tcW w:w="1166" w:type="dxa"/>
                  <w:vAlign w:val="center"/>
                </w:tcPr>
                <w:p w14:paraId="0F9C24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327F24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4663E4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019DB0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390</w:t>
                  </w:r>
                </w:p>
              </w:tc>
            </w:tr>
            <w:tr w14:paraId="37F6F0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40" w:type="dxa"/>
                  <w:vMerge w:val="continue"/>
                  <w:tcBorders>
                    <w:top w:val="nil"/>
                  </w:tcBorders>
                  <w:vAlign w:val="center"/>
                </w:tcPr>
                <w:p w14:paraId="74698F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922" w:type="dxa"/>
                  <w:vAlign w:val="center"/>
                </w:tcPr>
                <w:p w14:paraId="0DA71F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K5+600</w:t>
                  </w:r>
                </w:p>
              </w:tc>
              <w:tc>
                <w:tcPr>
                  <w:tcW w:w="922" w:type="dxa"/>
                  <w:vAlign w:val="center"/>
                </w:tcPr>
                <w:p w14:paraId="46E89D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K6+360</w:t>
                  </w:r>
                </w:p>
              </w:tc>
              <w:tc>
                <w:tcPr>
                  <w:tcW w:w="1166" w:type="dxa"/>
                  <w:vAlign w:val="center"/>
                </w:tcPr>
                <w:p w14:paraId="02B96F9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644" w:type="dxa"/>
                  <w:vAlign w:val="center"/>
                </w:tcPr>
                <w:p w14:paraId="6AE48E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166" w:type="dxa"/>
                  <w:vAlign w:val="center"/>
                </w:tcPr>
                <w:p w14:paraId="4CF056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11" w:type="dxa"/>
                  <w:vAlign w:val="center"/>
                </w:tcPr>
                <w:p w14:paraId="38D3A8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760</w:t>
                  </w:r>
                </w:p>
              </w:tc>
            </w:tr>
            <w:tr w14:paraId="752B0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684" w:type="dxa"/>
                  <w:gridSpan w:val="3"/>
                  <w:vAlign w:val="center"/>
                </w:tcPr>
                <w:p w14:paraId="6AEBD2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合计</w:t>
                  </w:r>
                </w:p>
              </w:tc>
              <w:tc>
                <w:tcPr>
                  <w:tcW w:w="1166" w:type="dxa"/>
                  <w:vAlign w:val="center"/>
                </w:tcPr>
                <w:p w14:paraId="53D53C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6813</w:t>
                  </w:r>
                </w:p>
              </w:tc>
              <w:tc>
                <w:tcPr>
                  <w:tcW w:w="1644" w:type="dxa"/>
                  <w:vAlign w:val="center"/>
                </w:tcPr>
                <w:p w14:paraId="19DCA6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3727</w:t>
                  </w:r>
                </w:p>
              </w:tc>
              <w:tc>
                <w:tcPr>
                  <w:tcW w:w="1166" w:type="dxa"/>
                  <w:vAlign w:val="center"/>
                </w:tcPr>
                <w:p w14:paraId="0FC7C9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1030</w:t>
                  </w:r>
                </w:p>
              </w:tc>
              <w:tc>
                <w:tcPr>
                  <w:tcW w:w="1411" w:type="dxa"/>
                  <w:vAlign w:val="center"/>
                </w:tcPr>
                <w:p w14:paraId="075BB7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1150</w:t>
                  </w:r>
                </w:p>
              </w:tc>
            </w:tr>
          </w:tbl>
          <w:p w14:paraId="4C3D0E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3.5.6.4河道纵断面设计</w:t>
            </w:r>
          </w:p>
          <w:p w14:paraId="2802A0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河道设计底坡根据现状河道地形条件、天然纵坡要求确定：一般情况下维持原有天然河道的底坡不变，原河道长6360m，河底高程101.41m降至63.88m，天然纵坡为6‰；当某河段行洪断面偏小时，该段可适当加大底坡，但下游河道则须适当变缓；以此为原则，分段确定各河道的设计纵坡。</w:t>
            </w:r>
          </w:p>
          <w:p w14:paraId="2F47A3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本次河道治理后，防洪及抗冲均满足要求，现状河底多为岩石会角砾层，挖除困难。因此本次保持现状纵坡基本不变，为6‰，仅局部挖除河道内阻水滩地</w:t>
            </w:r>
          </w:p>
          <w:p w14:paraId="0877E4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3.5.6.5河道建筑物设计</w:t>
            </w:r>
          </w:p>
          <w:p w14:paraId="1289B2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幽芳河现状长度6.36km，起点河底高程为102.41m，终点河底高程为63.88m，落差达38.53m，纵向坡比0.006，落差较大。河道沿线布置了多级拦河坝，用于减缓水流和稳定河槽，防止冲刷。如下图所示。本次满足泄洪安全的基础上，合理改造拦河建筑物。</w:t>
            </w:r>
          </w:p>
          <w:p w14:paraId="6D0B19A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现状拦河坝1老化破损，本次原址拆建。现状拦河坝4和5距离较近，且阻水严重，造成其上游K1+600~K1+900段汛期受淹。因此本次改造拦河坝4，在其两侧增加放空闸门，拦河坝5改建为气盾坝，汛期气盾坝可放平，解决阻水问题。河道中游段缺少拦河坝，河道内冲刷较严重，本次新建2座拦河坝，1座气盾坝，以减缓水流和稳定河槽。拦河坝6坝体表面开裂老化，下游存在冲刷，对其坝体和下游消力池进行改造。</w:t>
            </w:r>
          </w:p>
          <w:p w14:paraId="232821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表2-16  幽芳河配套建筑物统计表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04"/>
              <w:gridCol w:w="2145"/>
              <w:gridCol w:w="1470"/>
              <w:gridCol w:w="3152"/>
            </w:tblGrid>
            <w:tr w14:paraId="0E7AE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Align w:val="center"/>
                </w:tcPr>
                <w:p w14:paraId="5D147B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工程</w:t>
                  </w:r>
                </w:p>
              </w:tc>
              <w:tc>
                <w:tcPr>
                  <w:tcW w:w="2145" w:type="dxa"/>
                  <w:vAlign w:val="center"/>
                </w:tcPr>
                <w:p w14:paraId="11B3A0C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1470" w:type="dxa"/>
                  <w:vAlign w:val="center"/>
                </w:tcPr>
                <w:p w14:paraId="418205C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位置</w:t>
                  </w:r>
                </w:p>
              </w:tc>
              <w:tc>
                <w:tcPr>
                  <w:tcW w:w="3152" w:type="dxa"/>
                  <w:vAlign w:val="center"/>
                </w:tcPr>
                <w:p w14:paraId="15E3CB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77C10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restart"/>
                  <w:vAlign w:val="center"/>
                </w:tcPr>
                <w:p w14:paraId="174AE6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w:t>
                  </w:r>
                </w:p>
              </w:tc>
              <w:tc>
                <w:tcPr>
                  <w:tcW w:w="2145" w:type="dxa"/>
                  <w:vAlign w:val="center"/>
                </w:tcPr>
                <w:p w14:paraId="10F0320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拦河坝1</w:t>
                  </w:r>
                </w:p>
              </w:tc>
              <w:tc>
                <w:tcPr>
                  <w:tcW w:w="1470" w:type="dxa"/>
                  <w:vAlign w:val="center"/>
                </w:tcPr>
                <w:p w14:paraId="703822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K0+088</w:t>
                  </w:r>
                </w:p>
              </w:tc>
              <w:tc>
                <w:tcPr>
                  <w:tcW w:w="3152" w:type="dxa"/>
                  <w:vAlign w:val="center"/>
                </w:tcPr>
                <w:p w14:paraId="488F161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0A9142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vAlign w:val="center"/>
                </w:tcPr>
                <w:p w14:paraId="3A321F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145" w:type="dxa"/>
                  <w:vAlign w:val="center"/>
                </w:tcPr>
                <w:p w14:paraId="158A67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拦河坝4</w:t>
                  </w:r>
                </w:p>
              </w:tc>
              <w:tc>
                <w:tcPr>
                  <w:tcW w:w="1470" w:type="dxa"/>
                  <w:vAlign w:val="center"/>
                </w:tcPr>
                <w:p w14:paraId="335AF1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K1+650</w:t>
                  </w:r>
                </w:p>
              </w:tc>
              <w:tc>
                <w:tcPr>
                  <w:tcW w:w="3152" w:type="dxa"/>
                  <w:vAlign w:val="center"/>
                </w:tcPr>
                <w:p w14:paraId="1600732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改造，新增放空闸门2座</w:t>
                  </w:r>
                </w:p>
              </w:tc>
            </w:tr>
            <w:tr w14:paraId="20E33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vAlign w:val="center"/>
                </w:tcPr>
                <w:p w14:paraId="6A606F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145" w:type="dxa"/>
                  <w:vAlign w:val="center"/>
                </w:tcPr>
                <w:p w14:paraId="0E52ED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拦河坝6</w:t>
                  </w:r>
                </w:p>
              </w:tc>
              <w:tc>
                <w:tcPr>
                  <w:tcW w:w="1470" w:type="dxa"/>
                  <w:vAlign w:val="center"/>
                </w:tcPr>
                <w:p w14:paraId="1FD0D5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K2+575</w:t>
                  </w:r>
                </w:p>
              </w:tc>
              <w:tc>
                <w:tcPr>
                  <w:tcW w:w="3152" w:type="dxa"/>
                  <w:vAlign w:val="center"/>
                </w:tcPr>
                <w:p w14:paraId="5A3F3D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改造，改造坝体和消力池</w:t>
                  </w:r>
                </w:p>
              </w:tc>
            </w:tr>
            <w:tr w14:paraId="37D904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vAlign w:val="center"/>
                </w:tcPr>
                <w:p w14:paraId="174E01C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145" w:type="dxa"/>
                  <w:vAlign w:val="center"/>
                </w:tcPr>
                <w:p w14:paraId="5DEFF19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新建拦河坝1</w:t>
                  </w:r>
                </w:p>
              </w:tc>
              <w:tc>
                <w:tcPr>
                  <w:tcW w:w="1470" w:type="dxa"/>
                  <w:vAlign w:val="center"/>
                </w:tcPr>
                <w:p w14:paraId="2B7FA4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K2+270</w:t>
                  </w:r>
                </w:p>
              </w:tc>
              <w:tc>
                <w:tcPr>
                  <w:tcW w:w="3152" w:type="dxa"/>
                  <w:vAlign w:val="center"/>
                </w:tcPr>
                <w:p w14:paraId="648A0CD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r w14:paraId="189CE5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vAlign w:val="center"/>
                </w:tcPr>
                <w:p w14:paraId="234B44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145" w:type="dxa"/>
                  <w:vAlign w:val="center"/>
                </w:tcPr>
                <w:p w14:paraId="29920D3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新建拦河坝2</w:t>
                  </w:r>
                </w:p>
              </w:tc>
              <w:tc>
                <w:tcPr>
                  <w:tcW w:w="1470" w:type="dxa"/>
                  <w:vAlign w:val="center"/>
                </w:tcPr>
                <w:p w14:paraId="1813726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K2+940</w:t>
                  </w:r>
                </w:p>
              </w:tc>
              <w:tc>
                <w:tcPr>
                  <w:tcW w:w="3152" w:type="dxa"/>
                  <w:vAlign w:val="center"/>
                </w:tcPr>
                <w:p w14:paraId="00FC9A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r w14:paraId="3A0B38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restart"/>
                  <w:vAlign w:val="center"/>
                </w:tcPr>
                <w:p w14:paraId="48D8276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气盾坝</w:t>
                  </w:r>
                </w:p>
              </w:tc>
              <w:tc>
                <w:tcPr>
                  <w:tcW w:w="2145" w:type="dxa"/>
                  <w:vAlign w:val="center"/>
                </w:tcPr>
                <w:p w14:paraId="56A541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气盾坝1</w:t>
                  </w:r>
                </w:p>
              </w:tc>
              <w:tc>
                <w:tcPr>
                  <w:tcW w:w="1470" w:type="dxa"/>
                  <w:vAlign w:val="center"/>
                </w:tcPr>
                <w:p w14:paraId="2E7E26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K1+915</w:t>
                  </w:r>
                </w:p>
              </w:tc>
              <w:tc>
                <w:tcPr>
                  <w:tcW w:w="3152" w:type="dxa"/>
                  <w:vAlign w:val="center"/>
                </w:tcPr>
                <w:p w14:paraId="7FBA20D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拆除拦河坝5改建</w:t>
                  </w:r>
                </w:p>
              </w:tc>
            </w:tr>
            <w:tr w14:paraId="22EEB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304" w:type="dxa"/>
                  <w:vMerge w:val="continue"/>
                  <w:tcBorders>
                    <w:top w:val="nil"/>
                  </w:tcBorders>
                  <w:vAlign w:val="center"/>
                </w:tcPr>
                <w:p w14:paraId="54029E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145" w:type="dxa"/>
                  <w:vAlign w:val="center"/>
                </w:tcPr>
                <w:p w14:paraId="5F52C02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气盾坝2</w:t>
                  </w:r>
                </w:p>
              </w:tc>
              <w:tc>
                <w:tcPr>
                  <w:tcW w:w="1470" w:type="dxa"/>
                  <w:vAlign w:val="center"/>
                </w:tcPr>
                <w:p w14:paraId="7EA46D5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K4+110</w:t>
                  </w:r>
                </w:p>
              </w:tc>
              <w:tc>
                <w:tcPr>
                  <w:tcW w:w="3152" w:type="dxa"/>
                  <w:vAlign w:val="center"/>
                </w:tcPr>
                <w:p w14:paraId="24D5159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bl>
          <w:p w14:paraId="1F7CAC7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1.气盾坝工程</w:t>
            </w:r>
          </w:p>
          <w:p w14:paraId="094488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（1）气盾坝设计参数</w:t>
            </w:r>
          </w:p>
          <w:p w14:paraId="4B0D81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本次共建设2座气盾坝，设计参数见下表，以气盾坝1为典型设计。</w:t>
            </w:r>
          </w:p>
          <w:p w14:paraId="0B5870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表2-17  滚水坝设计参数</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2"/>
              <w:gridCol w:w="1297"/>
              <w:gridCol w:w="1362"/>
              <w:gridCol w:w="1610"/>
              <w:gridCol w:w="1103"/>
              <w:gridCol w:w="1937"/>
            </w:tblGrid>
            <w:tr w14:paraId="6B182A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2" w:type="dxa"/>
                  <w:vAlign w:val="center"/>
                </w:tcPr>
                <w:p w14:paraId="1F2F6E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序号</w:t>
                  </w:r>
                </w:p>
              </w:tc>
              <w:tc>
                <w:tcPr>
                  <w:tcW w:w="1297" w:type="dxa"/>
                  <w:vAlign w:val="center"/>
                </w:tcPr>
                <w:p w14:paraId="495982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桩号</w:t>
                  </w:r>
                </w:p>
              </w:tc>
              <w:tc>
                <w:tcPr>
                  <w:tcW w:w="1362" w:type="dxa"/>
                  <w:vAlign w:val="center"/>
                </w:tcPr>
                <w:p w14:paraId="311DB38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1610" w:type="dxa"/>
                  <w:vAlign w:val="center"/>
                </w:tcPr>
                <w:p w14:paraId="4A7861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坝顶高程（m）</w:t>
                  </w:r>
                </w:p>
              </w:tc>
              <w:tc>
                <w:tcPr>
                  <w:tcW w:w="1103" w:type="dxa"/>
                  <w:vAlign w:val="center"/>
                </w:tcPr>
                <w:p w14:paraId="272D81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坝宽（m）</w:t>
                  </w:r>
                </w:p>
              </w:tc>
              <w:tc>
                <w:tcPr>
                  <w:tcW w:w="1937" w:type="dxa"/>
                  <w:vAlign w:val="center"/>
                </w:tcPr>
                <w:p w14:paraId="43E2D37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796BF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2" w:type="dxa"/>
                  <w:vAlign w:val="center"/>
                </w:tcPr>
                <w:p w14:paraId="0C5380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297" w:type="dxa"/>
                  <w:vAlign w:val="center"/>
                </w:tcPr>
                <w:p w14:paraId="367026A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K1+915</w:t>
                  </w:r>
                </w:p>
              </w:tc>
              <w:tc>
                <w:tcPr>
                  <w:tcW w:w="1362" w:type="dxa"/>
                  <w:vAlign w:val="center"/>
                </w:tcPr>
                <w:p w14:paraId="2B5BC4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气盾坝1</w:t>
                  </w:r>
                </w:p>
              </w:tc>
              <w:tc>
                <w:tcPr>
                  <w:tcW w:w="1610" w:type="dxa"/>
                  <w:vAlign w:val="center"/>
                </w:tcPr>
                <w:p w14:paraId="0B81E07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85.5</w:t>
                  </w:r>
                </w:p>
              </w:tc>
              <w:tc>
                <w:tcPr>
                  <w:tcW w:w="1103" w:type="dxa"/>
                  <w:vAlign w:val="center"/>
                </w:tcPr>
                <w:p w14:paraId="614BE6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28</w:t>
                  </w:r>
                </w:p>
              </w:tc>
              <w:tc>
                <w:tcPr>
                  <w:tcW w:w="1937" w:type="dxa"/>
                  <w:vAlign w:val="center"/>
                </w:tcPr>
                <w:p w14:paraId="7C7ADAD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拆除拦河坝5改建</w:t>
                  </w:r>
                </w:p>
              </w:tc>
            </w:tr>
            <w:tr w14:paraId="3052C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62" w:type="dxa"/>
                  <w:vAlign w:val="center"/>
                </w:tcPr>
                <w:p w14:paraId="63EF75F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297" w:type="dxa"/>
                  <w:vAlign w:val="center"/>
                </w:tcPr>
                <w:p w14:paraId="72011A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K4+110</w:t>
                  </w:r>
                </w:p>
              </w:tc>
              <w:tc>
                <w:tcPr>
                  <w:tcW w:w="1362" w:type="dxa"/>
                  <w:vAlign w:val="center"/>
                </w:tcPr>
                <w:p w14:paraId="21F3FB3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气盾坝2</w:t>
                  </w:r>
                </w:p>
              </w:tc>
              <w:tc>
                <w:tcPr>
                  <w:tcW w:w="1610" w:type="dxa"/>
                  <w:vAlign w:val="center"/>
                </w:tcPr>
                <w:p w14:paraId="7848DA9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69.5</w:t>
                  </w:r>
                </w:p>
              </w:tc>
              <w:tc>
                <w:tcPr>
                  <w:tcW w:w="1103" w:type="dxa"/>
                  <w:vAlign w:val="center"/>
                </w:tcPr>
                <w:p w14:paraId="60B347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21</w:t>
                  </w:r>
                </w:p>
              </w:tc>
              <w:tc>
                <w:tcPr>
                  <w:tcW w:w="1937" w:type="dxa"/>
                  <w:vAlign w:val="center"/>
                </w:tcPr>
                <w:p w14:paraId="2C85C6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bl>
          <w:p w14:paraId="2FCCD89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（2）工程布置</w:t>
            </w:r>
          </w:p>
          <w:p w14:paraId="153C48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气盾坝1位于桩号K1+915，由拦河坝改建为气盾坝，解决汛期阻水问题的同时，保证日常减缓水流稳定河槽，设计流量为82.08m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/s。</w:t>
            </w:r>
          </w:p>
          <w:p w14:paraId="669D0C7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气盾坝按水流方向分别为进口段、控制段和消力池段。</w:t>
            </w:r>
          </w:p>
          <w:p w14:paraId="35AE79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进口段为钢筋混凝土八字墙，顺水流方向长7.0m，净宽28.0m，底板高程为84.00m，底板厚0.5m。</w:t>
            </w:r>
          </w:p>
          <w:p w14:paraId="4D9217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控制段顺水流方向长8.0m，净宽28.0m，底板高程84.00~83.60m，底板厚1.1~1.5m，气盾坝坝顶高程86.50m。</w:t>
            </w:r>
          </w:p>
          <w:p w14:paraId="1F3188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消力池段长18.62m，净宽28.00m，消力池深0.5m，池底顶高程为81.40m，底板厚0.5m。</w:t>
            </w:r>
          </w:p>
          <w:p w14:paraId="1FA5AF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设计洪水位，气盾坝放平泄洪，上游设计水位为85.35m，下游水位为84.80m。</w:t>
            </w:r>
          </w:p>
          <w:p w14:paraId="053403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2.拦河坝工程</w:t>
            </w:r>
          </w:p>
          <w:p w14:paraId="6A9035C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本次拆建拦河坝1座，新建拦河坝2座，改造拦河坝2座。设计参数见下表，以新建拦河坝1为典型设计。</w:t>
            </w:r>
          </w:p>
          <w:p w14:paraId="0523A2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表2-18  闸坝改造参数表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0"/>
              <w:gridCol w:w="1018"/>
              <w:gridCol w:w="1461"/>
              <w:gridCol w:w="1447"/>
              <w:gridCol w:w="1136"/>
              <w:gridCol w:w="2409"/>
            </w:tblGrid>
            <w:tr w14:paraId="2388F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600" w:type="dxa"/>
                  <w:vAlign w:val="center"/>
                </w:tcPr>
                <w:p w14:paraId="5DB194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序号</w:t>
                  </w:r>
                </w:p>
              </w:tc>
              <w:tc>
                <w:tcPr>
                  <w:tcW w:w="1018" w:type="dxa"/>
                  <w:vAlign w:val="center"/>
                </w:tcPr>
                <w:p w14:paraId="7FB9F1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桩号位置</w:t>
                  </w:r>
                </w:p>
              </w:tc>
              <w:tc>
                <w:tcPr>
                  <w:tcW w:w="1461" w:type="dxa"/>
                  <w:vAlign w:val="center"/>
                </w:tcPr>
                <w:p w14:paraId="5925188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名称</w:t>
                  </w:r>
                </w:p>
              </w:tc>
              <w:tc>
                <w:tcPr>
                  <w:tcW w:w="1447" w:type="dxa"/>
                  <w:vAlign w:val="center"/>
                </w:tcPr>
                <w:p w14:paraId="3D70600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坝顶高程（m）</w:t>
                  </w:r>
                </w:p>
              </w:tc>
              <w:tc>
                <w:tcPr>
                  <w:tcW w:w="1136" w:type="dxa"/>
                  <w:vAlign w:val="center"/>
                </w:tcPr>
                <w:p w14:paraId="1E5132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净宽（m）</w:t>
                  </w:r>
                </w:p>
              </w:tc>
              <w:tc>
                <w:tcPr>
                  <w:tcW w:w="2409" w:type="dxa"/>
                  <w:vAlign w:val="center"/>
                </w:tcPr>
                <w:p w14:paraId="547FA5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t>备注</w:t>
                  </w:r>
                </w:p>
              </w:tc>
            </w:tr>
            <w:tr w14:paraId="09DE8A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vAlign w:val="center"/>
                </w:tcPr>
                <w:p w14:paraId="308417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1018" w:type="dxa"/>
                  <w:vAlign w:val="center"/>
                </w:tcPr>
                <w:p w14:paraId="422716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K0+088</w:t>
                  </w:r>
                </w:p>
              </w:tc>
              <w:tc>
                <w:tcPr>
                  <w:tcW w:w="1461" w:type="dxa"/>
                  <w:vAlign w:val="center"/>
                </w:tcPr>
                <w:p w14:paraId="0E6991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拆建拦河坝1</w:t>
                  </w:r>
                </w:p>
              </w:tc>
              <w:tc>
                <w:tcPr>
                  <w:tcW w:w="1447" w:type="dxa"/>
                  <w:vAlign w:val="center"/>
                </w:tcPr>
                <w:p w14:paraId="0DFC78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101.6</w:t>
                  </w:r>
                </w:p>
              </w:tc>
              <w:tc>
                <w:tcPr>
                  <w:tcW w:w="1136" w:type="dxa"/>
                  <w:vAlign w:val="center"/>
                </w:tcPr>
                <w:p w14:paraId="55B8E22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15.5</w:t>
                  </w:r>
                </w:p>
              </w:tc>
              <w:tc>
                <w:tcPr>
                  <w:tcW w:w="2409" w:type="dxa"/>
                  <w:vAlign w:val="center"/>
                </w:tcPr>
                <w:p w14:paraId="5F9057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拆建</w:t>
                  </w:r>
                </w:p>
              </w:tc>
            </w:tr>
            <w:tr w14:paraId="0FA40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vAlign w:val="center"/>
                </w:tcPr>
                <w:p w14:paraId="4400CC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1018" w:type="dxa"/>
                  <w:vAlign w:val="center"/>
                </w:tcPr>
                <w:p w14:paraId="18D8D5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K1+650</w:t>
                  </w:r>
                </w:p>
              </w:tc>
              <w:tc>
                <w:tcPr>
                  <w:tcW w:w="1461" w:type="dxa"/>
                  <w:vAlign w:val="center"/>
                </w:tcPr>
                <w:p w14:paraId="3D7015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改造拦河坝4</w:t>
                  </w:r>
                </w:p>
              </w:tc>
              <w:tc>
                <w:tcPr>
                  <w:tcW w:w="1447" w:type="dxa"/>
                  <w:vAlign w:val="center"/>
                </w:tcPr>
                <w:p w14:paraId="2B6F61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86.4</w:t>
                  </w:r>
                </w:p>
              </w:tc>
              <w:tc>
                <w:tcPr>
                  <w:tcW w:w="1136" w:type="dxa"/>
                  <w:vAlign w:val="center"/>
                </w:tcPr>
                <w:p w14:paraId="1F9B7FB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18</w:t>
                  </w:r>
                </w:p>
              </w:tc>
              <w:tc>
                <w:tcPr>
                  <w:tcW w:w="2409" w:type="dxa"/>
                  <w:vAlign w:val="center"/>
                </w:tcPr>
                <w:p w14:paraId="6F44051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改造，新增放空闸门2座</w:t>
                  </w:r>
                </w:p>
              </w:tc>
            </w:tr>
            <w:tr w14:paraId="3F4BB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vAlign w:val="center"/>
                </w:tcPr>
                <w:p w14:paraId="63473D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w:t>
                  </w:r>
                </w:p>
              </w:tc>
              <w:tc>
                <w:tcPr>
                  <w:tcW w:w="1018" w:type="dxa"/>
                  <w:vAlign w:val="center"/>
                </w:tcPr>
                <w:p w14:paraId="3334E1D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K2+270</w:t>
                  </w:r>
                </w:p>
              </w:tc>
              <w:tc>
                <w:tcPr>
                  <w:tcW w:w="1461" w:type="dxa"/>
                  <w:vAlign w:val="center"/>
                </w:tcPr>
                <w:p w14:paraId="0D6C6E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新建拦河坝1</w:t>
                  </w:r>
                </w:p>
              </w:tc>
              <w:tc>
                <w:tcPr>
                  <w:tcW w:w="1447" w:type="dxa"/>
                  <w:vAlign w:val="center"/>
                </w:tcPr>
                <w:p w14:paraId="33F3904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82.0</w:t>
                  </w:r>
                </w:p>
              </w:tc>
              <w:tc>
                <w:tcPr>
                  <w:tcW w:w="1136" w:type="dxa"/>
                  <w:vAlign w:val="center"/>
                </w:tcPr>
                <w:p w14:paraId="42C2818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29</w:t>
                  </w:r>
                </w:p>
              </w:tc>
              <w:tc>
                <w:tcPr>
                  <w:tcW w:w="2409" w:type="dxa"/>
                  <w:vAlign w:val="center"/>
                </w:tcPr>
                <w:p w14:paraId="46839EC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r w14:paraId="76D91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vAlign w:val="center"/>
                </w:tcPr>
                <w:p w14:paraId="1A79A23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w:t>
                  </w:r>
                </w:p>
              </w:tc>
              <w:tc>
                <w:tcPr>
                  <w:tcW w:w="1018" w:type="dxa"/>
                  <w:vAlign w:val="center"/>
                </w:tcPr>
                <w:p w14:paraId="147B0B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K2+575</w:t>
                  </w:r>
                </w:p>
              </w:tc>
              <w:tc>
                <w:tcPr>
                  <w:tcW w:w="1461" w:type="dxa"/>
                  <w:vAlign w:val="center"/>
                </w:tcPr>
                <w:p w14:paraId="719375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改造拦河坝6</w:t>
                  </w:r>
                </w:p>
              </w:tc>
              <w:tc>
                <w:tcPr>
                  <w:tcW w:w="1447" w:type="dxa"/>
                  <w:vAlign w:val="center"/>
                </w:tcPr>
                <w:p w14:paraId="73FDBA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79.8</w:t>
                  </w:r>
                </w:p>
              </w:tc>
              <w:tc>
                <w:tcPr>
                  <w:tcW w:w="1136" w:type="dxa"/>
                  <w:vAlign w:val="center"/>
                </w:tcPr>
                <w:p w14:paraId="674495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32</w:t>
                  </w:r>
                </w:p>
              </w:tc>
              <w:tc>
                <w:tcPr>
                  <w:tcW w:w="2409" w:type="dxa"/>
                  <w:vAlign w:val="center"/>
                </w:tcPr>
                <w:p w14:paraId="55F0E8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改造，改造坝体和消力池</w:t>
                  </w:r>
                </w:p>
              </w:tc>
            </w:tr>
            <w:tr w14:paraId="0AC5C6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00" w:type="dxa"/>
                  <w:vAlign w:val="center"/>
                </w:tcPr>
                <w:p w14:paraId="7040113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w:t>
                  </w:r>
                </w:p>
              </w:tc>
              <w:tc>
                <w:tcPr>
                  <w:tcW w:w="1018" w:type="dxa"/>
                  <w:vAlign w:val="center"/>
                </w:tcPr>
                <w:p w14:paraId="3CA854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K2+940</w:t>
                  </w:r>
                </w:p>
              </w:tc>
              <w:tc>
                <w:tcPr>
                  <w:tcW w:w="1461" w:type="dxa"/>
                  <w:vAlign w:val="center"/>
                </w:tcPr>
                <w:p w14:paraId="129DA0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新建拦河坝2</w:t>
                  </w:r>
                </w:p>
              </w:tc>
              <w:tc>
                <w:tcPr>
                  <w:tcW w:w="1447" w:type="dxa"/>
                  <w:vAlign w:val="center"/>
                </w:tcPr>
                <w:p w14:paraId="3DBA35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76.1</w:t>
                  </w:r>
                </w:p>
              </w:tc>
              <w:tc>
                <w:tcPr>
                  <w:tcW w:w="1136" w:type="dxa"/>
                  <w:vAlign w:val="center"/>
                </w:tcPr>
                <w:p w14:paraId="28D0E2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23</w:t>
                  </w:r>
                </w:p>
              </w:tc>
              <w:tc>
                <w:tcPr>
                  <w:tcW w:w="2409" w:type="dxa"/>
                  <w:vAlign w:val="center"/>
                </w:tcPr>
                <w:p w14:paraId="5244096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新建</w:t>
                  </w:r>
                </w:p>
              </w:tc>
            </w:tr>
          </w:tbl>
          <w:p w14:paraId="1F134E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（1）工程总体布置</w:t>
            </w:r>
          </w:p>
          <w:p w14:paraId="7E16F59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新建拦河坝1位于桩号K2+270处，从上游到下游分别为进口段，控制段，消力池段和海漫段。</w:t>
            </w:r>
          </w:p>
          <w:p w14:paraId="62800A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进口段为钢筋混凝土八字墙，长6.0m，净宽29.0m，底板高程81.0m。</w:t>
            </w:r>
          </w:p>
          <w:p w14:paraId="1303C0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控制段顺水流方向长10.5m，净宽29.0m，底板高程82.00~81.00m，底板厚1.1~1.5m，坝顶高程82.00m。</w:t>
            </w:r>
          </w:p>
          <w:p w14:paraId="485412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3.5.5.6管理设施</w:t>
            </w:r>
          </w:p>
          <w:p w14:paraId="49C0A5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本次改造巡查道路位于幽芳河右岸，桩号范围K1+800~K3+600右岸，在现状水泥路面基础上加铺沥青面层，改造为沥青路，净宽4.0m。</w:t>
            </w:r>
          </w:p>
          <w:p w14:paraId="25D520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道路结构方案：</w:t>
            </w:r>
          </w:p>
          <w:p w14:paraId="71A4728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3cm细粒式沥青砼(AC-13)</w:t>
            </w:r>
          </w:p>
          <w:p w14:paraId="7F4853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5cm中粒式沥青混凝土（AC-20）沥青封层</w:t>
            </w:r>
          </w:p>
          <w:p w14:paraId="030CB9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现状水泥路面面层道路结构详见下图：</w:t>
            </w:r>
          </w:p>
          <w:p w14:paraId="17BF6F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drawing>
                <wp:inline distT="0" distB="0" distL="0" distR="0">
                  <wp:extent cx="3850640" cy="1795145"/>
                  <wp:effectExtent l="0" t="0" r="16510" b="14605"/>
                  <wp:docPr id="627" name="image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image351.jpeg"/>
                          <pic:cNvPicPr>
                            <a:picLocks noChangeAspect="1"/>
                          </pic:cNvPicPr>
                        </pic:nvPicPr>
                        <pic:blipFill>
                          <a:blip r:embed="rId18" cstate="print"/>
                          <a:stretch>
                            <a:fillRect/>
                          </a:stretch>
                        </pic:blipFill>
                        <pic:spPr>
                          <a:xfrm>
                            <a:off x="0" y="0"/>
                            <a:ext cx="3850539" cy="1795272"/>
                          </a:xfrm>
                          <a:prstGeom prst="rect">
                            <a:avLst/>
                          </a:prstGeom>
                        </pic:spPr>
                      </pic:pic>
                    </a:graphicData>
                  </a:graphic>
                </wp:inline>
              </w:drawing>
            </w:r>
          </w:p>
          <w:p w14:paraId="17C501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w:t>
            </w: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2-9  巡查道路结构图</w:t>
            </w:r>
          </w:p>
          <w:p w14:paraId="63DFBAC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3.6排水管网新建工程方案</w:t>
            </w:r>
          </w:p>
          <w:p w14:paraId="43CEFB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3.6.1柳林河、幽芳河排水管网新建工程方案</w:t>
            </w:r>
          </w:p>
          <w:p w14:paraId="5D98C3B0">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本次设计沿柳林河、幽芳河河道两岸布置污水主管，沿河居民住宅通过敷设支管接入主管，主管接入现状市政管道至污水厂。</w:t>
            </w:r>
          </w:p>
          <w:p w14:paraId="37B6EA19">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3.6.1.1柳林河管网新建工程设计</w:t>
            </w:r>
          </w:p>
          <w:p w14:paraId="00D2A4C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根据现场条件，沿柳林河西侧布置De315主管，接沿河居民住宅污水，由南向北接入现状市政管道至污水厂，管道总平面布置如下：</w:t>
            </w:r>
          </w:p>
          <w:p w14:paraId="3D46D684">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drawing>
                <wp:inline distT="0" distB="0" distL="0" distR="0">
                  <wp:extent cx="4871085" cy="3775710"/>
                  <wp:effectExtent l="0" t="0" r="5715" b="15240"/>
                  <wp:docPr id="2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a:picLocks noChangeAspect="1"/>
                          </pic:cNvPicPr>
                        </pic:nvPicPr>
                        <pic:blipFill>
                          <a:blip r:embed="rId19" cstate="print"/>
                          <a:stretch>
                            <a:fillRect/>
                          </a:stretch>
                        </pic:blipFill>
                        <pic:spPr>
                          <a:xfrm>
                            <a:off x="0" y="0"/>
                            <a:ext cx="4871085" cy="3775710"/>
                          </a:xfrm>
                          <a:prstGeom prst="rect">
                            <a:avLst/>
                          </a:prstGeom>
                        </pic:spPr>
                      </pic:pic>
                    </a:graphicData>
                  </a:graphic>
                </wp:inline>
              </w:drawing>
            </w:r>
          </w:p>
          <w:p w14:paraId="67A7EC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 2-10</w:t>
            </w:r>
            <w:r>
              <w:rPr>
                <w:rFonts w:hint="eastAsia" w:cs="Times New Roman"/>
                <w:b/>
                <w:bCs/>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柳林河管网总平面布置图</w:t>
            </w:r>
          </w:p>
          <w:p w14:paraId="12416419">
            <w:pPr>
              <w:pStyle w:val="46"/>
              <w:keepNext w:val="0"/>
              <w:keepLines w:val="0"/>
              <w:pageBreakBefore w:val="0"/>
              <w:numPr>
                <w:ilvl w:val="0"/>
                <w:numId w:val="0"/>
              </w:numPr>
              <w:suppressLineNumbers w:val="0"/>
              <w:tabs>
                <w:tab w:val="left" w:pos="1320"/>
              </w:tabs>
              <w:kinsoku/>
              <w:wordWrap/>
              <w:overflowPunct/>
              <w:topLinePunct w:val="0"/>
              <w:bidi w:val="0"/>
              <w:adjustRightInd/>
              <w:snapToGrid/>
              <w:spacing w:before="0" w:beforeAutospacing="0" w:after="0" w:afterAutospacing="0" w:line="360" w:lineRule="auto"/>
              <w:ind w:leftChars="200" w:right="0" w:rightChars="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3.6.1.2幽芳河管网新建工程设计</w:t>
            </w:r>
          </w:p>
          <w:p w14:paraId="5EA2F3F8">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根据现场条件，沿幽芳河西侧布置De315主管，接沿河居民住宅污水，由南向北接入现状市政管道至污水厂，管道总平面布置如下：</w:t>
            </w:r>
          </w:p>
          <w:p w14:paraId="56CE47FE">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drawing>
                <wp:inline distT="0" distB="0" distL="0" distR="0">
                  <wp:extent cx="4012565" cy="3223260"/>
                  <wp:effectExtent l="0" t="0" r="6985" b="1524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0" cstate="print"/>
                          <a:stretch>
                            <a:fillRect/>
                          </a:stretch>
                        </pic:blipFill>
                        <pic:spPr>
                          <a:xfrm>
                            <a:off x="0" y="0"/>
                            <a:ext cx="4012565" cy="3223260"/>
                          </a:xfrm>
                          <a:prstGeom prst="rect">
                            <a:avLst/>
                          </a:prstGeom>
                        </pic:spPr>
                      </pic:pic>
                    </a:graphicData>
                  </a:graphic>
                </wp:inline>
              </w:drawing>
            </w:r>
          </w:p>
          <w:p w14:paraId="1795FF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 2-11  幽芳河管网总平面布置图</w:t>
            </w:r>
          </w:p>
          <w:p w14:paraId="417259A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根据现场条件，幽芳河上游段因地形起伏及河道隔断，本段采用一体化设施集中处理及资源化利用分散处理方式，收集东土路、三斑路两岸居民生活污水。一体化设施集中</w:t>
            </w:r>
            <w:r>
              <w:rPr>
                <w:rFonts w:hint="default" w:ascii="Times New Roman" w:hAnsi="Times New Roman" w:eastAsia="宋体" w:cs="Times New Roman"/>
                <w:color w:val="000000" w:themeColor="text1"/>
                <w:lang w:val="en-US" w:eastAsia="zh-CN"/>
                <w14:textFill>
                  <w14:solidFill>
                    <w14:schemeClr w14:val="tx1"/>
                  </w14:solidFill>
                </w14:textFill>
              </w:rPr>
              <w:t>处理后废水排至人工湿地。</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资源化利用方式结合周边情况，可排入农灌沟进行农用回灌，或者进行林地漫灌，避免直接排入地表水，减少对地表水的污染。</w:t>
            </w:r>
          </w:p>
          <w:p w14:paraId="131D2FEB">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drawing>
                <wp:inline distT="0" distB="0" distL="0" distR="0">
                  <wp:extent cx="4533265" cy="2338070"/>
                  <wp:effectExtent l="0" t="0" r="635" b="5080"/>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jpeg"/>
                          <pic:cNvPicPr>
                            <a:picLocks noChangeAspect="1"/>
                          </pic:cNvPicPr>
                        </pic:nvPicPr>
                        <pic:blipFill>
                          <a:blip r:embed="rId21" cstate="print"/>
                          <a:stretch>
                            <a:fillRect/>
                          </a:stretch>
                        </pic:blipFill>
                        <pic:spPr>
                          <a:xfrm>
                            <a:off x="0" y="0"/>
                            <a:ext cx="4533265" cy="2338070"/>
                          </a:xfrm>
                          <a:prstGeom prst="rect">
                            <a:avLst/>
                          </a:prstGeom>
                        </pic:spPr>
                      </pic:pic>
                    </a:graphicData>
                  </a:graphic>
                </wp:inline>
              </w:drawing>
            </w:r>
          </w:p>
          <w:p w14:paraId="7400572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图2-12  东土路周边污水管网布置</w:t>
            </w:r>
          </w:p>
          <w:p w14:paraId="64A8B561">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drawing>
                <wp:inline distT="0" distB="0" distL="0" distR="0">
                  <wp:extent cx="5064760" cy="2999740"/>
                  <wp:effectExtent l="0" t="0" r="2540" b="10160"/>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jpeg"/>
                          <pic:cNvPicPr>
                            <a:picLocks noChangeAspect="1"/>
                          </pic:cNvPicPr>
                        </pic:nvPicPr>
                        <pic:blipFill>
                          <a:blip r:embed="rId22" cstate="print"/>
                          <a:stretch>
                            <a:fillRect/>
                          </a:stretch>
                        </pic:blipFill>
                        <pic:spPr>
                          <a:xfrm>
                            <a:off x="0" y="0"/>
                            <a:ext cx="5064760" cy="2999740"/>
                          </a:xfrm>
                          <a:prstGeom prst="rect">
                            <a:avLst/>
                          </a:prstGeom>
                        </pic:spPr>
                      </pic:pic>
                    </a:graphicData>
                  </a:graphic>
                </wp:inline>
              </w:drawing>
            </w:r>
          </w:p>
          <w:p w14:paraId="699A300F">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图2-13  幽芳河管网平面布置分图</w:t>
            </w:r>
          </w:p>
          <w:p w14:paraId="0D64B210">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污水管道由南向北沿三斑路、穿过迎宾大道，接入现状市政管道至污水厂，管道总平面布置如下，管道布置结合污水提升泵站的位置及地势等情况进行分布。</w:t>
            </w:r>
          </w:p>
          <w:p w14:paraId="79543D11">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drawing>
                <wp:inline distT="0" distB="0" distL="0" distR="0">
                  <wp:extent cx="2839085" cy="3789680"/>
                  <wp:effectExtent l="0" t="0" r="18415" b="1270"/>
                  <wp:docPr id="2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6.jpeg"/>
                          <pic:cNvPicPr>
                            <a:picLocks noChangeAspect="1"/>
                          </pic:cNvPicPr>
                        </pic:nvPicPr>
                        <pic:blipFill>
                          <a:blip r:embed="rId23" cstate="print"/>
                          <a:stretch>
                            <a:fillRect/>
                          </a:stretch>
                        </pic:blipFill>
                        <pic:spPr>
                          <a:xfrm>
                            <a:off x="0" y="0"/>
                            <a:ext cx="2839085" cy="3789680"/>
                          </a:xfrm>
                          <a:prstGeom prst="rect">
                            <a:avLst/>
                          </a:prstGeom>
                        </pic:spPr>
                      </pic:pic>
                    </a:graphicData>
                  </a:graphic>
                </wp:inline>
              </w:drawing>
            </w:r>
          </w:p>
          <w:p w14:paraId="5A697EAB">
            <w:pPr>
              <w:keepNext w:val="0"/>
              <w:keepLines w:val="0"/>
              <w:pageBreakBefore w:val="0"/>
              <w:suppressLineNumbers w:val="0"/>
              <w:tabs>
                <w:tab w:val="left" w:pos="4121"/>
              </w:tabs>
              <w:kinsoku/>
              <w:wordWrap/>
              <w:overflowPunct/>
              <w:topLinePunct w:val="0"/>
              <w:bidi w:val="0"/>
              <w:adjustRightInd/>
              <w:snapToGrid/>
              <w:spacing w:before="0" w:beforeAutospacing="0" w:after="0" w:afterAutospacing="0" w:line="360" w:lineRule="auto"/>
              <w:ind w:left="0" w:right="0" w:firstLine="482" w:firstLineChars="200"/>
              <w:jc w:val="center"/>
              <w:textAlignment w:val="auto"/>
              <w:rPr>
                <w:rFonts w:hint="default" w:ascii="Times New Roman" w:hAnsi="Times New Roman" w:eastAsia="宋体" w:cs="Times New Roman"/>
                <w:b/>
                <w:bCs/>
                <w:color w:val="000000" w:themeColor="text1"/>
                <w:kern w:val="0"/>
                <w:sz w:val="24"/>
                <w:szCs w:val="18"/>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18"/>
                <w:highlight w:val="none"/>
                <w:lang w:val="en-US" w:eastAsia="zh-CN" w:bidi="ar-SA"/>
                <w14:textFill>
                  <w14:solidFill>
                    <w14:schemeClr w14:val="tx1"/>
                  </w14:solidFill>
                </w14:textFill>
              </w:rPr>
              <w:t>图2-14  幽芳河管网平面布置分图</w:t>
            </w:r>
          </w:p>
          <w:p w14:paraId="618DBAC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3.6.1.3污水加压泵站设计</w:t>
            </w:r>
          </w:p>
          <w:p w14:paraId="2EAFDA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管线布置，污水管道需从幽芳河东岸至西岸，本次考虑通过架管的方式过河。污水通过提升泵站提高扬程，满足架管的扬程要求，同时也能减少后续管道的埋设深度，节省投资。污水加压泵站位于迎宾大道南侧与幽芳河交界处。</w:t>
            </w:r>
          </w:p>
          <w:p w14:paraId="2E6FF9B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3.6.1.3.1泵站设计</w:t>
            </w:r>
          </w:p>
          <w:p w14:paraId="790422C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（1）相关参数</w:t>
            </w:r>
          </w:p>
          <w:p w14:paraId="418128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一体化加压泵站的构筑物有泵房、阀门井、配电柜及围墙等，尺寸如下，本次采用潜流泵，Q=1.5m</w:t>
            </w:r>
            <w:r>
              <w:rPr>
                <w:rFonts w:hint="default" w:ascii="Times New Roman" w:hAnsi="Times New Roman" w:eastAsia="宋体" w:cs="Times New Roman"/>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/h，H=15m，P=1.1kw，1用1备。</w:t>
            </w:r>
          </w:p>
          <w:p w14:paraId="6F6DE9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一体化泵站：直径1.2m，深3.5m，一座阀门井：直径1.2m，1座</w:t>
            </w:r>
          </w:p>
          <w:p w14:paraId="5E38F2B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围墙：H=2.0m，10m</w:t>
            </w:r>
          </w:p>
          <w:p w14:paraId="1BF134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（2）污水泵出水管管材选用及防腐</w:t>
            </w:r>
          </w:p>
          <w:p w14:paraId="2255FB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污水泵出水管明装部分采用焊接钢管，焊接连接或法兰连接，内壁涂煤沥青、外壁涂防锈漆及银粉防腐。</w:t>
            </w:r>
          </w:p>
          <w:p w14:paraId="3CF947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（3）污水泵及阀门检修</w:t>
            </w:r>
          </w:p>
          <w:p w14:paraId="1FD254F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污水泵要求设有自耦装置，在加压泵站设有检修间、备件库及单轨电动葫芦，检修时可直接起吊污水泵到检修间检修；电动阀及其他阀门可就地检修。</w:t>
            </w:r>
          </w:p>
          <w:p w14:paraId="250327B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3.6.1.4污水处理设施设计</w:t>
            </w:r>
          </w:p>
          <w:p w14:paraId="085A31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次设计范围内的村庄，污水规模较小，且部分村户较为分散。故本次设计除纳管的部分村庄外，较为集中的村庄采用集中污水处理，集中污水处理设施选用净化槽工艺，对于村庄较为分散的采用资源化利用工艺，出水达到安徽省地方标准《农村生活污水处理设施水污染物排放标准》(DB34/3527-2019)一级标准B标准。</w:t>
            </w:r>
          </w:p>
          <w:p w14:paraId="5B954C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3.6.1.4.1</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污水收集模式</w:t>
            </w:r>
          </w:p>
          <w:p w14:paraId="39E99DF1">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根据居民区不同的地理位置、居民集中程度、地形地貌状况，居民区生活污水的收集模式可分为纳管模式、集中收集模式和分散收集模式三种。</w:t>
            </w:r>
          </w:p>
          <w:p w14:paraId="3CEE8CD1">
            <w:pPr>
              <w:pStyle w:val="46"/>
              <w:keepNext w:val="0"/>
              <w:keepLines w:val="0"/>
              <w:pageBreakBefore w:val="0"/>
              <w:numPr>
                <w:ilvl w:val="0"/>
                <w:numId w:val="0"/>
              </w:numPr>
              <w:suppressLineNumbers w:val="0"/>
              <w:tabs>
                <w:tab w:val="left" w:pos="1080"/>
              </w:tabs>
              <w:kinsoku/>
              <w:wordWrap/>
              <w:overflowPunct/>
              <w:topLinePunct w:val="0"/>
              <w:bidi w:val="0"/>
              <w:adjustRightInd/>
              <w:snapToGrid/>
              <w:spacing w:before="0" w:beforeAutospacing="0" w:after="0" w:afterAutospacing="0" w:line="360" w:lineRule="auto"/>
              <w:ind w:leftChars="200" w:right="0" w:rightChars="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（1）纳管收集模式</w:t>
            </w:r>
          </w:p>
          <w:p w14:paraId="3F4A8E1C">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纳管模式是指居民区生活污水通过管网收集输送到城镇污水处理厂统一处理的治理方式。这种方式主要适用于聚集程度高、紧邻城镇（2km范围内）、地形条件有利于生活污水依靠重力流入市政污水管网的居民区。</w:t>
            </w:r>
          </w:p>
          <w:p w14:paraId="3FB26876">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drawing>
                <wp:inline distT="0" distB="0" distL="0" distR="0">
                  <wp:extent cx="4989830" cy="2625090"/>
                  <wp:effectExtent l="0" t="0" r="1270" b="381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4" cstate="print"/>
                          <a:stretch>
                            <a:fillRect/>
                          </a:stretch>
                        </pic:blipFill>
                        <pic:spPr>
                          <a:xfrm>
                            <a:off x="0" y="0"/>
                            <a:ext cx="4989772" cy="2625090"/>
                          </a:xfrm>
                          <a:prstGeom prst="rect">
                            <a:avLst/>
                          </a:prstGeom>
                        </pic:spPr>
                      </pic:pic>
                    </a:graphicData>
                  </a:graphic>
                </wp:inline>
              </w:drawing>
            </w:r>
          </w:p>
          <w:p w14:paraId="76D39005">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br w:type="column"/>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图2-15  纳管模式示意图</w:t>
            </w:r>
          </w:p>
          <w:p w14:paraId="0554414A">
            <w:pPr>
              <w:pStyle w:val="46"/>
              <w:keepNext w:val="0"/>
              <w:keepLines w:val="0"/>
              <w:pageBreakBefore w:val="0"/>
              <w:numPr>
                <w:ilvl w:val="0"/>
                <w:numId w:val="0"/>
              </w:numPr>
              <w:suppressLineNumbers w:val="0"/>
              <w:tabs>
                <w:tab w:val="left" w:pos="1080"/>
              </w:tabs>
              <w:kinsoku/>
              <w:wordWrap/>
              <w:overflowPunct/>
              <w:topLinePunct w:val="0"/>
              <w:bidi w:val="0"/>
              <w:adjustRightInd/>
              <w:snapToGrid/>
              <w:spacing w:before="0" w:beforeAutospacing="0" w:after="0" w:afterAutospacing="0" w:line="360" w:lineRule="auto"/>
              <w:ind w:leftChars="200" w:right="0" w:rightChars="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（2）集中收集处理</w:t>
            </w:r>
          </w:p>
          <w:p w14:paraId="11571E86">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集中收集模式是针对生活污水无法纳入城镇污水处理厂的居民区，将单个或多个居民的生活污水进行统一收集，再排至村级污水独立处理设施进行处理的污水收集模式。这种方式主要适用于居民较为集中，在15户以上的，地形条件有利于生活污水依靠重力统一流入污水处理设施的居民区。</w:t>
            </w:r>
          </w:p>
          <w:p w14:paraId="17604089">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drawing>
                <wp:inline distT="0" distB="0" distL="0" distR="0">
                  <wp:extent cx="4705350" cy="2686685"/>
                  <wp:effectExtent l="0" t="0" r="0" b="18415"/>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25" cstate="print"/>
                          <a:stretch>
                            <a:fillRect/>
                          </a:stretch>
                        </pic:blipFill>
                        <pic:spPr>
                          <a:xfrm>
                            <a:off x="0" y="0"/>
                            <a:ext cx="4705350" cy="2686685"/>
                          </a:xfrm>
                          <a:prstGeom prst="rect">
                            <a:avLst/>
                          </a:prstGeom>
                        </pic:spPr>
                      </pic:pic>
                    </a:graphicData>
                  </a:graphic>
                </wp:inline>
              </w:drawing>
            </w:r>
          </w:p>
          <w:p w14:paraId="54422AD4">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图2-16  按片区集中收集处理模式示意图</w:t>
            </w:r>
          </w:p>
          <w:p w14:paraId="400F978C">
            <w:pPr>
              <w:pStyle w:val="46"/>
              <w:keepNext w:val="0"/>
              <w:keepLines w:val="0"/>
              <w:pageBreakBefore w:val="0"/>
              <w:numPr>
                <w:ilvl w:val="0"/>
                <w:numId w:val="0"/>
              </w:numPr>
              <w:suppressLineNumbers w:val="0"/>
              <w:tabs>
                <w:tab w:val="left" w:pos="1080"/>
              </w:tabs>
              <w:kinsoku/>
              <w:wordWrap/>
              <w:overflowPunct/>
              <w:topLinePunct w:val="0"/>
              <w:bidi w:val="0"/>
              <w:adjustRightInd/>
              <w:snapToGrid/>
              <w:spacing w:before="0" w:beforeAutospacing="0" w:after="0" w:afterAutospacing="0" w:line="360" w:lineRule="auto"/>
              <w:ind w:leftChars="200" w:right="0" w:rightChars="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（3）资源化利用模式</w:t>
            </w:r>
          </w:p>
          <w:p w14:paraId="66FF1700">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资源化利用模式指对单户或多户居民住户产生的生活污水就近处理，一般日处理能力小于2m</w:t>
            </w:r>
            <w:r>
              <w:rPr>
                <w:rFonts w:hint="default" w:ascii="Times New Roman" w:hAnsi="Times New Roman" w:eastAsia="宋体" w:cs="Times New Roman"/>
                <w:b w:val="0"/>
                <w:bCs w:val="0"/>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这种方式主要适用于无法集中铺设管网或集中收集处理的居民区，住户较为分散、小于15户的，地形条件限制等因素难以统一收集、统一处理的乡镇地区特别是居住较为分散的山区、丘陵地带。收集污水经过处理后进行资源化利用，结合周边情况，可排入农灌沟进行农用回灌，或者进行林地漫灌，避免直接排入地表水，减少对地表水的污染。</w:t>
            </w:r>
          </w:p>
          <w:p w14:paraId="2A912F6F">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drawing>
                <wp:inline distT="0" distB="0" distL="0" distR="0">
                  <wp:extent cx="4967605" cy="1927225"/>
                  <wp:effectExtent l="0" t="0" r="4445" b="15875"/>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26" cstate="print"/>
                          <a:stretch>
                            <a:fillRect/>
                          </a:stretch>
                        </pic:blipFill>
                        <pic:spPr>
                          <a:xfrm>
                            <a:off x="0" y="0"/>
                            <a:ext cx="4967605" cy="1927225"/>
                          </a:xfrm>
                          <a:prstGeom prst="rect">
                            <a:avLst/>
                          </a:prstGeom>
                        </pic:spPr>
                      </pic:pic>
                    </a:graphicData>
                  </a:graphic>
                </wp:inline>
              </w:drawing>
            </w:r>
          </w:p>
          <w:p w14:paraId="5C6FC90E">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br w:type="column"/>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图2-17  资源化利用模式示意图</w:t>
            </w:r>
          </w:p>
          <w:p w14:paraId="3F0E58AE">
            <w:pPr>
              <w:pStyle w:val="46"/>
              <w:keepNext w:val="0"/>
              <w:keepLines w:val="0"/>
              <w:pageBreakBefore w:val="0"/>
              <w:numPr>
                <w:ilvl w:val="0"/>
                <w:numId w:val="0"/>
              </w:numPr>
              <w:suppressLineNumbers w:val="0"/>
              <w:tabs>
                <w:tab w:val="left" w:pos="1080"/>
              </w:tabs>
              <w:kinsoku/>
              <w:wordWrap/>
              <w:overflowPunct/>
              <w:topLinePunct w:val="0"/>
              <w:bidi w:val="0"/>
              <w:adjustRightInd/>
              <w:snapToGrid/>
              <w:spacing w:before="0" w:beforeAutospacing="0" w:after="0" w:afterAutospacing="0" w:line="360" w:lineRule="auto"/>
              <w:ind w:leftChars="200" w:right="0" w:rightChars="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（4）适用模式</w:t>
            </w:r>
          </w:p>
          <w:p w14:paraId="7D14CE32">
            <w:pPr>
              <w:pStyle w:val="12"/>
              <w:keepNext w:val="0"/>
              <w:keepLines w:val="0"/>
              <w:pageBreakBefore w:val="0"/>
              <w:suppressLineNumbers w:val="0"/>
              <w:kinsoku/>
              <w:wordWrap/>
              <w:overflowPunct/>
              <w:topLinePunct w:val="0"/>
              <w:bidi w:val="0"/>
              <w:adjustRightInd/>
              <w:snapToGrid/>
              <w:spacing w:before="0" w:beforeAutospacing="0" w:after="0" w:afterAutospacing="0" w:line="360" w:lineRule="auto"/>
              <w:ind w:left="0" w:right="0" w:firstLine="480"/>
              <w:jc w:val="both"/>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不同的污水收集处理模式，适用的条件不同。根据现场实际情况，选择合适的治理模式，节约建设及运行成本，提高处理效率。本次根据霍山县的实际情况，本次采用纳管模式和资源化利用模式。</w:t>
            </w:r>
          </w:p>
          <w:p w14:paraId="1831634E">
            <w:pPr>
              <w:keepNext w:val="0"/>
              <w:keepLines w:val="0"/>
              <w:pageBreakBefore w:val="0"/>
              <w:suppressLineNumbers w:val="0"/>
              <w:tabs>
                <w:tab w:val="left" w:pos="1226"/>
              </w:tabs>
              <w:kinsoku/>
              <w:wordWrap/>
              <w:overflowPunct/>
              <w:topLinePunct w:val="0"/>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表2-19  生活污水收集模式适用表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9"/>
              <w:gridCol w:w="6372"/>
            </w:tblGrid>
            <w:tr w14:paraId="72C99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4" w:hRule="atLeast"/>
                <w:jc w:val="center"/>
              </w:trPr>
              <w:tc>
                <w:tcPr>
                  <w:tcW w:w="1699" w:type="dxa"/>
                  <w:vAlign w:val="center"/>
                </w:tcPr>
                <w:p w14:paraId="46E6B34C">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收集模式</w:t>
                  </w:r>
                </w:p>
              </w:tc>
              <w:tc>
                <w:tcPr>
                  <w:tcW w:w="6372" w:type="dxa"/>
                  <w:vAlign w:val="center"/>
                </w:tcPr>
                <w:p w14:paraId="7F1E93A3">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en-US" w:eastAsia="zh-CN" w:bidi="ar-SA"/>
                      <w14:textFill>
                        <w14:solidFill>
                          <w14:schemeClr w14:val="tx1"/>
                        </w14:solidFill>
                      </w14:textFill>
                    </w:rPr>
                    <w:t>适用条件</w:t>
                  </w:r>
                </w:p>
              </w:tc>
            </w:tr>
            <w:tr w14:paraId="14814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vAlign w:val="center"/>
                </w:tcPr>
                <w:p w14:paraId="41DEFAD2">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纳管模式</w:t>
                  </w:r>
                </w:p>
              </w:tc>
              <w:tc>
                <w:tcPr>
                  <w:tcW w:w="6372" w:type="dxa"/>
                  <w:vAlign w:val="center"/>
                </w:tcPr>
                <w:p w14:paraId="44E5B71C">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距离城镇2km范围内，聚集程度高，人口集中，地形、施工条件有利于生活污水依靠重力流输送至城镇污水处理厂（站）的农村地区</w:t>
                  </w:r>
                </w:p>
              </w:tc>
            </w:tr>
            <w:tr w14:paraId="491FC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vAlign w:val="center"/>
                </w:tcPr>
                <w:p w14:paraId="5D94024E">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集中收集模式</w:t>
                  </w:r>
                </w:p>
              </w:tc>
              <w:tc>
                <w:tcPr>
                  <w:tcW w:w="6372" w:type="dxa"/>
                  <w:vAlign w:val="center"/>
                </w:tcPr>
                <w:p w14:paraId="3E2F2BBF">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单个村庄收集或相邻村庄距离小于2km，村户较为集中，在15户以上的，可以建设管网统一收集、统一处理的农村地区，可分为单村集中和连片集中两种类型。</w:t>
                  </w:r>
                </w:p>
              </w:tc>
            </w:tr>
            <w:tr w14:paraId="078E9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699" w:type="dxa"/>
                  <w:vAlign w:val="center"/>
                </w:tcPr>
                <w:p w14:paraId="27A4DD70">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资源化利用模式</w:t>
                  </w:r>
                </w:p>
              </w:tc>
              <w:tc>
                <w:tcPr>
                  <w:tcW w:w="6372" w:type="dxa"/>
                  <w:vAlign w:val="center"/>
                </w:tcPr>
                <w:p w14:paraId="4FC917F6">
                  <w:pPr>
                    <w:pStyle w:val="3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t>住户分散、小于15户的，地形条件限制等因素难以统一收集、统一处理的农村地区</w:t>
                  </w:r>
                </w:p>
              </w:tc>
            </w:tr>
          </w:tbl>
          <w:p w14:paraId="2618CA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3.6.1.5处理设施方案</w:t>
            </w:r>
          </w:p>
          <w:p w14:paraId="2899CF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根据地形，本次柳林河沿岸居民生活污水接管处理，污水接至污水厂进行处理；幽芳河沿岸居民根据实际情况，采用接管、净化槽及资源化利用相结合的方案，接管接至市政管网</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w:t>
            </w:r>
          </w:p>
          <w:p w14:paraId="02FD31B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p>
          <w:p w14:paraId="0699B34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3.6.1.6污水处理设计</w:t>
            </w:r>
          </w:p>
          <w:p w14:paraId="65E27FF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3.6.1.6.1工艺方案及流程</w:t>
            </w:r>
          </w:p>
          <w:p w14:paraId="43FCA56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本次柳林河沿岸居民生活污水接管处理，幽芳河沿岸居民根据实际情况，采用接管、净化槽及资源化利用相结合的方案。净化槽、资源化处理的工艺流程如下所示：</w:t>
            </w:r>
          </w:p>
          <w:p w14:paraId="788BC4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drawing>
                <wp:inline distT="0" distB="0" distL="0" distR="0">
                  <wp:extent cx="3420745" cy="507365"/>
                  <wp:effectExtent l="0" t="0" r="8255" b="6985"/>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27" cstate="print"/>
                          <a:stretch>
                            <a:fillRect/>
                          </a:stretch>
                        </pic:blipFill>
                        <pic:spPr>
                          <a:xfrm>
                            <a:off x="0" y="0"/>
                            <a:ext cx="3420768" cy="507587"/>
                          </a:xfrm>
                          <a:prstGeom prst="rect">
                            <a:avLst/>
                          </a:prstGeom>
                        </pic:spPr>
                      </pic:pic>
                    </a:graphicData>
                  </a:graphic>
                </wp:inline>
              </w:drawing>
            </w:r>
          </w:p>
          <w:p w14:paraId="7D6A98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drawing>
                <wp:inline distT="0" distB="0" distL="0" distR="0">
                  <wp:extent cx="2940050" cy="179705"/>
                  <wp:effectExtent l="0" t="0" r="12700" b="10795"/>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28" cstate="print"/>
                          <a:stretch>
                            <a:fillRect/>
                          </a:stretch>
                        </pic:blipFill>
                        <pic:spPr>
                          <a:xfrm>
                            <a:off x="0" y="0"/>
                            <a:ext cx="2940638" cy="179831"/>
                          </a:xfrm>
                          <a:prstGeom prst="rect">
                            <a:avLst/>
                          </a:prstGeom>
                        </pic:spPr>
                      </pic:pic>
                    </a:graphicData>
                  </a:graphic>
                </wp:inline>
              </w:drawing>
            </w:r>
          </w:p>
          <w:p w14:paraId="1D44D8EC">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br w:type="column"/>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图2-18污水处理工艺流程图</w:t>
            </w:r>
          </w:p>
          <w:p w14:paraId="2D91DE06">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净化槽</w:t>
            </w:r>
          </w:p>
          <w:p w14:paraId="2EE61679">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净化槽适用于1户至30户民用住宅粪便、生活污水等处理，是一种小型的人工强化生物接触氧化槽，但是户均投资较高，运行维护费用也很高。净化槽里存在各种类型的微生物（细菌和原生动物），利用这些微生物对污染物质进行分解，达到处理污水的目的。小型净化槽采用玻璃钢增强塑料（FRP）材质，在工厂批量生产，现场安装。户型净化槽工艺可以废除居民区化粪池的使用，直接将原接入化粪池的排污管及厨房、浴室等内的排水管接至户用净化槽。</w:t>
            </w:r>
          </w:p>
          <w:p w14:paraId="429019B3">
            <w:pPr>
              <w:pStyle w:val="12"/>
              <w:keepNext w:val="0"/>
              <w:keepLines w:val="0"/>
              <w:suppressLineNumbers w:val="0"/>
              <w:spacing w:beforeAutospacing="0" w:afterAutospacing="0"/>
              <w:ind w:left="0" w:leftChars="0" w:firstLine="0" w:firstLineChars="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4985385" cy="2247900"/>
                  <wp:effectExtent l="0" t="0" r="5715"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9" cstate="print"/>
                          <a:stretch>
                            <a:fillRect/>
                          </a:stretch>
                        </pic:blipFill>
                        <pic:spPr>
                          <a:xfrm>
                            <a:off x="0" y="0"/>
                            <a:ext cx="4985385" cy="2247900"/>
                          </a:xfrm>
                          <a:prstGeom prst="rect">
                            <a:avLst/>
                          </a:prstGeom>
                        </pic:spPr>
                      </pic:pic>
                    </a:graphicData>
                  </a:graphic>
                </wp:inline>
              </w:drawing>
            </w:r>
          </w:p>
          <w:p w14:paraId="7B2B1B11">
            <w:pPr>
              <w:keepNext w:val="0"/>
              <w:keepLines w:val="0"/>
              <w:suppressLineNumbers w:val="0"/>
              <w:tabs>
                <w:tab w:val="left" w:pos="1329"/>
              </w:tabs>
              <w:spacing w:before="149" w:beforeAutospacing="0" w:after="0" w:afterAutospacing="0" w:line="360" w:lineRule="auto"/>
              <w:ind w:left="0" w:right="101" w:firstLine="0"/>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图</w:t>
            </w:r>
            <w:r>
              <w:rPr>
                <w:rFonts w:hint="eastAsia" w:cs="Times New Roman"/>
                <w:b/>
                <w:color w:val="000000" w:themeColor="text1"/>
                <w:sz w:val="24"/>
                <w:szCs w:val="24"/>
                <w:lang w:val="en-US" w:eastAsia="zh-CN"/>
                <w14:textFill>
                  <w14:solidFill>
                    <w14:schemeClr w14:val="tx1"/>
                  </w14:solidFill>
                </w14:textFill>
              </w:rPr>
              <w:t>2-19</w:t>
            </w:r>
            <w:r>
              <w:rPr>
                <w:rFonts w:hint="default" w:ascii="Times New Roman" w:hAnsi="Times New Roman" w:eastAsia="宋体" w:cs="Times New Roman"/>
                <w:b/>
                <w:color w:val="000000" w:themeColor="text1"/>
                <w:sz w:val="24"/>
                <w:szCs w:val="24"/>
                <w14:textFill>
                  <w14:solidFill>
                    <w14:schemeClr w14:val="tx1"/>
                  </w14:solidFill>
                </w14:textFill>
              </w:rPr>
              <w:tab/>
            </w:r>
            <w:r>
              <w:rPr>
                <w:rFonts w:hint="default" w:ascii="Times New Roman" w:hAnsi="Times New Roman" w:eastAsia="宋体" w:cs="Times New Roman"/>
                <w:b/>
                <w:color w:val="000000" w:themeColor="text1"/>
                <w:sz w:val="24"/>
                <w:szCs w:val="24"/>
                <w14:textFill>
                  <w14:solidFill>
                    <w14:schemeClr w14:val="tx1"/>
                  </w14:solidFill>
                </w14:textFill>
              </w:rPr>
              <w:t>净化槽实物图净化槽内部展示图</w:t>
            </w:r>
          </w:p>
          <w:p w14:paraId="3CAECB76">
            <w:pPr>
              <w:keepNext w:val="0"/>
              <w:keepLines w:val="0"/>
              <w:suppressLineNumbers w:val="0"/>
              <w:spacing w:before="0" w:beforeAutospacing="0" w:after="0" w:afterAutospacing="0" w:line="360" w:lineRule="auto"/>
              <w:ind w:left="0" w:right="0"/>
              <w:rPr>
                <w:rFonts w:hint="default"/>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资源化利用工艺</w:t>
            </w:r>
          </w:p>
          <w:p w14:paraId="271D8FBF">
            <w:pPr>
              <w:keepNext w:val="0"/>
              <w:keepLines w:val="0"/>
              <w:suppressLineNumbers w:val="0"/>
              <w:spacing w:before="0" w:beforeAutospacing="0" w:after="0" w:afterAutospacing="0" w:line="360" w:lineRule="auto"/>
              <w:ind w:left="0" w:right="0"/>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黑水处理资源化利用主要采用黑水无害化有机肥池，主要通过在黑水无害化有机肥池内投加高效发酵菌剂，无害化处理后制取液态有机肥还田，实现黑水资源化利用。</w:t>
            </w:r>
          </w:p>
          <w:p w14:paraId="2175CC67">
            <w:pPr>
              <w:pStyle w:val="12"/>
              <w:keepNext w:val="0"/>
              <w:keepLines w:val="0"/>
              <w:suppressLineNumbers w:val="0"/>
              <w:spacing w:before="158" w:beforeAutospacing="0" w:afterAutospacing="0" w:line="360" w:lineRule="auto"/>
              <w:ind w:left="0" w:leftChars="0" w:right="289" w:firstLine="0" w:firstLineChars="0"/>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5078730" cy="1991360"/>
                  <wp:effectExtent l="0" t="0" r="7620" b="889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30" cstate="print"/>
                          <a:stretch>
                            <a:fillRect/>
                          </a:stretch>
                        </pic:blipFill>
                        <pic:spPr>
                          <a:xfrm>
                            <a:off x="0" y="0"/>
                            <a:ext cx="5078730" cy="1991360"/>
                          </a:xfrm>
                          <a:prstGeom prst="rect">
                            <a:avLst/>
                          </a:prstGeom>
                        </pic:spPr>
                      </pic:pic>
                    </a:graphicData>
                  </a:graphic>
                </wp:inline>
              </w:drawing>
            </w:r>
          </w:p>
          <w:p w14:paraId="32C67099">
            <w:pPr>
              <w:keepNext w:val="0"/>
              <w:keepLines w:val="0"/>
              <w:suppressLineNumbers w:val="0"/>
              <w:spacing w:before="0" w:beforeAutospacing="0" w:after="0" w:afterAutospacing="0" w:line="360" w:lineRule="auto"/>
              <w:ind w:left="0" w:right="0"/>
              <w:jc w:val="center"/>
              <w:rPr>
                <w:rFonts w:hint="default"/>
                <w:b/>
                <w:bCs/>
                <w:color w:val="000000" w:themeColor="text1"/>
                <w:lang w:eastAsia="zh-CN"/>
                <w14:textFill>
                  <w14:solidFill>
                    <w14:schemeClr w14:val="tx1"/>
                  </w14:solidFill>
                </w14:textFill>
              </w:rPr>
            </w:pPr>
            <w:r>
              <w:rPr>
                <w:rFonts w:hint="default"/>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 xml:space="preserve">2-20  </w:t>
            </w:r>
            <w:r>
              <w:rPr>
                <w:rFonts w:hint="default"/>
                <w:b/>
                <w:bCs/>
                <w:color w:val="000000" w:themeColor="text1"/>
                <w:lang w:eastAsia="zh-CN"/>
                <w14:textFill>
                  <w14:solidFill>
                    <w14:schemeClr w14:val="tx1"/>
                  </w14:solidFill>
                </w14:textFill>
              </w:rPr>
              <w:t>资源化利用工艺流程图</w:t>
            </w:r>
          </w:p>
          <w:p w14:paraId="1D98AC46">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1）</w:t>
            </w:r>
            <w:r>
              <w:rPr>
                <w:rFonts w:hint="default"/>
                <w:color w:val="000000" w:themeColor="text1"/>
                <w:lang w:eastAsia="zh-CN"/>
                <w14:textFill>
                  <w14:solidFill>
                    <w14:schemeClr w14:val="tx1"/>
                  </w14:solidFill>
                </w14:textFill>
              </w:rPr>
              <w:t>黑水无害化处理池</w:t>
            </w:r>
          </w:p>
          <w:p w14:paraId="20FBE733">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第一格：黑水强化分解池。投加高效发酵菌剂（360mL）和球形填料（填充度&gt;50%），其作用是强化分解黑水中有机物；</w:t>
            </w:r>
          </w:p>
          <w:p w14:paraId="45C9F5F7">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二格：无害化处理池。投加球形填料（填充度&gt;80%），进一步分解有机物质，实现粪污中有机物的腐殖化，并灭活病原微生物，实现粪污的无害化，能够将大肠杆菌群落数降低到1万个/升以下，蛔虫卵沙门氏菌的去除率均可达到98%以上，pH值稳定在7-9，达到国家的无害化标准和卫生标准。</w:t>
            </w:r>
          </w:p>
          <w:p w14:paraId="1DA8BC40">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第三格：液态有机肥调蓄池。水质经处理后可达《粪便无害化卫生要求》</w:t>
            </w:r>
          </w:p>
          <w:p w14:paraId="642CA6B5">
            <w:pPr>
              <w:keepNext w:val="0"/>
              <w:keepLines w:val="0"/>
              <w:suppressLineNumbers w:val="0"/>
              <w:spacing w:before="0" w:beforeAutospacing="0" w:after="0" w:afterAutospacing="0" w:line="360" w:lineRule="auto"/>
              <w:ind w:left="0" w:leftChars="0" w:right="0" w:firstLine="0" w:firstLineChars="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（GB7959-2012），居民可从该池舀取液态肥适用于蔬菜地或农田。</w:t>
            </w:r>
          </w:p>
          <w:p w14:paraId="26FBAE63">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灰水处理工艺采用黑、灰水灌溉标准处理池。若在实际施工过程中，部分居民内部难以黑灰分离改造及省考断面时，灰水处理工艺设备前端应增设缺氧罐。</w:t>
            </w:r>
          </w:p>
          <w:p w14:paraId="7929F6DE">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2）</w:t>
            </w:r>
            <w:r>
              <w:rPr>
                <w:rFonts w:hint="default"/>
                <w:color w:val="000000" w:themeColor="text1"/>
                <w:lang w:eastAsia="zh-CN"/>
                <w14:textFill>
                  <w14:solidFill>
                    <w14:schemeClr w14:val="tx1"/>
                  </w14:solidFill>
                </w14:textFill>
              </w:rPr>
              <w:t>黑、灰水灌溉标准处理池</w:t>
            </w:r>
          </w:p>
          <w:p w14:paraId="71AD8587">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第一格：黑灰水调节沉淀池。投加高效厌氧菌剂（360mL）和填料球（填充度&gt;90%），强化有机物的降解；</w:t>
            </w:r>
          </w:p>
          <w:p w14:paraId="4021A8DF">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第二格：除臭过滤池。投加除臭滤料，通过滤料与附着微生物处理，有效去除臭味物质，并降解部分有机物；</w:t>
            </w:r>
          </w:p>
          <w:p w14:paraId="78A9AA88">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第三格：除氨氮过滤池。添加除氨氮滤料，可有效富集去除污水中氨氮，氨氮去除率在85%-95%之间；</w:t>
            </w:r>
          </w:p>
          <w:p w14:paraId="73C9DEAB">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第四格：除磷过滤池。添加除磷滤料，可有效降低污水中的总磷含量，总磷去除率在85%-95%之间。</w:t>
            </w:r>
          </w:p>
          <w:p w14:paraId="58B83E3F">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default"/>
                <w:color w:val="000000" w:themeColor="text1"/>
                <w:lang w:eastAsia="zh-CN"/>
                <w14:textFill>
                  <w14:solidFill>
                    <w14:schemeClr w14:val="tx1"/>
                  </w14:solidFill>
                </w14:textFill>
              </w:rPr>
              <w:t>经过处理后水质可达到《农田灌溉水质标准》（GB5084-2021）和《农村生活污水处理设施水污染物排放标准》（DB32/3462-2020），可用于灌溉或用于土壤渗透。</w:t>
            </w:r>
          </w:p>
          <w:p w14:paraId="15C32AF3">
            <w:pPr>
              <w:keepNext w:val="0"/>
              <w:keepLines w:val="0"/>
              <w:suppressLineNumbers w:val="0"/>
              <w:spacing w:before="0" w:beforeAutospacing="0" w:after="0" w:afterAutospacing="0" w:line="360" w:lineRule="auto"/>
              <w:ind w:left="0" w:right="0"/>
              <w:jc w:val="left"/>
              <w:rPr>
                <w:rFonts w:hint="default"/>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3）</w:t>
            </w:r>
            <w:r>
              <w:rPr>
                <w:rFonts w:hint="default"/>
                <w:color w:val="000000" w:themeColor="text1"/>
                <w:lang w:eastAsia="zh-CN"/>
                <w14:textFill>
                  <w14:solidFill>
                    <w14:schemeClr w14:val="tx1"/>
                  </w14:solidFill>
                </w14:textFill>
              </w:rPr>
              <w:t>隔油池</w:t>
            </w:r>
          </w:p>
          <w:p w14:paraId="71C491BD">
            <w:pPr>
              <w:keepNext w:val="0"/>
              <w:keepLines w:val="0"/>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sz w:val="24"/>
                <w:szCs w:val="24"/>
                <w14:textFill>
                  <w14:solidFill>
                    <w14:schemeClr w14:val="tx1"/>
                  </w14:solidFill>
                </w14:textFill>
              </w:rPr>
            </w:pPr>
            <w:r>
              <w:rPr>
                <w:rFonts w:hint="default"/>
                <w:color w:val="000000" w:themeColor="text1"/>
                <w:lang w:eastAsia="zh-CN"/>
                <w14:textFill>
                  <w14:solidFill>
                    <w14:schemeClr w14:val="tx1"/>
                  </w14:solidFill>
                </w14:textFill>
              </w:rPr>
              <w:t>本次设计餐厨污水出水口均安装具有水封功能的隔油池，隔油处理后排入黑、灰水灌溉标准处理池。隔油池选取成品塑料隔油池，村质为PE，规格800×400×400mm。</w:t>
            </w: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0" distR="0">
                  <wp:extent cx="5097145" cy="2068830"/>
                  <wp:effectExtent l="0" t="0" r="8255" b="762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1" cstate="print"/>
                          <a:stretch>
                            <a:fillRect/>
                          </a:stretch>
                        </pic:blipFill>
                        <pic:spPr>
                          <a:xfrm>
                            <a:off x="0" y="0"/>
                            <a:ext cx="5097145" cy="2068830"/>
                          </a:xfrm>
                          <a:prstGeom prst="rect">
                            <a:avLst/>
                          </a:prstGeom>
                        </pic:spPr>
                      </pic:pic>
                    </a:graphicData>
                  </a:graphic>
                </wp:inline>
              </w:drawing>
            </w:r>
          </w:p>
          <w:p w14:paraId="6D3FFE9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b/>
                <w:bCs/>
                <w:color w:val="000000" w:themeColor="text1"/>
                <w:lang w:eastAsia="zh-CN"/>
                <w14:textFill>
                  <w14:solidFill>
                    <w14:schemeClr w14:val="tx1"/>
                  </w14:solidFill>
                </w14:textFill>
              </w:rPr>
              <w:t>图</w:t>
            </w:r>
            <w:r>
              <w:rPr>
                <w:rFonts w:hint="eastAsia"/>
                <w:b/>
                <w:bCs/>
                <w:color w:val="000000" w:themeColor="text1"/>
                <w:lang w:val="en-US" w:eastAsia="zh-CN"/>
                <w14:textFill>
                  <w14:solidFill>
                    <w14:schemeClr w14:val="tx1"/>
                  </w14:solidFill>
                </w14:textFill>
              </w:rPr>
              <w:t xml:space="preserve">2-21  </w:t>
            </w:r>
            <w:r>
              <w:rPr>
                <w:rFonts w:hint="default"/>
                <w:b/>
                <w:bCs/>
                <w:color w:val="000000" w:themeColor="text1"/>
                <w:lang w:eastAsia="zh-CN"/>
                <w14:textFill>
                  <w14:solidFill>
                    <w14:schemeClr w14:val="tx1"/>
                  </w14:solidFill>
                </w14:textFill>
              </w:rPr>
              <w:t>资源化利用工艺高程图</w:t>
            </w:r>
          </w:p>
          <w:p w14:paraId="437EF3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3.6.1.6.2出水标准</w:t>
            </w:r>
          </w:p>
          <w:p w14:paraId="5186DC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排放标准按安徽省地方标准《农村生活污水处理设施水污染物排放标准》</w:t>
            </w:r>
          </w:p>
          <w:p w14:paraId="3345DB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(DB34/3527-2019)中的一级B标准。</w:t>
            </w:r>
          </w:p>
          <w:p w14:paraId="12BD51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3.6.1.6.3净化槽设计参数和设备配置</w:t>
            </w:r>
          </w:p>
          <w:p w14:paraId="1DDE3E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（1）构筑物参数</w:t>
            </w:r>
          </w:p>
          <w:p w14:paraId="6E1C97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根据前期现场调研，该地生活用水定额为120L/人。根据《室外给水设计标准（GB50013-2018）》，污水排放系数为80%，污水处理率为85%。本次污水部分进入净化槽进行处理，部分接管进入污水厂处理。根据污水量预测，本次幽芳河两岸根据地形，进入净化槽处理的人口为225人，本次采用两座净化槽，服务人口分别为110人、105人，处理规模为10m</w:t>
            </w:r>
            <w:r>
              <w:rPr>
                <w:rFonts w:hint="default" w:ascii="Times New Roman" w:hAnsi="Times New Roman" w:eastAsia="宋体" w:cs="Times New Roman"/>
                <w:b w:val="0"/>
                <w:bCs w:val="0"/>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/d，本次幽芳河两岸新建2座10m</w:t>
            </w:r>
            <w:r>
              <w:rPr>
                <w:rFonts w:hint="default" w:ascii="Times New Roman" w:hAnsi="Times New Roman" w:eastAsia="宋体" w:cs="Times New Roman"/>
                <w:b w:val="0"/>
                <w:bCs w:val="0"/>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/d净化槽，其参数如下：</w:t>
            </w:r>
          </w:p>
          <w:p w14:paraId="642059F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一体化调节池：1.2m×2.5m</w:t>
            </w:r>
            <w:r>
              <w:rPr>
                <w:rFonts w:hint="eastAsia" w:cs="Times New Roman"/>
                <w:b w:val="0"/>
                <w:bCs w:val="0"/>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净化槽：2.13×1.15×1.3m</w:t>
            </w:r>
          </w:p>
          <w:p w14:paraId="48495BE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提升泵：Q=1.5m</w:t>
            </w:r>
            <w:r>
              <w:rPr>
                <w:rFonts w:hint="default" w:ascii="Times New Roman" w:hAnsi="Times New Roman" w:eastAsia="宋体" w:cs="Times New Roman"/>
                <w:b w:val="0"/>
                <w:bCs w:val="0"/>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/d，N=0.15kw</w:t>
            </w:r>
          </w:p>
          <w:p w14:paraId="201146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阀门井：1.25×1.1×0.4m，含流量计。</w:t>
            </w:r>
          </w:p>
          <w:p w14:paraId="2ABD36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3.6.1.6.4资源化利用</w:t>
            </w:r>
          </w:p>
          <w:p w14:paraId="6F515C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幽芳河周边居民分布较散，根据居民住宅分布，部分住宅因地形高差及位置，污水无法接入主管道，本次在屋后建设资源化利用，将污水处理后进行灌溉处理。本次用建设资源化利用20座。</w:t>
            </w:r>
          </w:p>
          <w:p w14:paraId="45A4FA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（1）工艺流程</w:t>
            </w:r>
          </w:p>
          <w:p w14:paraId="021740C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黑水处理资源化利用主要采用黑水无害化有机肥池，主要通过在黑水无害化有机肥池内投加高效发酵菌剂，无害化处理后制取液态有机肥还田，实现黑水资源化利用。</w:t>
            </w:r>
          </w:p>
          <w:p w14:paraId="0FADDD4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（2）设计参数</w:t>
            </w:r>
          </w:p>
          <w:p w14:paraId="38AF3B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1）黑水无害化处理池</w:t>
            </w:r>
          </w:p>
          <w:p w14:paraId="085129E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1、规格为1950×1160×1168mm，壁厚不小于7mm；</w:t>
            </w:r>
          </w:p>
          <w:p w14:paraId="4E003FD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2、分为3格；各格过水管安装需满足水流方向为上进下出，以便出水不短流；</w:t>
            </w:r>
          </w:p>
          <w:p w14:paraId="42B112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3、材质为PE，检查口口径为300×300×400mm；</w:t>
            </w:r>
          </w:p>
          <w:p w14:paraId="3F8D60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4、含一体化加高井筒和井盖。</w:t>
            </w:r>
          </w:p>
          <w:p w14:paraId="67887B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2）黑、灰水灌溉标准处理池</w:t>
            </w:r>
          </w:p>
          <w:p w14:paraId="6EC63F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1、规格为2048.5×1128.5×111.5.5mm，壁厚不小于7mm；</w:t>
            </w:r>
          </w:p>
          <w:p w14:paraId="2A1E759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2、分为4格，第2、3、4格安装有滤料模压一体成型承托层，满足滤料安装条件；各格过水管安装需满足水的流态，水流方向为上进下出，各格进水位置距池底10-20cm；</w:t>
            </w:r>
          </w:p>
          <w:p w14:paraId="3CD7F9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3、材质为PE，检查口口径为300×200×300mm；</w:t>
            </w:r>
          </w:p>
          <w:p w14:paraId="4B6ECD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4、含分体加高井筒、井盖、格栅为模压成型（小格栅2块：87×26mm；大格栅1块：86×58mm）、导流管。</w:t>
            </w:r>
          </w:p>
          <w:p w14:paraId="097EB1C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3）隔油池</w:t>
            </w:r>
          </w:p>
          <w:p w14:paraId="367260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本次设计餐厨污水出水口均安装具有水封功能的隔油池，隔油处理后排入黑、灰水灌溉标准处理池。隔油池选取成品塑料隔油池，材质为PE，规格800×400×400mm。</w:t>
            </w:r>
          </w:p>
          <w:p w14:paraId="25C7A4F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1A3A0E8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3.6.1.7工程量</w:t>
            </w:r>
          </w:p>
          <w:p w14:paraId="26ABC1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表2-20  排水管道工程量一览表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1580"/>
              <w:gridCol w:w="2384"/>
              <w:gridCol w:w="1292"/>
              <w:gridCol w:w="1942"/>
            </w:tblGrid>
            <w:tr w14:paraId="2DE46A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Align w:val="center"/>
                </w:tcPr>
                <w:p w14:paraId="2A5029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1580" w:type="dxa"/>
                  <w:vAlign w:val="center"/>
                </w:tcPr>
                <w:p w14:paraId="1C6CBD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河道</w:t>
                  </w:r>
                </w:p>
              </w:tc>
              <w:tc>
                <w:tcPr>
                  <w:tcW w:w="2384" w:type="dxa"/>
                  <w:vAlign w:val="center"/>
                </w:tcPr>
                <w:p w14:paraId="0E6963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292" w:type="dxa"/>
                  <w:vAlign w:val="center"/>
                </w:tcPr>
                <w:p w14:paraId="10DC43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942" w:type="dxa"/>
                  <w:vAlign w:val="center"/>
                </w:tcPr>
                <w:p w14:paraId="609ACB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1A30A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restart"/>
                  <w:vAlign w:val="center"/>
                </w:tcPr>
                <w:p w14:paraId="68A023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609F3F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7AF647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c>
                <w:tcPr>
                  <w:tcW w:w="1580" w:type="dxa"/>
                  <w:vMerge w:val="restart"/>
                  <w:vAlign w:val="center"/>
                </w:tcPr>
                <w:p w14:paraId="2CAF46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3CAD10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AC123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w:t>
                  </w:r>
                </w:p>
              </w:tc>
              <w:tc>
                <w:tcPr>
                  <w:tcW w:w="2384" w:type="dxa"/>
                  <w:vAlign w:val="center"/>
                </w:tcPr>
                <w:p w14:paraId="79B9E6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De315主管</w:t>
                  </w:r>
                </w:p>
              </w:tc>
              <w:tc>
                <w:tcPr>
                  <w:tcW w:w="1292" w:type="dxa"/>
                  <w:vAlign w:val="center"/>
                </w:tcPr>
                <w:p w14:paraId="37EE74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vAlign w:val="center"/>
                </w:tcPr>
                <w:p w14:paraId="4583E1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2780</w:t>
                  </w:r>
                </w:p>
              </w:tc>
            </w:tr>
            <w:tr w14:paraId="79221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6E6E79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2CC10B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2C6F0A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接户管De160</w:t>
                  </w:r>
                </w:p>
              </w:tc>
              <w:tc>
                <w:tcPr>
                  <w:tcW w:w="1292" w:type="dxa"/>
                  <w:vAlign w:val="center"/>
                </w:tcPr>
                <w:p w14:paraId="3DE210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vAlign w:val="center"/>
                </w:tcPr>
                <w:p w14:paraId="3A0A71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2250</w:t>
                  </w:r>
                </w:p>
              </w:tc>
            </w:tr>
            <w:tr w14:paraId="03A8C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26AE3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5CC6DF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49DD84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检查井Φ700</w:t>
                  </w:r>
                </w:p>
              </w:tc>
              <w:tc>
                <w:tcPr>
                  <w:tcW w:w="1292" w:type="dxa"/>
                  <w:vAlign w:val="center"/>
                </w:tcPr>
                <w:p w14:paraId="227F2C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005106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127</w:t>
                  </w:r>
                </w:p>
              </w:tc>
            </w:tr>
            <w:tr w14:paraId="2360B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16BC8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024BE1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4B9304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接户井Φ450</w:t>
                  </w:r>
                </w:p>
              </w:tc>
              <w:tc>
                <w:tcPr>
                  <w:tcW w:w="1292" w:type="dxa"/>
                  <w:vAlign w:val="center"/>
                </w:tcPr>
                <w:p w14:paraId="2D093A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430749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w:t>
                  </w:r>
                </w:p>
              </w:tc>
            </w:tr>
            <w:tr w14:paraId="65D48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restart"/>
                  <w:vAlign w:val="center"/>
                </w:tcPr>
                <w:p w14:paraId="13E0CF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91319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268D02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7BC32A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788BC4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60DE2D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c>
                <w:tcPr>
                  <w:tcW w:w="1580" w:type="dxa"/>
                  <w:vMerge w:val="restart"/>
                  <w:vAlign w:val="center"/>
                </w:tcPr>
                <w:p w14:paraId="64C230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29ABE0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58EF62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1D4F67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443B23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p>
                <w:p w14:paraId="158E0F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w:t>
                  </w:r>
                </w:p>
              </w:tc>
              <w:tc>
                <w:tcPr>
                  <w:tcW w:w="2384" w:type="dxa"/>
                  <w:vAlign w:val="center"/>
                </w:tcPr>
                <w:p w14:paraId="5A74FB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De315主管</w:t>
                  </w:r>
                </w:p>
              </w:tc>
              <w:tc>
                <w:tcPr>
                  <w:tcW w:w="1292" w:type="dxa"/>
                  <w:vAlign w:val="center"/>
                </w:tcPr>
                <w:p w14:paraId="0E01E8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vAlign w:val="center"/>
                </w:tcPr>
                <w:p w14:paraId="1E8463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8003</w:t>
                  </w:r>
                </w:p>
              </w:tc>
            </w:tr>
            <w:tr w14:paraId="61811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5EA6E8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2CA6D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0BF970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De110主管</w:t>
                  </w:r>
                </w:p>
              </w:tc>
              <w:tc>
                <w:tcPr>
                  <w:tcW w:w="1292" w:type="dxa"/>
                  <w:vAlign w:val="center"/>
                </w:tcPr>
                <w:p w14:paraId="454F96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vAlign w:val="center"/>
                </w:tcPr>
                <w:p w14:paraId="5543C6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w:t>
                  </w:r>
                </w:p>
              </w:tc>
            </w:tr>
            <w:tr w14:paraId="3B7CB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0826E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5962F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3E91CC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接户管De160</w:t>
                  </w:r>
                </w:p>
              </w:tc>
              <w:tc>
                <w:tcPr>
                  <w:tcW w:w="1292" w:type="dxa"/>
                  <w:vAlign w:val="center"/>
                </w:tcPr>
                <w:p w14:paraId="17416B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米</w:t>
                  </w:r>
                </w:p>
              </w:tc>
              <w:tc>
                <w:tcPr>
                  <w:tcW w:w="1942" w:type="dxa"/>
                  <w:vAlign w:val="center"/>
                </w:tcPr>
                <w:p w14:paraId="22A24C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6240</w:t>
                  </w:r>
                </w:p>
              </w:tc>
            </w:tr>
            <w:tr w14:paraId="10E376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0B89D5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1B798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331D15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检查井Φ700</w:t>
                  </w:r>
                </w:p>
              </w:tc>
              <w:tc>
                <w:tcPr>
                  <w:tcW w:w="1292" w:type="dxa"/>
                  <w:vAlign w:val="center"/>
                </w:tcPr>
                <w:p w14:paraId="3571AB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792446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270</w:t>
                  </w:r>
                </w:p>
              </w:tc>
            </w:tr>
            <w:tr w14:paraId="575924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7A628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7E1EFC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26ECDA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接户井Φ450</w:t>
                  </w:r>
                </w:p>
              </w:tc>
              <w:tc>
                <w:tcPr>
                  <w:tcW w:w="1292" w:type="dxa"/>
                  <w:vAlign w:val="center"/>
                </w:tcPr>
                <w:p w14:paraId="7B2355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3CFE3E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832</w:t>
                  </w:r>
                </w:p>
              </w:tc>
            </w:tr>
            <w:tr w14:paraId="378DA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2CFF58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706E16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3EDF04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跌水井2.1×1.0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292" w:type="dxa"/>
                  <w:vAlign w:val="center"/>
                </w:tcPr>
                <w:p w14:paraId="2A77FC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1C2996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r>
            <w:tr w14:paraId="2DF36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03E43E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136D87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249C57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提升泵站</w:t>
                  </w:r>
                </w:p>
              </w:tc>
              <w:tc>
                <w:tcPr>
                  <w:tcW w:w="1292" w:type="dxa"/>
                  <w:vAlign w:val="center"/>
                </w:tcPr>
                <w:p w14:paraId="0B440D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4E9350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r>
            <w:tr w14:paraId="62D8F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7622F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04270C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10FEC2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净化槽</w:t>
                  </w:r>
                </w:p>
              </w:tc>
              <w:tc>
                <w:tcPr>
                  <w:tcW w:w="1292" w:type="dxa"/>
                  <w:vAlign w:val="center"/>
                </w:tcPr>
                <w:p w14:paraId="7ADB4A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1320D6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r>
            <w:tr w14:paraId="52C9F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73" w:type="dxa"/>
                  <w:vMerge w:val="continue"/>
                  <w:tcBorders>
                    <w:top w:val="nil"/>
                  </w:tcBorders>
                  <w:vAlign w:val="center"/>
                </w:tcPr>
                <w:p w14:paraId="5B029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80" w:type="dxa"/>
                  <w:vMerge w:val="continue"/>
                  <w:tcBorders>
                    <w:top w:val="nil"/>
                  </w:tcBorders>
                  <w:vAlign w:val="center"/>
                </w:tcPr>
                <w:p w14:paraId="3C27B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384" w:type="dxa"/>
                  <w:vAlign w:val="center"/>
                </w:tcPr>
                <w:p w14:paraId="37FB79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资源化利用</w:t>
                  </w:r>
                </w:p>
              </w:tc>
              <w:tc>
                <w:tcPr>
                  <w:tcW w:w="1292" w:type="dxa"/>
                  <w:vAlign w:val="center"/>
                </w:tcPr>
                <w:p w14:paraId="17EED2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42" w:type="dxa"/>
                  <w:vAlign w:val="center"/>
                </w:tcPr>
                <w:p w14:paraId="53741B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r>
          </w:tbl>
          <w:p w14:paraId="21A60A5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3.6.2南岳花都片排水管网新建工程</w:t>
            </w:r>
          </w:p>
          <w:p w14:paraId="577B69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3.6.2.1南岳花都片排水管网总体布置</w:t>
            </w:r>
          </w:p>
          <w:p w14:paraId="18883D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开槽明挖方案。在东支沟设排水暗涵排至淠源渠。排水暗涵布置在惠民路及支路下方，走向自南向北。线路长460m，暗涵全线采用开槽明挖，主管采用d1.8m砼管涵。西支沟处采用d1.2m排水管涵连通至主管。设检查井7个。</w:t>
            </w:r>
          </w:p>
          <w:p w14:paraId="3726B2C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4A4E2A4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19F6A5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05D76DC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7662DC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06949D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215E6E8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01367C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23A1B0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2987040" cy="4645660"/>
                  <wp:effectExtent l="0" t="0" r="3810" b="254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32" cstate="print"/>
                          <a:stretch>
                            <a:fillRect/>
                          </a:stretch>
                        </pic:blipFill>
                        <pic:spPr>
                          <a:xfrm>
                            <a:off x="0" y="0"/>
                            <a:ext cx="2987040" cy="4645660"/>
                          </a:xfrm>
                          <a:prstGeom prst="rect">
                            <a:avLst/>
                          </a:prstGeom>
                        </pic:spPr>
                      </pic:pic>
                    </a:graphicData>
                  </a:graphic>
                </wp:inline>
              </w:drawing>
            </w:r>
          </w:p>
          <w:p w14:paraId="673DD0F3">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图2-</w:t>
            </w:r>
            <w:r>
              <w:rPr>
                <w:rFonts w:hint="eastAsia" w:cs="Times New Roman"/>
                <w:b/>
                <w:bCs/>
                <w:color w:val="000000" w:themeColor="text1"/>
                <w:kern w:val="0"/>
                <w:sz w:val="24"/>
                <w:szCs w:val="24"/>
                <w:highlight w:val="none"/>
                <w:lang w:val="en-US" w:eastAsia="zh-CN" w:bidi="ar-SA"/>
                <w14:textFill>
                  <w14:solidFill>
                    <w14:schemeClr w14:val="tx1"/>
                  </w14:solidFill>
                </w14:textFill>
              </w:rPr>
              <w:t xml:space="preserve">22 </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南岳花都片排水管网总体布置图</w:t>
            </w:r>
          </w:p>
          <w:p w14:paraId="23F80477">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3.6.2.2工艺设计</w:t>
            </w:r>
          </w:p>
          <w:p w14:paraId="71190D5E">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本次排水管网的设计标准按20年一遇过流流量7.3m</w:t>
            </w:r>
            <w:r>
              <w:rPr>
                <w:rFonts w:hint="default" w:ascii="Times New Roman" w:hAnsi="Times New Roman" w:eastAsia="宋体" w:cs="Times New Roman"/>
                <w:b w:val="0"/>
                <w:bCs w:val="0"/>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/s。管道初步采用d1.8m钢筋混凝土管，根据现场条件，按东支沟至西支沟连通段及西支沟排水段分别分析。</w:t>
            </w:r>
          </w:p>
          <w:p w14:paraId="29ED8E7B">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3.6.2.3排水管道规模</w:t>
            </w:r>
          </w:p>
          <w:p w14:paraId="0B600BAD">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东支沟进口水位80.20m，排水管道进口底高程78.80m，水深2.0m；出口位于淠源渠，渠底高程71.70m，灌溉常水位74.56，20年一遇水位74.84m。排水管道出口底高程取73.00m，灌溉常水位下出流为淹没压力流。20年一遇设计工况下水深1.84m，水深1.84m，管道按淹没压力流设计。</w:t>
            </w:r>
          </w:p>
          <w:p w14:paraId="7EF24B7D">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3.6.2.4排水管道纵坡</w:t>
            </w:r>
          </w:p>
          <w:p w14:paraId="5CBC0E56">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东支沟至西支沟段排水管道长94m，采用d1.8m钢筋混凝土管，管道过流面进口底高程78.80m，出口设三通井（兼做检查井），出口底高程77.00m。管道纵坡36‰。</w:t>
            </w:r>
          </w:p>
          <w:p w14:paraId="3953361B">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西支沟至淠源渠段排水管道长366m，采用d1.8m钢筋混凝土管，管道过流面进口底高程77.00m，出口底高程73.00m。管道平均纵坡12.5‰。</w:t>
            </w:r>
          </w:p>
          <w:p w14:paraId="2A640BC6">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3.6.3衡山工业园片排水管网新建工程</w:t>
            </w:r>
          </w:p>
          <w:p w14:paraId="32FEE2AC">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3.6.3.1园区现状</w:t>
            </w:r>
          </w:p>
          <w:p w14:paraId="291D0A58">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目前，潜台寺排涝站排涝面积为3.28km</w:t>
            </w:r>
            <w:r>
              <w:rPr>
                <w:rFonts w:hint="default" w:ascii="Times New Roman" w:hAnsi="Times New Roman" w:eastAsia="宋体" w:cs="Times New Roman"/>
                <w:b w:val="0"/>
                <w:bCs w:val="0"/>
                <w:color w:val="000000" w:themeColor="text1"/>
                <w:kern w:val="0"/>
                <w:sz w:val="24"/>
                <w:szCs w:val="24"/>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，泵站设计流量为11.1m</w:t>
            </w:r>
            <w:r>
              <w:rPr>
                <w:rFonts w:hint="default" w:ascii="Times New Roman" w:hAnsi="Times New Roman" w:eastAsia="宋体" w:cs="Times New Roman"/>
                <w:b w:val="0"/>
                <w:bCs w:val="0"/>
                <w:color w:val="000000" w:themeColor="text1"/>
                <w:kern w:val="0"/>
                <w:sz w:val="24"/>
                <w:szCs w:val="24"/>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/s，雨水服务面积如</w:t>
            </w:r>
            <w:r>
              <w:rPr>
                <w:rFonts w:hint="eastAsia" w:cs="Times New Roman"/>
                <w:b w:val="0"/>
                <w:bCs w:val="0"/>
                <w:color w:val="000000" w:themeColor="text1"/>
                <w:kern w:val="0"/>
                <w:sz w:val="24"/>
                <w:szCs w:val="24"/>
                <w:highlight w:val="none"/>
                <w:lang w:val="en-US" w:eastAsia="zh-CN" w:bidi="ar-SA"/>
                <w14:textFill>
                  <w14:solidFill>
                    <w14:schemeClr w14:val="tx1"/>
                  </w14:solidFill>
                </w14:textFill>
              </w:rPr>
              <w:t>下</w:t>
            </w:r>
            <w:r>
              <w:rPr>
                <w:rFonts w:hint="default" w:ascii="Times New Roman" w:hAnsi="Times New Roman" w:eastAsia="宋体" w:cs="Times New Roman"/>
                <w:b w:val="0"/>
                <w:bCs w:val="0"/>
                <w:color w:val="000000" w:themeColor="text1"/>
                <w:kern w:val="0"/>
                <w:sz w:val="24"/>
                <w:szCs w:val="24"/>
                <w:highlight w:val="none"/>
                <w:lang w:val="en-US" w:eastAsia="zh-CN" w:bidi="ar-SA"/>
                <w14:textFill>
                  <w14:solidFill>
                    <w14:schemeClr w14:val="tx1"/>
                  </w14:solidFill>
                </w14:textFill>
              </w:rPr>
              <w:t>图所示，本次雨水设计的服务范围按排涝面积考虑。本次污水设计服务范围为：北至迎宾大道，南至西路，东至裕民路，西至潜台路</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w:t>
            </w:r>
          </w:p>
          <w:p w14:paraId="29F9401E">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224655" cy="2329815"/>
                  <wp:effectExtent l="0" t="0" r="4445" b="13335"/>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3.jpeg"/>
                          <pic:cNvPicPr>
                            <a:picLocks noChangeAspect="1"/>
                          </pic:cNvPicPr>
                        </pic:nvPicPr>
                        <pic:blipFill>
                          <a:blip r:embed="rId33" cstate="print"/>
                          <a:stretch>
                            <a:fillRect/>
                          </a:stretch>
                        </pic:blipFill>
                        <pic:spPr>
                          <a:xfrm>
                            <a:off x="0" y="0"/>
                            <a:ext cx="4224655" cy="2329815"/>
                          </a:xfrm>
                          <a:prstGeom prst="rect">
                            <a:avLst/>
                          </a:prstGeom>
                        </pic:spPr>
                      </pic:pic>
                    </a:graphicData>
                  </a:graphic>
                </wp:inline>
              </w:drawing>
            </w:r>
          </w:p>
          <w:p w14:paraId="332A8790">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482" w:firstLineChars="20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图2-2</w:t>
            </w:r>
            <w:r>
              <w:rPr>
                <w:rFonts w:hint="eastAsia" w:cs="Times New Roman"/>
                <w:b/>
                <w:bCs/>
                <w:color w:val="000000" w:themeColor="text1"/>
                <w:kern w:val="0"/>
                <w:sz w:val="24"/>
                <w:szCs w:val="24"/>
                <w:highlight w:val="none"/>
                <w:lang w:val="en-US" w:eastAsia="zh-CN" w:bidi="ar-SA"/>
                <w14:textFill>
                  <w14:solidFill>
                    <w14:schemeClr w14:val="tx1"/>
                  </w14:solidFill>
                </w14:textFill>
              </w:rPr>
              <w:t xml:space="preserve">3 </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 雨水服务面积图</w:t>
            </w:r>
          </w:p>
          <w:p w14:paraId="6AECF1A1">
            <w:pPr>
              <w:keepNext w:val="0"/>
              <w:keepLines w:val="0"/>
              <w:pageBreakBefore w:val="0"/>
              <w:suppressLineNumbers w:val="0"/>
              <w:tabs>
                <w:tab w:val="left" w:pos="3979"/>
              </w:tabs>
              <w:kinsoku/>
              <w:wordWrap/>
              <w:overflowPunct/>
              <w:topLinePunct w:val="0"/>
              <w:bidi w:val="0"/>
              <w:adjustRightInd/>
              <w:snapToGrid/>
              <w:spacing w:before="0" w:beforeAutospacing="0" w:after="0" w:afterAutospacing="0" w:line="360" w:lineRule="auto"/>
              <w:ind w:left="0" w:leftChars="0" w:right="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drawing>
                <wp:inline distT="0" distB="0" distL="114300" distR="114300">
                  <wp:extent cx="4747895" cy="3287395"/>
                  <wp:effectExtent l="0" t="0" r="14605" b="825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34"/>
                          <a:stretch>
                            <a:fillRect/>
                          </a:stretch>
                        </pic:blipFill>
                        <pic:spPr>
                          <a:xfrm>
                            <a:off x="1744345" y="998855"/>
                            <a:ext cx="4747895" cy="3287395"/>
                          </a:xfrm>
                          <a:prstGeom prst="rect">
                            <a:avLst/>
                          </a:prstGeom>
                          <a:noFill/>
                          <a:ln>
                            <a:noFill/>
                          </a:ln>
                        </pic:spPr>
                      </pic:pic>
                    </a:graphicData>
                  </a:graphic>
                </wp:inline>
              </w:drawing>
            </w:r>
          </w:p>
          <w:p w14:paraId="50CC784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 2-2</w:t>
            </w:r>
            <w:r>
              <w:rPr>
                <w:rFonts w:hint="eastAsia" w:cs="Times New Roman"/>
                <w:b/>
                <w:bCs/>
                <w:color w:val="000000" w:themeColor="text1"/>
                <w:kern w:val="0"/>
                <w:sz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污水服务面积图</w:t>
            </w:r>
          </w:p>
          <w:p w14:paraId="27294F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3.6.3.2设计方案</w:t>
            </w:r>
          </w:p>
          <w:p w14:paraId="3FA317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3.6.3.2.1雨水设计方案</w:t>
            </w:r>
          </w:p>
          <w:p w14:paraId="4AF4EC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本次片区雨水通过雨水管道及箱涵排至潜台寺排涝泵站。</w:t>
            </w:r>
          </w:p>
          <w:p w14:paraId="516E10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淠河西路（柳林路-康复北路）设计雨水由西向东排入位于康复北路新建管道，设计管径D600-D1200，长度约1300m；</w:t>
            </w:r>
          </w:p>
          <w:p w14:paraId="70899C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淠河西路（康复北路-潜台路）设计雨水由西向东排入位于潜台路西侧现状雨水沟渠，设计管径D600-D1000</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长度约390m；</w:t>
            </w:r>
          </w:p>
          <w:p w14:paraId="56C6AB7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玉带桥中心排沟-淠河西路设计雨水由北向南新建箱涵2000*1500</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长度约590m；白马尖路（淠河西路-与儿街）设计雨水由北向南新建箱涵2000*2000，长度约300m；</w:t>
            </w:r>
          </w:p>
          <w:p w14:paraId="306FB3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与儿街（白马尖路-康复北路）设计雨水由西向东新建箱涵2000*2000，长度约500m；</w:t>
            </w:r>
          </w:p>
          <w:p w14:paraId="656DBD0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康复北路（淠河西路-外环路）设计雨水由北向南新建雨水管道D1000-1200</w:t>
            </w:r>
            <w:r>
              <w:rPr>
                <w:rFonts w:hint="eastAsia"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箱涵3000*2500，接入潜台寺排涝泵站，长度约610m。</w:t>
            </w:r>
          </w:p>
          <w:p w14:paraId="78A06ED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p>
          <w:p w14:paraId="4AD90C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4933950" cy="2516505"/>
                  <wp:effectExtent l="0" t="0" r="0" b="17145"/>
                  <wp:docPr id="8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5.jpeg"/>
                          <pic:cNvPicPr>
                            <a:picLocks noChangeAspect="1"/>
                          </pic:cNvPicPr>
                        </pic:nvPicPr>
                        <pic:blipFill>
                          <a:blip r:embed="rId35" cstate="print"/>
                          <a:stretch>
                            <a:fillRect/>
                          </a:stretch>
                        </pic:blipFill>
                        <pic:spPr>
                          <a:xfrm>
                            <a:off x="0" y="0"/>
                            <a:ext cx="4933950" cy="2516505"/>
                          </a:xfrm>
                          <a:prstGeom prst="rect">
                            <a:avLst/>
                          </a:prstGeom>
                        </pic:spPr>
                      </pic:pic>
                    </a:graphicData>
                  </a:graphic>
                </wp:inline>
              </w:drawing>
            </w:r>
          </w:p>
          <w:p w14:paraId="26CC6C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图2-2</w:t>
            </w:r>
            <w:r>
              <w:rPr>
                <w:rFonts w:hint="eastAsia" w:cs="Times New Roman"/>
                <w:b/>
                <w:bCs/>
                <w:color w:val="000000" w:themeColor="text1"/>
                <w:kern w:val="0"/>
                <w:sz w:val="24"/>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雨水管网布置示意图</w:t>
            </w:r>
          </w:p>
          <w:p w14:paraId="0E33A3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3.6.3.2.2污水设计方案</w:t>
            </w:r>
          </w:p>
          <w:p w14:paraId="6919F99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本工程服务范围地形地貌相对简单，本次设计针对工程服务区特有的地形地貌及现状水系及污水管道布置情况，设计污水管网布置方案，简述如下：</w:t>
            </w:r>
          </w:p>
          <w:p w14:paraId="69882B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淠河西路（柳林路-潜台路）设计污水由东西向中间排入康复北路设计污水管道，设计管径D500~D800，长度约1650m。</w:t>
            </w:r>
          </w:p>
          <w:p w14:paraId="26F817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与儿街路（柳林路-康复北路）设计污水由西向东排入康复北路设计污水管道，设计管径D500，长度约760m。</w:t>
            </w:r>
          </w:p>
          <w:p w14:paraId="374F304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佛通路（淠河西路-白马尖路）设计污水由南向北排入与儿街路设计污水管道，设计管径D500，长度约220m。</w:t>
            </w:r>
          </w:p>
          <w:p w14:paraId="79F5964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白马尖路（外环路-淠河西路）设计污水由南北向中间排入与儿街路设计污水管道，设计管径D500，长度约470m。</w:t>
            </w:r>
          </w:p>
          <w:p w14:paraId="1E00D5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康复北路（外环路-淠河西路）设计污水由北向南再向东排入现状衡山工业园污水提升泵站，设计管径D800，长度约1020m。</w:t>
            </w:r>
          </w:p>
          <w:p w14:paraId="0F06546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0"/>
                <w14:textFill>
                  <w14:solidFill>
                    <w14:schemeClr w14:val="tx1"/>
                  </w14:solidFill>
                </w14:textFill>
              </w:rPr>
              <w:drawing>
                <wp:inline distT="0" distB="0" distL="0" distR="0">
                  <wp:extent cx="5032375" cy="2526665"/>
                  <wp:effectExtent l="0" t="0" r="15875" b="6985"/>
                  <wp:docPr id="8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6.jpeg"/>
                          <pic:cNvPicPr>
                            <a:picLocks noChangeAspect="1"/>
                          </pic:cNvPicPr>
                        </pic:nvPicPr>
                        <pic:blipFill>
                          <a:blip r:embed="rId36" cstate="print"/>
                          <a:stretch>
                            <a:fillRect/>
                          </a:stretch>
                        </pic:blipFill>
                        <pic:spPr>
                          <a:xfrm>
                            <a:off x="0" y="0"/>
                            <a:ext cx="5032375" cy="2526665"/>
                          </a:xfrm>
                          <a:prstGeom prst="rect">
                            <a:avLst/>
                          </a:prstGeom>
                        </pic:spPr>
                      </pic:pic>
                    </a:graphicData>
                  </a:graphic>
                </wp:inline>
              </w:drawing>
            </w:r>
          </w:p>
          <w:p w14:paraId="6563E5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图2-2</w:t>
            </w:r>
            <w:r>
              <w:rPr>
                <w:rFonts w:hint="eastAsia" w:cs="Times New Roman"/>
                <w:b/>
                <w:bCs/>
                <w:color w:val="000000" w:themeColor="text1"/>
                <w:kern w:val="0"/>
                <w:sz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污水管网布置示意图</w:t>
            </w:r>
          </w:p>
          <w:p w14:paraId="049E7C4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3.6.3.3工程量</w:t>
            </w:r>
          </w:p>
          <w:p w14:paraId="00A296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本次衡山工业园片区雨水管网改造工程量一览表如下表所示。</w:t>
            </w:r>
          </w:p>
          <w:p w14:paraId="34617E8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表2-21  管道工程量一览表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9"/>
              <w:gridCol w:w="910"/>
              <w:gridCol w:w="2750"/>
              <w:gridCol w:w="1677"/>
              <w:gridCol w:w="910"/>
              <w:gridCol w:w="915"/>
            </w:tblGrid>
            <w:tr w14:paraId="73617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23D7E5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910" w:type="dxa"/>
                  <w:vAlign w:val="center"/>
                </w:tcPr>
                <w:p w14:paraId="05C549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分类</w:t>
                  </w:r>
                </w:p>
              </w:tc>
              <w:tc>
                <w:tcPr>
                  <w:tcW w:w="2750" w:type="dxa"/>
                  <w:vAlign w:val="center"/>
                </w:tcPr>
                <w:p w14:paraId="46F808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1677" w:type="dxa"/>
                  <w:vAlign w:val="center"/>
                </w:tcPr>
                <w:p w14:paraId="34D9EE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规格</w:t>
                  </w:r>
                </w:p>
              </w:tc>
              <w:tc>
                <w:tcPr>
                  <w:tcW w:w="910" w:type="dxa"/>
                  <w:vAlign w:val="center"/>
                </w:tcPr>
                <w:p w14:paraId="0A0D28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c>
                <w:tcPr>
                  <w:tcW w:w="915" w:type="dxa"/>
                  <w:vAlign w:val="center"/>
                </w:tcPr>
                <w:p w14:paraId="233A8C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r>
            <w:tr w14:paraId="45974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3347D2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1</w:t>
                  </w:r>
                </w:p>
              </w:tc>
              <w:tc>
                <w:tcPr>
                  <w:tcW w:w="910" w:type="dxa"/>
                  <w:vMerge w:val="restart"/>
                  <w:vAlign w:val="center"/>
                </w:tcPr>
                <w:p w14:paraId="447611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w:t>
                  </w:r>
                </w:p>
              </w:tc>
              <w:tc>
                <w:tcPr>
                  <w:tcW w:w="2750" w:type="dxa"/>
                  <w:vAlign w:val="center"/>
                </w:tcPr>
                <w:p w14:paraId="7114CD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518FCE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DN800</w:t>
                  </w:r>
                </w:p>
              </w:tc>
              <w:tc>
                <w:tcPr>
                  <w:tcW w:w="910" w:type="dxa"/>
                  <w:vAlign w:val="center"/>
                </w:tcPr>
                <w:p w14:paraId="41E4C95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2450</w:t>
                  </w:r>
                </w:p>
              </w:tc>
              <w:tc>
                <w:tcPr>
                  <w:tcW w:w="915" w:type="dxa"/>
                  <w:vAlign w:val="center"/>
                </w:tcPr>
                <w:p w14:paraId="14D762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3F6DF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1D2497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2</w:t>
                  </w:r>
                </w:p>
              </w:tc>
              <w:tc>
                <w:tcPr>
                  <w:tcW w:w="910" w:type="dxa"/>
                  <w:vMerge w:val="continue"/>
                  <w:tcBorders>
                    <w:top w:val="nil"/>
                  </w:tcBorders>
                  <w:vAlign w:val="center"/>
                </w:tcPr>
                <w:p w14:paraId="23C63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044194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462E7D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DN500</w:t>
                  </w:r>
                </w:p>
              </w:tc>
              <w:tc>
                <w:tcPr>
                  <w:tcW w:w="910" w:type="dxa"/>
                  <w:vAlign w:val="center"/>
                </w:tcPr>
                <w:p w14:paraId="3DEE61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1285</w:t>
                  </w:r>
                </w:p>
              </w:tc>
              <w:tc>
                <w:tcPr>
                  <w:tcW w:w="915" w:type="dxa"/>
                  <w:vAlign w:val="center"/>
                </w:tcPr>
                <w:p w14:paraId="1EBF8A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418BC1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1B5774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3</w:t>
                  </w:r>
                </w:p>
              </w:tc>
              <w:tc>
                <w:tcPr>
                  <w:tcW w:w="910" w:type="dxa"/>
                  <w:vMerge w:val="continue"/>
                  <w:tcBorders>
                    <w:top w:val="nil"/>
                  </w:tcBorders>
                  <w:vAlign w:val="center"/>
                </w:tcPr>
                <w:p w14:paraId="69D4D6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376A16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500584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DN400</w:t>
                  </w:r>
                </w:p>
              </w:tc>
              <w:tc>
                <w:tcPr>
                  <w:tcW w:w="910" w:type="dxa"/>
                  <w:vAlign w:val="center"/>
                </w:tcPr>
                <w:p w14:paraId="79CA2C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450</w:t>
                  </w:r>
                </w:p>
              </w:tc>
              <w:tc>
                <w:tcPr>
                  <w:tcW w:w="915" w:type="dxa"/>
                  <w:vAlign w:val="center"/>
                </w:tcPr>
                <w:p w14:paraId="4A489D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1EF39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1A2937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4</w:t>
                  </w:r>
                </w:p>
              </w:tc>
              <w:tc>
                <w:tcPr>
                  <w:tcW w:w="910" w:type="dxa"/>
                  <w:vMerge w:val="continue"/>
                  <w:tcBorders>
                    <w:top w:val="nil"/>
                  </w:tcBorders>
                  <w:vAlign w:val="center"/>
                </w:tcPr>
                <w:p w14:paraId="26237C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3753D4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vAlign w:val="center"/>
                </w:tcPr>
                <w:p w14:paraId="078DF0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∅1250</w:t>
                  </w:r>
                </w:p>
              </w:tc>
              <w:tc>
                <w:tcPr>
                  <w:tcW w:w="910" w:type="dxa"/>
                  <w:vAlign w:val="center"/>
                </w:tcPr>
                <w:p w14:paraId="3066A1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w:t>
                  </w:r>
                </w:p>
              </w:tc>
              <w:tc>
                <w:tcPr>
                  <w:tcW w:w="915" w:type="dxa"/>
                  <w:vAlign w:val="center"/>
                </w:tcPr>
                <w:p w14:paraId="20DA66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25FFC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0F31BF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5</w:t>
                  </w:r>
                </w:p>
              </w:tc>
              <w:tc>
                <w:tcPr>
                  <w:tcW w:w="910" w:type="dxa"/>
                  <w:vMerge w:val="continue"/>
                  <w:tcBorders>
                    <w:top w:val="nil"/>
                  </w:tcBorders>
                  <w:vAlign w:val="center"/>
                </w:tcPr>
                <w:p w14:paraId="5F4E9E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68599A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vAlign w:val="center"/>
                </w:tcPr>
                <w:p w14:paraId="632D4F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∅1000</w:t>
                  </w:r>
                </w:p>
              </w:tc>
              <w:tc>
                <w:tcPr>
                  <w:tcW w:w="910" w:type="dxa"/>
                  <w:vAlign w:val="center"/>
                </w:tcPr>
                <w:p w14:paraId="249E19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w:t>
                  </w:r>
                </w:p>
              </w:tc>
              <w:tc>
                <w:tcPr>
                  <w:tcW w:w="915" w:type="dxa"/>
                  <w:vAlign w:val="center"/>
                </w:tcPr>
                <w:p w14:paraId="61892B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5ACB4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39D611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6</w:t>
                  </w:r>
                </w:p>
              </w:tc>
              <w:tc>
                <w:tcPr>
                  <w:tcW w:w="910" w:type="dxa"/>
                  <w:vMerge w:val="restart"/>
                  <w:vAlign w:val="center"/>
                </w:tcPr>
                <w:p w14:paraId="45D7CA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w:t>
                  </w:r>
                </w:p>
              </w:tc>
              <w:tc>
                <w:tcPr>
                  <w:tcW w:w="2750" w:type="dxa"/>
                  <w:vAlign w:val="center"/>
                </w:tcPr>
                <w:p w14:paraId="213AB0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047370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DN600</w:t>
                  </w:r>
                </w:p>
              </w:tc>
              <w:tc>
                <w:tcPr>
                  <w:tcW w:w="910" w:type="dxa"/>
                  <w:vAlign w:val="center"/>
                </w:tcPr>
                <w:p w14:paraId="6AEB5A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1050</w:t>
                  </w:r>
                </w:p>
              </w:tc>
              <w:tc>
                <w:tcPr>
                  <w:tcW w:w="915" w:type="dxa"/>
                  <w:vAlign w:val="center"/>
                </w:tcPr>
                <w:p w14:paraId="4CC0E2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235A5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483BD6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7</w:t>
                  </w:r>
                </w:p>
              </w:tc>
              <w:tc>
                <w:tcPr>
                  <w:tcW w:w="910" w:type="dxa"/>
                  <w:vMerge w:val="continue"/>
                  <w:vAlign w:val="center"/>
                </w:tcPr>
                <w:p w14:paraId="1E84B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72DAD9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545B7F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DN800</w:t>
                  </w:r>
                </w:p>
              </w:tc>
              <w:tc>
                <w:tcPr>
                  <w:tcW w:w="910" w:type="dxa"/>
                  <w:vAlign w:val="center"/>
                </w:tcPr>
                <w:p w14:paraId="0929FC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630</w:t>
                  </w:r>
                </w:p>
              </w:tc>
              <w:tc>
                <w:tcPr>
                  <w:tcW w:w="915" w:type="dxa"/>
                  <w:vAlign w:val="center"/>
                </w:tcPr>
                <w:p w14:paraId="3BDFAC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6E101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382CF6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8</w:t>
                  </w:r>
                </w:p>
              </w:tc>
              <w:tc>
                <w:tcPr>
                  <w:tcW w:w="910" w:type="dxa"/>
                  <w:vMerge w:val="continue"/>
                  <w:vAlign w:val="center"/>
                </w:tcPr>
                <w:p w14:paraId="688EC6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0BC851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2BFE79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DN1000</w:t>
                  </w:r>
                </w:p>
              </w:tc>
              <w:tc>
                <w:tcPr>
                  <w:tcW w:w="910" w:type="dxa"/>
                  <w:vAlign w:val="center"/>
                </w:tcPr>
                <w:p w14:paraId="0F0296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w:t>
                  </w:r>
                </w:p>
              </w:tc>
              <w:tc>
                <w:tcPr>
                  <w:tcW w:w="915" w:type="dxa"/>
                  <w:vAlign w:val="center"/>
                </w:tcPr>
                <w:p w14:paraId="503C8F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42AE9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312B11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9</w:t>
                  </w:r>
                </w:p>
              </w:tc>
              <w:tc>
                <w:tcPr>
                  <w:tcW w:w="910" w:type="dxa"/>
                  <w:vMerge w:val="continue"/>
                  <w:vAlign w:val="center"/>
                </w:tcPr>
                <w:p w14:paraId="307CD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641BF1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Ⅱ级钢筋混凝土管</w:t>
                  </w:r>
                </w:p>
              </w:tc>
              <w:tc>
                <w:tcPr>
                  <w:tcW w:w="1677" w:type="dxa"/>
                  <w:vAlign w:val="center"/>
                </w:tcPr>
                <w:p w14:paraId="7EBEB6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DN1200</w:t>
                  </w:r>
                </w:p>
              </w:tc>
              <w:tc>
                <w:tcPr>
                  <w:tcW w:w="910" w:type="dxa"/>
                  <w:vAlign w:val="center"/>
                </w:tcPr>
                <w:p w14:paraId="1FA758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w:t>
                  </w:r>
                </w:p>
              </w:tc>
              <w:tc>
                <w:tcPr>
                  <w:tcW w:w="915" w:type="dxa"/>
                  <w:vAlign w:val="center"/>
                </w:tcPr>
                <w:p w14:paraId="3A7705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7234A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0A70AB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910" w:type="dxa"/>
                  <w:vMerge w:val="continue"/>
                  <w:vAlign w:val="center"/>
                </w:tcPr>
                <w:p w14:paraId="7C38EB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371CDC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HDPE缠绕管</w:t>
                  </w:r>
                </w:p>
              </w:tc>
              <w:tc>
                <w:tcPr>
                  <w:tcW w:w="1677" w:type="dxa"/>
                  <w:vAlign w:val="center"/>
                </w:tcPr>
                <w:p w14:paraId="18B5B5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DN300</w:t>
                  </w:r>
                </w:p>
              </w:tc>
              <w:tc>
                <w:tcPr>
                  <w:tcW w:w="910" w:type="dxa"/>
                  <w:vAlign w:val="center"/>
                </w:tcPr>
                <w:p w14:paraId="6218FF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2048</w:t>
                  </w:r>
                </w:p>
              </w:tc>
              <w:tc>
                <w:tcPr>
                  <w:tcW w:w="915" w:type="dxa"/>
                  <w:vAlign w:val="center"/>
                </w:tcPr>
                <w:p w14:paraId="6FBDE3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2F826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72DC6F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910" w:type="dxa"/>
                  <w:vMerge w:val="continue"/>
                  <w:vAlign w:val="center"/>
                </w:tcPr>
                <w:p w14:paraId="1F05A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1E5DDC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vAlign w:val="center"/>
                </w:tcPr>
                <w:p w14:paraId="474CAD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∅1250</w:t>
                  </w:r>
                </w:p>
              </w:tc>
              <w:tc>
                <w:tcPr>
                  <w:tcW w:w="910" w:type="dxa"/>
                  <w:vAlign w:val="center"/>
                </w:tcPr>
                <w:p w14:paraId="78B076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w:t>
                  </w:r>
                </w:p>
              </w:tc>
              <w:tc>
                <w:tcPr>
                  <w:tcW w:w="915" w:type="dxa"/>
                  <w:vAlign w:val="center"/>
                </w:tcPr>
                <w:p w14:paraId="44190D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669CE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116E35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910" w:type="dxa"/>
                  <w:vMerge w:val="continue"/>
                  <w:vAlign w:val="center"/>
                </w:tcPr>
                <w:p w14:paraId="6EF718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738D4F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vAlign w:val="center"/>
                </w:tcPr>
                <w:p w14:paraId="17777F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1300*1100</w:t>
                  </w:r>
                </w:p>
              </w:tc>
              <w:tc>
                <w:tcPr>
                  <w:tcW w:w="910" w:type="dxa"/>
                  <w:vAlign w:val="center"/>
                </w:tcPr>
                <w:p w14:paraId="4138C3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7</w:t>
                  </w:r>
                </w:p>
              </w:tc>
              <w:tc>
                <w:tcPr>
                  <w:tcW w:w="915" w:type="dxa"/>
                  <w:vAlign w:val="center"/>
                </w:tcPr>
                <w:p w14:paraId="478BF2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20E4F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15A4C8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910" w:type="dxa"/>
                  <w:vMerge w:val="continue"/>
                  <w:vAlign w:val="center"/>
                </w:tcPr>
                <w:p w14:paraId="5706A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18913E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钢筋混凝土检查井</w:t>
                  </w:r>
                </w:p>
              </w:tc>
              <w:tc>
                <w:tcPr>
                  <w:tcW w:w="1677" w:type="dxa"/>
                  <w:vAlign w:val="center"/>
                </w:tcPr>
                <w:p w14:paraId="48B610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1500*1100</w:t>
                  </w:r>
                </w:p>
              </w:tc>
              <w:tc>
                <w:tcPr>
                  <w:tcW w:w="910" w:type="dxa"/>
                  <w:vAlign w:val="center"/>
                </w:tcPr>
                <w:p w14:paraId="6314A6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8</w:t>
                  </w:r>
                </w:p>
              </w:tc>
              <w:tc>
                <w:tcPr>
                  <w:tcW w:w="915" w:type="dxa"/>
                  <w:vAlign w:val="center"/>
                </w:tcPr>
                <w:p w14:paraId="41EF6E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163C0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7BDF4B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910" w:type="dxa"/>
                  <w:vMerge w:val="continue"/>
                  <w:vAlign w:val="center"/>
                </w:tcPr>
                <w:p w14:paraId="1A592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4B56F3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雨水篦子</w:t>
                  </w:r>
                </w:p>
              </w:tc>
              <w:tc>
                <w:tcPr>
                  <w:tcW w:w="1677" w:type="dxa"/>
                  <w:vAlign w:val="center"/>
                </w:tcPr>
                <w:p w14:paraId="062247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2030*960</w:t>
                  </w:r>
                </w:p>
              </w:tc>
              <w:tc>
                <w:tcPr>
                  <w:tcW w:w="910" w:type="dxa"/>
                  <w:vAlign w:val="center"/>
                </w:tcPr>
                <w:p w14:paraId="3AC9BC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256</w:t>
                  </w:r>
                </w:p>
              </w:tc>
              <w:tc>
                <w:tcPr>
                  <w:tcW w:w="915" w:type="dxa"/>
                  <w:vAlign w:val="center"/>
                </w:tcPr>
                <w:p w14:paraId="75DE03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0E35FD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789B77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910" w:type="dxa"/>
                  <w:vMerge w:val="restart"/>
                  <w:vAlign w:val="center"/>
                </w:tcPr>
                <w:p w14:paraId="27ED30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箱涵</w:t>
                  </w:r>
                </w:p>
              </w:tc>
              <w:tc>
                <w:tcPr>
                  <w:tcW w:w="2750" w:type="dxa"/>
                  <w:vAlign w:val="center"/>
                </w:tcPr>
                <w:p w14:paraId="24FF3D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预制钢筋混凝土</w:t>
                  </w:r>
                </w:p>
              </w:tc>
              <w:tc>
                <w:tcPr>
                  <w:tcW w:w="1677" w:type="dxa"/>
                  <w:vAlign w:val="center"/>
                </w:tcPr>
                <w:p w14:paraId="469965B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2000*1500</w:t>
                  </w:r>
                </w:p>
              </w:tc>
              <w:tc>
                <w:tcPr>
                  <w:tcW w:w="910" w:type="dxa"/>
                  <w:vAlign w:val="center"/>
                </w:tcPr>
                <w:p w14:paraId="748098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590</w:t>
                  </w:r>
                </w:p>
              </w:tc>
              <w:tc>
                <w:tcPr>
                  <w:tcW w:w="915" w:type="dxa"/>
                  <w:vAlign w:val="center"/>
                </w:tcPr>
                <w:p w14:paraId="4CC8B0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5BDE9E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49E370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910" w:type="dxa"/>
                  <w:vMerge w:val="continue"/>
                  <w:tcBorders>
                    <w:top w:val="nil"/>
                  </w:tcBorders>
                  <w:vAlign w:val="center"/>
                </w:tcPr>
                <w:p w14:paraId="0F52D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2EF7CC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预制钢筋混凝土</w:t>
                  </w:r>
                </w:p>
              </w:tc>
              <w:tc>
                <w:tcPr>
                  <w:tcW w:w="1677" w:type="dxa"/>
                  <w:vAlign w:val="center"/>
                </w:tcPr>
                <w:p w14:paraId="4239CE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2000*2000</w:t>
                  </w:r>
                </w:p>
              </w:tc>
              <w:tc>
                <w:tcPr>
                  <w:tcW w:w="910" w:type="dxa"/>
                  <w:vAlign w:val="center"/>
                </w:tcPr>
                <w:p w14:paraId="0FB374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830</w:t>
                  </w:r>
                </w:p>
              </w:tc>
              <w:tc>
                <w:tcPr>
                  <w:tcW w:w="915" w:type="dxa"/>
                  <w:vAlign w:val="center"/>
                </w:tcPr>
                <w:p w14:paraId="6872F7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00917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30FD0A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910" w:type="dxa"/>
                  <w:vMerge w:val="continue"/>
                  <w:tcBorders>
                    <w:top w:val="nil"/>
                  </w:tcBorders>
                  <w:vAlign w:val="center"/>
                </w:tcPr>
                <w:p w14:paraId="5B60D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73CB16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预制钢筋混凝土</w:t>
                  </w:r>
                </w:p>
              </w:tc>
              <w:tc>
                <w:tcPr>
                  <w:tcW w:w="1677" w:type="dxa"/>
                  <w:vAlign w:val="center"/>
                </w:tcPr>
                <w:p w14:paraId="72CBFF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2500*3000</w:t>
                  </w:r>
                </w:p>
              </w:tc>
              <w:tc>
                <w:tcPr>
                  <w:tcW w:w="910" w:type="dxa"/>
                  <w:vAlign w:val="center"/>
                </w:tcPr>
                <w:p w14:paraId="02435F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820</w:t>
                  </w:r>
                </w:p>
              </w:tc>
              <w:tc>
                <w:tcPr>
                  <w:tcW w:w="915" w:type="dxa"/>
                  <w:vAlign w:val="center"/>
                </w:tcPr>
                <w:p w14:paraId="720BE2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r w14:paraId="43893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588D2D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910" w:type="dxa"/>
                  <w:vMerge w:val="continue"/>
                  <w:tcBorders>
                    <w:top w:val="nil"/>
                  </w:tcBorders>
                  <w:vAlign w:val="center"/>
                </w:tcPr>
                <w:p w14:paraId="3FC4B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23138B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八字口</w:t>
                  </w:r>
                </w:p>
              </w:tc>
              <w:tc>
                <w:tcPr>
                  <w:tcW w:w="1677" w:type="dxa"/>
                  <w:vAlign w:val="center"/>
                </w:tcPr>
                <w:p w14:paraId="435A76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5000*3000</w:t>
                  </w:r>
                </w:p>
              </w:tc>
              <w:tc>
                <w:tcPr>
                  <w:tcW w:w="910" w:type="dxa"/>
                  <w:vAlign w:val="center"/>
                </w:tcPr>
                <w:p w14:paraId="3ED945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3</w:t>
                  </w:r>
                </w:p>
              </w:tc>
              <w:tc>
                <w:tcPr>
                  <w:tcW w:w="915" w:type="dxa"/>
                  <w:vAlign w:val="center"/>
                </w:tcPr>
                <w:p w14:paraId="2A34E0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座</w:t>
                  </w:r>
                </w:p>
              </w:tc>
            </w:tr>
            <w:tr w14:paraId="264FC3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09" w:type="dxa"/>
                  <w:vAlign w:val="center"/>
                </w:tcPr>
                <w:p w14:paraId="589ED6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910" w:type="dxa"/>
                  <w:vAlign w:val="center"/>
                </w:tcPr>
                <w:p w14:paraId="342111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750" w:type="dxa"/>
                  <w:vAlign w:val="center"/>
                </w:tcPr>
                <w:p w14:paraId="01C418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明渠</w:t>
                  </w:r>
                </w:p>
              </w:tc>
              <w:tc>
                <w:tcPr>
                  <w:tcW w:w="1677" w:type="dxa"/>
                  <w:vAlign w:val="center"/>
                </w:tcPr>
                <w:p w14:paraId="7B7F4D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2500*3000</w:t>
                  </w:r>
                </w:p>
              </w:tc>
              <w:tc>
                <w:tcPr>
                  <w:tcW w:w="910" w:type="dxa"/>
                  <w:vAlign w:val="center"/>
                </w:tcPr>
                <w:p w14:paraId="7F8F5C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290</w:t>
                  </w:r>
                </w:p>
              </w:tc>
              <w:tc>
                <w:tcPr>
                  <w:tcW w:w="915" w:type="dxa"/>
                  <w:vAlign w:val="center"/>
                </w:tcPr>
                <w:p w14:paraId="65FC87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100"/>
                      <w:sz w:val="21"/>
                      <w:szCs w:val="21"/>
                      <w14:textFill>
                        <w14:solidFill>
                          <w14:schemeClr w14:val="tx1"/>
                        </w14:solidFill>
                      </w14:textFill>
                    </w:rPr>
                    <w:t>米</w:t>
                  </w:r>
                </w:p>
              </w:tc>
            </w:tr>
          </w:tbl>
          <w:p w14:paraId="599E204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bookmarkStart w:id="14" w:name="5.4.2.6.4处理设施方案选择"/>
            <w:bookmarkEnd w:id="14"/>
            <w:bookmarkStart w:id="15" w:name="5.4.2.6.4处理设施方案选择"/>
            <w:bookmarkEnd w:id="15"/>
            <w:bookmarkStart w:id="16" w:name="5.4.4工程量"/>
            <w:bookmarkEnd w:id="16"/>
            <w:bookmarkStart w:id="17" w:name="5.4.4工程量"/>
            <w:bookmarkEnd w:id="17"/>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4、本项目由主要工程量</w:t>
            </w:r>
          </w:p>
          <w:p w14:paraId="5098A6F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bookmarkStart w:id="18" w:name="5.6.1区域排涝能力提升工程主要工程量"/>
            <w:bookmarkEnd w:id="18"/>
            <w:bookmarkStart w:id="19" w:name="5.6.1区域排涝能力提升工程主要工程量"/>
            <w:bookmarkEnd w:id="19"/>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区域排涝能力提升工程主要工程量；</w:t>
            </w:r>
          </w:p>
          <w:p w14:paraId="68554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表2-22  西部新城排涝站工程主要工程量表</w:t>
            </w:r>
          </w:p>
          <w:tbl>
            <w:tblPr>
              <w:tblStyle w:val="25"/>
              <w:tblW w:w="80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66"/>
              <w:gridCol w:w="4205"/>
              <w:gridCol w:w="918"/>
              <w:gridCol w:w="1590"/>
            </w:tblGrid>
            <w:tr w14:paraId="7EAFF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780EAE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4205" w:type="dxa"/>
                  <w:vAlign w:val="center"/>
                </w:tcPr>
                <w:p w14:paraId="323991E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工程或费用名称</w:t>
                  </w:r>
                </w:p>
              </w:tc>
              <w:tc>
                <w:tcPr>
                  <w:tcW w:w="918" w:type="dxa"/>
                  <w:vAlign w:val="center"/>
                </w:tcPr>
                <w:p w14:paraId="576C549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590" w:type="dxa"/>
                  <w:vAlign w:val="center"/>
                </w:tcPr>
                <w:p w14:paraId="2BDE20E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63753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2BBB9F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一</w:t>
                  </w:r>
                </w:p>
              </w:tc>
              <w:tc>
                <w:tcPr>
                  <w:tcW w:w="4205" w:type="dxa"/>
                  <w:vAlign w:val="center"/>
                </w:tcPr>
                <w:p w14:paraId="655CD4C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 建筑工程</w:t>
                  </w:r>
                </w:p>
              </w:tc>
              <w:tc>
                <w:tcPr>
                  <w:tcW w:w="918" w:type="dxa"/>
                  <w:vAlign w:val="center"/>
                </w:tcPr>
                <w:p w14:paraId="1385ED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379820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6BA3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18626C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vAlign w:val="center"/>
                </w:tcPr>
                <w:p w14:paraId="4F5CA17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区域排涝能力提升工程</w:t>
                  </w:r>
                </w:p>
              </w:tc>
              <w:tc>
                <w:tcPr>
                  <w:tcW w:w="918" w:type="dxa"/>
                  <w:vAlign w:val="center"/>
                </w:tcPr>
                <w:p w14:paraId="2C63C04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BDB748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611E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D9BA8D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c>
                <w:tcPr>
                  <w:tcW w:w="4205" w:type="dxa"/>
                  <w:vAlign w:val="center"/>
                </w:tcPr>
                <w:p w14:paraId="7879BF8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西部新城排涝能力提升工程</w:t>
                  </w:r>
                </w:p>
              </w:tc>
              <w:tc>
                <w:tcPr>
                  <w:tcW w:w="918" w:type="dxa"/>
                  <w:vAlign w:val="center"/>
                </w:tcPr>
                <w:p w14:paraId="1C08B68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38F14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82BA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DDFCC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vAlign w:val="center"/>
                </w:tcPr>
                <w:p w14:paraId="34F325F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排涝沟整治</w:t>
                  </w:r>
                </w:p>
              </w:tc>
              <w:tc>
                <w:tcPr>
                  <w:tcW w:w="918" w:type="dxa"/>
                  <w:vAlign w:val="center"/>
                </w:tcPr>
                <w:p w14:paraId="27F2EE6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025EF1F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2CA9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21121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4205" w:type="dxa"/>
                  <w:vAlign w:val="center"/>
                </w:tcPr>
                <w:p w14:paraId="716372F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北侧边沟</w:t>
                  </w:r>
                </w:p>
              </w:tc>
              <w:tc>
                <w:tcPr>
                  <w:tcW w:w="918" w:type="dxa"/>
                  <w:vAlign w:val="center"/>
                </w:tcPr>
                <w:p w14:paraId="16FB876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664D8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D990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1B0C83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1.1.1.1</w:t>
                  </w:r>
                </w:p>
              </w:tc>
              <w:tc>
                <w:tcPr>
                  <w:tcW w:w="4205" w:type="dxa"/>
                  <w:vAlign w:val="center"/>
                </w:tcPr>
                <w:p w14:paraId="5E5B194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vAlign w:val="center"/>
                </w:tcPr>
                <w:p w14:paraId="7772BD5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11DCA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58E7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41CF98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4BD9F2C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vAlign w:val="center"/>
                </w:tcPr>
                <w:p w14:paraId="0D25B5F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137F453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39043.31</w:t>
                  </w:r>
                </w:p>
              </w:tc>
            </w:tr>
            <w:tr w14:paraId="2FEE4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695D9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38853FD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vAlign w:val="center"/>
                </w:tcPr>
                <w:p w14:paraId="55781B2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C7270A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22035.452</w:t>
                  </w:r>
                </w:p>
              </w:tc>
            </w:tr>
            <w:tr w14:paraId="68D62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4EC911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3934B59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918" w:type="dxa"/>
                  <w:vAlign w:val="center"/>
                </w:tcPr>
                <w:p w14:paraId="3BB1DA9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2E7D369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17900.118</w:t>
                  </w:r>
                </w:p>
              </w:tc>
            </w:tr>
            <w:tr w14:paraId="64D6D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59D2CB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184C338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918" w:type="dxa"/>
                  <w:vAlign w:val="center"/>
                </w:tcPr>
                <w:p w14:paraId="02208DD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911062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17900.118</w:t>
                  </w:r>
                </w:p>
              </w:tc>
            </w:tr>
            <w:tr w14:paraId="11B8E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590788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3F46487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vAlign w:val="center"/>
                </w:tcPr>
                <w:p w14:paraId="7994EF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5830BE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15215.1</w:t>
                  </w:r>
                </w:p>
              </w:tc>
            </w:tr>
            <w:tr w14:paraId="31C97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46B2DD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1.1.1.2</w:t>
                  </w:r>
                </w:p>
              </w:tc>
              <w:tc>
                <w:tcPr>
                  <w:tcW w:w="4205" w:type="dxa"/>
                  <w:vAlign w:val="center"/>
                </w:tcPr>
                <w:p w14:paraId="3A48334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vAlign w:val="center"/>
                </w:tcPr>
                <w:p w14:paraId="47AC2CB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123C68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279D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B2E7D8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2D6EE81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vAlign w:val="center"/>
                </w:tcPr>
                <w:p w14:paraId="04A0321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D33928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1249.21</w:t>
                  </w:r>
                </w:p>
              </w:tc>
            </w:tr>
            <w:tr w14:paraId="0E4F7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55319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1.1.1.3</w:t>
                  </w:r>
                </w:p>
              </w:tc>
              <w:tc>
                <w:tcPr>
                  <w:tcW w:w="4205" w:type="dxa"/>
                  <w:vAlign w:val="center"/>
                </w:tcPr>
                <w:p w14:paraId="30ADE6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vAlign w:val="center"/>
                </w:tcPr>
                <w:p w14:paraId="6F6B19B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C8341D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0FA7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F3AD1C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7FBBDE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270EE2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7F7C165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9853.47</w:t>
                  </w:r>
                </w:p>
              </w:tc>
            </w:tr>
            <w:tr w14:paraId="78750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F788F7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7A98C67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918" w:type="dxa"/>
                  <w:vAlign w:val="center"/>
                </w:tcPr>
                <w:p w14:paraId="25CA143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21C750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1169.64</w:t>
                  </w:r>
                </w:p>
              </w:tc>
            </w:tr>
            <w:tr w14:paraId="53EBB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F68AC0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671627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918" w:type="dxa"/>
                  <w:vAlign w:val="center"/>
                </w:tcPr>
                <w:p w14:paraId="52BE21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2A42DB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1667.95</w:t>
                  </w:r>
                </w:p>
              </w:tc>
            </w:tr>
            <w:tr w14:paraId="04E9B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EA4099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401795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918" w:type="dxa"/>
                  <w:vAlign w:val="center"/>
                </w:tcPr>
                <w:p w14:paraId="387B45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6BE637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1924.56</w:t>
                  </w:r>
                </w:p>
              </w:tc>
            </w:tr>
            <w:tr w14:paraId="43591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2AD26A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47D16C5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vAlign w:val="center"/>
                </w:tcPr>
                <w:p w14:paraId="4BE7AC1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t</w:t>
                  </w:r>
                </w:p>
              </w:tc>
              <w:tc>
                <w:tcPr>
                  <w:tcW w:w="1590" w:type="dxa"/>
                  <w:vAlign w:val="center"/>
                </w:tcPr>
                <w:p w14:paraId="4F2BFF6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359.25</w:t>
                  </w:r>
                </w:p>
              </w:tc>
            </w:tr>
            <w:tr w14:paraId="26336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D26B7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47E51FC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vAlign w:val="center"/>
                </w:tcPr>
                <w:p w14:paraId="078B2A5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4477FB5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13289.83</w:t>
                  </w:r>
                </w:p>
              </w:tc>
            </w:tr>
            <w:tr w14:paraId="330FE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34E52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vAlign w:val="center"/>
                </w:tcPr>
                <w:p w14:paraId="2654712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vAlign w:val="center"/>
                </w:tcPr>
                <w:p w14:paraId="11CAF49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2F30EC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4762.15</w:t>
                  </w:r>
                </w:p>
              </w:tc>
            </w:tr>
            <w:tr w14:paraId="7B67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742060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1.1.1.4</w:t>
                  </w:r>
                </w:p>
              </w:tc>
              <w:tc>
                <w:tcPr>
                  <w:tcW w:w="4205" w:type="dxa"/>
                  <w:vAlign w:val="center"/>
                </w:tcPr>
                <w:p w14:paraId="51A403C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vAlign w:val="center"/>
                </w:tcPr>
                <w:p w14:paraId="3FD4603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D61CD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96517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C0683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0C01824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vAlign w:val="center"/>
                </w:tcPr>
                <w:p w14:paraId="371CF4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2052197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22791.99</w:t>
                  </w:r>
                </w:p>
              </w:tc>
            </w:tr>
            <w:tr w14:paraId="1FABF4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41CC8C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4205" w:type="dxa"/>
                  <w:vAlign w:val="center"/>
                </w:tcPr>
                <w:p w14:paraId="5FADB44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六佛路排涝沟</w:t>
                  </w:r>
                </w:p>
              </w:tc>
              <w:tc>
                <w:tcPr>
                  <w:tcW w:w="918" w:type="dxa"/>
                  <w:vAlign w:val="center"/>
                </w:tcPr>
                <w:p w14:paraId="15687A6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624B48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DCBA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C86848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1.1.2.1</w:t>
                  </w:r>
                </w:p>
              </w:tc>
              <w:tc>
                <w:tcPr>
                  <w:tcW w:w="4205" w:type="dxa"/>
                  <w:vAlign w:val="center"/>
                </w:tcPr>
                <w:p w14:paraId="0CF24B1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vAlign w:val="center"/>
                </w:tcPr>
                <w:p w14:paraId="3B97D9C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A9D11D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A1FF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99B31F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3685086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vAlign w:val="center"/>
                </w:tcPr>
                <w:p w14:paraId="5BC450C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65AB4E6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30852.14</w:t>
                  </w:r>
                </w:p>
              </w:tc>
            </w:tr>
            <w:tr w14:paraId="17BE5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13F36A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5FDC42E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挖掘机挖土自卸汽车运输(III类土)运距5k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vAlign w:val="center"/>
                </w:tcPr>
                <w:p w14:paraId="7245A4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55C705C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5517.704</w:t>
                  </w:r>
                </w:p>
              </w:tc>
            </w:tr>
            <w:tr w14:paraId="333C9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22AFE0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499226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918" w:type="dxa"/>
                  <w:vAlign w:val="center"/>
                </w:tcPr>
                <w:p w14:paraId="0EB34EC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EBDA22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22303.976</w:t>
                  </w:r>
                </w:p>
              </w:tc>
            </w:tr>
            <w:tr w14:paraId="70AAA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ECD68F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6E8C19B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918" w:type="dxa"/>
                  <w:vAlign w:val="center"/>
                </w:tcPr>
                <w:p w14:paraId="4DE4841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6C2413D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22303.976</w:t>
                  </w:r>
                </w:p>
              </w:tc>
            </w:tr>
            <w:tr w14:paraId="66795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E94798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3B56BD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vAlign w:val="center"/>
                </w:tcPr>
                <w:p w14:paraId="28EF264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2028C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18958.38</w:t>
                  </w:r>
                </w:p>
              </w:tc>
            </w:tr>
            <w:tr w14:paraId="4408E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F89B2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1.1.2.2</w:t>
                  </w:r>
                </w:p>
              </w:tc>
              <w:tc>
                <w:tcPr>
                  <w:tcW w:w="4205" w:type="dxa"/>
                  <w:vAlign w:val="center"/>
                </w:tcPr>
                <w:p w14:paraId="797C300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vAlign w:val="center"/>
                </w:tcPr>
                <w:p w14:paraId="55F1BB3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99379C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2CBE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E24996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05F019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vAlign w:val="center"/>
                </w:tcPr>
                <w:p w14:paraId="47FBBA7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25C1CA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780.19</w:t>
                  </w:r>
                </w:p>
              </w:tc>
            </w:tr>
            <w:tr w14:paraId="2E116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C361C1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1.1.2.3</w:t>
                  </w:r>
                </w:p>
              </w:tc>
              <w:tc>
                <w:tcPr>
                  <w:tcW w:w="4205" w:type="dxa"/>
                  <w:vAlign w:val="center"/>
                </w:tcPr>
                <w:p w14:paraId="4AEF7EE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vAlign w:val="center"/>
                </w:tcPr>
                <w:p w14:paraId="2FEEBC5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7880A9B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F05D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A0F520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511696B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918" w:type="dxa"/>
                  <w:vAlign w:val="center"/>
                </w:tcPr>
                <w:p w14:paraId="3512042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3387934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2173.39</w:t>
                  </w:r>
                </w:p>
              </w:tc>
            </w:tr>
            <w:tr w14:paraId="48850D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CC966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188622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918" w:type="dxa"/>
                  <w:vAlign w:val="center"/>
                </w:tcPr>
                <w:p w14:paraId="571709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11D9FD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2507.76</w:t>
                  </w:r>
                </w:p>
              </w:tc>
            </w:tr>
            <w:tr w14:paraId="1BD8C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D8FBA1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53BFC07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vAlign w:val="center"/>
                </w:tcPr>
                <w:p w14:paraId="05F5F27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t</w:t>
                  </w:r>
                </w:p>
              </w:tc>
              <w:tc>
                <w:tcPr>
                  <w:tcW w:w="1590" w:type="dxa"/>
                  <w:vAlign w:val="center"/>
                </w:tcPr>
                <w:p w14:paraId="091FE51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468.12</w:t>
                  </w:r>
                </w:p>
              </w:tc>
            </w:tr>
            <w:tr w14:paraId="06FF4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6FEEB6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2179515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vAlign w:val="center"/>
                </w:tcPr>
                <w:p w14:paraId="39402F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5C86172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9696.67</w:t>
                  </w:r>
                </w:p>
              </w:tc>
            </w:tr>
            <w:tr w14:paraId="1D5D6D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8F823A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2BBC48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vAlign w:val="center"/>
                </w:tcPr>
                <w:p w14:paraId="2DCCCE7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99623F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4681.15</w:t>
                  </w:r>
                </w:p>
              </w:tc>
            </w:tr>
            <w:tr w14:paraId="2260A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2D6E1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1.1.2.4</w:t>
                  </w:r>
                </w:p>
              </w:tc>
              <w:tc>
                <w:tcPr>
                  <w:tcW w:w="4205" w:type="dxa"/>
                  <w:vAlign w:val="center"/>
                </w:tcPr>
                <w:p w14:paraId="0E72703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vAlign w:val="center"/>
                </w:tcPr>
                <w:p w14:paraId="31CFA0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1274C87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CEC7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7D7951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0C2638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vAlign w:val="center"/>
                </w:tcPr>
                <w:p w14:paraId="3277AD0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1ACFF08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16457.35</w:t>
                  </w:r>
                </w:p>
              </w:tc>
            </w:tr>
            <w:tr w14:paraId="4B388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5938C3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c>
                <w:tcPr>
                  <w:tcW w:w="4205" w:type="dxa"/>
                  <w:vAlign w:val="center"/>
                </w:tcPr>
                <w:p w14:paraId="637330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中心排涝沟</w:t>
                  </w:r>
                </w:p>
              </w:tc>
              <w:tc>
                <w:tcPr>
                  <w:tcW w:w="918" w:type="dxa"/>
                  <w:vAlign w:val="center"/>
                </w:tcPr>
                <w:p w14:paraId="1C7E6AD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B28496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4D2B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ABEACD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1.1.3.1</w:t>
                  </w:r>
                </w:p>
              </w:tc>
              <w:tc>
                <w:tcPr>
                  <w:tcW w:w="4205" w:type="dxa"/>
                  <w:vAlign w:val="center"/>
                </w:tcPr>
                <w:p w14:paraId="6E546A2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vAlign w:val="center"/>
                </w:tcPr>
                <w:p w14:paraId="2CDB3DC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D5E200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34B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8D7245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0A7ED6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vAlign w:val="center"/>
                </w:tcPr>
                <w:p w14:paraId="5B3A6E9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54E9496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40415.96</w:t>
                  </w:r>
                </w:p>
              </w:tc>
            </w:tr>
            <w:tr w14:paraId="2D827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96F112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6A258E9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挖掘机挖土自卸汽车运输(III类土) 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vAlign w:val="center"/>
                </w:tcPr>
                <w:p w14:paraId="1C7601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6267CA1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32817.958</w:t>
                  </w:r>
                </w:p>
              </w:tc>
            </w:tr>
            <w:tr w14:paraId="6000C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B599CB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62C34A3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918" w:type="dxa"/>
                  <w:vAlign w:val="center"/>
                </w:tcPr>
                <w:p w14:paraId="00F8A2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8064CB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41979.412</w:t>
                  </w:r>
                </w:p>
              </w:tc>
            </w:tr>
            <w:tr w14:paraId="245363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2C824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6FC727F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918" w:type="dxa"/>
                  <w:vAlign w:val="center"/>
                </w:tcPr>
                <w:p w14:paraId="649866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33B460D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41979.412</w:t>
                  </w:r>
                </w:p>
              </w:tc>
            </w:tr>
            <w:tr w14:paraId="16F11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E512F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4BE8C8D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vAlign w:val="center"/>
                </w:tcPr>
                <w:p w14:paraId="0553782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A70F20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35682.5</w:t>
                  </w:r>
                </w:p>
              </w:tc>
            </w:tr>
            <w:tr w14:paraId="16E2F4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F1EB76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1.1.3.2</w:t>
                  </w:r>
                </w:p>
              </w:tc>
              <w:tc>
                <w:tcPr>
                  <w:tcW w:w="4205" w:type="dxa"/>
                  <w:vAlign w:val="center"/>
                </w:tcPr>
                <w:p w14:paraId="7975AB6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vAlign w:val="center"/>
                </w:tcPr>
                <w:p w14:paraId="10E0BA8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948EA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84ED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17BAAD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56D8242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vAlign w:val="center"/>
                </w:tcPr>
                <w:p w14:paraId="54E22B4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51F5365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1318.41</w:t>
                  </w:r>
                </w:p>
              </w:tc>
            </w:tr>
            <w:tr w14:paraId="2DF72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67BEEF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1.1.3.3</w:t>
                  </w:r>
                </w:p>
              </w:tc>
              <w:tc>
                <w:tcPr>
                  <w:tcW w:w="4205" w:type="dxa"/>
                  <w:vAlign w:val="center"/>
                </w:tcPr>
                <w:p w14:paraId="7D1D70D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vAlign w:val="center"/>
                </w:tcPr>
                <w:p w14:paraId="19BB71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1F02F8B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A850C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E37F3F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53A8037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918" w:type="dxa"/>
                  <w:vAlign w:val="center"/>
                </w:tcPr>
                <w:p w14:paraId="737972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292FC12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5050.3</w:t>
                  </w:r>
                </w:p>
              </w:tc>
            </w:tr>
            <w:tr w14:paraId="353FD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8F6C33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277EE51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918" w:type="dxa"/>
                  <w:vAlign w:val="center"/>
                </w:tcPr>
                <w:p w14:paraId="40209B7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86256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5583.6</w:t>
                  </w:r>
                </w:p>
              </w:tc>
            </w:tr>
            <w:tr w14:paraId="54739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7BAEEE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0B209CE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vAlign w:val="center"/>
                </w:tcPr>
                <w:p w14:paraId="497243A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7951B8E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1063.39</w:t>
                  </w:r>
                </w:p>
              </w:tc>
            </w:tr>
            <w:tr w14:paraId="1284D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E17663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189D63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vAlign w:val="center"/>
                </w:tcPr>
                <w:p w14:paraId="4B455C9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6B76426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21801.1</w:t>
                  </w:r>
                </w:p>
              </w:tc>
            </w:tr>
            <w:tr w14:paraId="72BA2C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3A4282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4B6AD26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vAlign w:val="center"/>
                </w:tcPr>
                <w:p w14:paraId="44AE17E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EED2D6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10633.9</w:t>
                  </w:r>
                </w:p>
              </w:tc>
            </w:tr>
            <w:tr w14:paraId="51FC5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395DBF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1.1.3.4</w:t>
                  </w:r>
                </w:p>
              </w:tc>
              <w:tc>
                <w:tcPr>
                  <w:tcW w:w="4205" w:type="dxa"/>
                  <w:vAlign w:val="center"/>
                </w:tcPr>
                <w:p w14:paraId="1A32F85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vAlign w:val="center"/>
                </w:tcPr>
                <w:p w14:paraId="1F4ED1A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B56E94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E4DD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B6531A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540FC6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vAlign w:val="center"/>
                </w:tcPr>
                <w:p w14:paraId="1841B5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33BCE9F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21172.4</w:t>
                  </w:r>
                </w:p>
              </w:tc>
            </w:tr>
            <w:tr w14:paraId="222BB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EA958A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2906B96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石材栏杆</w:t>
                  </w:r>
                </w:p>
              </w:tc>
              <w:tc>
                <w:tcPr>
                  <w:tcW w:w="918" w:type="dxa"/>
                  <w:vAlign w:val="center"/>
                </w:tcPr>
                <w:p w14:paraId="4AFA586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6EB39E6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5583.6</w:t>
                  </w:r>
                </w:p>
              </w:tc>
            </w:tr>
            <w:tr w14:paraId="43177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703D6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w:t>
                  </w:r>
                </w:p>
              </w:tc>
              <w:tc>
                <w:tcPr>
                  <w:tcW w:w="4205" w:type="dxa"/>
                  <w:vAlign w:val="center"/>
                </w:tcPr>
                <w:p w14:paraId="6560ADD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项家院排涝沟</w:t>
                  </w:r>
                </w:p>
              </w:tc>
              <w:tc>
                <w:tcPr>
                  <w:tcW w:w="918" w:type="dxa"/>
                  <w:vAlign w:val="center"/>
                </w:tcPr>
                <w:p w14:paraId="0589605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0204FFF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1DBC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0C2E03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1.1.4.1</w:t>
                  </w:r>
                </w:p>
              </w:tc>
              <w:tc>
                <w:tcPr>
                  <w:tcW w:w="4205" w:type="dxa"/>
                  <w:vAlign w:val="center"/>
                </w:tcPr>
                <w:p w14:paraId="4983D3A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vAlign w:val="center"/>
                </w:tcPr>
                <w:p w14:paraId="1D3D5C8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05E850D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7F2F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E5221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56AF4BF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918" w:type="dxa"/>
                  <w:vAlign w:val="center"/>
                </w:tcPr>
                <w:p w14:paraId="78EF91C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0ED3F9D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10063.92</w:t>
                  </w:r>
                </w:p>
              </w:tc>
            </w:tr>
            <w:tr w14:paraId="037B0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866FFB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700121E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挖掘机挖土自卸汽车运输(III类土) 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918" w:type="dxa"/>
                  <w:vAlign w:val="center"/>
                </w:tcPr>
                <w:p w14:paraId="4F419A4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B987F2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3164.5</w:t>
                  </w:r>
                </w:p>
              </w:tc>
            </w:tr>
            <w:tr w14:paraId="05B10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0D2FE7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1.1.4.2</w:t>
                  </w:r>
                </w:p>
              </w:tc>
              <w:tc>
                <w:tcPr>
                  <w:tcW w:w="4205" w:type="dxa"/>
                  <w:vAlign w:val="center"/>
                </w:tcPr>
                <w:p w14:paraId="39FD53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vAlign w:val="center"/>
                </w:tcPr>
                <w:p w14:paraId="144EFDC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145F39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3AD7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774754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1D20FC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vAlign w:val="center"/>
                </w:tcPr>
                <w:p w14:paraId="6F3E574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1F95EE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233.64</w:t>
                  </w:r>
                </w:p>
              </w:tc>
            </w:tr>
            <w:tr w14:paraId="66A3A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5575CF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1.1.4.3</w:t>
                  </w:r>
                </w:p>
              </w:tc>
              <w:tc>
                <w:tcPr>
                  <w:tcW w:w="4205" w:type="dxa"/>
                  <w:vAlign w:val="center"/>
                </w:tcPr>
                <w:p w14:paraId="0A56A74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vAlign w:val="center"/>
                </w:tcPr>
                <w:p w14:paraId="7F7220C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7E25362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71DC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9D1A72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781F29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5A958CB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22BE8F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4672.86</w:t>
                  </w:r>
                </w:p>
              </w:tc>
            </w:tr>
            <w:tr w14:paraId="27C94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ADC53E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4B92D07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918" w:type="dxa"/>
                  <w:vAlign w:val="center"/>
                </w:tcPr>
                <w:p w14:paraId="50B9D56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F9C660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622.08</w:t>
                  </w:r>
                </w:p>
              </w:tc>
            </w:tr>
            <w:tr w14:paraId="0C1BAB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95C5F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74A14F9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vAlign w:val="center"/>
                </w:tcPr>
                <w:p w14:paraId="5C54253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25C16D1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3110.4</w:t>
                  </w:r>
                </w:p>
              </w:tc>
            </w:tr>
            <w:tr w14:paraId="0B593E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6EE56B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47AFAB9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vAlign w:val="center"/>
                </w:tcPr>
                <w:p w14:paraId="0FD7AE3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5902CA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622.08</w:t>
                  </w:r>
                </w:p>
              </w:tc>
            </w:tr>
            <w:tr w14:paraId="4B2619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062889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1.1.4.4</w:t>
                  </w:r>
                </w:p>
              </w:tc>
              <w:tc>
                <w:tcPr>
                  <w:tcW w:w="4205" w:type="dxa"/>
                  <w:vAlign w:val="center"/>
                </w:tcPr>
                <w:p w14:paraId="5FC80BC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vAlign w:val="center"/>
                </w:tcPr>
                <w:p w14:paraId="500456A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853699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610F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5D53F4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2AE00C1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vAlign w:val="center"/>
                </w:tcPr>
                <w:p w14:paraId="108535E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01FC389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2304.48</w:t>
                  </w:r>
                </w:p>
              </w:tc>
            </w:tr>
            <w:tr w14:paraId="61A0C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6B2A52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w:t>
                  </w:r>
                </w:p>
              </w:tc>
              <w:tc>
                <w:tcPr>
                  <w:tcW w:w="4205" w:type="dxa"/>
                  <w:vAlign w:val="center"/>
                </w:tcPr>
                <w:p w14:paraId="4BE5770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桥涵</w:t>
                  </w:r>
                </w:p>
              </w:tc>
              <w:tc>
                <w:tcPr>
                  <w:tcW w:w="918" w:type="dxa"/>
                  <w:vAlign w:val="center"/>
                </w:tcPr>
                <w:p w14:paraId="1FF19D5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590" w:type="dxa"/>
                  <w:vAlign w:val="center"/>
                </w:tcPr>
                <w:p w14:paraId="4B8C289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r>
            <w:tr w14:paraId="02F39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A82AB4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w:t>
                  </w:r>
                </w:p>
              </w:tc>
              <w:tc>
                <w:tcPr>
                  <w:tcW w:w="4205" w:type="dxa"/>
                  <w:vAlign w:val="center"/>
                </w:tcPr>
                <w:p w14:paraId="3351D5E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桥涵</w:t>
                  </w:r>
                </w:p>
              </w:tc>
              <w:tc>
                <w:tcPr>
                  <w:tcW w:w="918" w:type="dxa"/>
                  <w:vAlign w:val="center"/>
                </w:tcPr>
                <w:p w14:paraId="3ACCE95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590" w:type="dxa"/>
                  <w:vAlign w:val="center"/>
                </w:tcPr>
                <w:p w14:paraId="794232E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r>
            <w:tr w14:paraId="1B4D2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715263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c>
                <w:tcPr>
                  <w:tcW w:w="4205" w:type="dxa"/>
                  <w:vAlign w:val="center"/>
                </w:tcPr>
                <w:p w14:paraId="319D863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桥涵</w:t>
                  </w:r>
                </w:p>
              </w:tc>
              <w:tc>
                <w:tcPr>
                  <w:tcW w:w="918" w:type="dxa"/>
                  <w:vAlign w:val="center"/>
                </w:tcPr>
                <w:p w14:paraId="1A63D7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590" w:type="dxa"/>
                  <w:vAlign w:val="center"/>
                </w:tcPr>
                <w:p w14:paraId="7F3BC41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58472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4DC27D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w:t>
                  </w:r>
                </w:p>
              </w:tc>
              <w:tc>
                <w:tcPr>
                  <w:tcW w:w="4205" w:type="dxa"/>
                  <w:vAlign w:val="center"/>
                </w:tcPr>
                <w:p w14:paraId="0F5E802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918" w:type="dxa"/>
                  <w:vAlign w:val="center"/>
                </w:tcPr>
                <w:p w14:paraId="6283FCD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0E6FFB6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AA989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C7155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28F9ED4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918" w:type="dxa"/>
                  <w:vAlign w:val="center"/>
                </w:tcPr>
                <w:p w14:paraId="71FA071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vAlign w:val="center"/>
                </w:tcPr>
                <w:p w14:paraId="5F3947A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329FD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25F4C5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vAlign w:val="center"/>
                </w:tcPr>
                <w:p w14:paraId="3372AB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vAlign w:val="center"/>
                </w:tcPr>
                <w:p w14:paraId="737E0F7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E04075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D3A4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71DB00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4205" w:type="dxa"/>
                  <w:vAlign w:val="center"/>
                </w:tcPr>
                <w:p w14:paraId="6CB8BD5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vAlign w:val="center"/>
                </w:tcPr>
                <w:p w14:paraId="603B364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6505419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E0EF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DFA26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1.2.1.1</w:t>
                  </w:r>
                </w:p>
              </w:tc>
              <w:tc>
                <w:tcPr>
                  <w:tcW w:w="4205" w:type="dxa"/>
                  <w:vAlign w:val="center"/>
                </w:tcPr>
                <w:p w14:paraId="77495E3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918" w:type="dxa"/>
                  <w:vAlign w:val="center"/>
                </w:tcPr>
                <w:p w14:paraId="398F6A3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2F032F6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D0ED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366" w:type="dxa"/>
                  <w:vAlign w:val="center"/>
                </w:tcPr>
                <w:p w14:paraId="4FB0E9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16FFC2E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vAlign w:val="center"/>
                </w:tcPr>
                <w:p w14:paraId="2ABC6B6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16FDE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2819.938</w:t>
                  </w:r>
                </w:p>
              </w:tc>
            </w:tr>
            <w:tr w14:paraId="4EE3F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B24B99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2F10143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vAlign w:val="center"/>
                </w:tcPr>
                <w:p w14:paraId="549DEA4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A7A376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25379.442</w:t>
                  </w:r>
                </w:p>
              </w:tc>
            </w:tr>
            <w:tr w14:paraId="40ADBC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7C6AA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331A304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vAlign w:val="center"/>
                </w:tcPr>
                <w:p w14:paraId="266667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59DF116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25379.442</w:t>
                  </w:r>
                </w:p>
              </w:tc>
            </w:tr>
            <w:tr w14:paraId="66F50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304EA6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0A453A9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918" w:type="dxa"/>
                  <w:vAlign w:val="center"/>
                </w:tcPr>
                <w:p w14:paraId="78B3F7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40AC0F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16778.629</w:t>
                  </w:r>
                </w:p>
              </w:tc>
            </w:tr>
            <w:tr w14:paraId="6FDA6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E27D7D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066DF1B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918" w:type="dxa"/>
                  <w:vAlign w:val="center"/>
                </w:tcPr>
                <w:p w14:paraId="5CF9B14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6F01B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7190.841</w:t>
                  </w:r>
                </w:p>
              </w:tc>
            </w:tr>
            <w:tr w14:paraId="070D2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514607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4E2655E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10%水泥土</w:t>
                  </w:r>
                </w:p>
              </w:tc>
              <w:tc>
                <w:tcPr>
                  <w:tcW w:w="918" w:type="dxa"/>
                  <w:vAlign w:val="center"/>
                </w:tcPr>
                <w:p w14:paraId="522D64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52D695A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324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BC7DF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1.2.1.2</w:t>
                  </w:r>
                </w:p>
              </w:tc>
              <w:tc>
                <w:tcPr>
                  <w:tcW w:w="4205" w:type="dxa"/>
                  <w:vAlign w:val="center"/>
                </w:tcPr>
                <w:p w14:paraId="6AACCE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918" w:type="dxa"/>
                  <w:vAlign w:val="center"/>
                </w:tcPr>
                <w:p w14:paraId="78797D4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0FF5BBA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D35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99197B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4069E0F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918" w:type="dxa"/>
                  <w:vAlign w:val="center"/>
                </w:tcPr>
                <w:p w14:paraId="503BACD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A8A79F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37.11</w:t>
                  </w:r>
                </w:p>
              </w:tc>
            </w:tr>
            <w:tr w14:paraId="25337F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7C5BA0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5CEF60C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抛石</w:t>
                  </w:r>
                </w:p>
              </w:tc>
              <w:tc>
                <w:tcPr>
                  <w:tcW w:w="918" w:type="dxa"/>
                  <w:vAlign w:val="center"/>
                </w:tcPr>
                <w:p w14:paraId="58EA87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CD5046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167.08</w:t>
                  </w:r>
                </w:p>
              </w:tc>
            </w:tr>
            <w:tr w14:paraId="40167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42AE9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1.2.1.3</w:t>
                  </w:r>
                </w:p>
              </w:tc>
              <w:tc>
                <w:tcPr>
                  <w:tcW w:w="4205" w:type="dxa"/>
                  <w:vAlign w:val="center"/>
                </w:tcPr>
                <w:p w14:paraId="562B57F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918" w:type="dxa"/>
                  <w:vAlign w:val="center"/>
                </w:tcPr>
                <w:p w14:paraId="0945680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7277A8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A349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0B8F0B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704BB49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高压旋喷桩</w:t>
                  </w:r>
                </w:p>
              </w:tc>
              <w:tc>
                <w:tcPr>
                  <w:tcW w:w="918" w:type="dxa"/>
                  <w:vAlign w:val="center"/>
                </w:tcPr>
                <w:p w14:paraId="6571EB4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03E0C19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1812.8</w:t>
                  </w:r>
                </w:p>
              </w:tc>
            </w:tr>
            <w:tr w14:paraId="5AF19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0984FA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1.2.1.4</w:t>
                  </w:r>
                </w:p>
              </w:tc>
              <w:tc>
                <w:tcPr>
                  <w:tcW w:w="4205" w:type="dxa"/>
                  <w:vAlign w:val="center"/>
                </w:tcPr>
                <w:p w14:paraId="40AF270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918" w:type="dxa"/>
                  <w:vAlign w:val="center"/>
                </w:tcPr>
                <w:p w14:paraId="4102E57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1D2E34F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4616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910C28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1A5645C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C25六角实心块护坡</w:t>
                  </w:r>
                </w:p>
              </w:tc>
              <w:tc>
                <w:tcPr>
                  <w:tcW w:w="918" w:type="dxa"/>
                  <w:vAlign w:val="center"/>
                </w:tcPr>
                <w:p w14:paraId="4051B0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2B71CB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18.66</w:t>
                  </w:r>
                </w:p>
              </w:tc>
            </w:tr>
            <w:tr w14:paraId="53FC6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168008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527BB72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浆砌块石护坡</w:t>
                  </w:r>
                </w:p>
              </w:tc>
              <w:tc>
                <w:tcPr>
                  <w:tcW w:w="918" w:type="dxa"/>
                  <w:vAlign w:val="center"/>
                </w:tcPr>
                <w:p w14:paraId="0C28439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4272F5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64.56</w:t>
                  </w:r>
                </w:p>
              </w:tc>
            </w:tr>
            <w:tr w14:paraId="6EBF1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BD4CCF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5B86321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C25砼护底</w:t>
                  </w:r>
                </w:p>
              </w:tc>
              <w:tc>
                <w:tcPr>
                  <w:tcW w:w="918" w:type="dxa"/>
                  <w:vAlign w:val="center"/>
                </w:tcPr>
                <w:p w14:paraId="7C51F8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0738837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9D4D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3CF639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05FECEA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918" w:type="dxa"/>
                  <w:vAlign w:val="center"/>
                </w:tcPr>
                <w:p w14:paraId="55A5CD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378996C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23.58</w:t>
                  </w:r>
                </w:p>
              </w:tc>
            </w:tr>
            <w:tr w14:paraId="22602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7379BF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25F8F65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C25砼支墩</w:t>
                  </w:r>
                </w:p>
              </w:tc>
              <w:tc>
                <w:tcPr>
                  <w:tcW w:w="918" w:type="dxa"/>
                  <w:vAlign w:val="center"/>
                </w:tcPr>
                <w:p w14:paraId="7B98A5E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25AE33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w:t>
                  </w:r>
                </w:p>
              </w:tc>
            </w:tr>
            <w:tr w14:paraId="16254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DA9F6D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6625B54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C25砼垫层</w:t>
                  </w:r>
                </w:p>
              </w:tc>
              <w:tc>
                <w:tcPr>
                  <w:tcW w:w="918" w:type="dxa"/>
                  <w:vAlign w:val="center"/>
                </w:tcPr>
                <w:p w14:paraId="21473D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6DC6474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145.34</w:t>
                  </w:r>
                </w:p>
              </w:tc>
            </w:tr>
            <w:tr w14:paraId="4CCA6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8AB5BA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vAlign w:val="center"/>
                </w:tcPr>
                <w:p w14:paraId="6DA259B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C30砼底板</w:t>
                  </w:r>
                </w:p>
              </w:tc>
              <w:tc>
                <w:tcPr>
                  <w:tcW w:w="918" w:type="dxa"/>
                  <w:vAlign w:val="center"/>
                </w:tcPr>
                <w:p w14:paraId="3354EE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4FBB83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952.524</w:t>
                  </w:r>
                </w:p>
              </w:tc>
            </w:tr>
            <w:tr w14:paraId="51579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6596E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vAlign w:val="center"/>
                </w:tcPr>
                <w:p w14:paraId="487B2D7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C30砼中部结构</w:t>
                  </w:r>
                </w:p>
              </w:tc>
              <w:tc>
                <w:tcPr>
                  <w:tcW w:w="918" w:type="dxa"/>
                  <w:vAlign w:val="center"/>
                </w:tcPr>
                <w:p w14:paraId="34C3B6A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3CAA21B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302.544</w:t>
                  </w:r>
                </w:p>
              </w:tc>
            </w:tr>
            <w:tr w14:paraId="79BB15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07A361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vAlign w:val="center"/>
                </w:tcPr>
                <w:p w14:paraId="3291D9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C30砼侧墙</w:t>
                  </w:r>
                </w:p>
              </w:tc>
              <w:tc>
                <w:tcPr>
                  <w:tcW w:w="918" w:type="dxa"/>
                  <w:vAlign w:val="center"/>
                </w:tcPr>
                <w:p w14:paraId="0B314FB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0E3D68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1390.698</w:t>
                  </w:r>
                </w:p>
              </w:tc>
            </w:tr>
            <w:tr w14:paraId="7CB47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F528A3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205" w:type="dxa"/>
                  <w:vAlign w:val="center"/>
                </w:tcPr>
                <w:p w14:paraId="05BB451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C30箱式涵洞</w:t>
                  </w:r>
                </w:p>
              </w:tc>
              <w:tc>
                <w:tcPr>
                  <w:tcW w:w="918" w:type="dxa"/>
                  <w:vAlign w:val="center"/>
                </w:tcPr>
                <w:p w14:paraId="6ED846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716896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171.702</w:t>
                  </w:r>
                </w:p>
              </w:tc>
            </w:tr>
            <w:tr w14:paraId="50009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C23905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vAlign w:val="center"/>
                </w:tcPr>
                <w:p w14:paraId="6A54BF7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C30砼排架</w:t>
                  </w:r>
                </w:p>
              </w:tc>
              <w:tc>
                <w:tcPr>
                  <w:tcW w:w="918" w:type="dxa"/>
                  <w:vAlign w:val="center"/>
                </w:tcPr>
                <w:p w14:paraId="4594FA1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12C05DC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12.69</w:t>
                  </w:r>
                </w:p>
              </w:tc>
            </w:tr>
            <w:tr w14:paraId="3B78F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6FD8F0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vAlign w:val="center"/>
                </w:tcPr>
                <w:p w14:paraId="2F4A836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C30砼顶板</w:t>
                  </w:r>
                </w:p>
              </w:tc>
              <w:tc>
                <w:tcPr>
                  <w:tcW w:w="918" w:type="dxa"/>
                  <w:vAlign w:val="center"/>
                </w:tcPr>
                <w:p w14:paraId="4440B1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5E8C00E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352.629</w:t>
                  </w:r>
                </w:p>
              </w:tc>
            </w:tr>
            <w:tr w14:paraId="71951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30507B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205" w:type="dxa"/>
                  <w:vAlign w:val="center"/>
                </w:tcPr>
                <w:p w14:paraId="46D5E8B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918" w:type="dxa"/>
                  <w:vAlign w:val="center"/>
                </w:tcPr>
                <w:p w14:paraId="55E7CE4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4645F9C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318.276</w:t>
                  </w:r>
                </w:p>
              </w:tc>
            </w:tr>
            <w:tr w14:paraId="26E2D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DE86B3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205" w:type="dxa"/>
                  <w:vAlign w:val="center"/>
                </w:tcPr>
                <w:p w14:paraId="181717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918" w:type="dxa"/>
                  <w:vAlign w:val="center"/>
                </w:tcPr>
                <w:p w14:paraId="1E45DCF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45B086A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7767.11</w:t>
                  </w:r>
                </w:p>
              </w:tc>
            </w:tr>
            <w:tr w14:paraId="5A28EE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7A05E9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4205" w:type="dxa"/>
                  <w:vAlign w:val="center"/>
                </w:tcPr>
                <w:p w14:paraId="1986602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918" w:type="dxa"/>
                  <w:vAlign w:val="center"/>
                </w:tcPr>
                <w:p w14:paraId="0956595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590" w:type="dxa"/>
                  <w:vAlign w:val="center"/>
                </w:tcPr>
                <w:p w14:paraId="7462993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3694.54</w:t>
                  </w:r>
                </w:p>
              </w:tc>
            </w:tr>
            <w:tr w14:paraId="6385E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63FA5F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1.2.1.5</w:t>
                  </w:r>
                </w:p>
              </w:tc>
              <w:tc>
                <w:tcPr>
                  <w:tcW w:w="4205" w:type="dxa"/>
                  <w:vAlign w:val="center"/>
                </w:tcPr>
                <w:p w14:paraId="5228266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918" w:type="dxa"/>
                  <w:vAlign w:val="center"/>
                </w:tcPr>
                <w:p w14:paraId="7154976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5BBFE5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40E6E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21CEBE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3BB8ECF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堤顶沥青道路</w:t>
                  </w:r>
                </w:p>
              </w:tc>
              <w:tc>
                <w:tcPr>
                  <w:tcW w:w="918" w:type="dxa"/>
                  <w:vAlign w:val="center"/>
                </w:tcPr>
                <w:p w14:paraId="3EB0011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7797F44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2D9C2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C53F4D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0CC3007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C30素砼路面厚180</w:t>
                  </w:r>
                </w:p>
              </w:tc>
              <w:tc>
                <w:tcPr>
                  <w:tcW w:w="918" w:type="dxa"/>
                  <w:vAlign w:val="center"/>
                </w:tcPr>
                <w:p w14:paraId="4D6F7EC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7234F4B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540</w:t>
                  </w:r>
                </w:p>
              </w:tc>
            </w:tr>
            <w:tr w14:paraId="21008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330690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28256E4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水泥稳定碎石厚180</w:t>
                  </w:r>
                </w:p>
              </w:tc>
              <w:tc>
                <w:tcPr>
                  <w:tcW w:w="918" w:type="dxa"/>
                  <w:vAlign w:val="center"/>
                </w:tcPr>
                <w:p w14:paraId="4DAF269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0EB0E65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540</w:t>
                  </w:r>
                </w:p>
              </w:tc>
            </w:tr>
            <w:tr w14:paraId="77AEF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46F6B6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26B79F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p>
              </w:tc>
              <w:tc>
                <w:tcPr>
                  <w:tcW w:w="918" w:type="dxa"/>
                  <w:vAlign w:val="center"/>
                </w:tcPr>
                <w:p w14:paraId="109C2C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269B1B6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540</w:t>
                  </w:r>
                </w:p>
              </w:tc>
            </w:tr>
            <w:tr w14:paraId="5FD6C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C15D1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4A7D5BD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撒草籽</w:t>
                  </w:r>
                </w:p>
              </w:tc>
              <w:tc>
                <w:tcPr>
                  <w:tcW w:w="918" w:type="dxa"/>
                  <w:vAlign w:val="center"/>
                </w:tcPr>
                <w:p w14:paraId="42332A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025CC54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37B96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01195C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309AF4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栏杆</w:t>
                  </w:r>
                </w:p>
              </w:tc>
              <w:tc>
                <w:tcPr>
                  <w:tcW w:w="918" w:type="dxa"/>
                  <w:vAlign w:val="center"/>
                </w:tcPr>
                <w:p w14:paraId="58033EE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1D4F685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90.48</w:t>
                  </w:r>
                </w:p>
              </w:tc>
            </w:tr>
            <w:tr w14:paraId="38222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44BF83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214D8CA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918" w:type="dxa"/>
                  <w:vAlign w:val="center"/>
                </w:tcPr>
                <w:p w14:paraId="5CFE96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7367C6D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143.79</w:t>
                  </w:r>
                </w:p>
              </w:tc>
            </w:tr>
            <w:tr w14:paraId="55AAC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03D6DE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36BB34B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泵房</w:t>
                  </w:r>
                </w:p>
              </w:tc>
              <w:tc>
                <w:tcPr>
                  <w:tcW w:w="918" w:type="dxa"/>
                  <w:vAlign w:val="center"/>
                </w:tcPr>
                <w:p w14:paraId="4C7DB4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02FF5FC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486.51</w:t>
                  </w:r>
                </w:p>
              </w:tc>
            </w:tr>
            <w:tr w14:paraId="0D51A3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702FDD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0DEE3E1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配电管理房</w:t>
                  </w:r>
                </w:p>
              </w:tc>
              <w:tc>
                <w:tcPr>
                  <w:tcW w:w="918" w:type="dxa"/>
                  <w:vAlign w:val="center"/>
                </w:tcPr>
                <w:p w14:paraId="6B33E4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590" w:type="dxa"/>
                  <w:vAlign w:val="center"/>
                </w:tcPr>
                <w:p w14:paraId="1249C59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113.59</w:t>
                  </w:r>
                </w:p>
              </w:tc>
            </w:tr>
            <w:tr w14:paraId="3EC4C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A9F3E5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086B9B0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室外工程</w:t>
                  </w:r>
                </w:p>
              </w:tc>
              <w:tc>
                <w:tcPr>
                  <w:tcW w:w="918" w:type="dxa"/>
                  <w:vAlign w:val="center"/>
                </w:tcPr>
                <w:p w14:paraId="25D651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590" w:type="dxa"/>
                  <w:vAlign w:val="center"/>
                </w:tcPr>
                <w:p w14:paraId="12280C7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r>
            <w:tr w14:paraId="434B0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E3C1FD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6B08DF8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第二部分 机电设备及安装工程</w:t>
                  </w:r>
                </w:p>
              </w:tc>
              <w:tc>
                <w:tcPr>
                  <w:tcW w:w="918" w:type="dxa"/>
                  <w:vAlign w:val="center"/>
                </w:tcPr>
                <w:p w14:paraId="085BDFA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17EB70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00F26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6F2A0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vAlign w:val="center"/>
                </w:tcPr>
                <w:p w14:paraId="694C992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vAlign w:val="center"/>
                </w:tcPr>
                <w:p w14:paraId="152F152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EE6EA4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742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95F9B3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3E1FACB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水泵设备及安装工程</w:t>
                  </w:r>
                </w:p>
              </w:tc>
              <w:tc>
                <w:tcPr>
                  <w:tcW w:w="918" w:type="dxa"/>
                  <w:vAlign w:val="center"/>
                </w:tcPr>
                <w:p w14:paraId="6CA593F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7D93F64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C21F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D9FFD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1B7A036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立式轴流泵1000ZLB-3，Q=2.5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/s，—1°，N=185kW，n=490r/</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in，D=870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，含传动装置、联轴器、弯管、安装附件（地脚螺栓等）、易损件、专用工具等装置</w:t>
                  </w:r>
                </w:p>
              </w:tc>
              <w:tc>
                <w:tcPr>
                  <w:tcW w:w="918" w:type="dxa"/>
                  <w:vAlign w:val="center"/>
                </w:tcPr>
                <w:p w14:paraId="1B486EA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394433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6FB3D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B15209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4B36C36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立式异步电机380V，n=490r/</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in，185kW，含安装附件（如地脚螺栓）等。</w:t>
                  </w:r>
                </w:p>
              </w:tc>
              <w:tc>
                <w:tcPr>
                  <w:tcW w:w="918" w:type="dxa"/>
                  <w:vAlign w:val="center"/>
                </w:tcPr>
                <w:p w14:paraId="1D37282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2FE30B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36E5E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6C7A6C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5FB34C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技术供水系统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供水变频泵2台、阀件、管道、吊架等若干</w:t>
                  </w:r>
                </w:p>
              </w:tc>
              <w:tc>
                <w:tcPr>
                  <w:tcW w:w="918" w:type="dxa"/>
                  <w:vAlign w:val="center"/>
                </w:tcPr>
                <w:p w14:paraId="7657E5B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vAlign w:val="center"/>
                </w:tcPr>
                <w:p w14:paraId="70CDEA6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4EC5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279FAD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033565F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检修排水系统检修泵3台、管道若干等</w:t>
                  </w:r>
                </w:p>
              </w:tc>
              <w:tc>
                <w:tcPr>
                  <w:tcW w:w="918" w:type="dxa"/>
                  <w:vAlign w:val="center"/>
                </w:tcPr>
                <w:p w14:paraId="789244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vAlign w:val="center"/>
                </w:tcPr>
                <w:p w14:paraId="1B2E19E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8B79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3FBE3A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697743D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渗漏排水系统</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潜水排污泵2台、阀件若干、管道若干等</w:t>
                  </w:r>
                </w:p>
              </w:tc>
              <w:tc>
                <w:tcPr>
                  <w:tcW w:w="918" w:type="dxa"/>
                  <w:vAlign w:val="center"/>
                </w:tcPr>
                <w:p w14:paraId="5EEA402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vAlign w:val="center"/>
                </w:tcPr>
                <w:p w14:paraId="5D8BBE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BD9B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37A4B3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2A498B0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通风系统风机4台，风管和支架若干</w:t>
                  </w:r>
                </w:p>
              </w:tc>
              <w:tc>
                <w:tcPr>
                  <w:tcW w:w="918" w:type="dxa"/>
                  <w:vAlign w:val="center"/>
                </w:tcPr>
                <w:p w14:paraId="24D1B70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vAlign w:val="center"/>
                </w:tcPr>
                <w:p w14:paraId="3732610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07E8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896387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vAlign w:val="center"/>
                </w:tcPr>
                <w:p w14:paraId="57CFF1C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机组状态监测，测振、测摆、测速、测压。含传感器、现地监测柜（多功能状态检测保护装置等）、状态检测服务器、电缆等</w:t>
                  </w:r>
                </w:p>
              </w:tc>
              <w:tc>
                <w:tcPr>
                  <w:tcW w:w="918" w:type="dxa"/>
                  <w:vAlign w:val="center"/>
                </w:tcPr>
                <w:p w14:paraId="3AD131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4693769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0EE1A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C8262B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vAlign w:val="center"/>
                </w:tcPr>
                <w:p w14:paraId="2ABE753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水尺</w:t>
                  </w:r>
                </w:p>
              </w:tc>
              <w:tc>
                <w:tcPr>
                  <w:tcW w:w="918" w:type="dxa"/>
                  <w:vAlign w:val="center"/>
                </w:tcPr>
                <w:p w14:paraId="675E63F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组</w:t>
                  </w:r>
                </w:p>
              </w:tc>
              <w:tc>
                <w:tcPr>
                  <w:tcW w:w="1590" w:type="dxa"/>
                  <w:vAlign w:val="center"/>
                </w:tcPr>
                <w:p w14:paraId="2CE04E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0F6A7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3099F9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vAlign w:val="center"/>
                </w:tcPr>
                <w:p w14:paraId="585C6BC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机修设备千斤顶QYL10、手拉葫芦HSZ-10、小五金工具等</w:t>
                  </w:r>
                </w:p>
              </w:tc>
              <w:tc>
                <w:tcPr>
                  <w:tcW w:w="918" w:type="dxa"/>
                  <w:vAlign w:val="center"/>
                </w:tcPr>
                <w:p w14:paraId="4C1A85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57458E0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9C0F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4F831A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1D8AB1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起重设备及安装工程</w:t>
                  </w:r>
                </w:p>
              </w:tc>
              <w:tc>
                <w:tcPr>
                  <w:tcW w:w="918" w:type="dxa"/>
                  <w:vAlign w:val="center"/>
                </w:tcPr>
                <w:p w14:paraId="0DBE375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19F13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0614D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C66AC6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701799D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电动单梁桥式起重机5吨，含轨道、车挡4个、安全滑触线、安装附件</w:t>
                  </w:r>
                </w:p>
              </w:tc>
              <w:tc>
                <w:tcPr>
                  <w:tcW w:w="918" w:type="dxa"/>
                  <w:vAlign w:val="center"/>
                </w:tcPr>
                <w:p w14:paraId="16F44E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7CF92A9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65FD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4A68B9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7F69A10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泵房电动葫芦，2x80kN电动葫芦，轨道约20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，含控制设备、轨道及预埋件</w:t>
                  </w:r>
                </w:p>
              </w:tc>
              <w:tc>
                <w:tcPr>
                  <w:tcW w:w="918" w:type="dxa"/>
                  <w:vAlign w:val="center"/>
                </w:tcPr>
                <w:p w14:paraId="0666B03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76C2833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8327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AA1A2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378D931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高低压电气设备</w:t>
                  </w:r>
                </w:p>
              </w:tc>
              <w:tc>
                <w:tcPr>
                  <w:tcW w:w="918" w:type="dxa"/>
                  <w:vAlign w:val="center"/>
                </w:tcPr>
                <w:p w14:paraId="42995D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1C61EB6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5976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4EBA9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21819C3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10kV高压市政线路接入工程</w:t>
                  </w:r>
                </w:p>
              </w:tc>
              <w:tc>
                <w:tcPr>
                  <w:tcW w:w="918" w:type="dxa"/>
                  <w:vAlign w:val="center"/>
                </w:tcPr>
                <w:p w14:paraId="55F0A25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162E395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37AB2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67241F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70B929D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10kV高可靠性供电费用</w:t>
                  </w:r>
                </w:p>
              </w:tc>
              <w:tc>
                <w:tcPr>
                  <w:tcW w:w="918" w:type="dxa"/>
                  <w:vAlign w:val="center"/>
                </w:tcPr>
                <w:p w14:paraId="13D3005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1EACD6B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00E0E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F9F1BF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1662DAA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负荷监控终端</w:t>
                  </w:r>
                </w:p>
              </w:tc>
              <w:tc>
                <w:tcPr>
                  <w:tcW w:w="918" w:type="dxa"/>
                  <w:vAlign w:val="center"/>
                </w:tcPr>
                <w:p w14:paraId="1B2B86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537F6B3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044A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10C2A6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5CB1672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终端杆电涌保护器及杆上设备</w:t>
                  </w:r>
                </w:p>
              </w:tc>
              <w:tc>
                <w:tcPr>
                  <w:tcW w:w="918" w:type="dxa"/>
                  <w:vAlign w:val="center"/>
                </w:tcPr>
                <w:p w14:paraId="41B2F11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14CF399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CFFF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31EB6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4937875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10kV高压中置柜</w:t>
                  </w:r>
                </w:p>
              </w:tc>
              <w:tc>
                <w:tcPr>
                  <w:tcW w:w="918" w:type="dxa"/>
                  <w:vAlign w:val="center"/>
                </w:tcPr>
                <w:p w14:paraId="5DB2B9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0E4248A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r w14:paraId="18BFC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E07602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31516F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主变干式变压器柜</w:t>
                  </w:r>
                </w:p>
              </w:tc>
              <w:tc>
                <w:tcPr>
                  <w:tcW w:w="918" w:type="dxa"/>
                  <w:vAlign w:val="center"/>
                </w:tcPr>
                <w:p w14:paraId="2869F48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723737A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0C20C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B12807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vAlign w:val="center"/>
                </w:tcPr>
                <w:p w14:paraId="5CC24AE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所变干式变压器柜</w:t>
                  </w:r>
                </w:p>
              </w:tc>
              <w:tc>
                <w:tcPr>
                  <w:tcW w:w="918" w:type="dxa"/>
                  <w:vAlign w:val="center"/>
                </w:tcPr>
                <w:p w14:paraId="3E38653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621C79B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11BC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70F73B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vAlign w:val="center"/>
                </w:tcPr>
                <w:p w14:paraId="2C3B296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0.4kV低压进线柜</w:t>
                  </w:r>
                </w:p>
              </w:tc>
              <w:tc>
                <w:tcPr>
                  <w:tcW w:w="918" w:type="dxa"/>
                  <w:vAlign w:val="center"/>
                </w:tcPr>
                <w:p w14:paraId="080AE23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5879DC5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987D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569218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vAlign w:val="center"/>
                </w:tcPr>
                <w:p w14:paraId="3EC885E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0.4kV低压出线柜</w:t>
                  </w:r>
                </w:p>
              </w:tc>
              <w:tc>
                <w:tcPr>
                  <w:tcW w:w="918" w:type="dxa"/>
                  <w:vAlign w:val="center"/>
                </w:tcPr>
                <w:p w14:paraId="44CCCDA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332E31A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54F8B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3CAE5D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205" w:type="dxa"/>
                  <w:vAlign w:val="center"/>
                </w:tcPr>
                <w:p w14:paraId="118A056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0.4kV滤波型动态电容补偿柜</w:t>
                  </w:r>
                </w:p>
              </w:tc>
              <w:tc>
                <w:tcPr>
                  <w:tcW w:w="918" w:type="dxa"/>
                  <w:vAlign w:val="center"/>
                </w:tcPr>
                <w:p w14:paraId="42ABD7D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1A5099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08EC5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F4D107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vAlign w:val="center"/>
                </w:tcPr>
                <w:p w14:paraId="3DDB3CE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水泵低压软起动柜</w:t>
                  </w:r>
                </w:p>
              </w:tc>
              <w:tc>
                <w:tcPr>
                  <w:tcW w:w="918" w:type="dxa"/>
                  <w:vAlign w:val="center"/>
                </w:tcPr>
                <w:p w14:paraId="794AC23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5A3F38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6927F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0CB145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vAlign w:val="center"/>
                </w:tcPr>
                <w:p w14:paraId="4DA8AA4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低压母联柜</w:t>
                  </w:r>
                </w:p>
              </w:tc>
              <w:tc>
                <w:tcPr>
                  <w:tcW w:w="918" w:type="dxa"/>
                  <w:vAlign w:val="center"/>
                </w:tcPr>
                <w:p w14:paraId="40ABC30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09F4CA9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A7BA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74F25C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205" w:type="dxa"/>
                  <w:vAlign w:val="center"/>
                </w:tcPr>
                <w:p w14:paraId="0AFCC98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变压器轴流排风机及风扇控制箱</w:t>
                  </w:r>
                </w:p>
              </w:tc>
              <w:tc>
                <w:tcPr>
                  <w:tcW w:w="918" w:type="dxa"/>
                  <w:vAlign w:val="center"/>
                </w:tcPr>
                <w:p w14:paraId="5338FCA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5A89FE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3571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78A6C1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205" w:type="dxa"/>
                  <w:vAlign w:val="center"/>
                </w:tcPr>
                <w:p w14:paraId="17D0F3E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直流屏</w:t>
                  </w:r>
                </w:p>
              </w:tc>
              <w:tc>
                <w:tcPr>
                  <w:tcW w:w="918" w:type="dxa"/>
                  <w:vAlign w:val="center"/>
                </w:tcPr>
                <w:p w14:paraId="146ECCD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65F007E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6E6E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A87724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4205" w:type="dxa"/>
                  <w:vAlign w:val="center"/>
                </w:tcPr>
                <w:p w14:paraId="69EF550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密集型母线槽</w:t>
                  </w:r>
                </w:p>
              </w:tc>
              <w:tc>
                <w:tcPr>
                  <w:tcW w:w="918" w:type="dxa"/>
                  <w:vAlign w:val="center"/>
                </w:tcPr>
                <w:p w14:paraId="290A059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61A9BEE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r>
            <w:tr w14:paraId="255A2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8382A7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4205" w:type="dxa"/>
                  <w:vAlign w:val="center"/>
                </w:tcPr>
                <w:p w14:paraId="388694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配电间安全用品及安全工具</w:t>
                  </w:r>
                </w:p>
              </w:tc>
              <w:tc>
                <w:tcPr>
                  <w:tcW w:w="918" w:type="dxa"/>
                  <w:vAlign w:val="center"/>
                </w:tcPr>
                <w:p w14:paraId="2A166CB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3E45E6F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1C83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DF692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4205" w:type="dxa"/>
                  <w:vAlign w:val="center"/>
                </w:tcPr>
                <w:p w14:paraId="6F7F7F4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捕鼠装置</w:t>
                  </w:r>
                </w:p>
              </w:tc>
              <w:tc>
                <w:tcPr>
                  <w:tcW w:w="918" w:type="dxa"/>
                  <w:vAlign w:val="center"/>
                </w:tcPr>
                <w:p w14:paraId="5D3FA56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7279E07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2BEA4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CA852D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4205" w:type="dxa"/>
                  <w:vAlign w:val="center"/>
                </w:tcPr>
                <w:p w14:paraId="20F52A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电工模拟板</w:t>
                  </w:r>
                </w:p>
              </w:tc>
              <w:tc>
                <w:tcPr>
                  <w:tcW w:w="918" w:type="dxa"/>
                  <w:vAlign w:val="center"/>
                </w:tcPr>
                <w:p w14:paraId="11CFFFB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4B8D86D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B08F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196F23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4205" w:type="dxa"/>
                  <w:vAlign w:val="center"/>
                </w:tcPr>
                <w:p w14:paraId="077B18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水泵按钮箱</w:t>
                  </w:r>
                </w:p>
              </w:tc>
              <w:tc>
                <w:tcPr>
                  <w:tcW w:w="918" w:type="dxa"/>
                  <w:vAlign w:val="center"/>
                </w:tcPr>
                <w:p w14:paraId="191B616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只</w:t>
                  </w:r>
                </w:p>
              </w:tc>
              <w:tc>
                <w:tcPr>
                  <w:tcW w:w="1590" w:type="dxa"/>
                  <w:vAlign w:val="center"/>
                </w:tcPr>
                <w:p w14:paraId="128299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3542DB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90934A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c>
                <w:tcPr>
                  <w:tcW w:w="4205" w:type="dxa"/>
                  <w:vAlign w:val="center"/>
                </w:tcPr>
                <w:p w14:paraId="0FEF0DB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进水闸工作闸门启闭机控制柜</w:t>
                  </w:r>
                </w:p>
              </w:tc>
              <w:tc>
                <w:tcPr>
                  <w:tcW w:w="918" w:type="dxa"/>
                  <w:vAlign w:val="center"/>
                </w:tcPr>
                <w:p w14:paraId="4787C45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1903166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2C57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B2A7B2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4205" w:type="dxa"/>
                  <w:vAlign w:val="center"/>
                </w:tcPr>
                <w:p w14:paraId="5394BA5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防洪闸门启闭机控制箱</w:t>
                  </w:r>
                </w:p>
              </w:tc>
              <w:tc>
                <w:tcPr>
                  <w:tcW w:w="918" w:type="dxa"/>
                  <w:vAlign w:val="center"/>
                </w:tcPr>
                <w:p w14:paraId="3C0069D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030772C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64DE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0237E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4205" w:type="dxa"/>
                  <w:vAlign w:val="center"/>
                </w:tcPr>
                <w:p w14:paraId="57D9C9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清污机及皮带机控制柜</w:t>
                  </w:r>
                </w:p>
              </w:tc>
              <w:tc>
                <w:tcPr>
                  <w:tcW w:w="918" w:type="dxa"/>
                  <w:vAlign w:val="center"/>
                </w:tcPr>
                <w:p w14:paraId="2872AE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201FD6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3A06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6E64E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4205" w:type="dxa"/>
                  <w:vAlign w:val="center"/>
                </w:tcPr>
                <w:p w14:paraId="176D34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泵室照明配电箱</w:t>
                  </w:r>
                </w:p>
              </w:tc>
              <w:tc>
                <w:tcPr>
                  <w:tcW w:w="918" w:type="dxa"/>
                  <w:vAlign w:val="center"/>
                </w:tcPr>
                <w:p w14:paraId="5A57212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0864C72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87E4A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38797D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4205" w:type="dxa"/>
                  <w:vAlign w:val="center"/>
                </w:tcPr>
                <w:p w14:paraId="044D32D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泵室检修箱，起重机、检修闸门、检修排水泵、检修插座等用电</w:t>
                  </w:r>
                </w:p>
              </w:tc>
              <w:tc>
                <w:tcPr>
                  <w:tcW w:w="918" w:type="dxa"/>
                  <w:vAlign w:val="center"/>
                </w:tcPr>
                <w:p w14:paraId="7F3D0E5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71522AE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5567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0342C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4205" w:type="dxa"/>
                  <w:vAlign w:val="center"/>
                </w:tcPr>
                <w:p w14:paraId="4F5595A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检修闸门起吊设备控制箱</w:t>
                  </w:r>
                </w:p>
              </w:tc>
              <w:tc>
                <w:tcPr>
                  <w:tcW w:w="918" w:type="dxa"/>
                  <w:vAlign w:val="center"/>
                </w:tcPr>
                <w:p w14:paraId="6EEE843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19F1FA6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9C53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4F0EB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4205" w:type="dxa"/>
                  <w:vAlign w:val="center"/>
                </w:tcPr>
                <w:p w14:paraId="48D4380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检修排水泵自动控制箱（带自动水位开关）</w:t>
                  </w:r>
                </w:p>
              </w:tc>
              <w:tc>
                <w:tcPr>
                  <w:tcW w:w="918" w:type="dxa"/>
                  <w:vAlign w:val="center"/>
                </w:tcPr>
                <w:p w14:paraId="41A23A1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1A70998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0BC31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8C8CB9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w:t>
                  </w:r>
                </w:p>
              </w:tc>
              <w:tc>
                <w:tcPr>
                  <w:tcW w:w="4205" w:type="dxa"/>
                  <w:vAlign w:val="center"/>
                </w:tcPr>
                <w:p w14:paraId="3F80AE2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配电室双切电源箱</w:t>
                  </w:r>
                </w:p>
              </w:tc>
              <w:tc>
                <w:tcPr>
                  <w:tcW w:w="918" w:type="dxa"/>
                  <w:vAlign w:val="center"/>
                </w:tcPr>
                <w:p w14:paraId="2A28AB3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524AE77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25F09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72EDA8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w:t>
                  </w:r>
                </w:p>
              </w:tc>
              <w:tc>
                <w:tcPr>
                  <w:tcW w:w="4205" w:type="dxa"/>
                  <w:vAlign w:val="center"/>
                </w:tcPr>
                <w:p w14:paraId="2469379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控制室双切电源箱</w:t>
                  </w:r>
                </w:p>
              </w:tc>
              <w:tc>
                <w:tcPr>
                  <w:tcW w:w="918" w:type="dxa"/>
                  <w:vAlign w:val="center"/>
                </w:tcPr>
                <w:p w14:paraId="3549F4F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70B7E95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B7B6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95ADA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w:t>
                  </w:r>
                </w:p>
              </w:tc>
              <w:tc>
                <w:tcPr>
                  <w:tcW w:w="4205" w:type="dxa"/>
                  <w:vAlign w:val="center"/>
                </w:tcPr>
                <w:p w14:paraId="13D27EB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泵室辅助水泵双切电源箱</w:t>
                  </w:r>
                </w:p>
              </w:tc>
              <w:tc>
                <w:tcPr>
                  <w:tcW w:w="918" w:type="dxa"/>
                  <w:vAlign w:val="center"/>
                </w:tcPr>
                <w:p w14:paraId="7C4BEEF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14DF32E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4F09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96EA90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w:t>
                  </w:r>
                </w:p>
              </w:tc>
              <w:tc>
                <w:tcPr>
                  <w:tcW w:w="4205" w:type="dxa"/>
                  <w:vAlign w:val="center"/>
                </w:tcPr>
                <w:p w14:paraId="4747618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渗漏排水泵自动控制箱</w:t>
                  </w:r>
                </w:p>
              </w:tc>
              <w:tc>
                <w:tcPr>
                  <w:tcW w:w="918" w:type="dxa"/>
                  <w:vAlign w:val="center"/>
                </w:tcPr>
                <w:p w14:paraId="2D827FE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7C7A56E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6076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7B8516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4205" w:type="dxa"/>
                  <w:vAlign w:val="center"/>
                </w:tcPr>
                <w:p w14:paraId="0F8AE3D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技术供水泵自动控制箱</w:t>
                  </w:r>
                </w:p>
              </w:tc>
              <w:tc>
                <w:tcPr>
                  <w:tcW w:w="918" w:type="dxa"/>
                  <w:vAlign w:val="center"/>
                </w:tcPr>
                <w:p w14:paraId="774F38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590" w:type="dxa"/>
                  <w:vAlign w:val="center"/>
                </w:tcPr>
                <w:p w14:paraId="46044FC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0E8B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1410B2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4205" w:type="dxa"/>
                  <w:vAlign w:val="center"/>
                </w:tcPr>
                <w:p w14:paraId="7A08E35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智能火灾自动报警系统</w:t>
                  </w:r>
                </w:p>
              </w:tc>
              <w:tc>
                <w:tcPr>
                  <w:tcW w:w="918" w:type="dxa"/>
                  <w:vAlign w:val="center"/>
                </w:tcPr>
                <w:p w14:paraId="7654E30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7D1FDAC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1BB29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044442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4205" w:type="dxa"/>
                  <w:vAlign w:val="center"/>
                </w:tcPr>
                <w:p w14:paraId="361F71E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应急照明及疏散指示系统</w:t>
                  </w:r>
                </w:p>
              </w:tc>
              <w:tc>
                <w:tcPr>
                  <w:tcW w:w="918" w:type="dxa"/>
                  <w:vAlign w:val="center"/>
                </w:tcPr>
                <w:p w14:paraId="6D58397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1569BED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015B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12C9CA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4205" w:type="dxa"/>
                  <w:vAlign w:val="center"/>
                </w:tcPr>
                <w:p w14:paraId="73ACDDF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10kV电力电缆YJV22-8.7/15kV-3×150</w:t>
                  </w:r>
                </w:p>
              </w:tc>
              <w:tc>
                <w:tcPr>
                  <w:tcW w:w="918" w:type="dxa"/>
                  <w:vAlign w:val="center"/>
                </w:tcPr>
                <w:p w14:paraId="76F6781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4997B65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4CAB3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24534F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4205" w:type="dxa"/>
                  <w:vAlign w:val="center"/>
                </w:tcPr>
                <w:p w14:paraId="7E6552C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10kV电力电缆YJV22-8.7/15kV-3×120</w:t>
                  </w:r>
                </w:p>
              </w:tc>
              <w:tc>
                <w:tcPr>
                  <w:tcW w:w="918" w:type="dxa"/>
                  <w:vAlign w:val="center"/>
                </w:tcPr>
                <w:p w14:paraId="4DB017C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0576ABA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06E559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174013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w:t>
                  </w:r>
                </w:p>
              </w:tc>
              <w:tc>
                <w:tcPr>
                  <w:tcW w:w="4205" w:type="dxa"/>
                  <w:vAlign w:val="center"/>
                </w:tcPr>
                <w:p w14:paraId="4ED9987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10kV电力电缆主变压器TD1、TD2、联络柜</w:t>
                  </w:r>
                </w:p>
              </w:tc>
              <w:tc>
                <w:tcPr>
                  <w:tcW w:w="918" w:type="dxa"/>
                  <w:vAlign w:val="center"/>
                </w:tcPr>
                <w:p w14:paraId="4114C81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0F8DF3F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78DF3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F626C5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w:t>
                  </w:r>
                </w:p>
              </w:tc>
              <w:tc>
                <w:tcPr>
                  <w:tcW w:w="4205" w:type="dxa"/>
                  <w:vAlign w:val="center"/>
                </w:tcPr>
                <w:p w14:paraId="410EB69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1kV电力电缆2（YJV-0.6/1kV-3×120+1×70）</w:t>
                  </w:r>
                </w:p>
              </w:tc>
              <w:tc>
                <w:tcPr>
                  <w:tcW w:w="918" w:type="dxa"/>
                  <w:vAlign w:val="center"/>
                </w:tcPr>
                <w:p w14:paraId="0D2417C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7EB76EC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w:t>
                  </w:r>
                </w:p>
              </w:tc>
            </w:tr>
            <w:tr w14:paraId="6BF6F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D1EF2B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w:t>
                  </w:r>
                </w:p>
              </w:tc>
              <w:tc>
                <w:tcPr>
                  <w:tcW w:w="4205" w:type="dxa"/>
                  <w:vAlign w:val="center"/>
                </w:tcPr>
                <w:p w14:paraId="1B754E7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1kV电力电缆NH-YJV-0.6/1kV-5×10</w:t>
                  </w:r>
                </w:p>
              </w:tc>
              <w:tc>
                <w:tcPr>
                  <w:tcW w:w="918" w:type="dxa"/>
                  <w:vAlign w:val="center"/>
                </w:tcPr>
                <w:p w14:paraId="10EA22E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1A419F1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68B81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370626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w:t>
                  </w:r>
                </w:p>
              </w:tc>
              <w:tc>
                <w:tcPr>
                  <w:tcW w:w="4205" w:type="dxa"/>
                  <w:vAlign w:val="center"/>
                </w:tcPr>
                <w:p w14:paraId="012289A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1kV电力电缆ZR-YJV-0.6/1kV-5×10</w:t>
                  </w:r>
                </w:p>
              </w:tc>
              <w:tc>
                <w:tcPr>
                  <w:tcW w:w="918" w:type="dxa"/>
                  <w:vAlign w:val="center"/>
                </w:tcPr>
                <w:p w14:paraId="16DB0A0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407D8C1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r>
            <w:tr w14:paraId="6C610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1BB0DB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w:t>
                  </w:r>
                </w:p>
              </w:tc>
              <w:tc>
                <w:tcPr>
                  <w:tcW w:w="4205" w:type="dxa"/>
                  <w:vAlign w:val="center"/>
                </w:tcPr>
                <w:p w14:paraId="3B10A54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1kV电力电缆ZRYJV-0.6/1kV-3×35+1×16</w:t>
                  </w:r>
                </w:p>
              </w:tc>
              <w:tc>
                <w:tcPr>
                  <w:tcW w:w="918" w:type="dxa"/>
                  <w:vAlign w:val="center"/>
                </w:tcPr>
                <w:p w14:paraId="232D20B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27F1251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4D846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1BB4D0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4205" w:type="dxa"/>
                  <w:vAlign w:val="center"/>
                </w:tcPr>
                <w:p w14:paraId="6EEEC9C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1kV电力电缆YJV22-0.6/1kV-4x16</w:t>
                  </w:r>
                </w:p>
              </w:tc>
              <w:tc>
                <w:tcPr>
                  <w:tcW w:w="918" w:type="dxa"/>
                  <w:vAlign w:val="center"/>
                </w:tcPr>
                <w:p w14:paraId="69247B9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7E4B350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w:t>
                  </w:r>
                </w:p>
              </w:tc>
            </w:tr>
            <w:tr w14:paraId="3D99F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6FD99D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w:t>
                  </w:r>
                </w:p>
              </w:tc>
              <w:tc>
                <w:tcPr>
                  <w:tcW w:w="4205" w:type="dxa"/>
                  <w:vAlign w:val="center"/>
                </w:tcPr>
                <w:p w14:paraId="2B07588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1kV电力电缆YJV22-0.6/1kV-4x10</w:t>
                  </w:r>
                </w:p>
              </w:tc>
              <w:tc>
                <w:tcPr>
                  <w:tcW w:w="918" w:type="dxa"/>
                  <w:vAlign w:val="center"/>
                </w:tcPr>
                <w:p w14:paraId="6A6998F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4514FCE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r>
            <w:tr w14:paraId="2E021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7056C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w:t>
                  </w:r>
                </w:p>
              </w:tc>
              <w:tc>
                <w:tcPr>
                  <w:tcW w:w="4205" w:type="dxa"/>
                  <w:vAlign w:val="center"/>
                </w:tcPr>
                <w:p w14:paraId="08B601E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1kV电力电缆ZR-YJV-0.6/1kV-5×6</w:t>
                  </w:r>
                </w:p>
              </w:tc>
              <w:tc>
                <w:tcPr>
                  <w:tcW w:w="918" w:type="dxa"/>
                  <w:vAlign w:val="center"/>
                </w:tcPr>
                <w:p w14:paraId="21DAA7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1B128A5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0.03</w:t>
                  </w:r>
                </w:p>
              </w:tc>
            </w:tr>
            <w:tr w14:paraId="7C891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15C30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w:t>
                  </w:r>
                </w:p>
              </w:tc>
              <w:tc>
                <w:tcPr>
                  <w:tcW w:w="4205" w:type="dxa"/>
                  <w:vAlign w:val="center"/>
                </w:tcPr>
                <w:p w14:paraId="1943B94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1kV电力电缆ZRNH-BV-3×2.5/3×4</w:t>
                  </w:r>
                </w:p>
              </w:tc>
              <w:tc>
                <w:tcPr>
                  <w:tcW w:w="918" w:type="dxa"/>
                  <w:vAlign w:val="center"/>
                </w:tcPr>
                <w:p w14:paraId="43D63C0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7955B77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01741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1CBE55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c>
                <w:tcPr>
                  <w:tcW w:w="4205" w:type="dxa"/>
                  <w:vAlign w:val="center"/>
                </w:tcPr>
                <w:p w14:paraId="194C70F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控制电缆KVV-450/750V-7×1.5</w:t>
                  </w:r>
                </w:p>
              </w:tc>
              <w:tc>
                <w:tcPr>
                  <w:tcW w:w="918" w:type="dxa"/>
                  <w:vAlign w:val="center"/>
                </w:tcPr>
                <w:p w14:paraId="094F9D2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79FCEE3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299647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6245E9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c>
                <w:tcPr>
                  <w:tcW w:w="4205" w:type="dxa"/>
                  <w:vAlign w:val="center"/>
                </w:tcPr>
                <w:p w14:paraId="6E19B51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控制电缆KVV-450/750V-10×1.5</w:t>
                  </w:r>
                </w:p>
              </w:tc>
              <w:tc>
                <w:tcPr>
                  <w:tcW w:w="918" w:type="dxa"/>
                  <w:vAlign w:val="center"/>
                </w:tcPr>
                <w:p w14:paraId="67872E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1803ECB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1E84AE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746A0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4205" w:type="dxa"/>
                  <w:vAlign w:val="center"/>
                </w:tcPr>
                <w:p w14:paraId="224D006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控制电缆KVV-450/750V-18×1.5</w:t>
                  </w:r>
                </w:p>
              </w:tc>
              <w:tc>
                <w:tcPr>
                  <w:tcW w:w="918" w:type="dxa"/>
                  <w:vAlign w:val="center"/>
                </w:tcPr>
                <w:p w14:paraId="4F2722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62B012C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410AE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238848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w:t>
                  </w:r>
                </w:p>
              </w:tc>
              <w:tc>
                <w:tcPr>
                  <w:tcW w:w="4205" w:type="dxa"/>
                  <w:vAlign w:val="center"/>
                </w:tcPr>
                <w:p w14:paraId="3103A24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砖砌电缆沟及电缆支架800*1000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17610C8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775181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14:paraId="6E838F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29956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(49)</w:t>
                  </w:r>
                </w:p>
              </w:tc>
              <w:tc>
                <w:tcPr>
                  <w:tcW w:w="4205" w:type="dxa"/>
                  <w:vAlign w:val="center"/>
                </w:tcPr>
                <w:p w14:paraId="6CCDBB2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电缆槽盒300×150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3A41ED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4C52AE0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05AEBD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3A8E11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c>
                <w:tcPr>
                  <w:tcW w:w="4205" w:type="dxa"/>
                  <w:vAlign w:val="center"/>
                </w:tcPr>
                <w:p w14:paraId="3D784A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电缆槽盒500×150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3DF1448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590" w:type="dxa"/>
                  <w:vAlign w:val="center"/>
                </w:tcPr>
                <w:p w14:paraId="0B3DE14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w:t>
                  </w:r>
                </w:p>
              </w:tc>
            </w:tr>
            <w:tr w14:paraId="49910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90EC1E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w:t>
                  </w:r>
                </w:p>
              </w:tc>
              <w:tc>
                <w:tcPr>
                  <w:tcW w:w="4205" w:type="dxa"/>
                  <w:vAlign w:val="center"/>
                </w:tcPr>
                <w:p w14:paraId="69B3765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镀锌钢管SC32/40/50/80/100</w:t>
                  </w:r>
                </w:p>
              </w:tc>
              <w:tc>
                <w:tcPr>
                  <w:tcW w:w="918" w:type="dxa"/>
                  <w:vAlign w:val="center"/>
                </w:tcPr>
                <w:p w14:paraId="0329FE9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604004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29CB46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C2A151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w:t>
                  </w:r>
                </w:p>
              </w:tc>
              <w:tc>
                <w:tcPr>
                  <w:tcW w:w="4205" w:type="dxa"/>
                  <w:vAlign w:val="center"/>
                </w:tcPr>
                <w:p w14:paraId="79FF2A5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塑料厚壁波纹管</w:t>
                  </w:r>
                </w:p>
              </w:tc>
              <w:tc>
                <w:tcPr>
                  <w:tcW w:w="918" w:type="dxa"/>
                  <w:vAlign w:val="center"/>
                </w:tcPr>
                <w:p w14:paraId="770126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440FE23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0FFC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B4FFDC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w:t>
                  </w:r>
                </w:p>
              </w:tc>
              <w:tc>
                <w:tcPr>
                  <w:tcW w:w="4205" w:type="dxa"/>
                  <w:vAlign w:val="center"/>
                </w:tcPr>
                <w:p w14:paraId="721204F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型钢</w:t>
                  </w:r>
                </w:p>
              </w:tc>
              <w:tc>
                <w:tcPr>
                  <w:tcW w:w="918" w:type="dxa"/>
                  <w:vAlign w:val="center"/>
                </w:tcPr>
                <w:p w14:paraId="4F9E2F7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14E68F0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r>
            <w:tr w14:paraId="0DE8E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5DD95C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w:t>
                  </w:r>
                </w:p>
              </w:tc>
              <w:tc>
                <w:tcPr>
                  <w:tcW w:w="4205" w:type="dxa"/>
                  <w:vAlign w:val="center"/>
                </w:tcPr>
                <w:p w14:paraId="76CEB34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电缆手孔井1000×1000×1000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2AF8A75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只</w:t>
                  </w:r>
                </w:p>
              </w:tc>
              <w:tc>
                <w:tcPr>
                  <w:tcW w:w="1590" w:type="dxa"/>
                  <w:vAlign w:val="center"/>
                </w:tcPr>
                <w:p w14:paraId="2E7EDE3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62F36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01FA6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w:t>
                  </w:r>
                </w:p>
              </w:tc>
              <w:tc>
                <w:tcPr>
                  <w:tcW w:w="4205" w:type="dxa"/>
                  <w:vAlign w:val="center"/>
                </w:tcPr>
                <w:p w14:paraId="5907D85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室外太阳能路灯</w:t>
                  </w:r>
                </w:p>
              </w:tc>
              <w:tc>
                <w:tcPr>
                  <w:tcW w:w="918" w:type="dxa"/>
                  <w:vAlign w:val="center"/>
                </w:tcPr>
                <w:p w14:paraId="50EA6D7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只</w:t>
                  </w:r>
                </w:p>
              </w:tc>
              <w:tc>
                <w:tcPr>
                  <w:tcW w:w="1590" w:type="dxa"/>
                  <w:vAlign w:val="center"/>
                </w:tcPr>
                <w:p w14:paraId="5D0A6BA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38460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9AE6DE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w:t>
                  </w:r>
                </w:p>
              </w:tc>
              <w:tc>
                <w:tcPr>
                  <w:tcW w:w="4205" w:type="dxa"/>
                  <w:vAlign w:val="center"/>
                </w:tcPr>
                <w:p w14:paraId="687462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设备安装辅材</w:t>
                  </w:r>
                </w:p>
              </w:tc>
              <w:tc>
                <w:tcPr>
                  <w:tcW w:w="918" w:type="dxa"/>
                  <w:vAlign w:val="center"/>
                </w:tcPr>
                <w:p w14:paraId="3365E87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590" w:type="dxa"/>
                  <w:vAlign w:val="center"/>
                </w:tcPr>
                <w:p w14:paraId="47EDF07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8947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99D72F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205" w:type="dxa"/>
                  <w:vAlign w:val="center"/>
                </w:tcPr>
                <w:p w14:paraId="773A5B1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第三部分 金属结构设备及安装工程</w:t>
                  </w:r>
                </w:p>
              </w:tc>
              <w:tc>
                <w:tcPr>
                  <w:tcW w:w="918" w:type="dxa"/>
                  <w:vAlign w:val="center"/>
                </w:tcPr>
                <w:p w14:paraId="45CD14A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263CE0C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47E3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659932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205" w:type="dxa"/>
                  <w:vAlign w:val="center"/>
                </w:tcPr>
                <w:p w14:paraId="23435A1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西部新城排涝泵站工程</w:t>
                  </w:r>
                </w:p>
              </w:tc>
              <w:tc>
                <w:tcPr>
                  <w:tcW w:w="918" w:type="dxa"/>
                  <w:vAlign w:val="center"/>
                </w:tcPr>
                <w:p w14:paraId="72D3258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23F63C2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9B1F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7DC302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39111EA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新建西部新城排涝站</w:t>
                  </w:r>
                </w:p>
              </w:tc>
              <w:tc>
                <w:tcPr>
                  <w:tcW w:w="918" w:type="dxa"/>
                  <w:vAlign w:val="center"/>
                </w:tcPr>
                <w:p w14:paraId="1A5F10E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252274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5331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081114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vAlign w:val="center"/>
                </w:tcPr>
                <w:p w14:paraId="14B46A2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闸门设备及安装</w:t>
                  </w:r>
                </w:p>
              </w:tc>
              <w:tc>
                <w:tcPr>
                  <w:tcW w:w="918" w:type="dxa"/>
                  <w:vAlign w:val="center"/>
                </w:tcPr>
                <w:p w14:paraId="0DB81A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3694F7C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59BA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2BD990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5276C17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进水侧工作闸门 孔口尺寸3.0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（净宽×净高），主材Q355B，露顶式平面定轮钢闸门</w:t>
                  </w:r>
                </w:p>
              </w:tc>
              <w:tc>
                <w:tcPr>
                  <w:tcW w:w="918" w:type="dxa"/>
                  <w:vAlign w:val="center"/>
                </w:tcPr>
                <w:p w14:paraId="6B21971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77C7B80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r>
            <w:tr w14:paraId="242DB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607149F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3DA0552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进水侧闸门埋件 Q355B组焊，止水座面贴焊不锈钢</w:t>
                  </w:r>
                </w:p>
              </w:tc>
              <w:tc>
                <w:tcPr>
                  <w:tcW w:w="918" w:type="dxa"/>
                  <w:vAlign w:val="center"/>
                </w:tcPr>
                <w:p w14:paraId="016DD9D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4C1C9A1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w:t>
                  </w:r>
                </w:p>
              </w:tc>
            </w:tr>
            <w:tr w14:paraId="3F6FA0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2405E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3757C90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泵室进水口固定防护栅及埋件 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（净宽×净高），主材Q235B</w:t>
                  </w:r>
                </w:p>
              </w:tc>
              <w:tc>
                <w:tcPr>
                  <w:tcW w:w="918" w:type="dxa"/>
                  <w:vAlign w:val="center"/>
                </w:tcPr>
                <w:p w14:paraId="385165E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6CF5CA3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r>
            <w:tr w14:paraId="5D723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2116A1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1E18334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泵室进水口检修闸门孔口尺寸3.5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（净宽×净高），主材Q355B，潜孔式平面定轮钢闸门</w:t>
                  </w:r>
                </w:p>
              </w:tc>
              <w:tc>
                <w:tcPr>
                  <w:tcW w:w="918" w:type="dxa"/>
                  <w:vAlign w:val="center"/>
                </w:tcPr>
                <w:p w14:paraId="36613F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484501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r>
            <w:tr w14:paraId="3CE652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CAB79F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1931221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泵室进水口检修闸门埋件Q355B组焊，止水座面贴焊不锈钢</w:t>
                  </w:r>
                </w:p>
              </w:tc>
              <w:tc>
                <w:tcPr>
                  <w:tcW w:w="918" w:type="dxa"/>
                  <w:vAlign w:val="center"/>
                </w:tcPr>
                <w:p w14:paraId="7EC648C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4B06350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r>
            <w:tr w14:paraId="2333C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38817D6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33AA0B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锁定钢梁工字钢临时锁定</w:t>
                  </w:r>
                </w:p>
              </w:tc>
              <w:tc>
                <w:tcPr>
                  <w:tcW w:w="918" w:type="dxa"/>
                  <w:vAlign w:val="center"/>
                </w:tcPr>
                <w:p w14:paraId="65412F5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4E6A80A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0.2</w:t>
                  </w:r>
                </w:p>
              </w:tc>
            </w:tr>
            <w:tr w14:paraId="76784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2A5A49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vAlign w:val="center"/>
                </w:tcPr>
                <w:p w14:paraId="552F92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外河侧防洪事闸门 孔口尺寸3</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（宽×高），主材Q355B，潜孔平面定轮门</w:t>
                  </w:r>
                </w:p>
              </w:tc>
              <w:tc>
                <w:tcPr>
                  <w:tcW w:w="918" w:type="dxa"/>
                  <w:vAlign w:val="center"/>
                </w:tcPr>
                <w:p w14:paraId="52C631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34227BB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w:t>
                  </w:r>
                </w:p>
              </w:tc>
            </w:tr>
            <w:tr w14:paraId="79FB9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A8C3EB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vAlign w:val="center"/>
                </w:tcPr>
                <w:p w14:paraId="7715FB0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外河侧防洪闸门埋件 Q355B组焊，止水座面贴焊不锈钢</w:t>
                  </w:r>
                </w:p>
              </w:tc>
              <w:tc>
                <w:tcPr>
                  <w:tcW w:w="918" w:type="dxa"/>
                  <w:vAlign w:val="center"/>
                </w:tcPr>
                <w:p w14:paraId="03DBE00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410ECA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EA8F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63E97C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vAlign w:val="center"/>
                </w:tcPr>
                <w:p w14:paraId="2D7B085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启闭设备及安装工程</w:t>
                  </w:r>
                </w:p>
              </w:tc>
              <w:tc>
                <w:tcPr>
                  <w:tcW w:w="918" w:type="dxa"/>
                  <w:vAlign w:val="center"/>
                </w:tcPr>
                <w:p w14:paraId="2D79002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25E0943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C47D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9E9ED6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69AD4E6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进水侧启闭机QP-125kN-6</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闭式卷扬启闭机，Q2级别，不锈钢钢丝绳，含行程检测、行程保护、荷载保护装置</w:t>
                  </w:r>
                </w:p>
              </w:tc>
              <w:tc>
                <w:tcPr>
                  <w:tcW w:w="918" w:type="dxa"/>
                  <w:vAlign w:val="center"/>
                </w:tcPr>
                <w:p w14:paraId="16E139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67FA57A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5C9DD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23E7F4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0A1ED07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外河侧防洪闸门启闭机QL-125kN(启）/63kN(闭）-3.1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-SD手电两用螺杆启闭机，减速电机直联型式，自带行程、荷载保护</w:t>
                  </w:r>
                </w:p>
              </w:tc>
              <w:tc>
                <w:tcPr>
                  <w:tcW w:w="918" w:type="dxa"/>
                  <w:vAlign w:val="center"/>
                </w:tcPr>
                <w:p w14:paraId="1C0080A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4C9DDA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08E7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016D8A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205" w:type="dxa"/>
                  <w:vAlign w:val="center"/>
                </w:tcPr>
                <w:p w14:paraId="6FF06F0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拦污清污设备及安装工程</w:t>
                  </w:r>
                </w:p>
              </w:tc>
              <w:tc>
                <w:tcPr>
                  <w:tcW w:w="918" w:type="dxa"/>
                  <w:vAlign w:val="center"/>
                </w:tcPr>
                <w:p w14:paraId="7940812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4BC86D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C903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16F6F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3D8B43E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回转式清污机HG-3.0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×5.6</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（宽×高），结构件、运转件均为不锈钢，减速器进口件</w:t>
                  </w:r>
                </w:p>
              </w:tc>
              <w:tc>
                <w:tcPr>
                  <w:tcW w:w="918" w:type="dxa"/>
                  <w:vAlign w:val="center"/>
                </w:tcPr>
                <w:p w14:paraId="7248677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7FD05EF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68147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01C742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355F9E6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皮带输送机，宽0.8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，长约15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918" w:type="dxa"/>
                  <w:vAlign w:val="center"/>
                </w:tcPr>
                <w:p w14:paraId="769F800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72C08F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506F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777BBC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205" w:type="dxa"/>
                  <w:vAlign w:val="center"/>
                </w:tcPr>
                <w:p w14:paraId="774D4B2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其他设备及安装工程</w:t>
                  </w:r>
                </w:p>
              </w:tc>
              <w:tc>
                <w:tcPr>
                  <w:tcW w:w="918" w:type="dxa"/>
                  <w:vAlign w:val="center"/>
                </w:tcPr>
                <w:p w14:paraId="653037E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590" w:type="dxa"/>
                  <w:vAlign w:val="center"/>
                </w:tcPr>
                <w:p w14:paraId="4E2D281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2C0B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CA2FC2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205" w:type="dxa"/>
                  <w:vAlign w:val="center"/>
                </w:tcPr>
                <w:p w14:paraId="16F2C61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起吊设备2×50kN-8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移动式卷扬启闭机，轨道长度约24</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，含机械式自动挂脱梁</w:t>
                  </w:r>
                </w:p>
              </w:tc>
              <w:tc>
                <w:tcPr>
                  <w:tcW w:w="918" w:type="dxa"/>
                  <w:vAlign w:val="center"/>
                </w:tcPr>
                <w:p w14:paraId="0CAE557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41E45FF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9C76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755FAD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205" w:type="dxa"/>
                  <w:vAlign w:val="center"/>
                </w:tcPr>
                <w:p w14:paraId="71FDCAD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电动蝶阀DN1000，1.0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pa，含安装附件</w:t>
                  </w:r>
                </w:p>
              </w:tc>
              <w:tc>
                <w:tcPr>
                  <w:tcW w:w="918" w:type="dxa"/>
                  <w:vAlign w:val="center"/>
                </w:tcPr>
                <w:p w14:paraId="24D6230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vAlign w:val="center"/>
                </w:tcPr>
                <w:p w14:paraId="0D1886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5292F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515301B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205" w:type="dxa"/>
                  <w:vAlign w:val="center"/>
                </w:tcPr>
                <w:p w14:paraId="11153F3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伸缩节C2F-1，DN1000，1.0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pa，含安装附件</w:t>
                  </w:r>
                </w:p>
              </w:tc>
              <w:tc>
                <w:tcPr>
                  <w:tcW w:w="918" w:type="dxa"/>
                  <w:vAlign w:val="center"/>
                </w:tcPr>
                <w:p w14:paraId="7813ED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vAlign w:val="center"/>
                </w:tcPr>
                <w:p w14:paraId="3C269E0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36E916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A217C9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205" w:type="dxa"/>
                  <w:vAlign w:val="center"/>
                </w:tcPr>
                <w:p w14:paraId="5F11987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刚性防水翼环适用</w:t>
                  </w:r>
                </w:p>
              </w:tc>
              <w:tc>
                <w:tcPr>
                  <w:tcW w:w="918" w:type="dxa"/>
                  <w:vAlign w:val="center"/>
                </w:tcPr>
                <w:p w14:paraId="359D3E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vAlign w:val="center"/>
                </w:tcPr>
                <w:p w14:paraId="543625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0A8CA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0558EA9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205" w:type="dxa"/>
                  <w:vAlign w:val="center"/>
                </w:tcPr>
                <w:p w14:paraId="6BB9505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侧翻式圆形钢拍门DN1400</w:t>
                  </w:r>
                </w:p>
              </w:tc>
              <w:tc>
                <w:tcPr>
                  <w:tcW w:w="918" w:type="dxa"/>
                  <w:vAlign w:val="center"/>
                </w:tcPr>
                <w:p w14:paraId="10BCA0D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扇</w:t>
                  </w:r>
                </w:p>
              </w:tc>
              <w:tc>
                <w:tcPr>
                  <w:tcW w:w="1590" w:type="dxa"/>
                  <w:vAlign w:val="center"/>
                </w:tcPr>
                <w:p w14:paraId="7E9A4F3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577FE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2979ACC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205" w:type="dxa"/>
                  <w:vAlign w:val="center"/>
                </w:tcPr>
                <w:p w14:paraId="60D4B22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镀锌钢管DN200，δ=6</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918" w:type="dxa"/>
                  <w:vAlign w:val="center"/>
                </w:tcPr>
                <w:p w14:paraId="4E40840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1AF579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r>
            <w:tr w14:paraId="43788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E9F22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205" w:type="dxa"/>
                  <w:vAlign w:val="center"/>
                </w:tcPr>
                <w:p w14:paraId="0649CFC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焊接钢管DN1000，δ=10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，含法兰、法兰垫片和螺栓</w:t>
                  </w:r>
                </w:p>
              </w:tc>
              <w:tc>
                <w:tcPr>
                  <w:tcW w:w="918" w:type="dxa"/>
                  <w:vAlign w:val="center"/>
                </w:tcPr>
                <w:p w14:paraId="1C2FEC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7AEA54D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w:t>
                  </w:r>
                </w:p>
              </w:tc>
            </w:tr>
            <w:tr w14:paraId="0ADE2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6DFCE7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205" w:type="dxa"/>
                  <w:vAlign w:val="center"/>
                </w:tcPr>
                <w:p w14:paraId="55F62E3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渐扩钢管DN1000×DN1400，δ=14</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，L=2.1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，含法兰、法兰垫片和螺栓</w:t>
                  </w:r>
                </w:p>
              </w:tc>
              <w:tc>
                <w:tcPr>
                  <w:tcW w:w="918" w:type="dxa"/>
                  <w:vAlign w:val="center"/>
                </w:tcPr>
                <w:p w14:paraId="058D80F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590" w:type="dxa"/>
                  <w:vAlign w:val="center"/>
                </w:tcPr>
                <w:p w14:paraId="03DF1F1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12643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A1B82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205" w:type="dxa"/>
                  <w:vAlign w:val="center"/>
                </w:tcPr>
                <w:p w14:paraId="0CD042C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检修人孔钢盖板</w:t>
                  </w:r>
                </w:p>
              </w:tc>
              <w:tc>
                <w:tcPr>
                  <w:tcW w:w="918" w:type="dxa"/>
                  <w:vAlign w:val="center"/>
                </w:tcPr>
                <w:p w14:paraId="1C66AB8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12ABCE3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4600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7F5FFE0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205" w:type="dxa"/>
                  <w:vAlign w:val="center"/>
                </w:tcPr>
                <w:p w14:paraId="2147DD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柔性防水套管，DN1400</w:t>
                  </w:r>
                </w:p>
              </w:tc>
              <w:tc>
                <w:tcPr>
                  <w:tcW w:w="918" w:type="dxa"/>
                  <w:vAlign w:val="center"/>
                </w:tcPr>
                <w:p w14:paraId="5B0816A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590" w:type="dxa"/>
                  <w:vAlign w:val="center"/>
                </w:tcPr>
                <w:p w14:paraId="237A4B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91A3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41B4A2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205" w:type="dxa"/>
                  <w:vAlign w:val="center"/>
                </w:tcPr>
                <w:p w14:paraId="0B21C26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不锈钢钢制水箱</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6</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3/s，2（长）×1.5（宽）×2（高）</w:t>
                  </w:r>
                </w:p>
              </w:tc>
              <w:tc>
                <w:tcPr>
                  <w:tcW w:w="918" w:type="dxa"/>
                  <w:vAlign w:val="center"/>
                </w:tcPr>
                <w:p w14:paraId="14D12DB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590" w:type="dxa"/>
                  <w:vAlign w:val="center"/>
                </w:tcPr>
                <w:p w14:paraId="6728C0F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FB38D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66" w:type="dxa"/>
                  <w:vAlign w:val="center"/>
                </w:tcPr>
                <w:p w14:paraId="11775B5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205" w:type="dxa"/>
                  <w:vAlign w:val="center"/>
                </w:tcPr>
                <w:p w14:paraId="5ABB063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支、吊钢架</w:t>
                  </w:r>
                </w:p>
              </w:tc>
              <w:tc>
                <w:tcPr>
                  <w:tcW w:w="918" w:type="dxa"/>
                  <w:vAlign w:val="center"/>
                </w:tcPr>
                <w:p w14:paraId="3B77BAF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宗</w:t>
                  </w:r>
                </w:p>
              </w:tc>
              <w:tc>
                <w:tcPr>
                  <w:tcW w:w="1590" w:type="dxa"/>
                  <w:vAlign w:val="center"/>
                </w:tcPr>
                <w:p w14:paraId="0A1F788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bl>
          <w:p w14:paraId="4E1078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表2-23  戴家河片排涝能力提升工程主要工程量</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6"/>
              <w:gridCol w:w="4463"/>
              <w:gridCol w:w="1154"/>
              <w:gridCol w:w="1278"/>
            </w:tblGrid>
            <w:tr w14:paraId="45A04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5C928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bookmarkStart w:id="20" w:name="5.6.2城区排涝通道整治工程主要工程量"/>
                  <w:bookmarkEnd w:id="20"/>
                  <w:bookmarkStart w:id="21" w:name="5.6.2城区排涝通道整治工程主要工程量"/>
                  <w:bookmarkEnd w:id="21"/>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4463" w:type="dxa"/>
                  <w:vAlign w:val="center"/>
                </w:tcPr>
                <w:p w14:paraId="47BB75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工程或费用名称</w:t>
                  </w:r>
                </w:p>
              </w:tc>
              <w:tc>
                <w:tcPr>
                  <w:tcW w:w="1154" w:type="dxa"/>
                  <w:vAlign w:val="center"/>
                </w:tcPr>
                <w:p w14:paraId="758524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278" w:type="dxa"/>
                  <w:vAlign w:val="center"/>
                </w:tcPr>
                <w:p w14:paraId="1240CC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3A009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A8B988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4463" w:type="dxa"/>
                  <w:vAlign w:val="center"/>
                </w:tcPr>
                <w:p w14:paraId="6F97679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 建筑工程</w:t>
                  </w:r>
                </w:p>
              </w:tc>
              <w:tc>
                <w:tcPr>
                  <w:tcW w:w="1154" w:type="dxa"/>
                  <w:vAlign w:val="center"/>
                </w:tcPr>
                <w:p w14:paraId="6A55AC6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5871C16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4CEE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9B6025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463" w:type="dxa"/>
                  <w:vAlign w:val="center"/>
                </w:tcPr>
                <w:p w14:paraId="2C03610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排涝沟整治</w:t>
                  </w:r>
                </w:p>
              </w:tc>
              <w:tc>
                <w:tcPr>
                  <w:tcW w:w="1154" w:type="dxa"/>
                  <w:vAlign w:val="center"/>
                </w:tcPr>
                <w:p w14:paraId="1C8C95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4B6F003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DB92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0298D1E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4463" w:type="dxa"/>
                  <w:vAlign w:val="center"/>
                </w:tcPr>
                <w:p w14:paraId="33BD81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排涝沟整治</w:t>
                  </w:r>
                </w:p>
              </w:tc>
              <w:tc>
                <w:tcPr>
                  <w:tcW w:w="1154" w:type="dxa"/>
                  <w:vAlign w:val="center"/>
                </w:tcPr>
                <w:p w14:paraId="220C507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017DA36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138A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A57FC7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1.1.1.1</w:t>
                  </w:r>
                </w:p>
              </w:tc>
              <w:tc>
                <w:tcPr>
                  <w:tcW w:w="4463" w:type="dxa"/>
                  <w:vAlign w:val="center"/>
                </w:tcPr>
                <w:p w14:paraId="33E59E6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154" w:type="dxa"/>
                  <w:vAlign w:val="center"/>
                </w:tcPr>
                <w:p w14:paraId="765879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100EBB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046C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40E44AA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0C7F3FB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154" w:type="dxa"/>
                  <w:vAlign w:val="center"/>
                </w:tcPr>
                <w:p w14:paraId="5FF791C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51644B2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9739.72</w:t>
                  </w:r>
                </w:p>
              </w:tc>
            </w:tr>
            <w:tr w14:paraId="335607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E4FFA5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vAlign w:val="center"/>
                </w:tcPr>
                <w:p w14:paraId="210CC9C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154" w:type="dxa"/>
                  <w:vAlign w:val="center"/>
                </w:tcPr>
                <w:p w14:paraId="6E738E8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3DAB16B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10666.412</w:t>
                  </w:r>
                </w:p>
              </w:tc>
            </w:tr>
            <w:tr w14:paraId="43367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4FEEE6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vAlign w:val="center"/>
                </w:tcPr>
                <w:p w14:paraId="23D2090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154" w:type="dxa"/>
                  <w:vAlign w:val="center"/>
                </w:tcPr>
                <w:p w14:paraId="141C35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24744B3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10666.412</w:t>
                  </w:r>
                </w:p>
              </w:tc>
            </w:tr>
            <w:tr w14:paraId="0D883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8583A9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vAlign w:val="center"/>
                </w:tcPr>
                <w:p w14:paraId="6433C04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154" w:type="dxa"/>
                  <w:vAlign w:val="center"/>
                </w:tcPr>
                <w:p w14:paraId="66B35D1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446C647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9066.45</w:t>
                  </w:r>
                </w:p>
              </w:tc>
            </w:tr>
            <w:tr w14:paraId="3BF77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A36C19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1.1.1.2</w:t>
                  </w:r>
                </w:p>
              </w:tc>
              <w:tc>
                <w:tcPr>
                  <w:tcW w:w="4463" w:type="dxa"/>
                  <w:vAlign w:val="center"/>
                </w:tcPr>
                <w:p w14:paraId="1D4F4ED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154" w:type="dxa"/>
                  <w:vAlign w:val="center"/>
                </w:tcPr>
                <w:p w14:paraId="32713A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3D3AB49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D6080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3D3107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13347AB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154" w:type="dxa"/>
                  <w:vAlign w:val="center"/>
                </w:tcPr>
                <w:p w14:paraId="460149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1E86C36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122.66</w:t>
                  </w:r>
                </w:p>
              </w:tc>
            </w:tr>
            <w:tr w14:paraId="2A1AA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F21E43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1.1.1.3</w:t>
                  </w:r>
                </w:p>
              </w:tc>
              <w:tc>
                <w:tcPr>
                  <w:tcW w:w="4463" w:type="dxa"/>
                  <w:vAlign w:val="center"/>
                </w:tcPr>
                <w:p w14:paraId="2B09BB5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154" w:type="dxa"/>
                  <w:vAlign w:val="center"/>
                </w:tcPr>
                <w:p w14:paraId="4555602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139D5AE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063B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8CEC49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422314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vAlign w:val="center"/>
                </w:tcPr>
                <w:p w14:paraId="676D0A2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77BEF28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2453.25</w:t>
                  </w:r>
                </w:p>
              </w:tc>
            </w:tr>
            <w:tr w14:paraId="06CF2D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23C3A1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vAlign w:val="center"/>
                </w:tcPr>
                <w:p w14:paraId="5DFDA05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154" w:type="dxa"/>
                  <w:vAlign w:val="center"/>
                </w:tcPr>
                <w:p w14:paraId="709B5EF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314F58C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239.59</w:t>
                  </w:r>
                </w:p>
              </w:tc>
            </w:tr>
            <w:tr w14:paraId="39BAC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07BDB9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vAlign w:val="center"/>
                </w:tcPr>
                <w:p w14:paraId="5B69B33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154" w:type="dxa"/>
                  <w:vAlign w:val="center"/>
                </w:tcPr>
                <w:p w14:paraId="484B6D9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75DD952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326.59</w:t>
                  </w:r>
                </w:p>
              </w:tc>
            </w:tr>
            <w:tr w14:paraId="7CCD7D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4D0D6D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vAlign w:val="center"/>
                </w:tcPr>
                <w:p w14:paraId="621E636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154" w:type="dxa"/>
                  <w:vAlign w:val="center"/>
                </w:tcPr>
                <w:p w14:paraId="1A92C92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6A82E41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667.27</w:t>
                  </w:r>
                </w:p>
              </w:tc>
            </w:tr>
            <w:tr w14:paraId="7CB41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3B5CD0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vAlign w:val="center"/>
                </w:tcPr>
                <w:p w14:paraId="1484046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154" w:type="dxa"/>
                  <w:vAlign w:val="center"/>
                </w:tcPr>
                <w:p w14:paraId="42AAC58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16260B2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901.04</w:t>
                  </w:r>
                </w:p>
              </w:tc>
            </w:tr>
            <w:tr w14:paraId="36B7A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6A454A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63" w:type="dxa"/>
                  <w:vAlign w:val="center"/>
                </w:tcPr>
                <w:p w14:paraId="0F91259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154" w:type="dxa"/>
                  <w:vAlign w:val="center"/>
                </w:tcPr>
                <w:p w14:paraId="7C746C7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278" w:type="dxa"/>
                  <w:vAlign w:val="center"/>
                </w:tcPr>
                <w:p w14:paraId="43EEB0B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156.83</w:t>
                  </w:r>
                </w:p>
              </w:tc>
            </w:tr>
            <w:tr w14:paraId="522872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713AFF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463" w:type="dxa"/>
                  <w:vAlign w:val="center"/>
                </w:tcPr>
                <w:p w14:paraId="5EC57AE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154" w:type="dxa"/>
                  <w:vAlign w:val="center"/>
                </w:tcPr>
                <w:p w14:paraId="7CA8FEE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p>
              </w:tc>
              <w:tc>
                <w:tcPr>
                  <w:tcW w:w="1278" w:type="dxa"/>
                  <w:vAlign w:val="center"/>
                </w:tcPr>
                <w:p w14:paraId="2E19318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5003.34</w:t>
                  </w:r>
                </w:p>
              </w:tc>
            </w:tr>
            <w:tr w14:paraId="525C7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9225D4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463" w:type="dxa"/>
                  <w:vAlign w:val="center"/>
                </w:tcPr>
                <w:p w14:paraId="44D5418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154" w:type="dxa"/>
                  <w:vAlign w:val="center"/>
                </w:tcPr>
                <w:p w14:paraId="370268C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6F2198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1894.9</w:t>
                  </w:r>
                </w:p>
              </w:tc>
            </w:tr>
            <w:tr w14:paraId="44F87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D14A1C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1.1.1.4</w:t>
                  </w:r>
                </w:p>
              </w:tc>
              <w:tc>
                <w:tcPr>
                  <w:tcW w:w="4463" w:type="dxa"/>
                  <w:vAlign w:val="center"/>
                </w:tcPr>
                <w:p w14:paraId="5F46AAE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154" w:type="dxa"/>
                  <w:vAlign w:val="center"/>
                </w:tcPr>
                <w:p w14:paraId="19C3CC4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1469B3B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ADD3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0BAEB04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4DF08E6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154" w:type="dxa"/>
                  <w:vAlign w:val="center"/>
                </w:tcPr>
                <w:p w14:paraId="1937D04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2116E2B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1550.56</w:t>
                  </w:r>
                </w:p>
              </w:tc>
            </w:tr>
            <w:tr w14:paraId="17113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26A554C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4463" w:type="dxa"/>
                  <w:vAlign w:val="center"/>
                </w:tcPr>
                <w:p w14:paraId="07C286F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154" w:type="dxa"/>
                  <w:vAlign w:val="center"/>
                </w:tcPr>
                <w:p w14:paraId="78F377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11D4ECE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6EF4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1C4B08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3FB9AB5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154" w:type="dxa"/>
                  <w:vAlign w:val="center"/>
                </w:tcPr>
                <w:p w14:paraId="2B487DA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278" w:type="dxa"/>
                  <w:vAlign w:val="center"/>
                </w:tcPr>
                <w:p w14:paraId="7900BB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39BFE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07A216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463" w:type="dxa"/>
                  <w:vAlign w:val="center"/>
                </w:tcPr>
                <w:p w14:paraId="50CCCB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w:t>
                  </w:r>
                </w:p>
              </w:tc>
              <w:tc>
                <w:tcPr>
                  <w:tcW w:w="1154" w:type="dxa"/>
                  <w:vAlign w:val="center"/>
                </w:tcPr>
                <w:p w14:paraId="05B6A43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6FF4B38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4646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B3FC0D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4463" w:type="dxa"/>
                  <w:vAlign w:val="center"/>
                </w:tcPr>
                <w:p w14:paraId="0D6B79F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S332穿路涵</w:t>
                  </w:r>
                </w:p>
              </w:tc>
              <w:tc>
                <w:tcPr>
                  <w:tcW w:w="1154" w:type="dxa"/>
                  <w:vAlign w:val="center"/>
                </w:tcPr>
                <w:p w14:paraId="70BB488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2F327F7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2037C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4EA4954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1.2.1.1</w:t>
                  </w:r>
                </w:p>
              </w:tc>
              <w:tc>
                <w:tcPr>
                  <w:tcW w:w="4463" w:type="dxa"/>
                  <w:vAlign w:val="center"/>
                </w:tcPr>
                <w:p w14:paraId="34B94E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154" w:type="dxa"/>
                  <w:vAlign w:val="center"/>
                </w:tcPr>
                <w:p w14:paraId="190AD68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1D7FDCA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3536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37E66C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1B44D12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154" w:type="dxa"/>
                  <w:vAlign w:val="center"/>
                </w:tcPr>
                <w:p w14:paraId="3F531A4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20F6ABD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404.269</w:t>
                  </w:r>
                </w:p>
              </w:tc>
            </w:tr>
            <w:tr w14:paraId="6E1C7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FB5E2D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vAlign w:val="center"/>
                </w:tcPr>
                <w:p w14:paraId="31A621E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154" w:type="dxa"/>
                  <w:vAlign w:val="center"/>
                </w:tcPr>
                <w:p w14:paraId="3B3D9FF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0709ECC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3638.421</w:t>
                  </w:r>
                </w:p>
              </w:tc>
            </w:tr>
            <w:tr w14:paraId="453D4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5C304C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vAlign w:val="center"/>
                </w:tcPr>
                <w:p w14:paraId="4FC8678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154" w:type="dxa"/>
                  <w:vAlign w:val="center"/>
                </w:tcPr>
                <w:p w14:paraId="62F22D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40E6F10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3638.421</w:t>
                  </w:r>
                </w:p>
              </w:tc>
            </w:tr>
            <w:tr w14:paraId="34C36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28A77B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vAlign w:val="center"/>
                </w:tcPr>
                <w:p w14:paraId="388FBDE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154" w:type="dxa"/>
                  <w:vAlign w:val="center"/>
                </w:tcPr>
                <w:p w14:paraId="685041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743BD6C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2405.396</w:t>
                  </w:r>
                </w:p>
              </w:tc>
            </w:tr>
            <w:tr w14:paraId="5C893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E26ED8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vAlign w:val="center"/>
                </w:tcPr>
                <w:p w14:paraId="656F6F8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154" w:type="dxa"/>
                  <w:vAlign w:val="center"/>
                </w:tcPr>
                <w:p w14:paraId="2C14306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29FA2E6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1030.884</w:t>
                  </w:r>
                </w:p>
              </w:tc>
            </w:tr>
            <w:tr w14:paraId="03F4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FFDB90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1.2.1.2</w:t>
                  </w:r>
                </w:p>
              </w:tc>
              <w:tc>
                <w:tcPr>
                  <w:tcW w:w="4463" w:type="dxa"/>
                  <w:vAlign w:val="center"/>
                </w:tcPr>
                <w:p w14:paraId="676EF05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154" w:type="dxa"/>
                  <w:vAlign w:val="center"/>
                </w:tcPr>
                <w:p w14:paraId="18A84D2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645EBBE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F9EB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04EDBA5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01F7511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154" w:type="dxa"/>
                  <w:vAlign w:val="center"/>
                </w:tcPr>
                <w:p w14:paraId="0CF4BF6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509B760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3.76</w:t>
                  </w:r>
                </w:p>
              </w:tc>
            </w:tr>
            <w:tr w14:paraId="07ACC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28B466B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1.2.1.3</w:t>
                  </w:r>
                </w:p>
              </w:tc>
              <w:tc>
                <w:tcPr>
                  <w:tcW w:w="4463" w:type="dxa"/>
                  <w:vAlign w:val="center"/>
                </w:tcPr>
                <w:p w14:paraId="2562C1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154" w:type="dxa"/>
                  <w:vAlign w:val="center"/>
                </w:tcPr>
                <w:p w14:paraId="3D814B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20AC477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CE88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0FAF338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1C447A1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C25六角实心块护坡</w:t>
                  </w:r>
                </w:p>
              </w:tc>
              <w:tc>
                <w:tcPr>
                  <w:tcW w:w="1154" w:type="dxa"/>
                  <w:vAlign w:val="center"/>
                </w:tcPr>
                <w:p w14:paraId="74F69D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4C73BAC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8.922</w:t>
                  </w:r>
                </w:p>
              </w:tc>
            </w:tr>
            <w:tr w14:paraId="75035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47B40BD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vAlign w:val="center"/>
                </w:tcPr>
                <w:p w14:paraId="747579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154" w:type="dxa"/>
                  <w:vAlign w:val="center"/>
                </w:tcPr>
                <w:p w14:paraId="10E039D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2D9376D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13.98</w:t>
                  </w:r>
                </w:p>
              </w:tc>
            </w:tr>
            <w:tr w14:paraId="6C35E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B89F43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vAlign w:val="center"/>
                </w:tcPr>
                <w:p w14:paraId="5AF5409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C25砼垫层</w:t>
                  </w:r>
                </w:p>
              </w:tc>
              <w:tc>
                <w:tcPr>
                  <w:tcW w:w="1154" w:type="dxa"/>
                  <w:vAlign w:val="center"/>
                </w:tcPr>
                <w:p w14:paraId="2F1A097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31AF5A8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27.54</w:t>
                  </w:r>
                </w:p>
              </w:tc>
            </w:tr>
            <w:tr w14:paraId="0637C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6E282C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vAlign w:val="center"/>
                </w:tcPr>
                <w:p w14:paraId="4224904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C30砼底板</w:t>
                  </w:r>
                </w:p>
              </w:tc>
              <w:tc>
                <w:tcPr>
                  <w:tcW w:w="1154" w:type="dxa"/>
                  <w:vAlign w:val="center"/>
                </w:tcPr>
                <w:p w14:paraId="386A562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299140D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w:t>
                  </w:r>
                </w:p>
              </w:tc>
            </w:tr>
            <w:tr w14:paraId="39799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3104A9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vAlign w:val="center"/>
                </w:tcPr>
                <w:p w14:paraId="239AE79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C30砼侧墙</w:t>
                  </w:r>
                </w:p>
              </w:tc>
              <w:tc>
                <w:tcPr>
                  <w:tcW w:w="1154" w:type="dxa"/>
                  <w:vAlign w:val="center"/>
                </w:tcPr>
                <w:p w14:paraId="6B8DABB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041C5DEF">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3700C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79BEC0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63" w:type="dxa"/>
                  <w:vAlign w:val="center"/>
                </w:tcPr>
                <w:p w14:paraId="45F6254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C30箱式涵洞</w:t>
                  </w:r>
                </w:p>
              </w:tc>
              <w:tc>
                <w:tcPr>
                  <w:tcW w:w="1154" w:type="dxa"/>
                  <w:vAlign w:val="center"/>
                </w:tcPr>
                <w:p w14:paraId="66F8842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185C8BC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55.33</w:t>
                  </w:r>
                </w:p>
              </w:tc>
            </w:tr>
            <w:tr w14:paraId="472E6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EE3AB2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463" w:type="dxa"/>
                  <w:vAlign w:val="center"/>
                </w:tcPr>
                <w:p w14:paraId="61B6C9C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C40预制砼箱涵</w:t>
                  </w:r>
                </w:p>
              </w:tc>
              <w:tc>
                <w:tcPr>
                  <w:tcW w:w="1154" w:type="dxa"/>
                  <w:vAlign w:val="center"/>
                </w:tcPr>
                <w:p w14:paraId="3BF2E4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535726B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78.02</w:t>
                  </w:r>
                </w:p>
              </w:tc>
            </w:tr>
            <w:tr w14:paraId="4980F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610E0D1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463" w:type="dxa"/>
                  <w:vAlign w:val="center"/>
                </w:tcPr>
                <w:p w14:paraId="6CA93DD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154" w:type="dxa"/>
                  <w:vAlign w:val="center"/>
                </w:tcPr>
                <w:p w14:paraId="046AA2F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278" w:type="dxa"/>
                  <w:vAlign w:val="center"/>
                </w:tcPr>
                <w:p w14:paraId="19ACDD2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15.97</w:t>
                  </w:r>
                </w:p>
              </w:tc>
            </w:tr>
            <w:tr w14:paraId="339F4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8E877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463" w:type="dxa"/>
                  <w:vAlign w:val="center"/>
                </w:tcPr>
                <w:p w14:paraId="07894D1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154" w:type="dxa"/>
                  <w:vAlign w:val="center"/>
                </w:tcPr>
                <w:p w14:paraId="25E9557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72B0238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283.79</w:t>
                  </w:r>
                </w:p>
              </w:tc>
            </w:tr>
            <w:tr w14:paraId="5D28CF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8912FA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463" w:type="dxa"/>
                  <w:vAlign w:val="center"/>
                </w:tcPr>
                <w:p w14:paraId="77419A1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154" w:type="dxa"/>
                  <w:vAlign w:val="center"/>
                </w:tcPr>
                <w:p w14:paraId="127B7E3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278" w:type="dxa"/>
                  <w:vAlign w:val="center"/>
                </w:tcPr>
                <w:p w14:paraId="7751AF1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148.04</w:t>
                  </w:r>
                </w:p>
              </w:tc>
            </w:tr>
            <w:tr w14:paraId="12028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05FA4A6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1.2.1.4</w:t>
                  </w:r>
                </w:p>
              </w:tc>
              <w:tc>
                <w:tcPr>
                  <w:tcW w:w="4463" w:type="dxa"/>
                  <w:vAlign w:val="center"/>
                </w:tcPr>
                <w:p w14:paraId="250C1EC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154" w:type="dxa"/>
                  <w:vAlign w:val="center"/>
                </w:tcPr>
                <w:p w14:paraId="5D350A2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2AA861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43D8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67FE4D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vAlign w:val="center"/>
                </w:tcPr>
                <w:p w14:paraId="3FB32C2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顶部道路恢复结构</w:t>
                  </w:r>
                </w:p>
              </w:tc>
              <w:tc>
                <w:tcPr>
                  <w:tcW w:w="1154" w:type="dxa"/>
                  <w:vAlign w:val="center"/>
                </w:tcPr>
                <w:p w14:paraId="42DFEBB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78" w:type="dxa"/>
                  <w:vAlign w:val="center"/>
                </w:tcPr>
                <w:p w14:paraId="00DC6D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523A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EEA90F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463" w:type="dxa"/>
                  <w:vAlign w:val="center"/>
                </w:tcPr>
                <w:p w14:paraId="10DB1D3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细粒式沥青砼厚40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vAlign w:val="center"/>
                </w:tcPr>
                <w:p w14:paraId="2D2C8FC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7D64757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r>
            <w:tr w14:paraId="10417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0D650DF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463" w:type="dxa"/>
                  <w:vAlign w:val="center"/>
                </w:tcPr>
                <w:p w14:paraId="6D44901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vAlign w:val="center"/>
                </w:tcPr>
                <w:p w14:paraId="0BAF15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12BA05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r>
            <w:tr w14:paraId="5C2B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3B6F65E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463" w:type="dxa"/>
                  <w:vAlign w:val="center"/>
                </w:tcPr>
                <w:p w14:paraId="3CF54999">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154" w:type="dxa"/>
                  <w:vAlign w:val="center"/>
                </w:tcPr>
                <w:p w14:paraId="1614BB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1F2E96A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r>
            <w:tr w14:paraId="509F6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729E13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463" w:type="dxa"/>
                  <w:vAlign w:val="center"/>
                </w:tcPr>
                <w:p w14:paraId="7633CFF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154" w:type="dxa"/>
                  <w:vAlign w:val="center"/>
                </w:tcPr>
                <w:p w14:paraId="362DF8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4EA8096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366.12</w:t>
                  </w:r>
                </w:p>
              </w:tc>
            </w:tr>
            <w:tr w14:paraId="1874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E5F6F0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463" w:type="dxa"/>
                  <w:vAlign w:val="center"/>
                </w:tcPr>
                <w:p w14:paraId="2CCC6B4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水泥稳定土厚200</w:t>
                  </w:r>
                </w:p>
              </w:tc>
              <w:tc>
                <w:tcPr>
                  <w:tcW w:w="1154" w:type="dxa"/>
                  <w:vAlign w:val="center"/>
                </w:tcPr>
                <w:p w14:paraId="07BFD5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4137734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413.64</w:t>
                  </w:r>
                </w:p>
              </w:tc>
            </w:tr>
            <w:tr w14:paraId="240DD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1A6D90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463" w:type="dxa"/>
                  <w:vAlign w:val="center"/>
                </w:tcPr>
                <w:p w14:paraId="6B4CC80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预制C25素砼路缘石750X250X120</w:t>
                  </w:r>
                </w:p>
              </w:tc>
              <w:tc>
                <w:tcPr>
                  <w:tcW w:w="1154" w:type="dxa"/>
                  <w:vAlign w:val="center"/>
                </w:tcPr>
                <w:p w14:paraId="7787F61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278" w:type="dxa"/>
                  <w:vAlign w:val="center"/>
                </w:tcPr>
                <w:p w14:paraId="308864EE">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50D9C9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5633009B">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vAlign w:val="center"/>
                </w:tcPr>
                <w:p w14:paraId="761B777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波形栏杆</w:t>
                  </w:r>
                </w:p>
              </w:tc>
              <w:tc>
                <w:tcPr>
                  <w:tcW w:w="1154" w:type="dxa"/>
                  <w:vAlign w:val="center"/>
                </w:tcPr>
                <w:p w14:paraId="70189BCD">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278" w:type="dxa"/>
                  <w:vAlign w:val="center"/>
                </w:tcPr>
                <w:p w14:paraId="17CD6D7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34697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1292E417">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vAlign w:val="center"/>
                </w:tcPr>
                <w:p w14:paraId="35DECE5C">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154" w:type="dxa"/>
                  <w:vAlign w:val="center"/>
                </w:tcPr>
                <w:p w14:paraId="13344F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5150AFF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89.22</w:t>
                  </w:r>
                </w:p>
              </w:tc>
            </w:tr>
            <w:tr w14:paraId="7159D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9B1555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vAlign w:val="center"/>
                </w:tcPr>
                <w:p w14:paraId="34FCF59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素砼踏步</w:t>
                  </w:r>
                </w:p>
              </w:tc>
              <w:tc>
                <w:tcPr>
                  <w:tcW w:w="1154" w:type="dxa"/>
                  <w:vAlign w:val="center"/>
                </w:tcPr>
                <w:p w14:paraId="3D06F49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3EAEC6E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w:t>
                  </w:r>
                </w:p>
              </w:tc>
            </w:tr>
            <w:tr w14:paraId="3D1D6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4741E6B0">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4463" w:type="dxa"/>
                  <w:vAlign w:val="center"/>
                </w:tcPr>
                <w:p w14:paraId="291DA6D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154" w:type="dxa"/>
                  <w:vAlign w:val="center"/>
                </w:tcPr>
                <w:p w14:paraId="37C32B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278" w:type="dxa"/>
                  <w:vAlign w:val="center"/>
                </w:tcPr>
                <w:p w14:paraId="1F321043">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151.19</w:t>
                  </w:r>
                </w:p>
              </w:tc>
            </w:tr>
            <w:tr w14:paraId="66483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44D92195">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w:t>
                  </w:r>
                </w:p>
              </w:tc>
              <w:tc>
                <w:tcPr>
                  <w:tcW w:w="4463" w:type="dxa"/>
                  <w:vAlign w:val="center"/>
                </w:tcPr>
                <w:p w14:paraId="2298260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1#、2#、3#穿路涵</w:t>
                  </w:r>
                </w:p>
              </w:tc>
              <w:tc>
                <w:tcPr>
                  <w:tcW w:w="1154" w:type="dxa"/>
                  <w:vAlign w:val="center"/>
                </w:tcPr>
                <w:p w14:paraId="5E4AD618">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278" w:type="dxa"/>
                  <w:vAlign w:val="center"/>
                </w:tcPr>
                <w:p w14:paraId="5DC29F8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387E1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2EB5D6B2">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w:t>
                  </w:r>
                </w:p>
              </w:tc>
              <w:tc>
                <w:tcPr>
                  <w:tcW w:w="4463" w:type="dxa"/>
                  <w:vAlign w:val="center"/>
                </w:tcPr>
                <w:p w14:paraId="1B9DE554">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4#穿路涵</w:t>
                  </w:r>
                </w:p>
              </w:tc>
              <w:tc>
                <w:tcPr>
                  <w:tcW w:w="1154" w:type="dxa"/>
                  <w:vAlign w:val="center"/>
                </w:tcPr>
                <w:p w14:paraId="37BC039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278" w:type="dxa"/>
                  <w:vAlign w:val="center"/>
                </w:tcPr>
                <w:p w14:paraId="7F6C55F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AC24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176" w:type="dxa"/>
                  <w:vAlign w:val="center"/>
                </w:tcPr>
                <w:p w14:paraId="787E3D31">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w:t>
                  </w:r>
                </w:p>
              </w:tc>
              <w:tc>
                <w:tcPr>
                  <w:tcW w:w="4463" w:type="dxa"/>
                  <w:vAlign w:val="center"/>
                </w:tcPr>
                <w:p w14:paraId="0DEC5D5A">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拆建穿路管涵</w:t>
                  </w:r>
                </w:p>
              </w:tc>
              <w:tc>
                <w:tcPr>
                  <w:tcW w:w="1154" w:type="dxa"/>
                  <w:vAlign w:val="center"/>
                </w:tcPr>
                <w:p w14:paraId="7774BCE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278" w:type="dxa"/>
                  <w:vAlign w:val="center"/>
                </w:tcPr>
                <w:p w14:paraId="09F9DAD6">
                  <w:pPr>
                    <w:pStyle w:val="39"/>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tLeas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r>
          </w:tbl>
          <w:p w14:paraId="68E340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auto"/>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highlight w:val="none"/>
                <w:lang w:val="en-US" w:eastAsia="zh-CN"/>
                <w14:textFill>
                  <w14:solidFill>
                    <w14:schemeClr w14:val="tx1"/>
                  </w14:solidFill>
                </w14:textFill>
              </w:rPr>
              <w:t>城区排涝通道工程主要工程量见下表：</w:t>
            </w:r>
          </w:p>
          <w:p w14:paraId="601935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表2-24  城区排涝通道工程主要工程量表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1"/>
              <w:gridCol w:w="11"/>
              <w:gridCol w:w="3617"/>
              <w:gridCol w:w="2"/>
              <w:gridCol w:w="2"/>
              <w:gridCol w:w="1026"/>
              <w:gridCol w:w="3"/>
              <w:gridCol w:w="8"/>
              <w:gridCol w:w="1968"/>
            </w:tblGrid>
            <w:tr w14:paraId="379E7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77F2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w w:val="95"/>
                      <w:sz w:val="21"/>
                      <w14:textFill>
                        <w14:solidFill>
                          <w14:schemeClr w14:val="tx1"/>
                        </w14:solidFill>
                      </w14:textFill>
                    </w:rPr>
                    <w:t>序号</w:t>
                  </w:r>
                </w:p>
              </w:tc>
              <w:tc>
                <w:tcPr>
                  <w:tcW w:w="3641" w:type="dxa"/>
                  <w:gridSpan w:val="4"/>
                  <w:vAlign w:val="center"/>
                </w:tcPr>
                <w:p w14:paraId="52768F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工程或费用名称</w:t>
                  </w:r>
                </w:p>
              </w:tc>
              <w:tc>
                <w:tcPr>
                  <w:tcW w:w="1028" w:type="dxa"/>
                  <w:gridSpan w:val="2"/>
                  <w:vAlign w:val="center"/>
                </w:tcPr>
                <w:p w14:paraId="27DF93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单位</w:t>
                  </w:r>
                </w:p>
              </w:tc>
              <w:tc>
                <w:tcPr>
                  <w:tcW w:w="1979" w:type="dxa"/>
                  <w:gridSpan w:val="3"/>
                  <w:vAlign w:val="center"/>
                </w:tcPr>
                <w:p w14:paraId="2E57A6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14:textFill>
                        <w14:solidFill>
                          <w14:schemeClr w14:val="tx1"/>
                        </w14:solidFill>
                      </w14:textFill>
                    </w:rPr>
                  </w:pPr>
                  <w:r>
                    <w:rPr>
                      <w:rFonts w:hint="default" w:ascii="Times New Roman" w:hAnsi="Times New Roman" w:eastAsia="宋体" w:cs="Times New Roman"/>
                      <w:b/>
                      <w:color w:val="000000" w:themeColor="text1"/>
                      <w:sz w:val="21"/>
                      <w14:textFill>
                        <w14:solidFill>
                          <w14:schemeClr w14:val="tx1"/>
                        </w14:solidFill>
                      </w14:textFill>
                    </w:rPr>
                    <w:t>数量</w:t>
                  </w:r>
                </w:p>
              </w:tc>
            </w:tr>
            <w:tr w14:paraId="60785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3E9BD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641" w:type="dxa"/>
                  <w:gridSpan w:val="4"/>
                  <w:vAlign w:val="center"/>
                </w:tcPr>
                <w:p w14:paraId="484371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第一部分 建筑工程</w:t>
                  </w:r>
                </w:p>
              </w:tc>
              <w:tc>
                <w:tcPr>
                  <w:tcW w:w="1028" w:type="dxa"/>
                  <w:gridSpan w:val="2"/>
                  <w:vAlign w:val="center"/>
                </w:tcPr>
                <w:p w14:paraId="55202F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3D849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E92E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09AE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967B5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幽芳河排涝通道整治</w:t>
                  </w:r>
                </w:p>
              </w:tc>
              <w:tc>
                <w:tcPr>
                  <w:tcW w:w="1028" w:type="dxa"/>
                  <w:gridSpan w:val="2"/>
                  <w:vAlign w:val="center"/>
                </w:tcPr>
                <w:p w14:paraId="393A4F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D7EF3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E26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1E983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10C40E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vAlign w:val="center"/>
                </w:tcPr>
                <w:p w14:paraId="16E949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1F839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61564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2B2D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w:t>
                  </w:r>
                </w:p>
              </w:tc>
              <w:tc>
                <w:tcPr>
                  <w:tcW w:w="3641" w:type="dxa"/>
                  <w:gridSpan w:val="4"/>
                  <w:vAlign w:val="center"/>
                </w:tcPr>
                <w:p w14:paraId="7D3357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0F2BD5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95938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D74E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C3E24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52488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vAlign w:val="center"/>
                </w:tcPr>
                <w:p w14:paraId="793CE3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0C4C7B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130735.31</w:t>
                  </w:r>
                </w:p>
              </w:tc>
            </w:tr>
            <w:tr w14:paraId="1713C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07966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13EEE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vAlign w:val="center"/>
                </w:tcPr>
                <w:p w14:paraId="2DB085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49C14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36818.791</w:t>
                  </w:r>
                </w:p>
              </w:tc>
            </w:tr>
            <w:tr w14:paraId="1A77D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91283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E6CEF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vAlign w:val="center"/>
                </w:tcPr>
                <w:p w14:paraId="3ACE40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C9455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77963.329</w:t>
                  </w:r>
                </w:p>
              </w:tc>
            </w:tr>
            <w:tr w14:paraId="4BA96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2DA4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49B1A9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vAlign w:val="center"/>
                </w:tcPr>
                <w:p w14:paraId="2FE06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322C0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77963.329</w:t>
                  </w:r>
                </w:p>
              </w:tc>
            </w:tr>
            <w:tr w14:paraId="5F4FFD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36D9C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EB5F2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29FD4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E07A6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66268.83</w:t>
                  </w:r>
                </w:p>
              </w:tc>
            </w:tr>
            <w:tr w14:paraId="1978A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D62D5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w:t>
                  </w:r>
                </w:p>
              </w:tc>
              <w:tc>
                <w:tcPr>
                  <w:tcW w:w="3641" w:type="dxa"/>
                  <w:gridSpan w:val="4"/>
                  <w:vAlign w:val="center"/>
                </w:tcPr>
                <w:p w14:paraId="01D12C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vAlign w:val="center"/>
                </w:tcPr>
                <w:p w14:paraId="4044E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5BE19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C15F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1F80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F2187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522103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49D1F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5152.82</w:t>
                  </w:r>
                </w:p>
              </w:tc>
            </w:tr>
            <w:tr w14:paraId="60BC8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4F4A2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D0551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雷诺护垫护坡</w:t>
                  </w:r>
                </w:p>
              </w:tc>
              <w:tc>
                <w:tcPr>
                  <w:tcW w:w="1028" w:type="dxa"/>
                  <w:gridSpan w:val="2"/>
                  <w:vAlign w:val="center"/>
                </w:tcPr>
                <w:p w14:paraId="257295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31038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1FD0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6F6A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F0563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新建石笼挡墙</w:t>
                  </w:r>
                </w:p>
              </w:tc>
              <w:tc>
                <w:tcPr>
                  <w:tcW w:w="1028" w:type="dxa"/>
                  <w:gridSpan w:val="2"/>
                  <w:vAlign w:val="center"/>
                </w:tcPr>
                <w:p w14:paraId="115F0A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B0A1A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A049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349D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070DE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142CD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4CBFB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5579.43</w:t>
                  </w:r>
                </w:p>
              </w:tc>
            </w:tr>
            <w:tr w14:paraId="7EAF3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F4157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6BD48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15浆砌石挡墙</w:t>
                  </w:r>
                </w:p>
              </w:tc>
              <w:tc>
                <w:tcPr>
                  <w:tcW w:w="1028" w:type="dxa"/>
                  <w:gridSpan w:val="2"/>
                  <w:vAlign w:val="center"/>
                </w:tcPr>
                <w:p w14:paraId="433FE1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45B9D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3584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36337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3ABBA4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格宾石笼护脚</w:t>
                  </w:r>
                </w:p>
              </w:tc>
              <w:tc>
                <w:tcPr>
                  <w:tcW w:w="1028" w:type="dxa"/>
                  <w:gridSpan w:val="2"/>
                  <w:vAlign w:val="center"/>
                </w:tcPr>
                <w:p w14:paraId="38A4C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2BEA4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7476.3</w:t>
                  </w:r>
                </w:p>
              </w:tc>
            </w:tr>
            <w:tr w14:paraId="065FA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4CDBE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c>
                <w:tcPr>
                  <w:tcW w:w="3641" w:type="dxa"/>
                  <w:gridSpan w:val="4"/>
                  <w:vAlign w:val="center"/>
                </w:tcPr>
                <w:p w14:paraId="2B8D56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82BDC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E79B2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07CB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A7861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6DED8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230D08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7C29F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7E38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2D8E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AAFFE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空心联锁块护坡厚100</w:t>
                  </w:r>
                </w:p>
              </w:tc>
              <w:tc>
                <w:tcPr>
                  <w:tcW w:w="1028" w:type="dxa"/>
                  <w:gridSpan w:val="2"/>
                  <w:vAlign w:val="center"/>
                </w:tcPr>
                <w:p w14:paraId="42ECEF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015BF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31500.14</w:t>
                  </w:r>
                </w:p>
              </w:tc>
            </w:tr>
            <w:tr w14:paraId="1F244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F9931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F7B79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新建防洪墙</w:t>
                  </w:r>
                </w:p>
              </w:tc>
              <w:tc>
                <w:tcPr>
                  <w:tcW w:w="1028" w:type="dxa"/>
                  <w:gridSpan w:val="2"/>
                  <w:vAlign w:val="center"/>
                </w:tcPr>
                <w:p w14:paraId="042F01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595749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r>
            <w:tr w14:paraId="3D218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EC4FC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A40C5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28" w:type="dxa"/>
                  <w:gridSpan w:val="2"/>
                  <w:vAlign w:val="center"/>
                </w:tcPr>
                <w:p w14:paraId="23AF6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6F3BE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1538.59</w:t>
                  </w:r>
                </w:p>
              </w:tc>
            </w:tr>
            <w:tr w14:paraId="25E74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1C60D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25F8AA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vAlign w:val="center"/>
                </w:tcPr>
                <w:p w14:paraId="4A8702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0F60A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745.2</w:t>
                  </w:r>
                </w:p>
              </w:tc>
            </w:tr>
            <w:tr w14:paraId="63915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0076F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4696B9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vAlign w:val="center"/>
                </w:tcPr>
                <w:p w14:paraId="4B42AB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99F7B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521.64</w:t>
                  </w:r>
                </w:p>
              </w:tc>
            </w:tr>
            <w:tr w14:paraId="6F6AE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B67AC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405ECF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vAlign w:val="center"/>
                </w:tcPr>
                <w:p w14:paraId="725552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44C37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9182.37</w:t>
                  </w:r>
                </w:p>
              </w:tc>
            </w:tr>
            <w:tr w14:paraId="2ECFD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30FDD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6E184D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vAlign w:val="center"/>
                </w:tcPr>
                <w:p w14:paraId="2EF656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vAlign w:val="center"/>
                </w:tcPr>
                <w:p w14:paraId="23C683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18738</w:t>
                  </w:r>
                </w:p>
              </w:tc>
            </w:tr>
            <w:tr w14:paraId="5D07E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F72B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00BCAC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vAlign w:val="center"/>
                </w:tcPr>
                <w:p w14:paraId="37E262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1BB17C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19632.56</w:t>
                  </w:r>
                </w:p>
              </w:tc>
            </w:tr>
            <w:tr w14:paraId="24C07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9641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3B070D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0937F2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08E5B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11987.8</w:t>
                  </w:r>
                </w:p>
              </w:tc>
            </w:tr>
            <w:tr w14:paraId="43A5F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564AB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w:t>
                  </w:r>
                </w:p>
              </w:tc>
              <w:tc>
                <w:tcPr>
                  <w:tcW w:w="3641" w:type="dxa"/>
                  <w:gridSpan w:val="4"/>
                  <w:vAlign w:val="center"/>
                </w:tcPr>
                <w:p w14:paraId="324AD7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58E1CA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AF9B6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0BC5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B8F3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80821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vAlign w:val="center"/>
                </w:tcPr>
                <w:p w14:paraId="3620C6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3CF55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21716.68</w:t>
                  </w:r>
                </w:p>
              </w:tc>
            </w:tr>
            <w:tr w14:paraId="13FA2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5846A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21450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65BDF0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020B75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19908.75</w:t>
                  </w:r>
                </w:p>
              </w:tc>
            </w:tr>
            <w:tr w14:paraId="4D222E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DB14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41" w:type="dxa"/>
                  <w:gridSpan w:val="4"/>
                  <w:vAlign w:val="center"/>
                </w:tcPr>
                <w:p w14:paraId="257FE4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拆建气盾坝1</w:t>
                  </w:r>
                </w:p>
              </w:tc>
              <w:tc>
                <w:tcPr>
                  <w:tcW w:w="1028" w:type="dxa"/>
                  <w:gridSpan w:val="2"/>
                  <w:vAlign w:val="center"/>
                </w:tcPr>
                <w:p w14:paraId="527A6B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29C210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24EB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3FB48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3641" w:type="dxa"/>
                  <w:gridSpan w:val="4"/>
                  <w:vAlign w:val="center"/>
                </w:tcPr>
                <w:p w14:paraId="683E09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5901A8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561EB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D881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1D2AB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247B7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8B0FF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51F9D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50C12A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5EAA1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9361A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023C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4C0E8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2094.822</w:t>
                  </w:r>
                </w:p>
              </w:tc>
            </w:tr>
            <w:tr w14:paraId="25952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3F237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B52F0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29640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AE20B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302B6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118D5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93B91A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2F1AA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BB703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1384.908</w:t>
                  </w:r>
                </w:p>
              </w:tc>
            </w:tr>
            <w:tr w14:paraId="4AA7E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DFDAB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DCFE7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36913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87616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593.532</w:t>
                  </w:r>
                </w:p>
              </w:tc>
            </w:tr>
            <w:tr w14:paraId="16E0C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5DD4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w:t>
                  </w:r>
                </w:p>
              </w:tc>
              <w:tc>
                <w:tcPr>
                  <w:tcW w:w="3641" w:type="dxa"/>
                  <w:gridSpan w:val="4"/>
                  <w:vAlign w:val="center"/>
                </w:tcPr>
                <w:p w14:paraId="77AC62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16E39A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09348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6753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78C3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B312F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734DD9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3956E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24.62</w:t>
                  </w:r>
                </w:p>
              </w:tc>
            </w:tr>
            <w:tr w14:paraId="320D2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B6D06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7B63C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0F3CF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4190B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106.11</w:t>
                  </w:r>
                </w:p>
              </w:tc>
            </w:tr>
            <w:tr w14:paraId="5CCC0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D926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1.2.3</w:t>
                  </w:r>
                </w:p>
              </w:tc>
              <w:tc>
                <w:tcPr>
                  <w:tcW w:w="3641" w:type="dxa"/>
                  <w:gridSpan w:val="4"/>
                  <w:vAlign w:val="center"/>
                </w:tcPr>
                <w:p w14:paraId="5BF959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vAlign w:val="center"/>
                </w:tcPr>
                <w:p w14:paraId="1E45FD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44313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158E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4609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5739A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vAlign w:val="center"/>
                </w:tcPr>
                <w:p w14:paraId="10E5E9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399C34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181.44</w:t>
                  </w:r>
                </w:p>
              </w:tc>
            </w:tr>
            <w:tr w14:paraId="5C2FA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6E38C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w:t>
                  </w:r>
                </w:p>
              </w:tc>
              <w:tc>
                <w:tcPr>
                  <w:tcW w:w="3641" w:type="dxa"/>
                  <w:gridSpan w:val="4"/>
                  <w:vAlign w:val="center"/>
                </w:tcPr>
                <w:p w14:paraId="7F6CBD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5416EA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FFAEB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16F1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2A8B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A6ADF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566353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89082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6EDC0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68D55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50511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299800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11152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E60C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98049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20F3C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41594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9A6F9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605D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84D9A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154B3F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4247F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41B92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06AF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E8AA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0EC38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08C7D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2992E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89.41</w:t>
                  </w:r>
                </w:p>
              </w:tc>
            </w:tr>
            <w:tr w14:paraId="4B129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EFC9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C456C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7D863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9570C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846.17</w:t>
                  </w:r>
                </w:p>
              </w:tc>
            </w:tr>
            <w:tr w14:paraId="15B18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7345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6F2F23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3033B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58C03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110.91</w:t>
                  </w:r>
                </w:p>
              </w:tc>
            </w:tr>
            <w:tr w14:paraId="796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9770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0A7AB9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1C602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D72D3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55291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4E96A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1EBE5B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786B89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2B5AE9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95.71</w:t>
                  </w:r>
                </w:p>
              </w:tc>
            </w:tr>
            <w:tr w14:paraId="1DA99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8C002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669DE0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4B707E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B2EFC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1316.3</w:t>
                  </w:r>
                </w:p>
              </w:tc>
            </w:tr>
            <w:tr w14:paraId="0B85CA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C16E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346977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7E80F7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03ACC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1152.77</w:t>
                  </w:r>
                </w:p>
              </w:tc>
            </w:tr>
            <w:tr w14:paraId="3C900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D4E67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w:t>
                  </w:r>
                </w:p>
              </w:tc>
              <w:tc>
                <w:tcPr>
                  <w:tcW w:w="3641" w:type="dxa"/>
                  <w:gridSpan w:val="4"/>
                  <w:vAlign w:val="center"/>
                </w:tcPr>
                <w:p w14:paraId="68E99E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612B3D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F31BF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F522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AA2D3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F90BD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不锈钢栏杆</w:t>
                  </w:r>
                </w:p>
              </w:tc>
              <w:tc>
                <w:tcPr>
                  <w:tcW w:w="1028" w:type="dxa"/>
                  <w:gridSpan w:val="2"/>
                  <w:vAlign w:val="center"/>
                </w:tcPr>
                <w:p w14:paraId="0F0C44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3068F8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74.39</w:t>
                  </w:r>
                </w:p>
              </w:tc>
            </w:tr>
            <w:tr w14:paraId="6729A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58AD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DA1E7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3D585E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083DF6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1F4B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761CF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41" w:type="dxa"/>
                  <w:gridSpan w:val="4"/>
                  <w:vAlign w:val="center"/>
                </w:tcPr>
                <w:p w14:paraId="14D506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新建气盾坝1</w:t>
                  </w:r>
                </w:p>
              </w:tc>
              <w:tc>
                <w:tcPr>
                  <w:tcW w:w="1028" w:type="dxa"/>
                  <w:gridSpan w:val="2"/>
                  <w:vAlign w:val="center"/>
                </w:tcPr>
                <w:p w14:paraId="38E131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46ADAC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36FA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D567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w:t>
                  </w:r>
                </w:p>
              </w:tc>
              <w:tc>
                <w:tcPr>
                  <w:tcW w:w="3641" w:type="dxa"/>
                  <w:gridSpan w:val="4"/>
                  <w:vAlign w:val="center"/>
                </w:tcPr>
                <w:p w14:paraId="3E065F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0E29AE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CD508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978B6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8515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A3B8E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7E19C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D8BF4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6C350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7E0FD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EA4D2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1671E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089CA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2094.822</w:t>
                  </w:r>
                </w:p>
              </w:tc>
            </w:tr>
            <w:tr w14:paraId="3453D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5DFC1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A38F7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E9781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B0E2E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2327.58</w:t>
                  </w:r>
                </w:p>
              </w:tc>
            </w:tr>
            <w:tr w14:paraId="2F55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12DBF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70A738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3AA041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0A555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1384.908</w:t>
                  </w:r>
                </w:p>
              </w:tc>
            </w:tr>
            <w:tr w14:paraId="525CC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8B3DE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41F6C1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0C610A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662BF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593.532</w:t>
                  </w:r>
                </w:p>
              </w:tc>
            </w:tr>
            <w:tr w14:paraId="79E70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B2129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w:t>
                  </w:r>
                </w:p>
              </w:tc>
              <w:tc>
                <w:tcPr>
                  <w:tcW w:w="3641" w:type="dxa"/>
                  <w:gridSpan w:val="4"/>
                  <w:vAlign w:val="center"/>
                </w:tcPr>
                <w:p w14:paraId="58F66D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736B08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36F53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8647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89ACB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C3B8C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7D0E4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812BF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24.62</w:t>
                  </w:r>
                </w:p>
              </w:tc>
            </w:tr>
            <w:tr w14:paraId="4738F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BC82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0CD3E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7CC12E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61BCB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106.11</w:t>
                  </w:r>
                </w:p>
              </w:tc>
            </w:tr>
            <w:tr w14:paraId="61E5B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9C46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1.3.3</w:t>
                  </w:r>
                </w:p>
              </w:tc>
              <w:tc>
                <w:tcPr>
                  <w:tcW w:w="3641" w:type="dxa"/>
                  <w:gridSpan w:val="4"/>
                  <w:vAlign w:val="center"/>
                </w:tcPr>
                <w:p w14:paraId="6B06CC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vAlign w:val="center"/>
                </w:tcPr>
                <w:p w14:paraId="0FB3EB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11D2AC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2D5C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4B898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89EE0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vAlign w:val="center"/>
                </w:tcPr>
                <w:p w14:paraId="5DF9D8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1A5C6E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181.44</w:t>
                  </w:r>
                </w:p>
              </w:tc>
            </w:tr>
            <w:tr w14:paraId="02BA4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19AE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w:t>
                  </w:r>
                </w:p>
              </w:tc>
              <w:tc>
                <w:tcPr>
                  <w:tcW w:w="3641" w:type="dxa"/>
                  <w:gridSpan w:val="4"/>
                  <w:vAlign w:val="center"/>
                </w:tcPr>
                <w:p w14:paraId="0A04A7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610790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258B1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FE74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5A5A6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89C86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48733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FE129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101B80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8268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44EBA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2E4A86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E7DF7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4DD7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4401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E9431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6C0EBF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207C3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3F3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E05BE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48FDA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514D4F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04BD6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4564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C8BD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4DCF4A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5B922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BD7C8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89.41</w:t>
                  </w:r>
                </w:p>
              </w:tc>
            </w:tr>
            <w:tr w14:paraId="425362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4E529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7AEE0A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359F9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C310F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846.17</w:t>
                  </w:r>
                </w:p>
              </w:tc>
            </w:tr>
            <w:tr w14:paraId="0EFCB7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041D13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6EA4EF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3BCF39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38A77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110.91</w:t>
                  </w:r>
                </w:p>
              </w:tc>
            </w:tr>
            <w:tr w14:paraId="58EC95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A2B6B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0F298E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549BC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AAF0F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2FB5F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3905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1B9814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241871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66DE0E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95.71</w:t>
                  </w:r>
                </w:p>
              </w:tc>
            </w:tr>
            <w:tr w14:paraId="21A85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A2091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20D00B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1C2E44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C5F51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1316.3</w:t>
                  </w:r>
                </w:p>
              </w:tc>
            </w:tr>
            <w:tr w14:paraId="66F3F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3B70E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2292BC9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1413C5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E2A2E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1152.77</w:t>
                  </w:r>
                </w:p>
              </w:tc>
            </w:tr>
            <w:tr w14:paraId="6F8DE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86649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w:t>
                  </w:r>
                </w:p>
              </w:tc>
              <w:tc>
                <w:tcPr>
                  <w:tcW w:w="3641" w:type="dxa"/>
                  <w:gridSpan w:val="4"/>
                  <w:vAlign w:val="center"/>
                </w:tcPr>
                <w:p w14:paraId="525EB8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1B2CC7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16A31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B09D5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FBD0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DA77C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不锈钢栏杆</w:t>
                  </w:r>
                </w:p>
              </w:tc>
              <w:tc>
                <w:tcPr>
                  <w:tcW w:w="1028" w:type="dxa"/>
                  <w:gridSpan w:val="2"/>
                  <w:vAlign w:val="center"/>
                </w:tcPr>
                <w:p w14:paraId="6E3D03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12FCEE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74.39</w:t>
                  </w:r>
                </w:p>
              </w:tc>
            </w:tr>
            <w:tr w14:paraId="09C1E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26C13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41" w:type="dxa"/>
                  <w:gridSpan w:val="4"/>
                  <w:vAlign w:val="center"/>
                </w:tcPr>
                <w:p w14:paraId="388A55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新建拦河坝1</w:t>
                  </w:r>
                </w:p>
              </w:tc>
              <w:tc>
                <w:tcPr>
                  <w:tcW w:w="1028" w:type="dxa"/>
                  <w:gridSpan w:val="2"/>
                  <w:vAlign w:val="center"/>
                </w:tcPr>
                <w:p w14:paraId="39665D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775058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C5E7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F1AC6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w:t>
                  </w:r>
                </w:p>
              </w:tc>
              <w:tc>
                <w:tcPr>
                  <w:tcW w:w="3641" w:type="dxa"/>
                  <w:gridSpan w:val="4"/>
                  <w:vAlign w:val="center"/>
                </w:tcPr>
                <w:p w14:paraId="2BF093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4B0C58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C2035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0E9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5DAA3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CDA82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332CE2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83019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170.51</w:t>
                  </w:r>
                </w:p>
              </w:tc>
            </w:tr>
            <w:tr w14:paraId="2B8268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C9454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B614A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2889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AA903C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1534.59</w:t>
                  </w:r>
                </w:p>
              </w:tc>
            </w:tr>
            <w:tr w14:paraId="042E5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ED691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3BC8F0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26B068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CD69B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1449.34</w:t>
                  </w:r>
                </w:p>
              </w:tc>
            </w:tr>
            <w:tr w14:paraId="6D8AC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9A26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F4891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5EF9A4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012A7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1014.538</w:t>
                  </w:r>
                </w:p>
              </w:tc>
            </w:tr>
            <w:tr w14:paraId="31C18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0F637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610CC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12FB77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532EA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434.802</w:t>
                  </w:r>
                </w:p>
              </w:tc>
            </w:tr>
            <w:tr w14:paraId="56495A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E8094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w:t>
                  </w:r>
                </w:p>
              </w:tc>
              <w:tc>
                <w:tcPr>
                  <w:tcW w:w="3641" w:type="dxa"/>
                  <w:gridSpan w:val="4"/>
                  <w:vAlign w:val="center"/>
                </w:tcPr>
                <w:p w14:paraId="7645E3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54A517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4E46B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4C37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2B93E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2CE6C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02702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0DB0D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24.62</w:t>
                  </w:r>
                </w:p>
              </w:tc>
            </w:tr>
            <w:tr w14:paraId="458CA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F7E18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807A7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38E3E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B31A9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90.91</w:t>
                  </w:r>
                </w:p>
              </w:tc>
            </w:tr>
            <w:tr w14:paraId="752EE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C711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1.4.3</w:t>
                  </w:r>
                </w:p>
              </w:tc>
              <w:tc>
                <w:tcPr>
                  <w:tcW w:w="3641" w:type="dxa"/>
                  <w:gridSpan w:val="4"/>
                  <w:vAlign w:val="center"/>
                </w:tcPr>
                <w:p w14:paraId="510A26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vAlign w:val="center"/>
                </w:tcPr>
                <w:p w14:paraId="0D72A7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4BCE0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9697C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8C31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64859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vAlign w:val="center"/>
                </w:tcPr>
                <w:p w14:paraId="1913E1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784098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168.48</w:t>
                  </w:r>
                </w:p>
              </w:tc>
            </w:tr>
            <w:tr w14:paraId="6EDB6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87DB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1.4.4</w:t>
                  </w:r>
                </w:p>
              </w:tc>
              <w:tc>
                <w:tcPr>
                  <w:tcW w:w="3641" w:type="dxa"/>
                  <w:gridSpan w:val="4"/>
                  <w:vAlign w:val="center"/>
                </w:tcPr>
                <w:p w14:paraId="3E4200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57F7F0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8121F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6FFB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00427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78613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3F871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8FCD0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19F10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10EA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A7581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1A2316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607A0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3F62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3B671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4458C9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24C3D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44B3D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212E9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4F78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499B01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0D14CD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9E1B5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AEC1B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AB5E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0B820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57D78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74937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86.22</w:t>
                  </w:r>
                </w:p>
              </w:tc>
            </w:tr>
            <w:tr w14:paraId="426EF9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2C7D1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8F16E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158D7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32C7D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872.25</w:t>
                  </w:r>
                </w:p>
              </w:tc>
            </w:tr>
            <w:tr w14:paraId="66B22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3CB2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198FDA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248A5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05770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80.43</w:t>
                  </w:r>
                </w:p>
              </w:tc>
            </w:tr>
            <w:tr w14:paraId="52773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D760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6881D8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452E9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439F8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98.5</w:t>
                  </w:r>
                </w:p>
              </w:tc>
            </w:tr>
            <w:tr w14:paraId="55936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52BC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3EF3F4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185EBD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6859E1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95.27</w:t>
                  </w:r>
                </w:p>
              </w:tc>
            </w:tr>
            <w:tr w14:paraId="1EB0A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6E4D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5F50CE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3B23FE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07CDD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1250.94</w:t>
                  </w:r>
                </w:p>
              </w:tc>
            </w:tr>
            <w:tr w14:paraId="7A830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019B5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132DA8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442D8E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75B2A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1145.18</w:t>
                  </w:r>
                </w:p>
              </w:tc>
            </w:tr>
            <w:tr w14:paraId="6C699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4D96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3641" w:type="dxa"/>
                  <w:gridSpan w:val="4"/>
                  <w:vAlign w:val="center"/>
                </w:tcPr>
                <w:p w14:paraId="7FC722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新建拦河坝2</w:t>
                  </w:r>
                </w:p>
              </w:tc>
              <w:tc>
                <w:tcPr>
                  <w:tcW w:w="1028" w:type="dxa"/>
                  <w:gridSpan w:val="2"/>
                  <w:vAlign w:val="center"/>
                </w:tcPr>
                <w:p w14:paraId="03843F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18C71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DCC2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F2DCE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w:t>
                  </w:r>
                </w:p>
              </w:tc>
              <w:tc>
                <w:tcPr>
                  <w:tcW w:w="3641" w:type="dxa"/>
                  <w:gridSpan w:val="4"/>
                  <w:vAlign w:val="center"/>
                </w:tcPr>
                <w:p w14:paraId="51198F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5300B6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1CDF5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D47A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11BC9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DFB6A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9A1F8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254E2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135.232</w:t>
                  </w:r>
                </w:p>
              </w:tc>
            </w:tr>
            <w:tr w14:paraId="6A91E1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6323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5489A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E216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61F99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1217.089</w:t>
                  </w:r>
                </w:p>
              </w:tc>
            </w:tr>
            <w:tr w14:paraId="6A324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DE6A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54A03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135FDE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58AE2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1149.477</w:t>
                  </w:r>
                </w:p>
              </w:tc>
            </w:tr>
            <w:tr w14:paraId="3EE7D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2684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17C6C2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15B3A0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8F6DC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804.634</w:t>
                  </w:r>
                </w:p>
              </w:tc>
            </w:tr>
            <w:tr w14:paraId="049C5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111C2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014D93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06F52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43736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344.843</w:t>
                  </w:r>
                </w:p>
              </w:tc>
            </w:tr>
            <w:tr w14:paraId="00441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BBD91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1.5.2</w:t>
                  </w:r>
                </w:p>
              </w:tc>
              <w:tc>
                <w:tcPr>
                  <w:tcW w:w="3641" w:type="dxa"/>
                  <w:gridSpan w:val="4"/>
                  <w:vAlign w:val="center"/>
                </w:tcPr>
                <w:p w14:paraId="0C25B7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73E59D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BB5C3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BF51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1C19A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B46DD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69D922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4728D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19.526</w:t>
                  </w:r>
                </w:p>
              </w:tc>
            </w:tr>
            <w:tr w14:paraId="5F741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646E2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3DACD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297877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A68A4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72.101</w:t>
                  </w:r>
                </w:p>
              </w:tc>
            </w:tr>
            <w:tr w14:paraId="63F67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21429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w:t>
                  </w:r>
                </w:p>
              </w:tc>
              <w:tc>
                <w:tcPr>
                  <w:tcW w:w="3641" w:type="dxa"/>
                  <w:gridSpan w:val="4"/>
                  <w:vAlign w:val="center"/>
                </w:tcPr>
                <w:p w14:paraId="66FE56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vAlign w:val="center"/>
                </w:tcPr>
                <w:p w14:paraId="602F56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E848E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BEC4A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E4A10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73BB1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坝基砂砾石帷幕灌浆</w:t>
                  </w:r>
                </w:p>
              </w:tc>
              <w:tc>
                <w:tcPr>
                  <w:tcW w:w="1028" w:type="dxa"/>
                  <w:gridSpan w:val="2"/>
                  <w:vAlign w:val="center"/>
                </w:tcPr>
                <w:p w14:paraId="65C06C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51C614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168.48</w:t>
                  </w:r>
                </w:p>
              </w:tc>
            </w:tr>
            <w:tr w14:paraId="2D5AF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49021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1.5.4</w:t>
                  </w:r>
                </w:p>
              </w:tc>
              <w:tc>
                <w:tcPr>
                  <w:tcW w:w="3641" w:type="dxa"/>
                  <w:gridSpan w:val="4"/>
                  <w:vAlign w:val="center"/>
                </w:tcPr>
                <w:p w14:paraId="5364D5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C54BE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9C51E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1B355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0E652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8EE16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2E130D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A4BA3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6.17</w:t>
                  </w:r>
                </w:p>
              </w:tc>
            </w:tr>
            <w:tr w14:paraId="162DC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678A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88B2B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705F1A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8FF5E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07E6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785AB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6E196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2E7B91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D8172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723B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B9860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8E18A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4EF75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B250A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B86F8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3B2A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6C57C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6BD6CE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11E93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68.381</w:t>
                  </w:r>
                </w:p>
              </w:tc>
            </w:tr>
            <w:tr w14:paraId="37AFD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F727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348863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0027C3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775FC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691.784</w:t>
                  </w:r>
                </w:p>
              </w:tc>
            </w:tr>
            <w:tr w14:paraId="5D73F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8F56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0C96DC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509646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5FEB2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63.789</w:t>
                  </w:r>
                </w:p>
              </w:tc>
            </w:tr>
            <w:tr w14:paraId="77179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4B2C7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0E1A23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3672F1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DDCC1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78.121</w:t>
                  </w:r>
                </w:p>
              </w:tc>
            </w:tr>
            <w:tr w14:paraId="2146F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382F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686B99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653568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4FAA43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75.559</w:t>
                  </w:r>
                </w:p>
              </w:tc>
            </w:tr>
            <w:tr w14:paraId="11EC9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36F6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2A6105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6DA74F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p>
              </w:tc>
              <w:tc>
                <w:tcPr>
                  <w:tcW w:w="1979" w:type="dxa"/>
                  <w:gridSpan w:val="3"/>
                  <w:vAlign w:val="center"/>
                </w:tcPr>
                <w:p w14:paraId="401AF2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992.12</w:t>
                  </w:r>
                </w:p>
              </w:tc>
            </w:tr>
            <w:tr w14:paraId="03F62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D301B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5B2884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2FFC11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21919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908.25</w:t>
                  </w:r>
                </w:p>
              </w:tc>
            </w:tr>
            <w:tr w14:paraId="15B9E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0389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3641" w:type="dxa"/>
                  <w:gridSpan w:val="4"/>
                  <w:vAlign w:val="center"/>
                </w:tcPr>
                <w:p w14:paraId="115EE0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拆建拦河坝1</w:t>
                  </w:r>
                </w:p>
              </w:tc>
              <w:tc>
                <w:tcPr>
                  <w:tcW w:w="1028" w:type="dxa"/>
                  <w:gridSpan w:val="2"/>
                  <w:vAlign w:val="center"/>
                </w:tcPr>
                <w:p w14:paraId="243165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09F91F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1BAF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23DD8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1.6.1</w:t>
                  </w:r>
                </w:p>
              </w:tc>
              <w:tc>
                <w:tcPr>
                  <w:tcW w:w="3641" w:type="dxa"/>
                  <w:gridSpan w:val="4"/>
                  <w:vAlign w:val="center"/>
                </w:tcPr>
                <w:p w14:paraId="60CD4C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61F77D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6FD24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E6D8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17EC7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CB782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414DA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D9EE6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91.135</w:t>
                  </w:r>
                </w:p>
              </w:tc>
            </w:tr>
            <w:tr w14:paraId="02E7D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04C7D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EF51A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FB65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7C822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820.212</w:t>
                  </w:r>
                </w:p>
              </w:tc>
            </w:tr>
            <w:tr w14:paraId="07F8A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4554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1746C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07E60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C8DD4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774.647</w:t>
                  </w:r>
                </w:p>
              </w:tc>
            </w:tr>
            <w:tr w14:paraId="6E0F6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DAF9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3FB2E9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1722E2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B99B5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542.253</w:t>
                  </w:r>
                </w:p>
              </w:tc>
            </w:tr>
            <w:tr w14:paraId="4ECC9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49A7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DD5DF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3BC5B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A5B98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232.394</w:t>
                  </w:r>
                </w:p>
              </w:tc>
            </w:tr>
            <w:tr w14:paraId="35967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2B1F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1.6.2</w:t>
                  </w:r>
                </w:p>
              </w:tc>
              <w:tc>
                <w:tcPr>
                  <w:tcW w:w="3641" w:type="dxa"/>
                  <w:gridSpan w:val="4"/>
                  <w:vAlign w:val="center"/>
                </w:tcPr>
                <w:p w14:paraId="66BEA2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3BDD3E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9F63E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0D7D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DA80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C1BF4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18A33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DE7D7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13.159</w:t>
                  </w:r>
                </w:p>
              </w:tc>
            </w:tr>
            <w:tr w14:paraId="18529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F8C18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5D530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43BDDF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98AAF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48.59</w:t>
                  </w:r>
                </w:p>
              </w:tc>
            </w:tr>
            <w:tr w14:paraId="2BC15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CAE0C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1.6.3</w:t>
                  </w:r>
                </w:p>
              </w:tc>
              <w:tc>
                <w:tcPr>
                  <w:tcW w:w="3641" w:type="dxa"/>
                  <w:gridSpan w:val="4"/>
                  <w:vAlign w:val="center"/>
                </w:tcPr>
                <w:p w14:paraId="51559D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AA4E1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52C4B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37D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61124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91A78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02789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AF1AA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4.158</w:t>
                  </w:r>
                </w:p>
              </w:tc>
            </w:tr>
            <w:tr w14:paraId="25BD2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0E67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F0285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355287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FDB1C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5B2A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9D5E5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48535B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42EF8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88C89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7032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99F8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31BEDE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3C2BEF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76E3E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20E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44064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25E013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6B282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200DD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46.083</w:t>
                  </w:r>
                </w:p>
              </w:tc>
            </w:tr>
            <w:tr w14:paraId="09AEF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DB904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042B8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74DCB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17878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466.203</w:t>
                  </w:r>
                </w:p>
              </w:tc>
            </w:tr>
            <w:tr w14:paraId="352D2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591DD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7C1A47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371CC6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D112D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42.988</w:t>
                  </w:r>
                </w:p>
              </w:tc>
            </w:tr>
            <w:tr w14:paraId="39BA6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E328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3F1098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4B956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5578B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52.647</w:t>
                  </w:r>
                </w:p>
              </w:tc>
            </w:tr>
            <w:tr w14:paraId="7157A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16EA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4EBC1C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3AE96B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551F62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50.92</w:t>
                  </w:r>
                </w:p>
              </w:tc>
            </w:tr>
            <w:tr w14:paraId="236394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0AAD7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53B878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54A9F4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C8D1F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668.61</w:t>
                  </w:r>
                </w:p>
              </w:tc>
            </w:tr>
            <w:tr w14:paraId="272C5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57F37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1DCCA8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0FE2A3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A4961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612.08</w:t>
                  </w:r>
                </w:p>
              </w:tc>
            </w:tr>
            <w:tr w14:paraId="25566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7F3F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1.6.4</w:t>
                  </w:r>
                </w:p>
              </w:tc>
              <w:tc>
                <w:tcPr>
                  <w:tcW w:w="3641" w:type="dxa"/>
                  <w:gridSpan w:val="4"/>
                  <w:vAlign w:val="center"/>
                </w:tcPr>
                <w:p w14:paraId="1CDB5B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5AC774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80699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151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3DF1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CC4B7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7DB7B7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015924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B81A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A2F8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3641" w:type="dxa"/>
                  <w:gridSpan w:val="4"/>
                  <w:vAlign w:val="center"/>
                </w:tcPr>
                <w:p w14:paraId="0AD0AC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4号拦河坝改造</w:t>
                  </w:r>
                </w:p>
              </w:tc>
              <w:tc>
                <w:tcPr>
                  <w:tcW w:w="1028" w:type="dxa"/>
                  <w:gridSpan w:val="2"/>
                  <w:vAlign w:val="center"/>
                </w:tcPr>
                <w:p w14:paraId="10F4F8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E1598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A00C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0476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3641" w:type="dxa"/>
                  <w:gridSpan w:val="4"/>
                  <w:vAlign w:val="center"/>
                </w:tcPr>
                <w:p w14:paraId="746EAB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6号拦河坝改造</w:t>
                  </w:r>
                </w:p>
              </w:tc>
              <w:tc>
                <w:tcPr>
                  <w:tcW w:w="1028" w:type="dxa"/>
                  <w:gridSpan w:val="2"/>
                  <w:vAlign w:val="center"/>
                </w:tcPr>
                <w:p w14:paraId="723E6B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1749E2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7CCC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92642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w:t>
                  </w:r>
                </w:p>
              </w:tc>
              <w:tc>
                <w:tcPr>
                  <w:tcW w:w="3641" w:type="dxa"/>
                  <w:gridSpan w:val="4"/>
                  <w:vAlign w:val="center"/>
                </w:tcPr>
                <w:p w14:paraId="1EC465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6F20A5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0FFF9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C092C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9FF1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6B227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6EF7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0E6AB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81.831</w:t>
                  </w:r>
                </w:p>
              </w:tc>
            </w:tr>
            <w:tr w14:paraId="0E0E6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7333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566AD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77B781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A13042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736.479</w:t>
                  </w:r>
                </w:p>
              </w:tc>
            </w:tr>
            <w:tr w14:paraId="1D2D2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8407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5FFA5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B907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76C40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818.31</w:t>
                  </w:r>
                </w:p>
              </w:tc>
            </w:tr>
            <w:tr w14:paraId="3B58C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A93FD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5F4B7D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42E111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5DAF1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486.892</w:t>
                  </w:r>
                </w:p>
              </w:tc>
            </w:tr>
            <w:tr w14:paraId="46204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01683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468DCD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7C997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3D920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208.668</w:t>
                  </w:r>
                </w:p>
              </w:tc>
            </w:tr>
            <w:tr w14:paraId="3C4B1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EF8A2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1.8.2</w:t>
                  </w:r>
                </w:p>
              </w:tc>
              <w:tc>
                <w:tcPr>
                  <w:tcW w:w="3641" w:type="dxa"/>
                  <w:gridSpan w:val="4"/>
                  <w:vAlign w:val="center"/>
                </w:tcPr>
                <w:p w14:paraId="53B5D7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08DAB9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ECB25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2EE4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3B35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39C43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1E46A8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CFF4F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w:t>
                  </w:r>
                </w:p>
              </w:tc>
            </w:tr>
            <w:tr w14:paraId="55464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8F38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1.8.3</w:t>
                  </w:r>
                </w:p>
              </w:tc>
              <w:tc>
                <w:tcPr>
                  <w:tcW w:w="3641" w:type="dxa"/>
                  <w:gridSpan w:val="4"/>
                  <w:vAlign w:val="center"/>
                </w:tcPr>
                <w:p w14:paraId="22B46A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24563B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5CC95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8ABD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7210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4608A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041517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8C74B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20.84</w:t>
                  </w:r>
                </w:p>
              </w:tc>
            </w:tr>
            <w:tr w14:paraId="0F31E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32EE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D5913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4CE540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58A1B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73.37</w:t>
                  </w:r>
                </w:p>
              </w:tc>
            </w:tr>
            <w:tr w14:paraId="47C06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E05FB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4559D3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5C672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05FD6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241.52</w:t>
                  </w:r>
                </w:p>
              </w:tc>
            </w:tr>
            <w:tr w14:paraId="2CAA3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E956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5990C6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3C0B5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19FB1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188.72</w:t>
                  </w:r>
                </w:p>
              </w:tc>
            </w:tr>
            <w:tr w14:paraId="7972B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0757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A5E5F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600458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17A377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26.27</w:t>
                  </w:r>
                </w:p>
              </w:tc>
            </w:tr>
            <w:tr w14:paraId="6E61E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13C58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1D409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5006F7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350C9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534.44</w:t>
                  </w:r>
                </w:p>
              </w:tc>
            </w:tr>
            <w:tr w14:paraId="7B349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E361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19B9A8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650D9C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77A14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524.45</w:t>
                  </w:r>
                </w:p>
              </w:tc>
            </w:tr>
            <w:tr w14:paraId="686FD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A5484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1.8.4</w:t>
                  </w:r>
                </w:p>
              </w:tc>
              <w:tc>
                <w:tcPr>
                  <w:tcW w:w="3641" w:type="dxa"/>
                  <w:gridSpan w:val="4"/>
                  <w:vAlign w:val="center"/>
                </w:tcPr>
                <w:p w14:paraId="08A7A2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1D7D57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4454B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8E3B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317FE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B71FA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6CB051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0AB478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96.41</w:t>
                  </w:r>
                </w:p>
              </w:tc>
            </w:tr>
            <w:tr w14:paraId="011E6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930D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3641" w:type="dxa"/>
                  <w:gridSpan w:val="4"/>
                  <w:vAlign w:val="center"/>
                </w:tcPr>
                <w:p w14:paraId="65B9E3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vAlign w:val="center"/>
                </w:tcPr>
                <w:p w14:paraId="2DFDFC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73F5E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88BF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B3D8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w:t>
                  </w:r>
                </w:p>
              </w:tc>
              <w:tc>
                <w:tcPr>
                  <w:tcW w:w="3641" w:type="dxa"/>
                  <w:gridSpan w:val="4"/>
                  <w:vAlign w:val="center"/>
                </w:tcPr>
                <w:p w14:paraId="61D5F9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vAlign w:val="center"/>
                </w:tcPr>
                <w:p w14:paraId="2C207F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vAlign w:val="center"/>
                </w:tcPr>
                <w:p w14:paraId="23C281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B829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24736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1.9.2</w:t>
                  </w:r>
                </w:p>
              </w:tc>
              <w:tc>
                <w:tcPr>
                  <w:tcW w:w="3641" w:type="dxa"/>
                  <w:gridSpan w:val="4"/>
                  <w:vAlign w:val="center"/>
                </w:tcPr>
                <w:p w14:paraId="496D533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更换栏杆</w:t>
                  </w:r>
                </w:p>
              </w:tc>
              <w:tc>
                <w:tcPr>
                  <w:tcW w:w="1028" w:type="dxa"/>
                  <w:gridSpan w:val="2"/>
                  <w:vAlign w:val="center"/>
                </w:tcPr>
                <w:p w14:paraId="3ABD25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5FAE02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1325</w:t>
                  </w:r>
                </w:p>
              </w:tc>
            </w:tr>
            <w:tr w14:paraId="4CC8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CBB9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1.9.3</w:t>
                  </w:r>
                </w:p>
              </w:tc>
              <w:tc>
                <w:tcPr>
                  <w:tcW w:w="3641" w:type="dxa"/>
                  <w:gridSpan w:val="4"/>
                  <w:vAlign w:val="center"/>
                </w:tcPr>
                <w:p w14:paraId="36DFE5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沥青巡查便道</w:t>
                  </w:r>
                </w:p>
              </w:tc>
              <w:tc>
                <w:tcPr>
                  <w:tcW w:w="1028" w:type="dxa"/>
                  <w:gridSpan w:val="2"/>
                  <w:vAlign w:val="center"/>
                </w:tcPr>
                <w:p w14:paraId="6780E6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8454F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F861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DD9E9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03B92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铣刨机铣刨沥青路面</w:t>
                  </w:r>
                </w:p>
              </w:tc>
              <w:tc>
                <w:tcPr>
                  <w:tcW w:w="1028" w:type="dxa"/>
                  <w:gridSpan w:val="2"/>
                  <w:vAlign w:val="center"/>
                </w:tcPr>
                <w:p w14:paraId="243771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4D37A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4715A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0B193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E2A27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5BC8E4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4C49A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257A9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9D51F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6BE85D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7169D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A3807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4963D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7677E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448B6A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28" w:type="dxa"/>
                  <w:gridSpan w:val="2"/>
                  <w:vAlign w:val="center"/>
                </w:tcPr>
                <w:p w14:paraId="0BE34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0A79C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7776</w:t>
                  </w:r>
                </w:p>
              </w:tc>
            </w:tr>
            <w:tr w14:paraId="53EB1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C7F6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1.9.4</w:t>
                  </w:r>
                </w:p>
              </w:tc>
              <w:tc>
                <w:tcPr>
                  <w:tcW w:w="3641" w:type="dxa"/>
                  <w:gridSpan w:val="4"/>
                  <w:vAlign w:val="center"/>
                </w:tcPr>
                <w:p w14:paraId="5512E3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人行步道</w:t>
                  </w:r>
                </w:p>
              </w:tc>
              <w:tc>
                <w:tcPr>
                  <w:tcW w:w="1028" w:type="dxa"/>
                  <w:gridSpan w:val="2"/>
                  <w:vAlign w:val="center"/>
                </w:tcPr>
                <w:p w14:paraId="742D89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3F16E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0C6B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82619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0A04B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80厚C20砌块砖</w:t>
                  </w:r>
                </w:p>
              </w:tc>
              <w:tc>
                <w:tcPr>
                  <w:tcW w:w="1028" w:type="dxa"/>
                  <w:gridSpan w:val="2"/>
                  <w:vAlign w:val="center"/>
                </w:tcPr>
                <w:p w14:paraId="01271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61639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5974.56</w:t>
                  </w:r>
                </w:p>
              </w:tc>
            </w:tr>
            <w:tr w14:paraId="5C522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204FD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AB2B9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120厚C25透水混凝土</w:t>
                  </w:r>
                </w:p>
              </w:tc>
              <w:tc>
                <w:tcPr>
                  <w:tcW w:w="1028" w:type="dxa"/>
                  <w:gridSpan w:val="2"/>
                  <w:vAlign w:val="center"/>
                </w:tcPr>
                <w:p w14:paraId="62F11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A8EAE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5974.56</w:t>
                  </w:r>
                </w:p>
              </w:tc>
            </w:tr>
            <w:tr w14:paraId="32F111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DF70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97EBA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150厚碎石垫层</w:t>
                  </w:r>
                </w:p>
              </w:tc>
              <w:tc>
                <w:tcPr>
                  <w:tcW w:w="1028" w:type="dxa"/>
                  <w:gridSpan w:val="2"/>
                  <w:vAlign w:val="center"/>
                </w:tcPr>
                <w:p w14:paraId="7ED40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E0F8F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6970.32</w:t>
                  </w:r>
                </w:p>
              </w:tc>
            </w:tr>
            <w:tr w14:paraId="047675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40EF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299B4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高庙河排涝通道整治</w:t>
                  </w:r>
                </w:p>
              </w:tc>
              <w:tc>
                <w:tcPr>
                  <w:tcW w:w="1028" w:type="dxa"/>
                  <w:gridSpan w:val="2"/>
                  <w:vAlign w:val="center"/>
                </w:tcPr>
                <w:p w14:paraId="641F55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366AA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7E0C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F519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3641" w:type="dxa"/>
                  <w:gridSpan w:val="4"/>
                  <w:vAlign w:val="center"/>
                </w:tcPr>
                <w:p w14:paraId="44C4A5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vAlign w:val="center"/>
                </w:tcPr>
                <w:p w14:paraId="5115C7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0A0DA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CBFD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EF2E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w:t>
                  </w:r>
                </w:p>
              </w:tc>
              <w:tc>
                <w:tcPr>
                  <w:tcW w:w="3641" w:type="dxa"/>
                  <w:gridSpan w:val="4"/>
                  <w:vAlign w:val="center"/>
                </w:tcPr>
                <w:p w14:paraId="15B7B8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17AB30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7C02F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8776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3747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C2A3A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vAlign w:val="center"/>
                </w:tcPr>
                <w:p w14:paraId="1EFA62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EE7CF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178606.08</w:t>
                  </w:r>
                </w:p>
              </w:tc>
            </w:tr>
            <w:tr w14:paraId="76446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FC28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E0942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vAlign w:val="center"/>
                </w:tcPr>
                <w:p w14:paraId="67D6DD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252AE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60309.326</w:t>
                  </w:r>
                </w:p>
              </w:tc>
            </w:tr>
            <w:tr w14:paraId="063F2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0EA4B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2CC4B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vAlign w:val="center"/>
                </w:tcPr>
                <w:p w14:paraId="110060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A9579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67100.024</w:t>
                  </w:r>
                </w:p>
              </w:tc>
            </w:tr>
            <w:tr w14:paraId="05712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886D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D7870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vAlign w:val="center"/>
                </w:tcPr>
                <w:p w14:paraId="1E8B36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406A1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67100.024</w:t>
                  </w:r>
                </w:p>
              </w:tc>
            </w:tr>
            <w:tr w14:paraId="3BA39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7357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0EFC64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33D3DC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7D461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57035.02</w:t>
                  </w:r>
                </w:p>
              </w:tc>
            </w:tr>
            <w:tr w14:paraId="7E8E2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73473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2.1.2</w:t>
                  </w:r>
                </w:p>
              </w:tc>
              <w:tc>
                <w:tcPr>
                  <w:tcW w:w="3641" w:type="dxa"/>
                  <w:gridSpan w:val="4"/>
                  <w:vAlign w:val="center"/>
                </w:tcPr>
                <w:p w14:paraId="02BF32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vAlign w:val="center"/>
                </w:tcPr>
                <w:p w14:paraId="5411CE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A02D17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8114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EE442C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638B1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561BF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38534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6719.89</w:t>
                  </w:r>
                </w:p>
              </w:tc>
            </w:tr>
            <w:tr w14:paraId="2EF62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94C8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55066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雷诺护垫护坡</w:t>
                  </w:r>
                </w:p>
              </w:tc>
              <w:tc>
                <w:tcPr>
                  <w:tcW w:w="1028" w:type="dxa"/>
                  <w:gridSpan w:val="2"/>
                  <w:vAlign w:val="center"/>
                </w:tcPr>
                <w:p w14:paraId="38FD8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A2787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795.52</w:t>
                  </w:r>
                </w:p>
              </w:tc>
            </w:tr>
            <w:tr w14:paraId="5E461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4CE9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649D5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新建石笼挡墙</w:t>
                  </w:r>
                </w:p>
              </w:tc>
              <w:tc>
                <w:tcPr>
                  <w:tcW w:w="1028" w:type="dxa"/>
                  <w:gridSpan w:val="2"/>
                  <w:vAlign w:val="center"/>
                </w:tcPr>
                <w:p w14:paraId="15F46C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E0747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1600.59</w:t>
                  </w:r>
                </w:p>
              </w:tc>
            </w:tr>
            <w:tr w14:paraId="287FB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4A5FB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02EFD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4203D9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893C0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02D4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7B58F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96C73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15浆砌石挡墙</w:t>
                  </w:r>
                </w:p>
              </w:tc>
              <w:tc>
                <w:tcPr>
                  <w:tcW w:w="1028" w:type="dxa"/>
                  <w:gridSpan w:val="2"/>
                  <w:vAlign w:val="center"/>
                </w:tcPr>
                <w:p w14:paraId="74CA4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AFB9A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5120.02</w:t>
                  </w:r>
                </w:p>
              </w:tc>
            </w:tr>
            <w:tr w14:paraId="4E4F2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B3A8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6694C6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格宾石笼护脚</w:t>
                  </w:r>
                </w:p>
              </w:tc>
              <w:tc>
                <w:tcPr>
                  <w:tcW w:w="1028" w:type="dxa"/>
                  <w:gridSpan w:val="2"/>
                  <w:vAlign w:val="center"/>
                </w:tcPr>
                <w:p w14:paraId="74BF4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8CA39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3404.16</w:t>
                  </w:r>
                </w:p>
              </w:tc>
            </w:tr>
            <w:tr w14:paraId="5C2C2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FA037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2.1.3</w:t>
                  </w:r>
                </w:p>
              </w:tc>
              <w:tc>
                <w:tcPr>
                  <w:tcW w:w="3641" w:type="dxa"/>
                  <w:gridSpan w:val="4"/>
                  <w:vAlign w:val="center"/>
                </w:tcPr>
                <w:p w14:paraId="7B7CDC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vAlign w:val="center"/>
                </w:tcPr>
                <w:p w14:paraId="3BCA3A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CC646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CDC8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B11A05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191A3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D400混凝土预制方桩</w:t>
                  </w:r>
                </w:p>
              </w:tc>
              <w:tc>
                <w:tcPr>
                  <w:tcW w:w="1028" w:type="dxa"/>
                  <w:gridSpan w:val="2"/>
                  <w:vAlign w:val="center"/>
                </w:tcPr>
                <w:p w14:paraId="5E6C72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1594402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3240</w:t>
                  </w:r>
                </w:p>
              </w:tc>
            </w:tr>
            <w:tr w14:paraId="7B4D0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6B360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w:t>
                  </w:r>
                </w:p>
              </w:tc>
              <w:tc>
                <w:tcPr>
                  <w:tcW w:w="3641" w:type="dxa"/>
                  <w:gridSpan w:val="4"/>
                  <w:vAlign w:val="center"/>
                </w:tcPr>
                <w:p w14:paraId="0B2A4D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72E3C1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68C40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23F8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D4F255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A8174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 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6A1B49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0FB14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1181.14</w:t>
                  </w:r>
                </w:p>
              </w:tc>
            </w:tr>
            <w:tr w14:paraId="5BED7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421B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E4A36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新建防洪墙</w:t>
                  </w:r>
                </w:p>
              </w:tc>
              <w:tc>
                <w:tcPr>
                  <w:tcW w:w="1028" w:type="dxa"/>
                  <w:gridSpan w:val="2"/>
                  <w:vAlign w:val="center"/>
                </w:tcPr>
                <w:p w14:paraId="784C96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49BD92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600</w:t>
                  </w:r>
                </w:p>
              </w:tc>
            </w:tr>
            <w:tr w14:paraId="2038D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BB65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37324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28" w:type="dxa"/>
                  <w:gridSpan w:val="2"/>
                  <w:vAlign w:val="center"/>
                </w:tcPr>
                <w:p w14:paraId="73259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12C81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1A0EB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6D71B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49D15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vAlign w:val="center"/>
                </w:tcPr>
                <w:p w14:paraId="3877C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A7982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11040.92</w:t>
                  </w:r>
                </w:p>
              </w:tc>
            </w:tr>
            <w:tr w14:paraId="5733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CABE3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FCF40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vAlign w:val="center"/>
                </w:tcPr>
                <w:p w14:paraId="34C6D8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070C2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3865.01</w:t>
                  </w:r>
                </w:p>
              </w:tc>
            </w:tr>
            <w:tr w14:paraId="202E40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1A648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6D63C3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vAlign w:val="center"/>
                </w:tcPr>
                <w:p w14:paraId="501D4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2C3FB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5882.54</w:t>
                  </w:r>
                </w:p>
              </w:tc>
            </w:tr>
            <w:tr w14:paraId="63F6A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40106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7A93BB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vAlign w:val="center"/>
                </w:tcPr>
                <w:p w14:paraId="55D024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vAlign w:val="center"/>
                </w:tcPr>
                <w:p w14:paraId="75497B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12005</w:t>
                  </w:r>
                </w:p>
              </w:tc>
            </w:tr>
            <w:tr w14:paraId="0650C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AA78F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399681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vAlign w:val="center"/>
                </w:tcPr>
                <w:p w14:paraId="0261AD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0A6971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42870.31</w:t>
                  </w:r>
                </w:p>
              </w:tc>
            </w:tr>
            <w:tr w14:paraId="63C39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82C7C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40E645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026914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F1162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20788.47</w:t>
                  </w:r>
                </w:p>
              </w:tc>
            </w:tr>
            <w:tr w14:paraId="5391B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0A1E9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3641" w:type="dxa"/>
                  <w:gridSpan w:val="4"/>
                  <w:vAlign w:val="center"/>
                </w:tcPr>
                <w:p w14:paraId="4AC946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56F886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E66AA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EDC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255B1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17C6B2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vAlign w:val="center"/>
                </w:tcPr>
                <w:p w14:paraId="6C21C7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371A4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31704.06</w:t>
                  </w:r>
                </w:p>
              </w:tc>
            </w:tr>
            <w:tr w14:paraId="52967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AB659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BEF13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55910E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3FD25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14145.79</w:t>
                  </w:r>
                </w:p>
              </w:tc>
            </w:tr>
            <w:tr w14:paraId="1279D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06F6B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3641" w:type="dxa"/>
                  <w:gridSpan w:val="4"/>
                  <w:vAlign w:val="center"/>
                </w:tcPr>
                <w:p w14:paraId="62B86D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拆建7号拦河坝</w:t>
                  </w:r>
                </w:p>
              </w:tc>
              <w:tc>
                <w:tcPr>
                  <w:tcW w:w="1028" w:type="dxa"/>
                  <w:gridSpan w:val="2"/>
                  <w:vAlign w:val="center"/>
                </w:tcPr>
                <w:p w14:paraId="574FFD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FC5C9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8293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672D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w:t>
                  </w:r>
                </w:p>
              </w:tc>
              <w:tc>
                <w:tcPr>
                  <w:tcW w:w="3641" w:type="dxa"/>
                  <w:gridSpan w:val="4"/>
                  <w:vAlign w:val="center"/>
                </w:tcPr>
                <w:p w14:paraId="1A6443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3E5199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4F4C4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18C7E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B946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FA25E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416DEB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8E887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321.028</w:t>
                  </w:r>
                </w:p>
              </w:tc>
            </w:tr>
            <w:tr w14:paraId="77A75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DBCCF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01316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679D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6495C2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2889.252</w:t>
                  </w:r>
                </w:p>
              </w:tc>
            </w:tr>
            <w:tr w14:paraId="099FE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C80E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0EE65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203C92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78A51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2728.74</w:t>
                  </w:r>
                </w:p>
              </w:tc>
            </w:tr>
            <w:tr w14:paraId="711FD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CD83F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4D07E9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59D8D6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EECB95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1910.118</w:t>
                  </w:r>
                </w:p>
              </w:tc>
            </w:tr>
            <w:tr w14:paraId="79B882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9C091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497AC1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2FC7F7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F849D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818.622</w:t>
                  </w:r>
                </w:p>
              </w:tc>
            </w:tr>
            <w:tr w14:paraId="1CB0E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02DAE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2.2.2</w:t>
                  </w:r>
                </w:p>
              </w:tc>
              <w:tc>
                <w:tcPr>
                  <w:tcW w:w="3641" w:type="dxa"/>
                  <w:gridSpan w:val="4"/>
                  <w:vAlign w:val="center"/>
                </w:tcPr>
                <w:p w14:paraId="0069A3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556BA9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BC5FA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C359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7D2E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94BF5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3E5A39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B7000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37.65</w:t>
                  </w:r>
                </w:p>
              </w:tc>
            </w:tr>
            <w:tr w14:paraId="6A9F3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B7AD1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w:t>
                  </w:r>
                </w:p>
              </w:tc>
              <w:tc>
                <w:tcPr>
                  <w:tcW w:w="3641" w:type="dxa"/>
                  <w:gridSpan w:val="4"/>
                  <w:vAlign w:val="center"/>
                </w:tcPr>
                <w:p w14:paraId="4B4B04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5ECA2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932E1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1D6D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ECF0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D2850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0EE09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2929E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6.74</w:t>
                  </w:r>
                </w:p>
              </w:tc>
            </w:tr>
            <w:tr w14:paraId="3F2A9F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6E1A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4811D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028DE9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E64DD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C22C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356E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4CEF13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0A5CD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F6187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ACD10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663E1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AA53B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21A89D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432F4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02A2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FE17B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B9350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125DED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15EFB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53.95</w:t>
                  </w:r>
                </w:p>
              </w:tc>
            </w:tr>
            <w:tr w14:paraId="4CF02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716BAB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E888C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11F70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76DB6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536.55</w:t>
                  </w:r>
                </w:p>
              </w:tc>
            </w:tr>
            <w:tr w14:paraId="54BB1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0AC5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15464E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3D3E63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74341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59A2F5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21180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355862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19C32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0FEF4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36.74</w:t>
                  </w:r>
                </w:p>
              </w:tc>
            </w:tr>
            <w:tr w14:paraId="3B79D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E57C6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18CA1A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12079C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22266C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58.94</w:t>
                  </w:r>
                </w:p>
              </w:tc>
            </w:tr>
            <w:tr w14:paraId="7A3C9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D5BE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28EF52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33778C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878AC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765.42</w:t>
                  </w:r>
                </w:p>
              </w:tc>
            </w:tr>
            <w:tr w14:paraId="79635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F7F4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28BEE8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1B77FE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E3F5D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686.79</w:t>
                  </w:r>
                </w:p>
              </w:tc>
            </w:tr>
            <w:tr w14:paraId="39469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8AE34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2.2.4</w:t>
                  </w:r>
                </w:p>
              </w:tc>
              <w:tc>
                <w:tcPr>
                  <w:tcW w:w="3641" w:type="dxa"/>
                  <w:gridSpan w:val="4"/>
                  <w:vAlign w:val="center"/>
                </w:tcPr>
                <w:p w14:paraId="705A9D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0E4679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83F12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A9B6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42A1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62B1D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75D791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683D0D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1CB0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E0253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3641" w:type="dxa"/>
                  <w:gridSpan w:val="4"/>
                  <w:vAlign w:val="center"/>
                </w:tcPr>
                <w:p w14:paraId="01A0D1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拆建9号拦河坝</w:t>
                  </w:r>
                </w:p>
              </w:tc>
              <w:tc>
                <w:tcPr>
                  <w:tcW w:w="1028" w:type="dxa"/>
                  <w:gridSpan w:val="2"/>
                  <w:vAlign w:val="center"/>
                </w:tcPr>
                <w:p w14:paraId="10DCF9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E47C6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5519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2B712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2.3.1</w:t>
                  </w:r>
                </w:p>
              </w:tc>
              <w:tc>
                <w:tcPr>
                  <w:tcW w:w="3641" w:type="dxa"/>
                  <w:gridSpan w:val="4"/>
                  <w:vAlign w:val="center"/>
                </w:tcPr>
                <w:p w14:paraId="7F7B43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03DBDE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24BAA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154D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69505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ABD43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17B7ED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E1F8E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2DAD5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6641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715695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D702D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F5302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2425.239</w:t>
                  </w:r>
                </w:p>
              </w:tc>
            </w:tr>
            <w:tr w14:paraId="660A20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D43D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8DC47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755A3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A9802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218E6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0D1A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356FA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49F5B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76B27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1603.35</w:t>
                  </w:r>
                </w:p>
              </w:tc>
            </w:tr>
            <w:tr w14:paraId="2939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B5B7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4EFCD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1D809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9B759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687.15</w:t>
                  </w:r>
                </w:p>
              </w:tc>
            </w:tr>
            <w:tr w14:paraId="0632A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51EF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2.3.2</w:t>
                  </w:r>
                </w:p>
              </w:tc>
              <w:tc>
                <w:tcPr>
                  <w:tcW w:w="3641" w:type="dxa"/>
                  <w:gridSpan w:val="4"/>
                  <w:vAlign w:val="center"/>
                </w:tcPr>
                <w:p w14:paraId="7F53E7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08C714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BD7E8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6413A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6BB6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40A67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57E832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5E495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29.28</w:t>
                  </w:r>
                </w:p>
              </w:tc>
            </w:tr>
            <w:tr w14:paraId="7A1215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46FC1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2.3.3</w:t>
                  </w:r>
                </w:p>
              </w:tc>
              <w:tc>
                <w:tcPr>
                  <w:tcW w:w="3641" w:type="dxa"/>
                  <w:gridSpan w:val="4"/>
                  <w:vAlign w:val="center"/>
                </w:tcPr>
                <w:p w14:paraId="624D4B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9CB03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28EDF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6420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5D65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37C56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4B83D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D7B04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w:t>
                  </w:r>
                </w:p>
              </w:tc>
            </w:tr>
            <w:tr w14:paraId="07116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DB4FA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A1F66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C25素砼支墩</w:t>
                  </w:r>
                </w:p>
              </w:tc>
              <w:tc>
                <w:tcPr>
                  <w:tcW w:w="1028" w:type="dxa"/>
                  <w:gridSpan w:val="2"/>
                  <w:vAlign w:val="center"/>
                </w:tcPr>
                <w:p w14:paraId="22223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685ED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242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0D385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6248F3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4975BC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E6327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7BE0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146BA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32E47E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67B72C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0051A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AB0D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7C59F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61863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051F8E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680EC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w:t>
                  </w:r>
                </w:p>
              </w:tc>
            </w:tr>
            <w:tr w14:paraId="7AA6E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74D47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830F2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626177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205E4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417.32</w:t>
                  </w:r>
                </w:p>
              </w:tc>
            </w:tr>
            <w:tr w14:paraId="2CB5F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028D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7374B0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54B3A2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94638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28D52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B3C6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7E60D6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65AB2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2974A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28.58</w:t>
                  </w:r>
                </w:p>
              </w:tc>
            </w:tr>
            <w:tr w14:paraId="0A04F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E2030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71D2F5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24D6D4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2D9DB9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47.01</w:t>
                  </w:r>
                </w:p>
              </w:tc>
            </w:tr>
            <w:tr w14:paraId="453A80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919C4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432FC6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5A2C97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86510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630.23</w:t>
                  </w:r>
                </w:p>
              </w:tc>
            </w:tr>
            <w:tr w14:paraId="654CA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8A8CC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0CADE2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7BB4E3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EF5DA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545.86</w:t>
                  </w:r>
                </w:p>
              </w:tc>
            </w:tr>
            <w:tr w14:paraId="24998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3F5FD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2.3.4</w:t>
                  </w:r>
                </w:p>
              </w:tc>
              <w:tc>
                <w:tcPr>
                  <w:tcW w:w="3641" w:type="dxa"/>
                  <w:gridSpan w:val="4"/>
                  <w:vAlign w:val="center"/>
                </w:tcPr>
                <w:p w14:paraId="723EE0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798CD6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8B1B1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ED3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422B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0053F0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522DD8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39096D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AD1BD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7DA0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3641" w:type="dxa"/>
                  <w:gridSpan w:val="4"/>
                  <w:vAlign w:val="center"/>
                </w:tcPr>
                <w:p w14:paraId="20E087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新建11-1号拦河坝</w:t>
                  </w:r>
                </w:p>
              </w:tc>
              <w:tc>
                <w:tcPr>
                  <w:tcW w:w="1028" w:type="dxa"/>
                  <w:gridSpan w:val="2"/>
                  <w:vAlign w:val="center"/>
                </w:tcPr>
                <w:p w14:paraId="38BF06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C5BFE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CB479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5071C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2.4.1</w:t>
                  </w:r>
                </w:p>
              </w:tc>
              <w:tc>
                <w:tcPr>
                  <w:tcW w:w="3641" w:type="dxa"/>
                  <w:gridSpan w:val="4"/>
                  <w:vAlign w:val="center"/>
                </w:tcPr>
                <w:p w14:paraId="09FC25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1787D3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9EF9D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4690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FE03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07ACE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396F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D7527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54901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FC73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C026E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3B8DF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4DCC7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2425.239</w:t>
                  </w:r>
                </w:p>
              </w:tc>
            </w:tr>
            <w:tr w14:paraId="136F40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2870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0A938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73DE1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B763A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2694.71</w:t>
                  </w:r>
                </w:p>
              </w:tc>
            </w:tr>
            <w:tr w14:paraId="7E3D6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6A14B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985BF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3FD44E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652DC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1603.35</w:t>
                  </w:r>
                </w:p>
              </w:tc>
            </w:tr>
            <w:tr w14:paraId="3004E5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39E8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D2D90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77C5A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DD03C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687.15</w:t>
                  </w:r>
                </w:p>
              </w:tc>
            </w:tr>
            <w:tr w14:paraId="0E5D8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8B735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w:t>
                  </w:r>
                </w:p>
              </w:tc>
              <w:tc>
                <w:tcPr>
                  <w:tcW w:w="3641" w:type="dxa"/>
                  <w:gridSpan w:val="4"/>
                  <w:vAlign w:val="center"/>
                </w:tcPr>
                <w:p w14:paraId="23C8C7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1C6553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8B961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DED9C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1587D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F9DF7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66934C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25197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28.89</w:t>
                  </w:r>
                </w:p>
              </w:tc>
            </w:tr>
            <w:tr w14:paraId="00D5A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35B7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11E05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3D633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1B990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29.34</w:t>
                  </w:r>
                </w:p>
              </w:tc>
            </w:tr>
            <w:tr w14:paraId="25303D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A3F8D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2.4.3</w:t>
                  </w:r>
                </w:p>
              </w:tc>
              <w:tc>
                <w:tcPr>
                  <w:tcW w:w="3641" w:type="dxa"/>
                  <w:gridSpan w:val="4"/>
                  <w:vAlign w:val="center"/>
                </w:tcPr>
                <w:p w14:paraId="20A708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3382F9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E4D95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E01F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D4F7B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ED784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741357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CA3F3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w:t>
                  </w:r>
                </w:p>
              </w:tc>
            </w:tr>
            <w:tr w14:paraId="46FE5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98A6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CD660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2F510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A68D2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27.51</w:t>
                  </w:r>
                </w:p>
              </w:tc>
            </w:tr>
            <w:tr w14:paraId="4CFAF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6EB2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7FDC8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vAlign w:val="center"/>
                </w:tcPr>
                <w:p w14:paraId="4ADCA6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5F670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7.78</w:t>
                  </w:r>
                </w:p>
              </w:tc>
            </w:tr>
            <w:tr w14:paraId="360FF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0C5EC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758695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C25砼立墙</w:t>
                  </w:r>
                </w:p>
              </w:tc>
              <w:tc>
                <w:tcPr>
                  <w:tcW w:w="1028" w:type="dxa"/>
                  <w:gridSpan w:val="2"/>
                  <w:vAlign w:val="center"/>
                </w:tcPr>
                <w:p w14:paraId="143B1D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D7281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15.81</w:t>
                  </w:r>
                </w:p>
              </w:tc>
            </w:tr>
            <w:tr w14:paraId="146239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AF93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1F847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vAlign w:val="center"/>
                </w:tcPr>
                <w:p w14:paraId="27F22E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2513BD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11.13</w:t>
                  </w:r>
                </w:p>
              </w:tc>
            </w:tr>
            <w:tr w14:paraId="708A2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E48D6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130224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vAlign w:val="center"/>
                </w:tcPr>
                <w:p w14:paraId="3D26B8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9D9F2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w:t>
                  </w:r>
                </w:p>
              </w:tc>
            </w:tr>
            <w:tr w14:paraId="72CA1C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AE97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7AB82E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71A1A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E17C1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41.97</w:t>
                  </w:r>
                </w:p>
              </w:tc>
            </w:tr>
            <w:tr w14:paraId="64EC8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903E3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096773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5758E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9279D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417.32</w:t>
                  </w:r>
                </w:p>
              </w:tc>
            </w:tr>
            <w:tr w14:paraId="74F97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487F7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3C8C1D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15ED8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B6034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127F0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6276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707E0A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6E687B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10100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28.58</w:t>
                  </w:r>
                </w:p>
              </w:tc>
            </w:tr>
            <w:tr w14:paraId="32AA2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CC2F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389ABE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45F27A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626711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47.01</w:t>
                  </w:r>
                </w:p>
              </w:tc>
            </w:tr>
            <w:tr w14:paraId="1F540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96C0F4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41" w:type="dxa"/>
                  <w:gridSpan w:val="4"/>
                  <w:vAlign w:val="center"/>
                </w:tcPr>
                <w:p w14:paraId="0287E6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293B95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07C8B1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686.48</w:t>
                  </w:r>
                </w:p>
              </w:tc>
            </w:tr>
            <w:tr w14:paraId="3FB48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AD00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41" w:type="dxa"/>
                  <w:gridSpan w:val="4"/>
                  <w:vAlign w:val="center"/>
                </w:tcPr>
                <w:p w14:paraId="2D44B3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70B8B8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2F467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545.86</w:t>
                  </w:r>
                </w:p>
              </w:tc>
            </w:tr>
            <w:tr w14:paraId="092EC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419C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p>
              </w:tc>
              <w:tc>
                <w:tcPr>
                  <w:tcW w:w="3641" w:type="dxa"/>
                  <w:gridSpan w:val="4"/>
                  <w:vAlign w:val="center"/>
                </w:tcPr>
                <w:p w14:paraId="006642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拆建13-1号拦河坝</w:t>
                  </w:r>
                </w:p>
              </w:tc>
              <w:tc>
                <w:tcPr>
                  <w:tcW w:w="1028" w:type="dxa"/>
                  <w:gridSpan w:val="2"/>
                  <w:vAlign w:val="center"/>
                </w:tcPr>
                <w:p w14:paraId="1C8DD1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5131BE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3659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2617B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2.5.1</w:t>
                  </w:r>
                </w:p>
              </w:tc>
              <w:tc>
                <w:tcPr>
                  <w:tcW w:w="3641" w:type="dxa"/>
                  <w:gridSpan w:val="4"/>
                  <w:vAlign w:val="center"/>
                </w:tcPr>
                <w:p w14:paraId="072FD9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50ED4A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2110D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7243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E501A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58367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24418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DAE06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321.028</w:t>
                  </w:r>
                </w:p>
              </w:tc>
            </w:tr>
            <w:tr w14:paraId="0B8FE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0782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ACD43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FC49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FBA42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2889.252</w:t>
                  </w:r>
                </w:p>
              </w:tc>
            </w:tr>
            <w:tr w14:paraId="58B48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58445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6B401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30E32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3C6E8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3210.28</w:t>
                  </w:r>
                </w:p>
              </w:tc>
            </w:tr>
            <w:tr w14:paraId="246B1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5548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E47AF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44627E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BBA4E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1910.118</w:t>
                  </w:r>
                </w:p>
              </w:tc>
            </w:tr>
            <w:tr w14:paraId="4233B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24437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AC96D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094010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FDDA4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818.622</w:t>
                  </w:r>
                </w:p>
              </w:tc>
            </w:tr>
            <w:tr w14:paraId="57786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1983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2.5.2</w:t>
                  </w:r>
                </w:p>
              </w:tc>
              <w:tc>
                <w:tcPr>
                  <w:tcW w:w="3641" w:type="dxa"/>
                  <w:gridSpan w:val="4"/>
                  <w:vAlign w:val="center"/>
                </w:tcPr>
                <w:p w14:paraId="4319B4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2DF7F3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B05E0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7EC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C310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921B0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2A053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9D176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4.16</w:t>
                  </w:r>
                </w:p>
              </w:tc>
            </w:tr>
            <w:tr w14:paraId="3B1E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40BD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AF4C7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2E267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F923C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47.81</w:t>
                  </w:r>
                </w:p>
              </w:tc>
            </w:tr>
            <w:tr w14:paraId="34B5B4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64C60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w:t>
                  </w:r>
                </w:p>
              </w:tc>
              <w:tc>
                <w:tcPr>
                  <w:tcW w:w="3641" w:type="dxa"/>
                  <w:gridSpan w:val="4"/>
                  <w:vAlign w:val="center"/>
                </w:tcPr>
                <w:p w14:paraId="7A61E4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65820C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E125C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9ECD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F912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FF391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17F35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C0BC1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r>
            <w:tr w14:paraId="45C3B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F0755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361E9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324F8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4FDE2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53.95</w:t>
                  </w:r>
                </w:p>
              </w:tc>
            </w:tr>
            <w:tr w14:paraId="10743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019F3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4CBEE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7C13E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89327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536.55</w:t>
                  </w:r>
                </w:p>
              </w:tc>
            </w:tr>
            <w:tr w14:paraId="048BB7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6729F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531367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7E5E44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A120A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52.81</w:t>
                  </w:r>
                </w:p>
              </w:tc>
            </w:tr>
            <w:tr w14:paraId="2B8C5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4BD2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6419F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5D6CFF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0D545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36.74</w:t>
                  </w:r>
                </w:p>
              </w:tc>
            </w:tr>
            <w:tr w14:paraId="3D085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E4F57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77C369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vAlign w:val="center"/>
                </w:tcPr>
                <w:p w14:paraId="7A792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38A57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21.17</w:t>
                  </w:r>
                </w:p>
              </w:tc>
            </w:tr>
            <w:tr w14:paraId="682EA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BE1F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1DD657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vAlign w:val="center"/>
                </w:tcPr>
                <w:p w14:paraId="5B2A96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vAlign w:val="center"/>
                </w:tcPr>
                <w:p w14:paraId="323809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r>
            <w:tr w14:paraId="5F6F70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C7D38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3DF08B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5B4476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53BC94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58.94</w:t>
                  </w:r>
                </w:p>
              </w:tc>
            </w:tr>
            <w:tr w14:paraId="21FD95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665B6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295469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30C9B6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8C944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766.72</w:t>
                  </w:r>
                </w:p>
              </w:tc>
            </w:tr>
            <w:tr w14:paraId="2BEED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09B0B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598212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122493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FBC5A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687.05</w:t>
                  </w:r>
                </w:p>
              </w:tc>
            </w:tr>
            <w:tr w14:paraId="7C022D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8CB29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2.5.4</w:t>
                  </w:r>
                </w:p>
              </w:tc>
              <w:tc>
                <w:tcPr>
                  <w:tcW w:w="3641" w:type="dxa"/>
                  <w:gridSpan w:val="4"/>
                  <w:vAlign w:val="center"/>
                </w:tcPr>
                <w:p w14:paraId="737A10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08CBEE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FD508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F8DD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5C0A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356AE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28ACE6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74018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33.85</w:t>
                  </w:r>
                </w:p>
              </w:tc>
            </w:tr>
            <w:tr w14:paraId="5AF9C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CFC7F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DF611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04B510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793020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8AEA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54B78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3641" w:type="dxa"/>
                  <w:gridSpan w:val="4"/>
                  <w:vAlign w:val="center"/>
                </w:tcPr>
                <w:p w14:paraId="4227D7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vAlign w:val="center"/>
                </w:tcPr>
                <w:p w14:paraId="47EAB4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AB614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01BB3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20139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2.6.1</w:t>
                  </w:r>
                </w:p>
              </w:tc>
              <w:tc>
                <w:tcPr>
                  <w:tcW w:w="3641" w:type="dxa"/>
                  <w:gridSpan w:val="4"/>
                  <w:vAlign w:val="center"/>
                </w:tcPr>
                <w:p w14:paraId="4DF5C8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vAlign w:val="center"/>
                </w:tcPr>
                <w:p w14:paraId="50134A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vAlign w:val="center"/>
                </w:tcPr>
                <w:p w14:paraId="52D2CC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57DDA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7924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2.6.2</w:t>
                  </w:r>
                </w:p>
              </w:tc>
              <w:tc>
                <w:tcPr>
                  <w:tcW w:w="3641" w:type="dxa"/>
                  <w:gridSpan w:val="4"/>
                  <w:vAlign w:val="center"/>
                </w:tcPr>
                <w:p w14:paraId="09A573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更换栏杆</w:t>
                  </w:r>
                </w:p>
              </w:tc>
              <w:tc>
                <w:tcPr>
                  <w:tcW w:w="1028" w:type="dxa"/>
                  <w:gridSpan w:val="2"/>
                  <w:vAlign w:val="center"/>
                </w:tcPr>
                <w:p w14:paraId="24A559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573133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1325</w:t>
                  </w:r>
                </w:p>
              </w:tc>
            </w:tr>
            <w:tr w14:paraId="70E00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F6C5B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2.6.3</w:t>
                  </w:r>
                </w:p>
              </w:tc>
              <w:tc>
                <w:tcPr>
                  <w:tcW w:w="3641" w:type="dxa"/>
                  <w:gridSpan w:val="4"/>
                  <w:vAlign w:val="center"/>
                </w:tcPr>
                <w:p w14:paraId="609DF8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沥青巡查便道</w:t>
                  </w:r>
                </w:p>
              </w:tc>
              <w:tc>
                <w:tcPr>
                  <w:tcW w:w="1028" w:type="dxa"/>
                  <w:gridSpan w:val="2"/>
                  <w:vAlign w:val="center"/>
                </w:tcPr>
                <w:p w14:paraId="3840FC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7CA6C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C52E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61663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D5AF2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33E3DD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B1819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2A00C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3CAC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078FE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20337A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110C23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61C72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50538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97158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28" w:type="dxa"/>
                  <w:gridSpan w:val="2"/>
                  <w:vAlign w:val="center"/>
                </w:tcPr>
                <w:p w14:paraId="31EA5D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9206F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7EFD0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9362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7D2FB5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046F05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4257F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0A1DD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47D56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0945CE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026A8F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03603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1417.5</w:t>
                  </w:r>
                </w:p>
              </w:tc>
            </w:tr>
            <w:tr w14:paraId="070CE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97C07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F7A31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柳林河排涝通道整治</w:t>
                  </w:r>
                </w:p>
              </w:tc>
              <w:tc>
                <w:tcPr>
                  <w:tcW w:w="1028" w:type="dxa"/>
                  <w:gridSpan w:val="2"/>
                  <w:vAlign w:val="center"/>
                </w:tcPr>
                <w:p w14:paraId="4ED3B2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69848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AD02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D2210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3641" w:type="dxa"/>
                  <w:gridSpan w:val="4"/>
                  <w:vAlign w:val="center"/>
                </w:tcPr>
                <w:p w14:paraId="6753CB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vAlign w:val="center"/>
                </w:tcPr>
                <w:p w14:paraId="604E6C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99F0B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A2D49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3D97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3.1.1</w:t>
                  </w:r>
                </w:p>
              </w:tc>
              <w:tc>
                <w:tcPr>
                  <w:tcW w:w="3641" w:type="dxa"/>
                  <w:gridSpan w:val="4"/>
                  <w:vAlign w:val="center"/>
                </w:tcPr>
                <w:p w14:paraId="4B01CB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70BA54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0B2A1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E6E3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2427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DB066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vAlign w:val="center"/>
                </w:tcPr>
                <w:p w14:paraId="4481D9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A3A34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231381.89</w:t>
                  </w:r>
                </w:p>
              </w:tc>
            </w:tr>
            <w:tr w14:paraId="33952F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FFFE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8045A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运距5k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vAlign w:val="center"/>
                </w:tcPr>
                <w:p w14:paraId="3A543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51B4D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97077.424</w:t>
                  </w:r>
                </w:p>
              </w:tc>
            </w:tr>
            <w:tr w14:paraId="2863C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BE51A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D0360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vAlign w:val="center"/>
                </w:tcPr>
                <w:p w14:paraId="59134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36051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39506.506</w:t>
                  </w:r>
                </w:p>
              </w:tc>
            </w:tr>
            <w:tr w14:paraId="1EA3F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5DC24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0D9E8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vAlign w:val="center"/>
                </w:tcPr>
                <w:p w14:paraId="6408E8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00894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39506.506</w:t>
                  </w:r>
                </w:p>
              </w:tc>
            </w:tr>
            <w:tr w14:paraId="2289E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782CC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1F7AC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06B470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6D9A1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33580.53</w:t>
                  </w:r>
                </w:p>
              </w:tc>
            </w:tr>
            <w:tr w14:paraId="66596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7397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3.1.2</w:t>
                  </w:r>
                </w:p>
              </w:tc>
              <w:tc>
                <w:tcPr>
                  <w:tcW w:w="3641" w:type="dxa"/>
                  <w:gridSpan w:val="4"/>
                  <w:vAlign w:val="center"/>
                </w:tcPr>
                <w:p w14:paraId="149D70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vAlign w:val="center"/>
                </w:tcPr>
                <w:p w14:paraId="716CE4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3FA02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7214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4953F9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B111E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0FBB20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F762D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4801.15</w:t>
                  </w:r>
                </w:p>
              </w:tc>
            </w:tr>
            <w:tr w14:paraId="2EB46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0876E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0DEA6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格宾石笼护脚</w:t>
                  </w:r>
                </w:p>
              </w:tc>
              <w:tc>
                <w:tcPr>
                  <w:tcW w:w="1028" w:type="dxa"/>
                  <w:gridSpan w:val="2"/>
                  <w:vAlign w:val="center"/>
                </w:tcPr>
                <w:p w14:paraId="21E4E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8A8F2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18676.44</w:t>
                  </w:r>
                </w:p>
              </w:tc>
            </w:tr>
            <w:tr w14:paraId="6DA1D4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4165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5C6AB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6DD952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F18E9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1046.75</w:t>
                  </w:r>
                </w:p>
              </w:tc>
            </w:tr>
            <w:tr w14:paraId="13622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AF88C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3.1.3</w:t>
                  </w:r>
                </w:p>
              </w:tc>
              <w:tc>
                <w:tcPr>
                  <w:tcW w:w="3641" w:type="dxa"/>
                  <w:gridSpan w:val="4"/>
                  <w:vAlign w:val="center"/>
                </w:tcPr>
                <w:p w14:paraId="5911FA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地基处理</w:t>
                  </w:r>
                </w:p>
              </w:tc>
              <w:tc>
                <w:tcPr>
                  <w:tcW w:w="1028" w:type="dxa"/>
                  <w:gridSpan w:val="2"/>
                  <w:vAlign w:val="center"/>
                </w:tcPr>
                <w:p w14:paraId="158BB1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06B4E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FEEB8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653A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A7B5C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高压旋喷桩</w:t>
                  </w:r>
                </w:p>
              </w:tc>
              <w:tc>
                <w:tcPr>
                  <w:tcW w:w="1028" w:type="dxa"/>
                  <w:gridSpan w:val="2"/>
                  <w:vAlign w:val="center"/>
                </w:tcPr>
                <w:p w14:paraId="7023F3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3E2A81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11228.6</w:t>
                  </w:r>
                </w:p>
              </w:tc>
            </w:tr>
            <w:tr w14:paraId="5C346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8E3FC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3.1.4</w:t>
                  </w:r>
                </w:p>
              </w:tc>
              <w:tc>
                <w:tcPr>
                  <w:tcW w:w="3641" w:type="dxa"/>
                  <w:gridSpan w:val="4"/>
                  <w:vAlign w:val="center"/>
                </w:tcPr>
                <w:p w14:paraId="130C78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0BCC8E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2E0FC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6BEC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8A4D5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302F7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空心联锁块护坡100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00DE1F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486A6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37263.86</w:t>
                  </w:r>
                </w:p>
              </w:tc>
            </w:tr>
            <w:tr w14:paraId="7BB85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CCEE6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BC5ED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C25毛石砼重力式挡墙</w:t>
                  </w:r>
                </w:p>
              </w:tc>
              <w:tc>
                <w:tcPr>
                  <w:tcW w:w="1028" w:type="dxa"/>
                  <w:gridSpan w:val="2"/>
                  <w:vAlign w:val="center"/>
                </w:tcPr>
                <w:p w14:paraId="464CD1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5CB09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565.85</w:t>
                  </w:r>
                </w:p>
              </w:tc>
            </w:tr>
            <w:tr w14:paraId="0D375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D4067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6A0F79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vAlign w:val="center"/>
                </w:tcPr>
                <w:p w14:paraId="157B0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9F7F0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9129.08</w:t>
                  </w:r>
                </w:p>
              </w:tc>
            </w:tr>
            <w:tr w14:paraId="783E1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7AC92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5E9952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vAlign w:val="center"/>
                </w:tcPr>
                <w:p w14:paraId="0778F4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4431E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1932.79</w:t>
                  </w:r>
                </w:p>
              </w:tc>
            </w:tr>
            <w:tr w14:paraId="0E0AF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17740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0F0A9A4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C25生态挡墙基础</w:t>
                  </w:r>
                </w:p>
              </w:tc>
              <w:tc>
                <w:tcPr>
                  <w:tcW w:w="1028" w:type="dxa"/>
                  <w:gridSpan w:val="2"/>
                  <w:vAlign w:val="center"/>
                </w:tcPr>
                <w:p w14:paraId="5B823B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9247C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1722.69</w:t>
                  </w:r>
                </w:p>
              </w:tc>
            </w:tr>
            <w:tr w14:paraId="06C83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5EA62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42684F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鱼巢砌块</w:t>
                  </w:r>
                </w:p>
              </w:tc>
              <w:tc>
                <w:tcPr>
                  <w:tcW w:w="1028" w:type="dxa"/>
                  <w:gridSpan w:val="2"/>
                  <w:vAlign w:val="center"/>
                </w:tcPr>
                <w:p w14:paraId="0B3628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w:t>
                  </w:r>
                </w:p>
              </w:tc>
              <w:tc>
                <w:tcPr>
                  <w:tcW w:w="1979" w:type="dxa"/>
                  <w:gridSpan w:val="3"/>
                  <w:vAlign w:val="center"/>
                </w:tcPr>
                <w:p w14:paraId="4698A0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3516</w:t>
                  </w:r>
                </w:p>
              </w:tc>
            </w:tr>
            <w:tr w14:paraId="33764F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48638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0E115D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vAlign w:val="center"/>
                </w:tcPr>
                <w:p w14:paraId="3A9631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3A37F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32740.27</w:t>
                  </w:r>
                </w:p>
              </w:tc>
            </w:tr>
            <w:tr w14:paraId="54228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32F8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64BC9D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72C219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83B97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12784.56</w:t>
                  </w:r>
                </w:p>
              </w:tc>
            </w:tr>
            <w:tr w14:paraId="071C1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726E9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3.1.5</w:t>
                  </w:r>
                </w:p>
              </w:tc>
              <w:tc>
                <w:tcPr>
                  <w:tcW w:w="3641" w:type="dxa"/>
                  <w:gridSpan w:val="4"/>
                  <w:vAlign w:val="center"/>
                </w:tcPr>
                <w:p w14:paraId="16736B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489309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1FE71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800D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C175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6AFE8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vAlign w:val="center"/>
                </w:tcPr>
                <w:p w14:paraId="151302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15F180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10387.45</w:t>
                  </w:r>
                </w:p>
              </w:tc>
            </w:tr>
            <w:tr w14:paraId="0A444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42BF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A659C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7CFA29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05C3A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3735.04</w:t>
                  </w:r>
                </w:p>
              </w:tc>
            </w:tr>
            <w:tr w14:paraId="76E56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729F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3641" w:type="dxa"/>
                  <w:gridSpan w:val="4"/>
                  <w:vAlign w:val="center"/>
                </w:tcPr>
                <w:p w14:paraId="4EC4A1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小黄沟涵闸</w:t>
                  </w:r>
                </w:p>
              </w:tc>
              <w:tc>
                <w:tcPr>
                  <w:tcW w:w="1028" w:type="dxa"/>
                  <w:gridSpan w:val="2"/>
                  <w:vAlign w:val="center"/>
                </w:tcPr>
                <w:p w14:paraId="4B6DFC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6ED095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6006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98C45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3.2.1</w:t>
                  </w:r>
                </w:p>
              </w:tc>
              <w:tc>
                <w:tcPr>
                  <w:tcW w:w="3641" w:type="dxa"/>
                  <w:gridSpan w:val="4"/>
                  <w:vAlign w:val="center"/>
                </w:tcPr>
                <w:p w14:paraId="5B74A0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7F1C54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FDC87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D44B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8F59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A0FA4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F331F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2873D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32.832</w:t>
                  </w:r>
                </w:p>
              </w:tc>
            </w:tr>
            <w:tr w14:paraId="654C7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99AA3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90858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39C71E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14D66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295.488</w:t>
                  </w:r>
                </w:p>
              </w:tc>
            </w:tr>
            <w:tr w14:paraId="3A4B6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10A60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665C01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884B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D97D4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328.32</w:t>
                  </w:r>
                </w:p>
              </w:tc>
            </w:tr>
            <w:tr w14:paraId="70607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4D49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4D760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0661C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223A7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195.349</w:t>
                  </w:r>
                </w:p>
              </w:tc>
            </w:tr>
            <w:tr w14:paraId="09C640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35DF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4A7A1D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4DFDC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E828BB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83.721</w:t>
                  </w:r>
                </w:p>
              </w:tc>
            </w:tr>
            <w:tr w14:paraId="140DB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A64BC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3.2.2</w:t>
                  </w:r>
                </w:p>
              </w:tc>
              <w:tc>
                <w:tcPr>
                  <w:tcW w:w="3641" w:type="dxa"/>
                  <w:gridSpan w:val="4"/>
                  <w:vAlign w:val="center"/>
                </w:tcPr>
                <w:p w14:paraId="5528F1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374E84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8B2A4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BF14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FBBF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14D47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33FEF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B8809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w:t>
                  </w:r>
                </w:p>
              </w:tc>
            </w:tr>
            <w:tr w14:paraId="69840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3F2A1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D11E2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抛石</w:t>
                  </w:r>
                </w:p>
              </w:tc>
              <w:tc>
                <w:tcPr>
                  <w:tcW w:w="1028" w:type="dxa"/>
                  <w:gridSpan w:val="2"/>
                  <w:vAlign w:val="center"/>
                </w:tcPr>
                <w:p w14:paraId="57A74C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9B345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51.84</w:t>
                  </w:r>
                </w:p>
              </w:tc>
            </w:tr>
            <w:tr w14:paraId="51265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AF6F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3.2.3</w:t>
                  </w:r>
                </w:p>
              </w:tc>
              <w:tc>
                <w:tcPr>
                  <w:tcW w:w="3641" w:type="dxa"/>
                  <w:gridSpan w:val="4"/>
                  <w:vAlign w:val="center"/>
                </w:tcPr>
                <w:p w14:paraId="263C0A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6B9C0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CCF63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835D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423" w:type="dxa"/>
                  <w:vAlign w:val="center"/>
                </w:tcPr>
                <w:p w14:paraId="050F17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7E650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69E9F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F33F7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15.11</w:t>
                  </w:r>
                </w:p>
              </w:tc>
            </w:tr>
            <w:tr w14:paraId="0EF4F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63AED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DFF3E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28" w:type="dxa"/>
                  <w:gridSpan w:val="2"/>
                  <w:vAlign w:val="center"/>
                </w:tcPr>
                <w:p w14:paraId="135F35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D5AD8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w:t>
                  </w:r>
                </w:p>
              </w:tc>
            </w:tr>
            <w:tr w14:paraId="27B3A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93465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DAB7D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C25素砼护底</w:t>
                  </w:r>
                </w:p>
              </w:tc>
              <w:tc>
                <w:tcPr>
                  <w:tcW w:w="1028" w:type="dxa"/>
                  <w:gridSpan w:val="2"/>
                  <w:vAlign w:val="center"/>
                </w:tcPr>
                <w:p w14:paraId="7B653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36732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3.77</w:t>
                  </w:r>
                </w:p>
              </w:tc>
            </w:tr>
            <w:tr w14:paraId="15935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BC29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C31A44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C25砼挡墙侧墙</w:t>
                  </w:r>
                </w:p>
              </w:tc>
              <w:tc>
                <w:tcPr>
                  <w:tcW w:w="1028" w:type="dxa"/>
                  <w:gridSpan w:val="2"/>
                  <w:vAlign w:val="center"/>
                </w:tcPr>
                <w:p w14:paraId="55A38B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EB7DF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119.28</w:t>
                  </w:r>
                </w:p>
              </w:tc>
            </w:tr>
            <w:tr w14:paraId="18CD2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7664C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24C437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C25砼挡墙底板</w:t>
                  </w:r>
                </w:p>
              </w:tc>
              <w:tc>
                <w:tcPr>
                  <w:tcW w:w="1028" w:type="dxa"/>
                  <w:gridSpan w:val="2"/>
                  <w:vAlign w:val="center"/>
                </w:tcPr>
                <w:p w14:paraId="1206F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6F7F9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47.95</w:t>
                  </w:r>
                </w:p>
              </w:tc>
            </w:tr>
            <w:tr w14:paraId="28182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CD46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5CDA14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01E0E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9FD38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24.38</w:t>
                  </w:r>
                </w:p>
              </w:tc>
            </w:tr>
            <w:tr w14:paraId="04607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48B6F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5369C6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C30钢筋砼立墙</w:t>
                  </w:r>
                </w:p>
              </w:tc>
              <w:tc>
                <w:tcPr>
                  <w:tcW w:w="1028" w:type="dxa"/>
                  <w:gridSpan w:val="2"/>
                  <w:vAlign w:val="center"/>
                </w:tcPr>
                <w:p w14:paraId="55A8D2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97383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23.01</w:t>
                  </w:r>
                </w:p>
              </w:tc>
            </w:tr>
            <w:tr w14:paraId="2C4CC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2CF6D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5B975C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C30砼顶板</w:t>
                  </w:r>
                </w:p>
              </w:tc>
              <w:tc>
                <w:tcPr>
                  <w:tcW w:w="1028" w:type="dxa"/>
                  <w:gridSpan w:val="2"/>
                  <w:vAlign w:val="center"/>
                </w:tcPr>
                <w:p w14:paraId="25965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6F4C2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17.56</w:t>
                  </w:r>
                </w:p>
              </w:tc>
            </w:tr>
            <w:tr w14:paraId="43772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CD404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6B8BA5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00E278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61A33B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r>
            <w:tr w14:paraId="51825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D89E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137A51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56E205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A1810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512.75</w:t>
                  </w:r>
                </w:p>
              </w:tc>
            </w:tr>
            <w:tr w14:paraId="6971B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E1F70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07AA5E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3C270C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4915E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252.07</w:t>
                  </w:r>
                </w:p>
              </w:tc>
            </w:tr>
            <w:tr w14:paraId="1F515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E3C48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w:t>
                  </w:r>
                </w:p>
              </w:tc>
              <w:tc>
                <w:tcPr>
                  <w:tcW w:w="3641" w:type="dxa"/>
                  <w:gridSpan w:val="4"/>
                  <w:vAlign w:val="center"/>
                </w:tcPr>
                <w:p w14:paraId="2E0A57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774F49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9D7AE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7B5A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7DC3E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3.2.4.1</w:t>
                  </w:r>
                </w:p>
              </w:tc>
              <w:tc>
                <w:tcPr>
                  <w:tcW w:w="3641" w:type="dxa"/>
                  <w:gridSpan w:val="4"/>
                  <w:vAlign w:val="center"/>
                </w:tcPr>
                <w:p w14:paraId="0E1042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道路恢复</w:t>
                  </w:r>
                </w:p>
              </w:tc>
              <w:tc>
                <w:tcPr>
                  <w:tcW w:w="1028" w:type="dxa"/>
                  <w:gridSpan w:val="2"/>
                  <w:vAlign w:val="center"/>
                </w:tcPr>
                <w:p w14:paraId="2DBD73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E79A6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F9CF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0" w:hRule="atLeast"/>
                <w:jc w:val="center"/>
              </w:trPr>
              <w:tc>
                <w:tcPr>
                  <w:tcW w:w="1423" w:type="dxa"/>
                  <w:vAlign w:val="center"/>
                </w:tcPr>
                <w:p w14:paraId="425526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28E2EB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298F0D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AA9B4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129.6</w:t>
                  </w:r>
                </w:p>
              </w:tc>
            </w:tr>
            <w:tr w14:paraId="47D523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5208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BC5B6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0E08F8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9513E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129.6</w:t>
                  </w:r>
                </w:p>
              </w:tc>
            </w:tr>
            <w:tr w14:paraId="674F5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3F60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400AB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28" w:type="dxa"/>
                  <w:gridSpan w:val="2"/>
                  <w:vAlign w:val="center"/>
                </w:tcPr>
                <w:p w14:paraId="0DED14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5AED1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142.56</w:t>
                  </w:r>
                </w:p>
              </w:tc>
            </w:tr>
            <w:tr w14:paraId="55D18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5F6E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854DA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p>
              </w:tc>
              <w:tc>
                <w:tcPr>
                  <w:tcW w:w="1028" w:type="dxa"/>
                  <w:gridSpan w:val="2"/>
                  <w:vAlign w:val="center"/>
                </w:tcPr>
                <w:p w14:paraId="0548E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1FD3FC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163.3</w:t>
                  </w:r>
                </w:p>
              </w:tc>
            </w:tr>
            <w:tr w14:paraId="147D2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1DBC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03D531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撒草籽</w:t>
                  </w:r>
                </w:p>
              </w:tc>
              <w:tc>
                <w:tcPr>
                  <w:tcW w:w="1028" w:type="dxa"/>
                  <w:gridSpan w:val="2"/>
                  <w:vAlign w:val="center"/>
                </w:tcPr>
                <w:p w14:paraId="19ACEC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E2B22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r>
            <w:tr w14:paraId="34F42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A5610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3.2.4.2</w:t>
                  </w:r>
                </w:p>
              </w:tc>
              <w:tc>
                <w:tcPr>
                  <w:tcW w:w="3641" w:type="dxa"/>
                  <w:gridSpan w:val="4"/>
                  <w:vAlign w:val="center"/>
                </w:tcPr>
                <w:p w14:paraId="747806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栏杆</w:t>
                  </w:r>
                </w:p>
              </w:tc>
              <w:tc>
                <w:tcPr>
                  <w:tcW w:w="1028" w:type="dxa"/>
                  <w:gridSpan w:val="2"/>
                  <w:vAlign w:val="center"/>
                </w:tcPr>
                <w:p w14:paraId="5FD595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6D35CD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r>
            <w:tr w14:paraId="05E1C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82170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3.2.4.3</w:t>
                  </w:r>
                </w:p>
              </w:tc>
              <w:tc>
                <w:tcPr>
                  <w:tcW w:w="3641" w:type="dxa"/>
                  <w:gridSpan w:val="4"/>
                  <w:vAlign w:val="center"/>
                </w:tcPr>
                <w:p w14:paraId="61AD0F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vAlign w:val="center"/>
                </w:tcPr>
                <w:p w14:paraId="25831F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2F7BB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30.24</w:t>
                  </w:r>
                </w:p>
              </w:tc>
            </w:tr>
            <w:tr w14:paraId="636CC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F6644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3.2.4.4</w:t>
                  </w:r>
                </w:p>
              </w:tc>
              <w:tc>
                <w:tcPr>
                  <w:tcW w:w="3641" w:type="dxa"/>
                  <w:gridSpan w:val="4"/>
                  <w:vAlign w:val="center"/>
                </w:tcPr>
                <w:p w14:paraId="337655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094F7B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30EACA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3FAC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216BF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3641" w:type="dxa"/>
                  <w:gridSpan w:val="4"/>
                  <w:vAlign w:val="center"/>
                </w:tcPr>
                <w:p w14:paraId="1B3749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拦河坝加固</w:t>
                  </w:r>
                </w:p>
              </w:tc>
              <w:tc>
                <w:tcPr>
                  <w:tcW w:w="1028" w:type="dxa"/>
                  <w:gridSpan w:val="2"/>
                  <w:vAlign w:val="center"/>
                </w:tcPr>
                <w:p w14:paraId="4586FD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068F2D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3C050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ECCB5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3641" w:type="dxa"/>
                  <w:gridSpan w:val="4"/>
                  <w:vAlign w:val="center"/>
                </w:tcPr>
                <w:p w14:paraId="1CB91F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水毁段加固</w:t>
                  </w:r>
                </w:p>
              </w:tc>
              <w:tc>
                <w:tcPr>
                  <w:tcW w:w="1028" w:type="dxa"/>
                  <w:gridSpan w:val="2"/>
                  <w:vAlign w:val="center"/>
                </w:tcPr>
                <w:p w14:paraId="06B5FF3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处</w:t>
                  </w:r>
                </w:p>
              </w:tc>
              <w:tc>
                <w:tcPr>
                  <w:tcW w:w="1979" w:type="dxa"/>
                  <w:gridSpan w:val="3"/>
                  <w:vAlign w:val="center"/>
                </w:tcPr>
                <w:p w14:paraId="1D0551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r>
            <w:tr w14:paraId="3D4A6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9B66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3641" w:type="dxa"/>
                  <w:gridSpan w:val="4"/>
                  <w:vAlign w:val="center"/>
                </w:tcPr>
                <w:p w14:paraId="7B3872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vAlign w:val="center"/>
                </w:tcPr>
                <w:p w14:paraId="6431BC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37936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C471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7A6B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6C0FF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vAlign w:val="center"/>
                </w:tcPr>
                <w:p w14:paraId="2A11E6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vAlign w:val="center"/>
                </w:tcPr>
                <w:p w14:paraId="693B47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3FA21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96B7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F2259A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新店河排涝通道整治</w:t>
                  </w:r>
                </w:p>
              </w:tc>
              <w:tc>
                <w:tcPr>
                  <w:tcW w:w="1028" w:type="dxa"/>
                  <w:gridSpan w:val="2"/>
                  <w:vAlign w:val="center"/>
                </w:tcPr>
                <w:p w14:paraId="777C50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54576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3F474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A2EB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w:t>
                  </w:r>
                </w:p>
              </w:tc>
              <w:tc>
                <w:tcPr>
                  <w:tcW w:w="3641" w:type="dxa"/>
                  <w:gridSpan w:val="4"/>
                  <w:vAlign w:val="center"/>
                </w:tcPr>
                <w:p w14:paraId="0A85CA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w:t>
                  </w:r>
                </w:p>
              </w:tc>
              <w:tc>
                <w:tcPr>
                  <w:tcW w:w="1028" w:type="dxa"/>
                  <w:gridSpan w:val="2"/>
                  <w:vAlign w:val="center"/>
                </w:tcPr>
                <w:p w14:paraId="210B89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5FB97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81FB7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F7E1E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4.1.1</w:t>
                  </w:r>
                </w:p>
              </w:tc>
              <w:tc>
                <w:tcPr>
                  <w:tcW w:w="3641" w:type="dxa"/>
                  <w:gridSpan w:val="4"/>
                  <w:vAlign w:val="center"/>
                </w:tcPr>
                <w:p w14:paraId="48E158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10F37A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10635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318F1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4270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77E8C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轻度清杂</w:t>
                  </w:r>
                </w:p>
              </w:tc>
              <w:tc>
                <w:tcPr>
                  <w:tcW w:w="1028" w:type="dxa"/>
                  <w:gridSpan w:val="2"/>
                  <w:vAlign w:val="center"/>
                </w:tcPr>
                <w:p w14:paraId="6DEC60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2893E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8138.52</w:t>
                  </w:r>
                </w:p>
              </w:tc>
            </w:tr>
            <w:tr w14:paraId="3EF5F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33ABC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F0414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运距3k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28" w:type="dxa"/>
                  <w:gridSpan w:val="2"/>
                  <w:vAlign w:val="center"/>
                </w:tcPr>
                <w:p w14:paraId="144EB2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25193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15573.669</w:t>
                  </w:r>
                </w:p>
              </w:tc>
            </w:tr>
            <w:tr w14:paraId="33A6E3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E64B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4DF3DF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28" w:type="dxa"/>
                  <w:gridSpan w:val="2"/>
                  <w:vAlign w:val="center"/>
                </w:tcPr>
                <w:p w14:paraId="73B1C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772E9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14749.741</w:t>
                  </w:r>
                </w:p>
              </w:tc>
            </w:tr>
            <w:tr w14:paraId="1BF3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98F2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3CBB3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28" w:type="dxa"/>
                  <w:gridSpan w:val="2"/>
                  <w:vAlign w:val="center"/>
                </w:tcPr>
                <w:p w14:paraId="3F8C99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84BA2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14749.741</w:t>
                  </w:r>
                </w:p>
              </w:tc>
            </w:tr>
            <w:tr w14:paraId="7B6EC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7892A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4C9B31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54F659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7C4D4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12537.28</w:t>
                  </w:r>
                </w:p>
              </w:tc>
            </w:tr>
            <w:tr w14:paraId="6EAD9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67831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4.1.2</w:t>
                  </w:r>
                </w:p>
              </w:tc>
              <w:tc>
                <w:tcPr>
                  <w:tcW w:w="3641" w:type="dxa"/>
                  <w:gridSpan w:val="4"/>
                  <w:vAlign w:val="center"/>
                </w:tcPr>
                <w:p w14:paraId="659FAD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28" w:type="dxa"/>
                  <w:gridSpan w:val="2"/>
                  <w:vAlign w:val="center"/>
                </w:tcPr>
                <w:p w14:paraId="477901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17089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16B8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90ED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7F313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3AAFA4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91570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579.1</w:t>
                  </w:r>
                </w:p>
              </w:tc>
            </w:tr>
            <w:tr w14:paraId="6FCB9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CF58A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B4132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38F3C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9F8E8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30.7</w:t>
                  </w:r>
                </w:p>
              </w:tc>
            </w:tr>
            <w:tr w14:paraId="0C6E24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9CC4A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74EEB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15浆砌石挡墙</w:t>
                  </w:r>
                </w:p>
              </w:tc>
              <w:tc>
                <w:tcPr>
                  <w:tcW w:w="1028" w:type="dxa"/>
                  <w:gridSpan w:val="2"/>
                  <w:vAlign w:val="center"/>
                </w:tcPr>
                <w:p w14:paraId="66BA9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21DA9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718.36</w:t>
                  </w:r>
                </w:p>
              </w:tc>
            </w:tr>
            <w:tr w14:paraId="4C0A7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29C8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306C5E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浆砌石挡墙表面灌浆勾缝</w:t>
                  </w:r>
                </w:p>
              </w:tc>
              <w:tc>
                <w:tcPr>
                  <w:tcW w:w="1028" w:type="dxa"/>
                  <w:gridSpan w:val="2"/>
                  <w:vAlign w:val="center"/>
                </w:tcPr>
                <w:p w14:paraId="593382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7E4AE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146.83</w:t>
                  </w:r>
                </w:p>
              </w:tc>
            </w:tr>
            <w:tr w14:paraId="21E14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C67CD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4.1.3</w:t>
                  </w:r>
                </w:p>
              </w:tc>
              <w:tc>
                <w:tcPr>
                  <w:tcW w:w="3641" w:type="dxa"/>
                  <w:gridSpan w:val="4"/>
                  <w:vAlign w:val="center"/>
                </w:tcPr>
                <w:p w14:paraId="2FDE97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4EBBEC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77E41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04F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0FA38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26408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新建防洪墙</w:t>
                  </w:r>
                </w:p>
              </w:tc>
              <w:tc>
                <w:tcPr>
                  <w:tcW w:w="1028" w:type="dxa"/>
                  <w:gridSpan w:val="2"/>
                  <w:vAlign w:val="center"/>
                </w:tcPr>
                <w:p w14:paraId="31BAB3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636A17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4604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821E3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3932B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C25砼压顶</w:t>
                  </w:r>
                </w:p>
              </w:tc>
              <w:tc>
                <w:tcPr>
                  <w:tcW w:w="1028" w:type="dxa"/>
                  <w:gridSpan w:val="2"/>
                  <w:vAlign w:val="center"/>
                </w:tcPr>
                <w:p w14:paraId="684ADC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40118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307.55</w:t>
                  </w:r>
                </w:p>
              </w:tc>
            </w:tr>
            <w:tr w14:paraId="050F5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2AD0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57AD7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C25素砼挡墙立墙</w:t>
                  </w:r>
                </w:p>
              </w:tc>
              <w:tc>
                <w:tcPr>
                  <w:tcW w:w="1028" w:type="dxa"/>
                  <w:gridSpan w:val="2"/>
                  <w:vAlign w:val="center"/>
                </w:tcPr>
                <w:p w14:paraId="44D9FD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0389A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2895.19</w:t>
                  </w:r>
                </w:p>
              </w:tc>
            </w:tr>
            <w:tr w14:paraId="1572E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E3564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ABC87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C25素砼挡墙底座</w:t>
                  </w:r>
                </w:p>
              </w:tc>
              <w:tc>
                <w:tcPr>
                  <w:tcW w:w="1028" w:type="dxa"/>
                  <w:gridSpan w:val="2"/>
                  <w:vAlign w:val="center"/>
                </w:tcPr>
                <w:p w14:paraId="316AE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6CA15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2786.19</w:t>
                  </w:r>
                </w:p>
              </w:tc>
            </w:tr>
            <w:tr w14:paraId="471FC4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1A0C3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042F25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28" w:type="dxa"/>
                  <w:gridSpan w:val="2"/>
                  <w:vAlign w:val="center"/>
                </w:tcPr>
                <w:p w14:paraId="020B29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BE824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13009.51</w:t>
                  </w:r>
                </w:p>
              </w:tc>
            </w:tr>
            <w:tr w14:paraId="3BEB9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1FE2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6B7A43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589FEB4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C5BFD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5988.93</w:t>
                  </w:r>
                </w:p>
              </w:tc>
            </w:tr>
            <w:tr w14:paraId="50787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712E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4.1.4</w:t>
                  </w:r>
                </w:p>
              </w:tc>
              <w:tc>
                <w:tcPr>
                  <w:tcW w:w="3641" w:type="dxa"/>
                  <w:gridSpan w:val="4"/>
                  <w:vAlign w:val="center"/>
                </w:tcPr>
                <w:p w14:paraId="34BC3C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2C1D90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451E0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5904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0FE5F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05291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vAlign w:val="center"/>
                </w:tcPr>
                <w:p w14:paraId="6615D2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52286F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1716.86</w:t>
                  </w:r>
                </w:p>
              </w:tc>
            </w:tr>
            <w:tr w14:paraId="3E55A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C12B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5EFE5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草皮</w:t>
                  </w:r>
                </w:p>
              </w:tc>
              <w:tc>
                <w:tcPr>
                  <w:tcW w:w="1028" w:type="dxa"/>
                  <w:gridSpan w:val="2"/>
                  <w:vAlign w:val="center"/>
                </w:tcPr>
                <w:p w14:paraId="2F4CC4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71823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8138.52</w:t>
                  </w:r>
                </w:p>
              </w:tc>
            </w:tr>
            <w:tr w14:paraId="3748E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5455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98539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53CE9C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5C583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996.77</w:t>
                  </w:r>
                </w:p>
              </w:tc>
            </w:tr>
            <w:tr w14:paraId="09273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A5B5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w:t>
                  </w:r>
                </w:p>
              </w:tc>
              <w:tc>
                <w:tcPr>
                  <w:tcW w:w="3641" w:type="dxa"/>
                  <w:gridSpan w:val="4"/>
                  <w:vAlign w:val="center"/>
                </w:tcPr>
                <w:p w14:paraId="022CA7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新建1号拦河坝</w:t>
                  </w:r>
                </w:p>
              </w:tc>
              <w:tc>
                <w:tcPr>
                  <w:tcW w:w="1028" w:type="dxa"/>
                  <w:gridSpan w:val="2"/>
                  <w:vAlign w:val="center"/>
                </w:tcPr>
                <w:p w14:paraId="631C78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209FA7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E00A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57411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4.2.1</w:t>
                  </w:r>
                </w:p>
              </w:tc>
              <w:tc>
                <w:tcPr>
                  <w:tcW w:w="3641" w:type="dxa"/>
                  <w:gridSpan w:val="4"/>
                  <w:vAlign w:val="center"/>
                </w:tcPr>
                <w:p w14:paraId="406B17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495C43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29674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C135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F718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8E7DF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7D9FAC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83AFA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140.315</w:t>
                  </w:r>
                </w:p>
              </w:tc>
            </w:tr>
            <w:tr w14:paraId="1937D7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00A2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9A97F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3191C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876EE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1262.835</w:t>
                  </w:r>
                </w:p>
              </w:tc>
            </w:tr>
            <w:tr w14:paraId="2E612B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D8972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075B03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B5914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2D82C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1192.68</w:t>
                  </w:r>
                </w:p>
              </w:tc>
            </w:tr>
            <w:tr w14:paraId="4C81F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EDF8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1094D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7E846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521D8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834.876</w:t>
                  </w:r>
                </w:p>
              </w:tc>
            </w:tr>
            <w:tr w14:paraId="39D4A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4C7E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27D308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6A3A7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DE5C8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357.804</w:t>
                  </w:r>
                </w:p>
              </w:tc>
            </w:tr>
            <w:tr w14:paraId="234E3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71E465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4.2.2</w:t>
                  </w:r>
                </w:p>
              </w:tc>
              <w:tc>
                <w:tcPr>
                  <w:tcW w:w="3641" w:type="dxa"/>
                  <w:gridSpan w:val="4"/>
                  <w:vAlign w:val="center"/>
                </w:tcPr>
                <w:p w14:paraId="4E6FB54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01F7E0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660A7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D0CFB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78D56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23103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720FA3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910B6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14.72</w:t>
                  </w:r>
                </w:p>
              </w:tc>
            </w:tr>
            <w:tr w14:paraId="4004D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3C548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33942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vAlign w:val="center"/>
                </w:tcPr>
                <w:p w14:paraId="229C86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185EC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w:t>
                  </w:r>
                </w:p>
              </w:tc>
            </w:tr>
            <w:tr w14:paraId="3979D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483F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D2B33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vAlign w:val="center"/>
                </w:tcPr>
                <w:p w14:paraId="5481B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82E45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31.34</w:t>
                  </w:r>
                </w:p>
              </w:tc>
            </w:tr>
            <w:tr w14:paraId="0B4EE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3E2D77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4.2.3</w:t>
                  </w:r>
                </w:p>
              </w:tc>
              <w:tc>
                <w:tcPr>
                  <w:tcW w:w="3641" w:type="dxa"/>
                  <w:gridSpan w:val="4"/>
                  <w:vAlign w:val="center"/>
                </w:tcPr>
                <w:p w14:paraId="0E4385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7C7D47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364FA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F2DBD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27F0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FDA9C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3C3EA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13FFF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9.44</w:t>
                  </w:r>
                </w:p>
              </w:tc>
            </w:tr>
            <w:tr w14:paraId="1515BE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EB706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07E75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289B3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1409A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19.96</w:t>
                  </w:r>
                </w:p>
              </w:tc>
            </w:tr>
            <w:tr w14:paraId="76020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7CD88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DD8F4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2BC8AA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7428C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77.22</w:t>
                  </w:r>
                </w:p>
              </w:tc>
            </w:tr>
            <w:tr w14:paraId="40FCD6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C1A7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4D0051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554A41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6F500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85.15</w:t>
                  </w:r>
                </w:p>
              </w:tc>
            </w:tr>
            <w:tr w14:paraId="44D52C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9FF3B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57ABE9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vAlign w:val="center"/>
                </w:tcPr>
                <w:p w14:paraId="378C8A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4308F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10.02</w:t>
                  </w:r>
                </w:p>
              </w:tc>
            </w:tr>
            <w:tr w14:paraId="3B9B2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55BEF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7F26A1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51E187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59EED7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7.72</w:t>
                  </w:r>
                </w:p>
              </w:tc>
            </w:tr>
            <w:tr w14:paraId="6F6C9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C07B1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004635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5CB24B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F6598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209.57</w:t>
                  </w:r>
                </w:p>
              </w:tc>
            </w:tr>
            <w:tr w14:paraId="6459E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5662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57C882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0FF2B0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2164F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191.77</w:t>
                  </w:r>
                </w:p>
              </w:tc>
            </w:tr>
            <w:tr w14:paraId="35352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675C0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4.2.4</w:t>
                  </w:r>
                </w:p>
              </w:tc>
              <w:tc>
                <w:tcPr>
                  <w:tcW w:w="3641" w:type="dxa"/>
                  <w:gridSpan w:val="4"/>
                  <w:vAlign w:val="center"/>
                </w:tcPr>
                <w:p w14:paraId="6DE6CE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319DF4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7F426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C6F3A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9ED0F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F54C7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274FF1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4C280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36.83</w:t>
                  </w:r>
                </w:p>
              </w:tc>
            </w:tr>
            <w:tr w14:paraId="45DB1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5233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w:t>
                  </w:r>
                </w:p>
              </w:tc>
              <w:tc>
                <w:tcPr>
                  <w:tcW w:w="3641" w:type="dxa"/>
                  <w:gridSpan w:val="4"/>
                  <w:vAlign w:val="center"/>
                </w:tcPr>
                <w:p w14:paraId="6D6624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加固2号拦河坝</w:t>
                  </w:r>
                </w:p>
              </w:tc>
              <w:tc>
                <w:tcPr>
                  <w:tcW w:w="1028" w:type="dxa"/>
                  <w:gridSpan w:val="2"/>
                  <w:vAlign w:val="center"/>
                </w:tcPr>
                <w:p w14:paraId="5EE5B4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13B2CC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DD5D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5D53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4.3.1</w:t>
                  </w:r>
                </w:p>
              </w:tc>
              <w:tc>
                <w:tcPr>
                  <w:tcW w:w="3641" w:type="dxa"/>
                  <w:gridSpan w:val="4"/>
                  <w:vAlign w:val="center"/>
                </w:tcPr>
                <w:p w14:paraId="54E2A9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362E39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41814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53699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C45C7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0CD3E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D428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F0867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47.388</w:t>
                  </w:r>
                </w:p>
              </w:tc>
            </w:tr>
            <w:tr w14:paraId="2F4DB1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1061D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956A1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CA7C4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F67C4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426.492</w:t>
                  </w:r>
                </w:p>
              </w:tc>
            </w:tr>
            <w:tr w14:paraId="02387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9898A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AFDE2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364EE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0EBC2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402.8</w:t>
                  </w:r>
                </w:p>
              </w:tc>
            </w:tr>
            <w:tr w14:paraId="04274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8F0DD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CE1E9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19B8AB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DC9C6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281.96</w:t>
                  </w:r>
                </w:p>
              </w:tc>
            </w:tr>
            <w:tr w14:paraId="6CC31A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AA0C7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6308E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5A9B65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1F230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120.84</w:t>
                  </w:r>
                </w:p>
              </w:tc>
            </w:tr>
            <w:tr w14:paraId="08E6C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D1F01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4.3.2</w:t>
                  </w:r>
                </w:p>
              </w:tc>
              <w:tc>
                <w:tcPr>
                  <w:tcW w:w="3641" w:type="dxa"/>
                  <w:gridSpan w:val="4"/>
                  <w:vAlign w:val="center"/>
                </w:tcPr>
                <w:p w14:paraId="24C7D7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473C33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29BA5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5DA2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0C176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FCEA6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5A1E3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36CFB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1.35</w:t>
                  </w:r>
                </w:p>
              </w:tc>
            </w:tr>
            <w:tr w14:paraId="5439A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2AE2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BED90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0F926D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37D73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16.16</w:t>
                  </w:r>
                </w:p>
              </w:tc>
            </w:tr>
            <w:tr w14:paraId="1E0E1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F300F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39DF7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vAlign w:val="center"/>
                </w:tcPr>
                <w:p w14:paraId="02E2BC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2FD31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3.18</w:t>
                  </w:r>
                </w:p>
              </w:tc>
            </w:tr>
            <w:tr w14:paraId="3A7E0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0471B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F6EE7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浆砌石立墙</w:t>
                  </w:r>
                </w:p>
              </w:tc>
              <w:tc>
                <w:tcPr>
                  <w:tcW w:w="1028" w:type="dxa"/>
                  <w:gridSpan w:val="2"/>
                  <w:vAlign w:val="center"/>
                </w:tcPr>
                <w:p w14:paraId="50FFE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B1CCE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14.58</w:t>
                  </w:r>
                </w:p>
              </w:tc>
            </w:tr>
            <w:tr w14:paraId="42A67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47BCA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4.3.3</w:t>
                  </w:r>
                </w:p>
              </w:tc>
              <w:tc>
                <w:tcPr>
                  <w:tcW w:w="3641" w:type="dxa"/>
                  <w:gridSpan w:val="4"/>
                  <w:vAlign w:val="center"/>
                </w:tcPr>
                <w:p w14:paraId="08AC36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13062F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5059F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91F1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AFC42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FE06F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5E51D4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776DB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12.02</w:t>
                  </w:r>
                </w:p>
              </w:tc>
            </w:tr>
            <w:tr w14:paraId="7EF10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2342E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80AB6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28A14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04F83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25.53</w:t>
                  </w:r>
                </w:p>
              </w:tc>
            </w:tr>
            <w:tr w14:paraId="10A13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50BE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238118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混凝土凿毛</w:t>
                  </w:r>
                </w:p>
              </w:tc>
              <w:tc>
                <w:tcPr>
                  <w:tcW w:w="1028" w:type="dxa"/>
                  <w:gridSpan w:val="2"/>
                  <w:vAlign w:val="center"/>
                </w:tcPr>
                <w:p w14:paraId="331ED4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0C7122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54.88</w:t>
                  </w:r>
                </w:p>
              </w:tc>
            </w:tr>
            <w:tr w14:paraId="38CA8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2EAB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7B8F67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混凝土内植结构钢筋钢筋直径(</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)φ14</w:t>
                  </w:r>
                </w:p>
              </w:tc>
              <w:tc>
                <w:tcPr>
                  <w:tcW w:w="1028" w:type="dxa"/>
                  <w:gridSpan w:val="2"/>
                  <w:vAlign w:val="center"/>
                </w:tcPr>
                <w:p w14:paraId="28C489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1979" w:type="dxa"/>
                  <w:gridSpan w:val="3"/>
                  <w:vAlign w:val="center"/>
                </w:tcPr>
                <w:p w14:paraId="2CDD70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610</w:t>
                  </w:r>
                </w:p>
              </w:tc>
            </w:tr>
            <w:tr w14:paraId="2FF6DB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D150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1627A7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05A41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53E50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68.81</w:t>
                  </w:r>
                </w:p>
              </w:tc>
            </w:tr>
            <w:tr w14:paraId="64521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EF858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63CCD2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1664E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2330D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100.34</w:t>
                  </w:r>
                </w:p>
              </w:tc>
            </w:tr>
            <w:tr w14:paraId="0D108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4788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24FFD2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vAlign w:val="center"/>
                </w:tcPr>
                <w:p w14:paraId="62CB75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1B5A7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24.21</w:t>
                  </w:r>
                </w:p>
              </w:tc>
            </w:tr>
            <w:tr w14:paraId="04B3A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7D78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108D45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vAlign w:val="center"/>
                </w:tcPr>
                <w:p w14:paraId="4A67A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171A1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7.52</w:t>
                  </w:r>
                </w:p>
              </w:tc>
            </w:tr>
            <w:tr w14:paraId="50175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A6B78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05B344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vAlign w:val="center"/>
                </w:tcPr>
                <w:p w14:paraId="3E0F0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EF2A6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688FE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91435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64004E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vAlign w:val="center"/>
                </w:tcPr>
                <w:p w14:paraId="39B5E73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32DC34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10.15</w:t>
                  </w:r>
                </w:p>
              </w:tc>
            </w:tr>
            <w:tr w14:paraId="299B4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D003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0E6CFF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7CD416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10BC3E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7.24</w:t>
                  </w:r>
                </w:p>
              </w:tc>
            </w:tr>
            <w:tr w14:paraId="00BE6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EA301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41" w:type="dxa"/>
                  <w:gridSpan w:val="4"/>
                  <w:vAlign w:val="center"/>
                </w:tcPr>
                <w:p w14:paraId="3C9BC9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639C01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3767F8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237.94</w:t>
                  </w:r>
                </w:p>
              </w:tc>
            </w:tr>
            <w:tr w14:paraId="77F39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FE565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41" w:type="dxa"/>
                  <w:gridSpan w:val="4"/>
                  <w:vAlign w:val="center"/>
                </w:tcPr>
                <w:p w14:paraId="2051C8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484E1C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6E9F3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206.7</w:t>
                  </w:r>
                </w:p>
              </w:tc>
            </w:tr>
            <w:tr w14:paraId="70673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E2D77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4.3.4</w:t>
                  </w:r>
                </w:p>
              </w:tc>
              <w:tc>
                <w:tcPr>
                  <w:tcW w:w="3641" w:type="dxa"/>
                  <w:gridSpan w:val="4"/>
                  <w:vAlign w:val="center"/>
                </w:tcPr>
                <w:p w14:paraId="766E50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1F0A75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DAC47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BCBD5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CA12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A1F24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08783E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5749A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42.18</w:t>
                  </w:r>
                </w:p>
              </w:tc>
            </w:tr>
            <w:tr w14:paraId="30876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1A0F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w:t>
                  </w:r>
                </w:p>
              </w:tc>
              <w:tc>
                <w:tcPr>
                  <w:tcW w:w="3641" w:type="dxa"/>
                  <w:gridSpan w:val="4"/>
                  <w:vAlign w:val="center"/>
                </w:tcPr>
                <w:p w14:paraId="74F656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新建3号拦河坝</w:t>
                  </w:r>
                </w:p>
              </w:tc>
              <w:tc>
                <w:tcPr>
                  <w:tcW w:w="1028" w:type="dxa"/>
                  <w:gridSpan w:val="2"/>
                  <w:vAlign w:val="center"/>
                </w:tcPr>
                <w:p w14:paraId="3DD8F5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21821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73D74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9D2A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4.4.1</w:t>
                  </w:r>
                </w:p>
              </w:tc>
              <w:tc>
                <w:tcPr>
                  <w:tcW w:w="3641" w:type="dxa"/>
                  <w:gridSpan w:val="4"/>
                  <w:vAlign w:val="center"/>
                </w:tcPr>
                <w:p w14:paraId="7B495E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731CD9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8AF96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E9B0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49D6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C5236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11197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1A5B5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234.525</w:t>
                  </w:r>
                </w:p>
              </w:tc>
            </w:tr>
            <w:tr w14:paraId="2041F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82A84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09C87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D52F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8F1A0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2110.725</w:t>
                  </w:r>
                </w:p>
              </w:tc>
            </w:tr>
            <w:tr w14:paraId="75203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72D0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1D943D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7565C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23F94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1993.46</w:t>
                  </w:r>
                </w:p>
              </w:tc>
            </w:tr>
            <w:tr w14:paraId="43F5E1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701C1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17BCDB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2B008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3ADEC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1395.422</w:t>
                  </w:r>
                </w:p>
              </w:tc>
            </w:tr>
            <w:tr w14:paraId="7B918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5D7D9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B82D3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1F02D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4C754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598.038</w:t>
                  </w:r>
                </w:p>
              </w:tc>
            </w:tr>
            <w:tr w14:paraId="57C2D2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F54DA5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4.4.2</w:t>
                  </w:r>
                </w:p>
              </w:tc>
              <w:tc>
                <w:tcPr>
                  <w:tcW w:w="3641" w:type="dxa"/>
                  <w:gridSpan w:val="4"/>
                  <w:vAlign w:val="center"/>
                </w:tcPr>
                <w:p w14:paraId="2C311D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290C99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038A9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B590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1A656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E9791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59FDF6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920AA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r>
            <w:tr w14:paraId="3B7E4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DD77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D9895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1E285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32FA6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34.42</w:t>
                  </w:r>
                </w:p>
              </w:tc>
            </w:tr>
            <w:tr w14:paraId="4D6D4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C67A1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62F4F6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vAlign w:val="center"/>
                </w:tcPr>
                <w:p w14:paraId="0E3F8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1DAFF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r>
            <w:tr w14:paraId="2EF74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8A45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52E864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vAlign w:val="center"/>
                </w:tcPr>
                <w:p w14:paraId="111D7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4FA94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57.58</w:t>
                  </w:r>
                </w:p>
              </w:tc>
            </w:tr>
            <w:tr w14:paraId="65385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E33BC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4.4.3</w:t>
                  </w:r>
                </w:p>
              </w:tc>
              <w:tc>
                <w:tcPr>
                  <w:tcW w:w="3641" w:type="dxa"/>
                  <w:gridSpan w:val="4"/>
                  <w:vAlign w:val="center"/>
                </w:tcPr>
                <w:p w14:paraId="2C2981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64B159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05328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7BA0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1BC7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9B896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2B6D4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06CCD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15.66</w:t>
                  </w:r>
                </w:p>
              </w:tc>
            </w:tr>
            <w:tr w14:paraId="78B5A1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079DB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5FF39D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344A9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68316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44.96</w:t>
                  </w:r>
                </w:p>
              </w:tc>
            </w:tr>
            <w:tr w14:paraId="711E9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028BC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6B28CB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4E7D1F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BDDB6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169.88</w:t>
                  </w:r>
                </w:p>
              </w:tc>
            </w:tr>
            <w:tr w14:paraId="3BD61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8695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165B7F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0F728F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41488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198.68</w:t>
                  </w:r>
                </w:p>
              </w:tc>
            </w:tr>
            <w:tr w14:paraId="79490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BC00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71383F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vAlign w:val="center"/>
                </w:tcPr>
                <w:p w14:paraId="6AFEA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7646F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23.39</w:t>
                  </w:r>
                </w:p>
              </w:tc>
            </w:tr>
            <w:tr w14:paraId="1D539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4647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7590CA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vAlign w:val="center"/>
                </w:tcPr>
                <w:p w14:paraId="350DC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4A60E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9.91</w:t>
                  </w:r>
                </w:p>
              </w:tc>
            </w:tr>
            <w:tr w14:paraId="32790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80764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1E39E5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vAlign w:val="center"/>
                </w:tcPr>
                <w:p w14:paraId="0DD281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62CA5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05091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D326C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1CE47B7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vAlign w:val="center"/>
                </w:tcPr>
                <w:p w14:paraId="2A47BB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53766F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12.45</w:t>
                  </w:r>
                </w:p>
              </w:tc>
            </w:tr>
            <w:tr w14:paraId="1CAD90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6ECB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5C424A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1AD589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3E8608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16.99</w:t>
                  </w:r>
                </w:p>
              </w:tc>
            </w:tr>
            <w:tr w14:paraId="1E282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07CDC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1E2794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416518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A56CD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446.86</w:t>
                  </w:r>
                </w:p>
              </w:tc>
            </w:tr>
            <w:tr w14:paraId="5BE27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78281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11C8EF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51A135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58C3F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440.26</w:t>
                  </w:r>
                </w:p>
              </w:tc>
            </w:tr>
            <w:tr w14:paraId="64562E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0AB7B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4.4.4</w:t>
                  </w:r>
                </w:p>
              </w:tc>
              <w:tc>
                <w:tcPr>
                  <w:tcW w:w="3641" w:type="dxa"/>
                  <w:gridSpan w:val="4"/>
                  <w:vAlign w:val="center"/>
                </w:tcPr>
                <w:p w14:paraId="44F298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60B249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1BA8E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E292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146AD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D2A83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6F4654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20C3E7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85.95</w:t>
                  </w:r>
                </w:p>
              </w:tc>
            </w:tr>
            <w:tr w14:paraId="25311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8B8D8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c>
                <w:tcPr>
                  <w:tcW w:w="3641" w:type="dxa"/>
                  <w:gridSpan w:val="4"/>
                  <w:vAlign w:val="center"/>
                </w:tcPr>
                <w:p w14:paraId="7B496A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新建4号拦河坝</w:t>
                  </w:r>
                </w:p>
              </w:tc>
              <w:tc>
                <w:tcPr>
                  <w:tcW w:w="1028" w:type="dxa"/>
                  <w:gridSpan w:val="2"/>
                  <w:vAlign w:val="center"/>
                </w:tcPr>
                <w:p w14:paraId="2C701D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0CAD39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DAD60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6CBC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4.5.1</w:t>
                  </w:r>
                </w:p>
              </w:tc>
              <w:tc>
                <w:tcPr>
                  <w:tcW w:w="3641" w:type="dxa"/>
                  <w:gridSpan w:val="4"/>
                  <w:vAlign w:val="center"/>
                </w:tcPr>
                <w:p w14:paraId="6764B4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664F28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3FA57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8021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5E22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0AE50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01244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26414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299.033</w:t>
                  </w:r>
                </w:p>
              </w:tc>
            </w:tr>
            <w:tr w14:paraId="0F8E2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4741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4209F1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246A4D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5C9AD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2691.297</w:t>
                  </w:r>
                </w:p>
              </w:tc>
            </w:tr>
            <w:tr w14:paraId="32AD5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47A3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3022A4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4A56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AE792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2541.78</w:t>
                  </w:r>
                </w:p>
              </w:tc>
            </w:tr>
            <w:tr w14:paraId="036E4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1988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1006AF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25047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943D6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1779.246</w:t>
                  </w:r>
                </w:p>
              </w:tc>
            </w:tr>
            <w:tr w14:paraId="62E48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A04F2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AF223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3AC58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B0CDE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762.534</w:t>
                  </w:r>
                </w:p>
              </w:tc>
            </w:tr>
            <w:tr w14:paraId="77BDAA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3E529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4.5.2</w:t>
                  </w:r>
                </w:p>
              </w:tc>
              <w:tc>
                <w:tcPr>
                  <w:tcW w:w="3641" w:type="dxa"/>
                  <w:gridSpan w:val="4"/>
                  <w:vAlign w:val="center"/>
                </w:tcPr>
                <w:p w14:paraId="610AA5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7BAA06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6FB4F5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9424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13FC3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196A1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767C1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2E999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r>
            <w:tr w14:paraId="5D3C1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3DC5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285940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4DB06B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49A9C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40.96</w:t>
                  </w:r>
                </w:p>
              </w:tc>
            </w:tr>
            <w:tr w14:paraId="6106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830F5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97C34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vAlign w:val="center"/>
                </w:tcPr>
                <w:p w14:paraId="27FB42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C5238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5.67</w:t>
                  </w:r>
                </w:p>
              </w:tc>
            </w:tr>
            <w:tr w14:paraId="6AB75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EDEE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258D9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vAlign w:val="center"/>
                </w:tcPr>
                <w:p w14:paraId="3CB0D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CD3C1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62.16</w:t>
                  </w:r>
                </w:p>
              </w:tc>
            </w:tr>
            <w:tr w14:paraId="69FC1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344F1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4.5.3</w:t>
                  </w:r>
                </w:p>
              </w:tc>
              <w:tc>
                <w:tcPr>
                  <w:tcW w:w="3641" w:type="dxa"/>
                  <w:gridSpan w:val="4"/>
                  <w:vAlign w:val="center"/>
                </w:tcPr>
                <w:p w14:paraId="46EA28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4EED9B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0DDA3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1630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48482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706C5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01759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3E77B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17.73</w:t>
                  </w:r>
                </w:p>
              </w:tc>
            </w:tr>
            <w:tr w14:paraId="17094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F6F0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F862A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4FB703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33884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53.31</w:t>
                  </w:r>
                </w:p>
              </w:tc>
            </w:tr>
            <w:tr w14:paraId="1EEFF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5CBA7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353C4D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34155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AF8DF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206.39</w:t>
                  </w:r>
                </w:p>
              </w:tc>
            </w:tr>
            <w:tr w14:paraId="0B178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9A9D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D8C73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3E938F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A6F64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293.76</w:t>
                  </w:r>
                </w:p>
              </w:tc>
            </w:tr>
            <w:tr w14:paraId="5782D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5AF91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288AFB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vAlign w:val="center"/>
                </w:tcPr>
                <w:p w14:paraId="0B97B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A1576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27.85</w:t>
                  </w:r>
                </w:p>
              </w:tc>
            </w:tr>
            <w:tr w14:paraId="4B38D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AC582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0B3807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vAlign w:val="center"/>
                </w:tcPr>
                <w:p w14:paraId="33A63C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9EFB2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9.91</w:t>
                  </w:r>
                </w:p>
              </w:tc>
            </w:tr>
            <w:tr w14:paraId="03FC8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FEF44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46DB02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vAlign w:val="center"/>
                </w:tcPr>
                <w:p w14:paraId="46D2CA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A5818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2CF69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E2319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42A91E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vAlign w:val="center"/>
                </w:tcPr>
                <w:p w14:paraId="24BC8D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08F301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12.45</w:t>
                  </w:r>
                </w:p>
              </w:tc>
            </w:tr>
            <w:tr w14:paraId="3AA72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72A02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057B7D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12A2C6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599041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20.64</w:t>
                  </w:r>
                </w:p>
              </w:tc>
            </w:tr>
            <w:tr w14:paraId="0E9FD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90691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75B6BD9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064602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0FDE8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588.8</w:t>
                  </w:r>
                </w:p>
              </w:tc>
            </w:tr>
            <w:tr w14:paraId="51B63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A85D3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63CF50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576FB7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97E18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571.19</w:t>
                  </w:r>
                </w:p>
              </w:tc>
            </w:tr>
            <w:tr w14:paraId="3C31E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4232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4.5.4</w:t>
                  </w:r>
                </w:p>
              </w:tc>
              <w:tc>
                <w:tcPr>
                  <w:tcW w:w="3641" w:type="dxa"/>
                  <w:gridSpan w:val="4"/>
                  <w:vAlign w:val="center"/>
                </w:tcPr>
                <w:p w14:paraId="404306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66C2D2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052B0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10BE2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CF4B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115EC9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62AA3B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75A59E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102.32</w:t>
                  </w:r>
                </w:p>
              </w:tc>
            </w:tr>
            <w:tr w14:paraId="76E89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F5A7C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w:t>
                  </w:r>
                </w:p>
              </w:tc>
              <w:tc>
                <w:tcPr>
                  <w:tcW w:w="3641" w:type="dxa"/>
                  <w:gridSpan w:val="4"/>
                  <w:vAlign w:val="center"/>
                </w:tcPr>
                <w:p w14:paraId="0BB787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拆建桥涵</w:t>
                  </w:r>
                </w:p>
              </w:tc>
              <w:tc>
                <w:tcPr>
                  <w:tcW w:w="1028" w:type="dxa"/>
                  <w:gridSpan w:val="2"/>
                  <w:vAlign w:val="center"/>
                </w:tcPr>
                <w:p w14:paraId="06C0BFB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788405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E4FD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8BC3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w:t>
                  </w:r>
                </w:p>
              </w:tc>
              <w:tc>
                <w:tcPr>
                  <w:tcW w:w="3641" w:type="dxa"/>
                  <w:gridSpan w:val="4"/>
                  <w:vAlign w:val="center"/>
                </w:tcPr>
                <w:p w14:paraId="45BA2A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5552B2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14900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058B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98E9D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39A9B5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48DA75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36B76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433.444</w:t>
                  </w:r>
                </w:p>
              </w:tc>
            </w:tr>
            <w:tr w14:paraId="1DD30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646C8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C1DA4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5E9BE5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127AF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3900.996</w:t>
                  </w:r>
                </w:p>
              </w:tc>
            </w:tr>
            <w:tr w14:paraId="125C6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4F320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45166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6EEFAC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262EE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3684.27</w:t>
                  </w:r>
                </w:p>
              </w:tc>
            </w:tr>
            <w:tr w14:paraId="6D6C0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E571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6935B4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1B1EA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59F32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2578.989</w:t>
                  </w:r>
                </w:p>
              </w:tc>
            </w:tr>
            <w:tr w14:paraId="0817B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68C79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145F3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6B548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CB103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1105.281</w:t>
                  </w:r>
                </w:p>
              </w:tc>
            </w:tr>
            <w:tr w14:paraId="1383C6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A604D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4.6.2</w:t>
                  </w:r>
                </w:p>
              </w:tc>
              <w:tc>
                <w:tcPr>
                  <w:tcW w:w="3641" w:type="dxa"/>
                  <w:gridSpan w:val="4"/>
                  <w:vAlign w:val="center"/>
                </w:tcPr>
                <w:p w14:paraId="48878D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2DB0BF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5E5CF7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7DF4B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3446F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4C99F5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0328B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34007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21.38</w:t>
                  </w:r>
                </w:p>
              </w:tc>
            </w:tr>
            <w:tr w14:paraId="4269A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8FE6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7281E7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3E84F3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D6992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150.76</w:t>
                  </w:r>
                </w:p>
              </w:tc>
            </w:tr>
            <w:tr w14:paraId="73B7F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8D96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412B5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C30钢筋砼底板侧墙（含翼墙）</w:t>
                  </w:r>
                </w:p>
              </w:tc>
              <w:tc>
                <w:tcPr>
                  <w:tcW w:w="1028" w:type="dxa"/>
                  <w:gridSpan w:val="2"/>
                  <w:vAlign w:val="center"/>
                </w:tcPr>
                <w:p w14:paraId="7164B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B85E9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103.74</w:t>
                  </w:r>
                </w:p>
              </w:tc>
            </w:tr>
            <w:tr w14:paraId="53FEE2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0987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58947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C30砼顶板</w:t>
                  </w:r>
                </w:p>
              </w:tc>
              <w:tc>
                <w:tcPr>
                  <w:tcW w:w="1028" w:type="dxa"/>
                  <w:gridSpan w:val="2"/>
                  <w:vAlign w:val="center"/>
                </w:tcPr>
                <w:p w14:paraId="2DA9E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50D2F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114.19</w:t>
                  </w:r>
                </w:p>
              </w:tc>
            </w:tr>
            <w:tr w14:paraId="04DF1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2324B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AC150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vAlign w:val="center"/>
                </w:tcPr>
                <w:p w14:paraId="24133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B6467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183.55</w:t>
                  </w:r>
                </w:p>
              </w:tc>
            </w:tr>
            <w:tr w14:paraId="547908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E0F45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55AB43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钢筋网制作及安装</w:t>
                  </w:r>
                </w:p>
              </w:tc>
              <w:tc>
                <w:tcPr>
                  <w:tcW w:w="1028" w:type="dxa"/>
                  <w:gridSpan w:val="2"/>
                  <w:vAlign w:val="center"/>
                </w:tcPr>
                <w:p w14:paraId="58D215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42449F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r>
            <w:tr w14:paraId="63F72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1AD4F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0B43C5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4B7BD6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0D0FFB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36.87</w:t>
                  </w:r>
                </w:p>
              </w:tc>
            </w:tr>
            <w:tr w14:paraId="7F45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54C00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460012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63CA09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8E088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150.76</w:t>
                  </w:r>
                </w:p>
              </w:tc>
            </w:tr>
            <w:tr w14:paraId="02581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904E8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083CE1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31E0FF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296A5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172.14</w:t>
                  </w:r>
                </w:p>
              </w:tc>
            </w:tr>
            <w:tr w14:paraId="73305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BA80C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w:t>
                  </w:r>
                </w:p>
              </w:tc>
              <w:tc>
                <w:tcPr>
                  <w:tcW w:w="3641" w:type="dxa"/>
                  <w:gridSpan w:val="4"/>
                  <w:vAlign w:val="center"/>
                </w:tcPr>
                <w:p w14:paraId="64A2AD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2A52EF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0FA3B2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3605D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AC157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4.6.3.1</w:t>
                  </w:r>
                </w:p>
              </w:tc>
              <w:tc>
                <w:tcPr>
                  <w:tcW w:w="3641" w:type="dxa"/>
                  <w:gridSpan w:val="4"/>
                  <w:vAlign w:val="center"/>
                </w:tcPr>
                <w:p w14:paraId="769EEF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水泥混凝土路面恢复</w:t>
                  </w:r>
                </w:p>
              </w:tc>
              <w:tc>
                <w:tcPr>
                  <w:tcW w:w="1028" w:type="dxa"/>
                  <w:gridSpan w:val="2"/>
                  <w:vAlign w:val="center"/>
                </w:tcPr>
                <w:p w14:paraId="38B209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2BB16E4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0532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457C1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50155E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块石路基</w:t>
                  </w:r>
                </w:p>
              </w:tc>
              <w:tc>
                <w:tcPr>
                  <w:tcW w:w="1028" w:type="dxa"/>
                  <w:gridSpan w:val="2"/>
                  <w:vAlign w:val="center"/>
                </w:tcPr>
                <w:p w14:paraId="7EAE8E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3FAC2C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13.78</w:t>
                  </w:r>
                </w:p>
              </w:tc>
            </w:tr>
            <w:tr w14:paraId="67BC0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F2EB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0432AF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级配碎石</w:t>
                  </w:r>
                </w:p>
              </w:tc>
              <w:tc>
                <w:tcPr>
                  <w:tcW w:w="1028" w:type="dxa"/>
                  <w:gridSpan w:val="2"/>
                  <w:vAlign w:val="center"/>
                </w:tcPr>
                <w:p w14:paraId="55040A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19538A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55.12</w:t>
                  </w:r>
                </w:p>
              </w:tc>
            </w:tr>
            <w:tr w14:paraId="5C4ED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6D784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6A5AA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C30水泥砼</w:t>
                  </w:r>
                </w:p>
              </w:tc>
              <w:tc>
                <w:tcPr>
                  <w:tcW w:w="1028" w:type="dxa"/>
                  <w:gridSpan w:val="2"/>
                  <w:vAlign w:val="center"/>
                </w:tcPr>
                <w:p w14:paraId="3DE969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5D61BF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55.12</w:t>
                  </w:r>
                </w:p>
              </w:tc>
            </w:tr>
            <w:tr w14:paraId="46905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8A97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29989A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不锈钢栏杆</w:t>
                  </w:r>
                </w:p>
              </w:tc>
              <w:tc>
                <w:tcPr>
                  <w:tcW w:w="1028" w:type="dxa"/>
                  <w:gridSpan w:val="2"/>
                  <w:vAlign w:val="center"/>
                </w:tcPr>
                <w:p w14:paraId="233488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3B5476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90.29</w:t>
                  </w:r>
                </w:p>
              </w:tc>
            </w:tr>
            <w:tr w14:paraId="66D7D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7657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4.6.3.2</w:t>
                  </w:r>
                </w:p>
              </w:tc>
              <w:tc>
                <w:tcPr>
                  <w:tcW w:w="3641" w:type="dxa"/>
                  <w:gridSpan w:val="4"/>
                  <w:vAlign w:val="center"/>
                </w:tcPr>
                <w:p w14:paraId="62178E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拆除原建筑</w:t>
                  </w:r>
                </w:p>
              </w:tc>
              <w:tc>
                <w:tcPr>
                  <w:tcW w:w="1028" w:type="dxa"/>
                  <w:gridSpan w:val="2"/>
                  <w:vAlign w:val="center"/>
                </w:tcPr>
                <w:p w14:paraId="40CDE0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9" w:type="dxa"/>
                  <w:gridSpan w:val="3"/>
                  <w:vAlign w:val="center"/>
                </w:tcPr>
                <w:p w14:paraId="5C140F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38D2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DE14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3641" w:type="dxa"/>
                  <w:gridSpan w:val="4"/>
                  <w:vAlign w:val="center"/>
                </w:tcPr>
                <w:p w14:paraId="5F1234A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支流新建1号拦河坝</w:t>
                  </w:r>
                </w:p>
              </w:tc>
              <w:tc>
                <w:tcPr>
                  <w:tcW w:w="1028" w:type="dxa"/>
                  <w:gridSpan w:val="2"/>
                  <w:vAlign w:val="center"/>
                </w:tcPr>
                <w:p w14:paraId="06DFB8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979" w:type="dxa"/>
                  <w:gridSpan w:val="3"/>
                  <w:vAlign w:val="center"/>
                </w:tcPr>
                <w:p w14:paraId="396A5A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D790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43DDF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4.7.1</w:t>
                  </w:r>
                </w:p>
              </w:tc>
              <w:tc>
                <w:tcPr>
                  <w:tcW w:w="3641" w:type="dxa"/>
                  <w:gridSpan w:val="4"/>
                  <w:vAlign w:val="center"/>
                </w:tcPr>
                <w:p w14:paraId="578E65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28" w:type="dxa"/>
                  <w:gridSpan w:val="2"/>
                  <w:vAlign w:val="center"/>
                </w:tcPr>
                <w:p w14:paraId="40201E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D8BB5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CE92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E8CCA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366B1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0C4D68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FC5CE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116.805</w:t>
                  </w:r>
                </w:p>
              </w:tc>
            </w:tr>
            <w:tr w14:paraId="1262E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6D4E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60CA90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1C24C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A99EE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1051.245</w:t>
                  </w:r>
                </w:p>
              </w:tc>
            </w:tr>
            <w:tr w14:paraId="63A69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7C93D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54B0B4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28" w:type="dxa"/>
                  <w:gridSpan w:val="2"/>
                  <w:vAlign w:val="center"/>
                </w:tcPr>
                <w:p w14:paraId="7A5093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60047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992.84</w:t>
                  </w:r>
                </w:p>
              </w:tc>
            </w:tr>
            <w:tr w14:paraId="7568AB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5C3EA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42B061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28" w:type="dxa"/>
                  <w:gridSpan w:val="2"/>
                  <w:vAlign w:val="center"/>
                </w:tcPr>
                <w:p w14:paraId="1178F5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C6AB0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694.988</w:t>
                  </w:r>
                </w:p>
              </w:tc>
            </w:tr>
            <w:tr w14:paraId="75960F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8993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6AF2E9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28" w:type="dxa"/>
                  <w:gridSpan w:val="2"/>
                  <w:vAlign w:val="center"/>
                </w:tcPr>
                <w:p w14:paraId="739D4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BEEF7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297.852</w:t>
                  </w:r>
                </w:p>
              </w:tc>
            </w:tr>
            <w:tr w14:paraId="501FD9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CBB0E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4.7.2</w:t>
                  </w:r>
                </w:p>
              </w:tc>
              <w:tc>
                <w:tcPr>
                  <w:tcW w:w="3641" w:type="dxa"/>
                  <w:gridSpan w:val="4"/>
                  <w:vAlign w:val="center"/>
                </w:tcPr>
                <w:p w14:paraId="3012D9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砂石垫层及砌砖石工程</w:t>
                  </w:r>
                </w:p>
              </w:tc>
              <w:tc>
                <w:tcPr>
                  <w:tcW w:w="1028" w:type="dxa"/>
                  <w:gridSpan w:val="2"/>
                  <w:vAlign w:val="center"/>
                </w:tcPr>
                <w:p w14:paraId="5D2C53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707B6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448DE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83A4D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67E3CF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28" w:type="dxa"/>
                  <w:gridSpan w:val="2"/>
                  <w:vAlign w:val="center"/>
                </w:tcPr>
                <w:p w14:paraId="16DD19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6F967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r>
            <w:tr w14:paraId="5F161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3F85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124EF4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反滤层</w:t>
                  </w:r>
                </w:p>
              </w:tc>
              <w:tc>
                <w:tcPr>
                  <w:tcW w:w="1028" w:type="dxa"/>
                  <w:gridSpan w:val="2"/>
                  <w:vAlign w:val="center"/>
                </w:tcPr>
                <w:p w14:paraId="38D91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20EC60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8.24</w:t>
                  </w:r>
                </w:p>
              </w:tc>
            </w:tr>
            <w:tr w14:paraId="08BDB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8BF2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454976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块石汀步</w:t>
                  </w:r>
                </w:p>
              </w:tc>
              <w:tc>
                <w:tcPr>
                  <w:tcW w:w="1028" w:type="dxa"/>
                  <w:gridSpan w:val="2"/>
                  <w:vAlign w:val="center"/>
                </w:tcPr>
                <w:p w14:paraId="53636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9FE0F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r>
            <w:tr w14:paraId="1248C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52F97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25E9DC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浆砌石挡墙</w:t>
                  </w:r>
                </w:p>
              </w:tc>
              <w:tc>
                <w:tcPr>
                  <w:tcW w:w="1028" w:type="dxa"/>
                  <w:gridSpan w:val="2"/>
                  <w:vAlign w:val="center"/>
                </w:tcPr>
                <w:p w14:paraId="46EDAB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5B43F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53.22</w:t>
                  </w:r>
                </w:p>
              </w:tc>
            </w:tr>
            <w:tr w14:paraId="50180E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22A8D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4.7.3</w:t>
                  </w:r>
                </w:p>
              </w:tc>
              <w:tc>
                <w:tcPr>
                  <w:tcW w:w="3641" w:type="dxa"/>
                  <w:gridSpan w:val="4"/>
                  <w:vAlign w:val="center"/>
                </w:tcPr>
                <w:p w14:paraId="7C7CF6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28" w:type="dxa"/>
                  <w:gridSpan w:val="2"/>
                  <w:vAlign w:val="center"/>
                </w:tcPr>
                <w:p w14:paraId="5844DB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399316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54F6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E6AA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D8CA2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C25素砼格埂</w:t>
                  </w:r>
                </w:p>
              </w:tc>
              <w:tc>
                <w:tcPr>
                  <w:tcW w:w="1028" w:type="dxa"/>
                  <w:gridSpan w:val="2"/>
                  <w:vAlign w:val="center"/>
                </w:tcPr>
                <w:p w14:paraId="57C82D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7307EAB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7.36</w:t>
                  </w:r>
                </w:p>
              </w:tc>
            </w:tr>
            <w:tr w14:paraId="1D5F8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3F8C7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41" w:type="dxa"/>
                  <w:gridSpan w:val="4"/>
                  <w:vAlign w:val="center"/>
                </w:tcPr>
                <w:p w14:paraId="350B035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C25素砼垫层</w:t>
                  </w:r>
                </w:p>
              </w:tc>
              <w:tc>
                <w:tcPr>
                  <w:tcW w:w="1028" w:type="dxa"/>
                  <w:gridSpan w:val="2"/>
                  <w:vAlign w:val="center"/>
                </w:tcPr>
                <w:p w14:paraId="4B773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4974F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11.71</w:t>
                  </w:r>
                </w:p>
              </w:tc>
            </w:tr>
            <w:tr w14:paraId="2AE7D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26489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41" w:type="dxa"/>
                  <w:gridSpan w:val="4"/>
                  <w:vAlign w:val="center"/>
                </w:tcPr>
                <w:p w14:paraId="7F6D5F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C30钢筋砼底板</w:t>
                  </w:r>
                </w:p>
              </w:tc>
              <w:tc>
                <w:tcPr>
                  <w:tcW w:w="1028" w:type="dxa"/>
                  <w:gridSpan w:val="2"/>
                  <w:vAlign w:val="center"/>
                </w:tcPr>
                <w:p w14:paraId="69D03F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1F6289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46.33</w:t>
                  </w:r>
                </w:p>
              </w:tc>
            </w:tr>
            <w:tr w14:paraId="37C57F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DDF7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41" w:type="dxa"/>
                  <w:gridSpan w:val="4"/>
                  <w:vAlign w:val="center"/>
                </w:tcPr>
                <w:p w14:paraId="04F598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C25毛石砼底板</w:t>
                  </w:r>
                </w:p>
              </w:tc>
              <w:tc>
                <w:tcPr>
                  <w:tcW w:w="1028" w:type="dxa"/>
                  <w:gridSpan w:val="2"/>
                  <w:vAlign w:val="center"/>
                </w:tcPr>
                <w:p w14:paraId="7CA3D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0B737D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47.65</w:t>
                  </w:r>
                </w:p>
              </w:tc>
            </w:tr>
            <w:tr w14:paraId="06896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CD743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41" w:type="dxa"/>
                  <w:gridSpan w:val="4"/>
                  <w:vAlign w:val="center"/>
                </w:tcPr>
                <w:p w14:paraId="3F6A6D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9水泥土回填</w:t>
                  </w:r>
                </w:p>
              </w:tc>
              <w:tc>
                <w:tcPr>
                  <w:tcW w:w="1028" w:type="dxa"/>
                  <w:gridSpan w:val="2"/>
                  <w:vAlign w:val="center"/>
                </w:tcPr>
                <w:p w14:paraId="0F44D8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B86C1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5.57</w:t>
                  </w:r>
                </w:p>
              </w:tc>
            </w:tr>
            <w:tr w14:paraId="3944D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95E0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41" w:type="dxa"/>
                  <w:gridSpan w:val="4"/>
                  <w:vAlign w:val="center"/>
                </w:tcPr>
                <w:p w14:paraId="0E49E8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C25素砼基础</w:t>
                  </w:r>
                </w:p>
              </w:tc>
              <w:tc>
                <w:tcPr>
                  <w:tcW w:w="1028" w:type="dxa"/>
                  <w:gridSpan w:val="2"/>
                  <w:vAlign w:val="center"/>
                </w:tcPr>
                <w:p w14:paraId="12D6CF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5CEB0C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w:t>
                  </w:r>
                </w:p>
              </w:tc>
            </w:tr>
            <w:tr w14:paraId="46769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6682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41" w:type="dxa"/>
                  <w:gridSpan w:val="4"/>
                  <w:vAlign w:val="center"/>
                </w:tcPr>
                <w:p w14:paraId="3C83AD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C25素砼压顶</w:t>
                  </w:r>
                </w:p>
              </w:tc>
              <w:tc>
                <w:tcPr>
                  <w:tcW w:w="1028" w:type="dxa"/>
                  <w:gridSpan w:val="2"/>
                  <w:vAlign w:val="center"/>
                </w:tcPr>
                <w:p w14:paraId="23BFB9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6EF50E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1.17</w:t>
                  </w:r>
                </w:p>
              </w:tc>
            </w:tr>
            <w:tr w14:paraId="59535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B020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41" w:type="dxa"/>
                  <w:gridSpan w:val="4"/>
                  <w:vAlign w:val="center"/>
                </w:tcPr>
                <w:p w14:paraId="02D4DE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Φ75PVC排水管</w:t>
                  </w:r>
                </w:p>
              </w:tc>
              <w:tc>
                <w:tcPr>
                  <w:tcW w:w="1028" w:type="dxa"/>
                  <w:gridSpan w:val="2"/>
                  <w:vAlign w:val="center"/>
                </w:tcPr>
                <w:p w14:paraId="439BD9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9" w:type="dxa"/>
                  <w:gridSpan w:val="3"/>
                  <w:vAlign w:val="center"/>
                </w:tcPr>
                <w:p w14:paraId="626FCE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13.23</w:t>
                  </w:r>
                </w:p>
              </w:tc>
            </w:tr>
            <w:tr w14:paraId="0DE72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AF74F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41" w:type="dxa"/>
                  <w:gridSpan w:val="4"/>
                  <w:vAlign w:val="center"/>
                </w:tcPr>
                <w:p w14:paraId="058D6F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钢筋制安</w:t>
                  </w:r>
                </w:p>
              </w:tc>
              <w:tc>
                <w:tcPr>
                  <w:tcW w:w="1028" w:type="dxa"/>
                  <w:gridSpan w:val="2"/>
                  <w:vAlign w:val="center"/>
                </w:tcPr>
                <w:p w14:paraId="0E97D0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9" w:type="dxa"/>
                  <w:gridSpan w:val="3"/>
                  <w:vAlign w:val="center"/>
                </w:tcPr>
                <w:p w14:paraId="488BA96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4.63</w:t>
                  </w:r>
                </w:p>
              </w:tc>
            </w:tr>
            <w:tr w14:paraId="541E1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0DFD0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41" w:type="dxa"/>
                  <w:gridSpan w:val="4"/>
                  <w:vAlign w:val="center"/>
                </w:tcPr>
                <w:p w14:paraId="2F2FF6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模板制安</w:t>
                  </w:r>
                </w:p>
              </w:tc>
              <w:tc>
                <w:tcPr>
                  <w:tcW w:w="1028" w:type="dxa"/>
                  <w:gridSpan w:val="2"/>
                  <w:vAlign w:val="center"/>
                </w:tcPr>
                <w:p w14:paraId="6F8868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65A89C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130.78</w:t>
                  </w:r>
                </w:p>
              </w:tc>
            </w:tr>
            <w:tr w14:paraId="0F0E63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270C0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41" w:type="dxa"/>
                  <w:gridSpan w:val="4"/>
                  <w:vAlign w:val="center"/>
                </w:tcPr>
                <w:p w14:paraId="793711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28" w:type="dxa"/>
                  <w:gridSpan w:val="2"/>
                  <w:vAlign w:val="center"/>
                </w:tcPr>
                <w:p w14:paraId="41DD57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979" w:type="dxa"/>
                  <w:gridSpan w:val="3"/>
                  <w:vAlign w:val="center"/>
                </w:tcPr>
                <w:p w14:paraId="47D096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113.05</w:t>
                  </w:r>
                </w:p>
              </w:tc>
            </w:tr>
            <w:tr w14:paraId="22C129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97285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4.7.4</w:t>
                  </w:r>
                </w:p>
              </w:tc>
              <w:tc>
                <w:tcPr>
                  <w:tcW w:w="3641" w:type="dxa"/>
                  <w:gridSpan w:val="4"/>
                  <w:vAlign w:val="center"/>
                </w:tcPr>
                <w:p w14:paraId="090CBF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28" w:type="dxa"/>
                  <w:gridSpan w:val="2"/>
                  <w:vAlign w:val="center"/>
                </w:tcPr>
                <w:p w14:paraId="5BBAD1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43DB03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8D532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1538A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2B2A46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土工布</w:t>
                  </w:r>
                </w:p>
              </w:tc>
              <w:tc>
                <w:tcPr>
                  <w:tcW w:w="1028" w:type="dxa"/>
                  <w:gridSpan w:val="2"/>
                  <w:vAlign w:val="center"/>
                </w:tcPr>
                <w:p w14:paraId="286E14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979" w:type="dxa"/>
                  <w:gridSpan w:val="3"/>
                  <w:vAlign w:val="center"/>
                </w:tcPr>
                <w:p w14:paraId="48A4E9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20.46</w:t>
                  </w:r>
                </w:p>
              </w:tc>
            </w:tr>
            <w:tr w14:paraId="66210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69BA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w:t>
                  </w:r>
                </w:p>
              </w:tc>
              <w:tc>
                <w:tcPr>
                  <w:tcW w:w="3641" w:type="dxa"/>
                  <w:gridSpan w:val="4"/>
                  <w:vAlign w:val="center"/>
                </w:tcPr>
                <w:p w14:paraId="6171AC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28" w:type="dxa"/>
                  <w:gridSpan w:val="2"/>
                  <w:vAlign w:val="center"/>
                </w:tcPr>
                <w:p w14:paraId="59B161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6B49F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716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9856C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41" w:type="dxa"/>
                  <w:gridSpan w:val="4"/>
                  <w:vAlign w:val="center"/>
                </w:tcPr>
                <w:p w14:paraId="7CBE38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工程标志牌、警示牌</w:t>
                  </w:r>
                </w:p>
              </w:tc>
              <w:tc>
                <w:tcPr>
                  <w:tcW w:w="1028" w:type="dxa"/>
                  <w:gridSpan w:val="2"/>
                  <w:vAlign w:val="center"/>
                </w:tcPr>
                <w:p w14:paraId="61A5CD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个</w:t>
                  </w:r>
                </w:p>
              </w:tc>
              <w:tc>
                <w:tcPr>
                  <w:tcW w:w="1979" w:type="dxa"/>
                  <w:gridSpan w:val="3"/>
                  <w:vAlign w:val="center"/>
                </w:tcPr>
                <w:p w14:paraId="5E8AF9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8173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9A41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641" w:type="dxa"/>
                  <w:gridSpan w:val="4"/>
                  <w:vAlign w:val="center"/>
                </w:tcPr>
                <w:p w14:paraId="698BC4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第二部分 机电设备及安装工程</w:t>
                  </w:r>
                </w:p>
              </w:tc>
              <w:tc>
                <w:tcPr>
                  <w:tcW w:w="1028" w:type="dxa"/>
                  <w:gridSpan w:val="2"/>
                  <w:vAlign w:val="center"/>
                </w:tcPr>
                <w:p w14:paraId="4C710D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7ACEB2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CDBBF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B4C20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w:t>
                  </w:r>
                </w:p>
              </w:tc>
              <w:tc>
                <w:tcPr>
                  <w:tcW w:w="3641" w:type="dxa"/>
                  <w:gridSpan w:val="4"/>
                  <w:vAlign w:val="center"/>
                </w:tcPr>
                <w:p w14:paraId="63F33C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信息化设备</w:t>
                  </w:r>
                </w:p>
              </w:tc>
              <w:tc>
                <w:tcPr>
                  <w:tcW w:w="1028" w:type="dxa"/>
                  <w:gridSpan w:val="2"/>
                  <w:vAlign w:val="center"/>
                </w:tcPr>
                <w:p w14:paraId="53C04C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9" w:type="dxa"/>
                  <w:gridSpan w:val="3"/>
                  <w:vAlign w:val="center"/>
                </w:tcPr>
                <w:p w14:paraId="1C43D9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3D33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DA30C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vAlign w:val="center"/>
                </w:tcPr>
                <w:p w14:paraId="34B2E7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河道沿线摄像机建设</w:t>
                  </w:r>
                </w:p>
              </w:tc>
              <w:tc>
                <w:tcPr>
                  <w:tcW w:w="1033" w:type="dxa"/>
                  <w:gridSpan w:val="4"/>
                  <w:vAlign w:val="center"/>
                </w:tcPr>
                <w:p w14:paraId="21A110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56F906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3B8D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B4919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14944A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室外4G高清红外网络球型摄像机</w:t>
                  </w:r>
                </w:p>
              </w:tc>
              <w:tc>
                <w:tcPr>
                  <w:tcW w:w="1033" w:type="dxa"/>
                  <w:gridSpan w:val="4"/>
                  <w:vAlign w:val="center"/>
                </w:tcPr>
                <w:p w14:paraId="252356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34E3C7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3F91E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5AD14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6920B0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配套附件含设备箱、内存卡、摄像机支架、防雷器</w:t>
                  </w:r>
                </w:p>
              </w:tc>
              <w:tc>
                <w:tcPr>
                  <w:tcW w:w="1033" w:type="dxa"/>
                  <w:gridSpan w:val="4"/>
                  <w:vAlign w:val="center"/>
                </w:tcPr>
                <w:p w14:paraId="7DC82A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张</w:t>
                  </w:r>
                </w:p>
              </w:tc>
              <w:tc>
                <w:tcPr>
                  <w:tcW w:w="1976" w:type="dxa"/>
                  <w:gridSpan w:val="2"/>
                  <w:vAlign w:val="center"/>
                </w:tcPr>
                <w:p w14:paraId="551FA5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50ADA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56C18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5080FC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监控立杆（含土建及安装等）</w:t>
                  </w:r>
                </w:p>
              </w:tc>
              <w:tc>
                <w:tcPr>
                  <w:tcW w:w="1033" w:type="dxa"/>
                  <w:gridSpan w:val="4"/>
                  <w:vAlign w:val="center"/>
                </w:tcPr>
                <w:p w14:paraId="3360E8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5D966F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787D1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28B77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3C24C6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太阳能供电系统</w:t>
                  </w:r>
                </w:p>
              </w:tc>
              <w:tc>
                <w:tcPr>
                  <w:tcW w:w="1033" w:type="dxa"/>
                  <w:gridSpan w:val="4"/>
                  <w:vAlign w:val="center"/>
                </w:tcPr>
                <w:p w14:paraId="032080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B7538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57AF56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5FD269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49BFD4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vAlign w:val="center"/>
                </w:tcPr>
                <w:p w14:paraId="428BCF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02D5D9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5B2AA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575FB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8" w:type="dxa"/>
                  <w:gridSpan w:val="2"/>
                  <w:vAlign w:val="center"/>
                </w:tcPr>
                <w:p w14:paraId="19936E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河道水文站</w:t>
                  </w:r>
                </w:p>
              </w:tc>
              <w:tc>
                <w:tcPr>
                  <w:tcW w:w="1033" w:type="dxa"/>
                  <w:gridSpan w:val="4"/>
                  <w:vAlign w:val="center"/>
                </w:tcPr>
                <w:p w14:paraId="27F776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07BE7A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D3C6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F4F5B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62EE9A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雷达水位计</w:t>
                  </w:r>
                </w:p>
              </w:tc>
              <w:tc>
                <w:tcPr>
                  <w:tcW w:w="1033" w:type="dxa"/>
                  <w:gridSpan w:val="4"/>
                  <w:vAlign w:val="center"/>
                </w:tcPr>
                <w:p w14:paraId="2E7265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CB0A3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22A4D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86319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1EBB21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RTU遥测终端机</w:t>
                  </w:r>
                </w:p>
              </w:tc>
              <w:tc>
                <w:tcPr>
                  <w:tcW w:w="1033" w:type="dxa"/>
                  <w:gridSpan w:val="4"/>
                  <w:vAlign w:val="center"/>
                </w:tcPr>
                <w:p w14:paraId="47D564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2258F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2E2CEB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5795C2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080789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立杆</w:t>
                  </w:r>
                </w:p>
              </w:tc>
              <w:tc>
                <w:tcPr>
                  <w:tcW w:w="1033" w:type="dxa"/>
                  <w:gridSpan w:val="4"/>
                  <w:vAlign w:val="center"/>
                </w:tcPr>
                <w:p w14:paraId="25809F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492EB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0CB1B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BAB6D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405E92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太阳能供电系统</w:t>
                  </w:r>
                </w:p>
              </w:tc>
              <w:tc>
                <w:tcPr>
                  <w:tcW w:w="1033" w:type="dxa"/>
                  <w:gridSpan w:val="4"/>
                  <w:vAlign w:val="center"/>
                </w:tcPr>
                <w:p w14:paraId="1B0CF4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1BE638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6DC205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8D590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7625A7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vAlign w:val="center"/>
                </w:tcPr>
                <w:p w14:paraId="036521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72E69C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r>
            <w:tr w14:paraId="528460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F7BA6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28" w:type="dxa"/>
                  <w:gridSpan w:val="2"/>
                  <w:vAlign w:val="center"/>
                </w:tcPr>
                <w:p w14:paraId="75C754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雨量站</w:t>
                  </w:r>
                </w:p>
              </w:tc>
              <w:tc>
                <w:tcPr>
                  <w:tcW w:w="1033" w:type="dxa"/>
                  <w:gridSpan w:val="4"/>
                  <w:vAlign w:val="center"/>
                </w:tcPr>
                <w:p w14:paraId="7C5807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0B3803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FEC0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CCCEE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096C43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翻斗式雨量计</w:t>
                  </w:r>
                </w:p>
              </w:tc>
              <w:tc>
                <w:tcPr>
                  <w:tcW w:w="1033" w:type="dxa"/>
                  <w:gridSpan w:val="4"/>
                  <w:vAlign w:val="center"/>
                </w:tcPr>
                <w:p w14:paraId="252230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0D1A8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2486B4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797FA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77CDD3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太阳能供电系统</w:t>
                  </w:r>
                </w:p>
              </w:tc>
              <w:tc>
                <w:tcPr>
                  <w:tcW w:w="1033" w:type="dxa"/>
                  <w:gridSpan w:val="4"/>
                  <w:vAlign w:val="center"/>
                </w:tcPr>
                <w:p w14:paraId="5AA32A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00033A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4D42D3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B4EA7D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681309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vAlign w:val="center"/>
                </w:tcPr>
                <w:p w14:paraId="5A8104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6C0E88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757D08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26E27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28" w:type="dxa"/>
                  <w:gridSpan w:val="2"/>
                  <w:vAlign w:val="center"/>
                </w:tcPr>
                <w:p w14:paraId="3D298A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河道二线能坡法测流系统</w:t>
                  </w:r>
                </w:p>
              </w:tc>
              <w:tc>
                <w:tcPr>
                  <w:tcW w:w="1033" w:type="dxa"/>
                  <w:gridSpan w:val="4"/>
                  <w:vAlign w:val="center"/>
                </w:tcPr>
                <w:p w14:paraId="76DC83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11A211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23BC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75F3B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62BFB9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声学多普勒流速剖面仪（V-ADCP）</w:t>
                  </w:r>
                </w:p>
              </w:tc>
              <w:tc>
                <w:tcPr>
                  <w:tcW w:w="1033" w:type="dxa"/>
                  <w:gridSpan w:val="4"/>
                  <w:vAlign w:val="center"/>
                </w:tcPr>
                <w:p w14:paraId="1E5833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59EDDC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55234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5910A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341A48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水下支撑系统（具有沉浮功能）</w:t>
                  </w:r>
                </w:p>
              </w:tc>
              <w:tc>
                <w:tcPr>
                  <w:tcW w:w="1033" w:type="dxa"/>
                  <w:gridSpan w:val="4"/>
                  <w:vAlign w:val="center"/>
                </w:tcPr>
                <w:p w14:paraId="387C15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0A0095C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33D43A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9AD3A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4AC29C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流速流量计算软件</w:t>
                  </w:r>
                </w:p>
              </w:tc>
              <w:tc>
                <w:tcPr>
                  <w:tcW w:w="1033" w:type="dxa"/>
                  <w:gridSpan w:val="4"/>
                  <w:vAlign w:val="center"/>
                </w:tcPr>
                <w:p w14:paraId="547805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A24F5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273C2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AEEB9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530CB2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浮子水位计</w:t>
                  </w:r>
                </w:p>
              </w:tc>
              <w:tc>
                <w:tcPr>
                  <w:tcW w:w="1033" w:type="dxa"/>
                  <w:gridSpan w:val="4"/>
                  <w:vAlign w:val="center"/>
                </w:tcPr>
                <w:p w14:paraId="49A811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48B945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3CB12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75FF1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7CEC98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信号避雷器</w:t>
                  </w:r>
                </w:p>
              </w:tc>
              <w:tc>
                <w:tcPr>
                  <w:tcW w:w="1033" w:type="dxa"/>
                  <w:gridSpan w:val="4"/>
                  <w:vAlign w:val="center"/>
                </w:tcPr>
                <w:p w14:paraId="064199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0E91BD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4B1B7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14049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vAlign w:val="center"/>
                </w:tcPr>
                <w:p w14:paraId="737CE8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保护套管、气管</w:t>
                  </w:r>
                </w:p>
              </w:tc>
              <w:tc>
                <w:tcPr>
                  <w:tcW w:w="1033" w:type="dxa"/>
                  <w:gridSpan w:val="4"/>
                  <w:vAlign w:val="center"/>
                </w:tcPr>
                <w:p w14:paraId="605D17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650091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446A1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D72B1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vAlign w:val="center"/>
                </w:tcPr>
                <w:p w14:paraId="61AABE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信号线缆防水接头</w:t>
                  </w:r>
                </w:p>
              </w:tc>
              <w:tc>
                <w:tcPr>
                  <w:tcW w:w="1033" w:type="dxa"/>
                  <w:gridSpan w:val="4"/>
                  <w:vAlign w:val="center"/>
                </w:tcPr>
                <w:p w14:paraId="47ED54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1976" w:type="dxa"/>
                  <w:gridSpan w:val="2"/>
                  <w:vAlign w:val="center"/>
                </w:tcPr>
                <w:p w14:paraId="18A234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756E6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1AAC90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vAlign w:val="center"/>
                </w:tcPr>
                <w:p w14:paraId="1C2560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信号线缆</w:t>
                  </w:r>
                </w:p>
              </w:tc>
              <w:tc>
                <w:tcPr>
                  <w:tcW w:w="1033" w:type="dxa"/>
                  <w:gridSpan w:val="4"/>
                  <w:vAlign w:val="center"/>
                </w:tcPr>
                <w:p w14:paraId="0C5076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289C57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7FE1C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DB322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28" w:type="dxa"/>
                  <w:gridSpan w:val="2"/>
                  <w:vAlign w:val="center"/>
                </w:tcPr>
                <w:p w14:paraId="6E90FE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遥测终端机</w:t>
                  </w:r>
                </w:p>
              </w:tc>
              <w:tc>
                <w:tcPr>
                  <w:tcW w:w="1033" w:type="dxa"/>
                  <w:gridSpan w:val="4"/>
                  <w:vAlign w:val="center"/>
                </w:tcPr>
                <w:p w14:paraId="0986CA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08C39D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7C46D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83E44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28" w:type="dxa"/>
                  <w:gridSpan w:val="2"/>
                  <w:vAlign w:val="center"/>
                </w:tcPr>
                <w:p w14:paraId="3DB840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设备箱</w:t>
                  </w:r>
                </w:p>
              </w:tc>
              <w:tc>
                <w:tcPr>
                  <w:tcW w:w="1033" w:type="dxa"/>
                  <w:gridSpan w:val="4"/>
                  <w:vAlign w:val="center"/>
                </w:tcPr>
                <w:p w14:paraId="30EF7B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571E0D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715E4B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04E7C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vAlign w:val="center"/>
                </w:tcPr>
                <w:p w14:paraId="6FFF17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通信费用</w:t>
                  </w:r>
                </w:p>
              </w:tc>
              <w:tc>
                <w:tcPr>
                  <w:tcW w:w="1033" w:type="dxa"/>
                  <w:gridSpan w:val="4"/>
                  <w:vAlign w:val="center"/>
                </w:tcPr>
                <w:p w14:paraId="558779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605464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5A0F7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B61D8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3628" w:type="dxa"/>
                  <w:gridSpan w:val="2"/>
                  <w:vAlign w:val="center"/>
                </w:tcPr>
                <w:p w14:paraId="607324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平台对接及后端设备</w:t>
                  </w:r>
                </w:p>
              </w:tc>
              <w:tc>
                <w:tcPr>
                  <w:tcW w:w="1033" w:type="dxa"/>
                  <w:gridSpan w:val="4"/>
                  <w:vAlign w:val="center"/>
                </w:tcPr>
                <w:p w14:paraId="58BECC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3F2B41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04C6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A46FB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21425E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平台对接费</w:t>
                  </w:r>
                </w:p>
              </w:tc>
              <w:tc>
                <w:tcPr>
                  <w:tcW w:w="1033" w:type="dxa"/>
                  <w:gridSpan w:val="4"/>
                  <w:vAlign w:val="center"/>
                </w:tcPr>
                <w:p w14:paraId="60733D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258B655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0F4E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ED0E5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3ECFC2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视频服务器</w:t>
                  </w:r>
                </w:p>
              </w:tc>
              <w:tc>
                <w:tcPr>
                  <w:tcW w:w="1033" w:type="dxa"/>
                  <w:gridSpan w:val="4"/>
                  <w:vAlign w:val="center"/>
                </w:tcPr>
                <w:p w14:paraId="24A783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7E138B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EAE29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A16EF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4B3CDF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交换机及网络设备等</w:t>
                  </w:r>
                </w:p>
              </w:tc>
              <w:tc>
                <w:tcPr>
                  <w:tcW w:w="1033" w:type="dxa"/>
                  <w:gridSpan w:val="4"/>
                  <w:vAlign w:val="center"/>
                </w:tcPr>
                <w:p w14:paraId="34063E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121F59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12FB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F1747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6E52D5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自动化控制</w:t>
                  </w:r>
                </w:p>
              </w:tc>
              <w:tc>
                <w:tcPr>
                  <w:tcW w:w="1033" w:type="dxa"/>
                  <w:gridSpan w:val="4"/>
                  <w:vAlign w:val="center"/>
                </w:tcPr>
                <w:p w14:paraId="73FDAF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75C95D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00AF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ED188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3628" w:type="dxa"/>
                  <w:gridSpan w:val="2"/>
                  <w:vAlign w:val="center"/>
                </w:tcPr>
                <w:p w14:paraId="0C1935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主控机设备</w:t>
                  </w:r>
                </w:p>
              </w:tc>
              <w:tc>
                <w:tcPr>
                  <w:tcW w:w="1033" w:type="dxa"/>
                  <w:gridSpan w:val="4"/>
                  <w:vAlign w:val="center"/>
                </w:tcPr>
                <w:p w14:paraId="48ED0A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54BB7C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AFE1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4D350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62C61B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工控操作员工作站</w:t>
                  </w:r>
                </w:p>
              </w:tc>
              <w:tc>
                <w:tcPr>
                  <w:tcW w:w="1033" w:type="dxa"/>
                  <w:gridSpan w:val="4"/>
                  <w:vAlign w:val="center"/>
                </w:tcPr>
                <w:p w14:paraId="1166B3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59345F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B655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19BC6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1B8FC9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工控数据库兼通信服务器</w:t>
                  </w:r>
                </w:p>
              </w:tc>
              <w:tc>
                <w:tcPr>
                  <w:tcW w:w="1033" w:type="dxa"/>
                  <w:gridSpan w:val="4"/>
                  <w:vAlign w:val="center"/>
                </w:tcPr>
                <w:p w14:paraId="78FF71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27B171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56EB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187F3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702661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27英寸LED液晶显示器</w:t>
                  </w:r>
                </w:p>
              </w:tc>
              <w:tc>
                <w:tcPr>
                  <w:tcW w:w="1033" w:type="dxa"/>
                  <w:gridSpan w:val="4"/>
                  <w:vAlign w:val="center"/>
                </w:tcPr>
                <w:p w14:paraId="7E1E4F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06B309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1528BE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6F6CD2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5A5BA9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通信管理机</w:t>
                  </w:r>
                </w:p>
              </w:tc>
              <w:tc>
                <w:tcPr>
                  <w:tcW w:w="1033" w:type="dxa"/>
                  <w:gridSpan w:val="4"/>
                  <w:vAlign w:val="center"/>
                </w:tcPr>
                <w:p w14:paraId="5AA76E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012171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16D9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5D05B0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2B4798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系统应用软件</w:t>
                  </w:r>
                </w:p>
              </w:tc>
              <w:tc>
                <w:tcPr>
                  <w:tcW w:w="1033" w:type="dxa"/>
                  <w:gridSpan w:val="4"/>
                  <w:vAlign w:val="center"/>
                </w:tcPr>
                <w:p w14:paraId="15966A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50AE820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91ACD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DB78FD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vAlign w:val="center"/>
                </w:tcPr>
                <w:p w14:paraId="3CBD0B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数据库软件</w:t>
                  </w:r>
                </w:p>
              </w:tc>
              <w:tc>
                <w:tcPr>
                  <w:tcW w:w="1033" w:type="dxa"/>
                  <w:gridSpan w:val="4"/>
                  <w:vAlign w:val="center"/>
                </w:tcPr>
                <w:p w14:paraId="2BF5D7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5F88E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DDEF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65EA3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vAlign w:val="center"/>
                </w:tcPr>
                <w:p w14:paraId="11A7694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工业监控组态软件（完全版）</w:t>
                  </w:r>
                </w:p>
              </w:tc>
              <w:tc>
                <w:tcPr>
                  <w:tcW w:w="1033" w:type="dxa"/>
                  <w:gridSpan w:val="4"/>
                  <w:vAlign w:val="center"/>
                </w:tcPr>
                <w:p w14:paraId="0A7BAA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07528E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B422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83B54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vAlign w:val="center"/>
                </w:tcPr>
                <w:p w14:paraId="00C542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工业监控组态软件（运行版）</w:t>
                  </w:r>
                </w:p>
              </w:tc>
              <w:tc>
                <w:tcPr>
                  <w:tcW w:w="1033" w:type="dxa"/>
                  <w:gridSpan w:val="4"/>
                  <w:vAlign w:val="center"/>
                </w:tcPr>
                <w:p w14:paraId="10E8BB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15EE73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B805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7C565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28" w:type="dxa"/>
                  <w:gridSpan w:val="2"/>
                  <w:vAlign w:val="center"/>
                </w:tcPr>
                <w:p w14:paraId="00C55C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核心交换机</w:t>
                  </w:r>
                </w:p>
              </w:tc>
              <w:tc>
                <w:tcPr>
                  <w:tcW w:w="1033" w:type="dxa"/>
                  <w:gridSpan w:val="4"/>
                  <w:vAlign w:val="center"/>
                </w:tcPr>
                <w:p w14:paraId="171442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356FB8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BDED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D6920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28" w:type="dxa"/>
                  <w:gridSpan w:val="2"/>
                  <w:vAlign w:val="center"/>
                </w:tcPr>
                <w:p w14:paraId="1E499E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工业防火墙</w:t>
                  </w:r>
                </w:p>
              </w:tc>
              <w:tc>
                <w:tcPr>
                  <w:tcW w:w="1033" w:type="dxa"/>
                  <w:gridSpan w:val="4"/>
                  <w:vAlign w:val="center"/>
                </w:tcPr>
                <w:p w14:paraId="6304DB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7421AB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A093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EAF5C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vAlign w:val="center"/>
                </w:tcPr>
                <w:p w14:paraId="082E0B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工业网闸</w:t>
                  </w:r>
                </w:p>
              </w:tc>
              <w:tc>
                <w:tcPr>
                  <w:tcW w:w="1033" w:type="dxa"/>
                  <w:gridSpan w:val="4"/>
                  <w:vAlign w:val="center"/>
                </w:tcPr>
                <w:p w14:paraId="574DD6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5AD7B3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3741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49D7D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8" w:type="dxa"/>
                  <w:gridSpan w:val="2"/>
                  <w:vAlign w:val="center"/>
                </w:tcPr>
                <w:p w14:paraId="7FC776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智能水泵机组诊断装置</w:t>
                  </w:r>
                </w:p>
              </w:tc>
              <w:tc>
                <w:tcPr>
                  <w:tcW w:w="1033" w:type="dxa"/>
                  <w:gridSpan w:val="4"/>
                  <w:vAlign w:val="center"/>
                </w:tcPr>
                <w:p w14:paraId="0DCB4C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775DC5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r>
            <w:tr w14:paraId="779BC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23CE0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28" w:type="dxa"/>
                  <w:gridSpan w:val="2"/>
                  <w:vAlign w:val="center"/>
                </w:tcPr>
                <w:p w14:paraId="16539C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主机卫士</w:t>
                  </w:r>
                </w:p>
              </w:tc>
              <w:tc>
                <w:tcPr>
                  <w:tcW w:w="1033" w:type="dxa"/>
                  <w:gridSpan w:val="4"/>
                  <w:vAlign w:val="center"/>
                </w:tcPr>
                <w:p w14:paraId="51C669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6EE26B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5EE5A4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12F81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28" w:type="dxa"/>
                  <w:gridSpan w:val="2"/>
                  <w:vAlign w:val="center"/>
                </w:tcPr>
                <w:p w14:paraId="26C460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卫星对时装置</w:t>
                  </w:r>
                </w:p>
              </w:tc>
              <w:tc>
                <w:tcPr>
                  <w:tcW w:w="1033" w:type="dxa"/>
                  <w:gridSpan w:val="4"/>
                  <w:vAlign w:val="center"/>
                </w:tcPr>
                <w:p w14:paraId="7131F2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2312B4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651F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A99E8E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3628" w:type="dxa"/>
                  <w:gridSpan w:val="2"/>
                  <w:vAlign w:val="center"/>
                </w:tcPr>
                <w:p w14:paraId="06EC1E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A3激光打印机</w:t>
                  </w:r>
                </w:p>
              </w:tc>
              <w:tc>
                <w:tcPr>
                  <w:tcW w:w="1033" w:type="dxa"/>
                  <w:gridSpan w:val="4"/>
                  <w:vAlign w:val="center"/>
                </w:tcPr>
                <w:p w14:paraId="50ECC5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3F8C75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1C1CD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ECFB0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3628" w:type="dxa"/>
                  <w:gridSpan w:val="2"/>
                  <w:vAlign w:val="center"/>
                </w:tcPr>
                <w:p w14:paraId="3B450F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UPS不间断电源</w:t>
                  </w:r>
                </w:p>
              </w:tc>
              <w:tc>
                <w:tcPr>
                  <w:tcW w:w="1033" w:type="dxa"/>
                  <w:gridSpan w:val="4"/>
                  <w:vAlign w:val="center"/>
                </w:tcPr>
                <w:p w14:paraId="0D3566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541FB2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2E27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163D2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3628" w:type="dxa"/>
                  <w:gridSpan w:val="2"/>
                  <w:vAlign w:val="center"/>
                </w:tcPr>
                <w:p w14:paraId="67BF33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液晶显示器</w:t>
                  </w:r>
                </w:p>
              </w:tc>
              <w:tc>
                <w:tcPr>
                  <w:tcW w:w="1033" w:type="dxa"/>
                  <w:gridSpan w:val="4"/>
                  <w:vAlign w:val="center"/>
                </w:tcPr>
                <w:p w14:paraId="54DF55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0AEC26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46126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8ECD7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w:t>
                  </w:r>
                </w:p>
              </w:tc>
              <w:tc>
                <w:tcPr>
                  <w:tcW w:w="3628" w:type="dxa"/>
                  <w:gridSpan w:val="2"/>
                  <w:vAlign w:val="center"/>
                </w:tcPr>
                <w:p w14:paraId="598F8B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抗静电地板</w:t>
                  </w:r>
                </w:p>
              </w:tc>
              <w:tc>
                <w:tcPr>
                  <w:tcW w:w="1033" w:type="dxa"/>
                  <w:gridSpan w:val="4"/>
                  <w:vAlign w:val="center"/>
                </w:tcPr>
                <w:p w14:paraId="70539F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1976" w:type="dxa"/>
                  <w:gridSpan w:val="2"/>
                  <w:vAlign w:val="center"/>
                </w:tcPr>
                <w:p w14:paraId="4D1575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w:t>
                  </w:r>
                </w:p>
              </w:tc>
            </w:tr>
            <w:tr w14:paraId="26B5E2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0E070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3628" w:type="dxa"/>
                  <w:gridSpan w:val="2"/>
                  <w:vAlign w:val="center"/>
                </w:tcPr>
                <w:p w14:paraId="2BF791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操作台</w:t>
                  </w:r>
                </w:p>
              </w:tc>
              <w:tc>
                <w:tcPr>
                  <w:tcW w:w="1033" w:type="dxa"/>
                  <w:gridSpan w:val="4"/>
                  <w:vAlign w:val="center"/>
                </w:tcPr>
                <w:p w14:paraId="575228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5DFD56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2B28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1E3AB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3628" w:type="dxa"/>
                  <w:gridSpan w:val="2"/>
                  <w:vAlign w:val="center"/>
                </w:tcPr>
                <w:p w14:paraId="0706B4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现地层采集控制设备</w:t>
                  </w:r>
                </w:p>
              </w:tc>
              <w:tc>
                <w:tcPr>
                  <w:tcW w:w="1033" w:type="dxa"/>
                  <w:gridSpan w:val="4"/>
                  <w:vAlign w:val="center"/>
                </w:tcPr>
                <w:p w14:paraId="13EAC8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1310C00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E4D8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F7126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3E3B62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机组PLC监控屏</w:t>
                  </w:r>
                </w:p>
              </w:tc>
              <w:tc>
                <w:tcPr>
                  <w:tcW w:w="1033" w:type="dxa"/>
                  <w:gridSpan w:val="4"/>
                  <w:vAlign w:val="center"/>
                </w:tcPr>
                <w:p w14:paraId="3AE1BC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6AE4EA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D274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59C06D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148D7C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公用PLC监控屏</w:t>
                  </w:r>
                </w:p>
              </w:tc>
              <w:tc>
                <w:tcPr>
                  <w:tcW w:w="1033" w:type="dxa"/>
                  <w:gridSpan w:val="4"/>
                  <w:vAlign w:val="center"/>
                </w:tcPr>
                <w:p w14:paraId="1D2405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459F8B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38C6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2278C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0B12837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雷达水位计（含10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电缆及安装支架）</w:t>
                  </w:r>
                </w:p>
              </w:tc>
              <w:tc>
                <w:tcPr>
                  <w:tcW w:w="1033" w:type="dxa"/>
                  <w:gridSpan w:val="4"/>
                  <w:vAlign w:val="center"/>
                </w:tcPr>
                <w:p w14:paraId="20024E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784AC0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36360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F7A5B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3E01A44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w:t>
                  </w:r>
                </w:p>
              </w:tc>
              <w:tc>
                <w:tcPr>
                  <w:tcW w:w="1033" w:type="dxa"/>
                  <w:gridSpan w:val="4"/>
                  <w:vAlign w:val="center"/>
                </w:tcPr>
                <w:p w14:paraId="12CECF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185AAC3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B90F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9F7070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7ADA10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网络电缆</w:t>
                  </w:r>
                </w:p>
              </w:tc>
              <w:tc>
                <w:tcPr>
                  <w:tcW w:w="1033" w:type="dxa"/>
                  <w:gridSpan w:val="4"/>
                  <w:vAlign w:val="center"/>
                </w:tcPr>
                <w:p w14:paraId="6D8417D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50AE5BE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392A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563CD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vAlign w:val="center"/>
                </w:tcPr>
                <w:p w14:paraId="326F8B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防雷设施及配套辅件</w:t>
                  </w:r>
                </w:p>
              </w:tc>
              <w:tc>
                <w:tcPr>
                  <w:tcW w:w="1033" w:type="dxa"/>
                  <w:gridSpan w:val="4"/>
                  <w:vAlign w:val="center"/>
                </w:tcPr>
                <w:p w14:paraId="24520E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1D3E86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0274C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FC0AA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3628" w:type="dxa"/>
                  <w:gridSpan w:val="2"/>
                  <w:vAlign w:val="center"/>
                </w:tcPr>
                <w:p w14:paraId="5881AD5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建筑物安全监测</w:t>
                  </w:r>
                </w:p>
              </w:tc>
              <w:tc>
                <w:tcPr>
                  <w:tcW w:w="1033" w:type="dxa"/>
                  <w:gridSpan w:val="4"/>
                  <w:vAlign w:val="center"/>
                </w:tcPr>
                <w:p w14:paraId="4130BD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02D979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A6AD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48111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2FF79C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建筑物安全监测</w:t>
                  </w:r>
                </w:p>
              </w:tc>
              <w:tc>
                <w:tcPr>
                  <w:tcW w:w="1033" w:type="dxa"/>
                  <w:gridSpan w:val="4"/>
                  <w:vAlign w:val="center"/>
                </w:tcPr>
                <w:p w14:paraId="76BC7F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657D4F1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2571DA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09685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w:t>
                  </w:r>
                </w:p>
              </w:tc>
              <w:tc>
                <w:tcPr>
                  <w:tcW w:w="3628" w:type="dxa"/>
                  <w:gridSpan w:val="2"/>
                  <w:vAlign w:val="center"/>
                </w:tcPr>
                <w:p w14:paraId="2EF136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视频监控系统</w:t>
                  </w:r>
                </w:p>
              </w:tc>
              <w:tc>
                <w:tcPr>
                  <w:tcW w:w="1033" w:type="dxa"/>
                  <w:gridSpan w:val="4"/>
                  <w:vAlign w:val="center"/>
                </w:tcPr>
                <w:p w14:paraId="3A2A69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66CF86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85B9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E6A93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3F6BEA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400万像素黑光高清户外球型摄像机</w:t>
                  </w:r>
                </w:p>
              </w:tc>
              <w:tc>
                <w:tcPr>
                  <w:tcW w:w="1033" w:type="dxa"/>
                  <w:gridSpan w:val="4"/>
                  <w:vAlign w:val="center"/>
                </w:tcPr>
                <w:p w14:paraId="4EC379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6E471F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r>
            <w:tr w14:paraId="20013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3F829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44515D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400万像素黑光水尺球</w:t>
                  </w:r>
                </w:p>
              </w:tc>
              <w:tc>
                <w:tcPr>
                  <w:tcW w:w="1033" w:type="dxa"/>
                  <w:gridSpan w:val="4"/>
                  <w:vAlign w:val="center"/>
                </w:tcPr>
                <w:p w14:paraId="0609D7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047531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5C6D8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59B19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201171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水文用标准直立式水尺</w:t>
                  </w:r>
                </w:p>
              </w:tc>
              <w:tc>
                <w:tcPr>
                  <w:tcW w:w="1033" w:type="dxa"/>
                  <w:gridSpan w:val="4"/>
                  <w:vAlign w:val="center"/>
                </w:tcPr>
                <w:p w14:paraId="73C14D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根</w:t>
                  </w:r>
                </w:p>
              </w:tc>
              <w:tc>
                <w:tcPr>
                  <w:tcW w:w="1976" w:type="dxa"/>
                  <w:gridSpan w:val="2"/>
                  <w:vAlign w:val="center"/>
                </w:tcPr>
                <w:p w14:paraId="632EEF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69CD0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5840EB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3F1CFB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400万像素红外半球高清网络摄像机</w:t>
                  </w:r>
                </w:p>
              </w:tc>
              <w:tc>
                <w:tcPr>
                  <w:tcW w:w="1033" w:type="dxa"/>
                  <w:gridSpan w:val="4"/>
                  <w:vAlign w:val="center"/>
                </w:tcPr>
                <w:p w14:paraId="430432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213809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r>
            <w:tr w14:paraId="5AF3C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20C4F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0E2C94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400万像素红外枪（筒）型测温热成像双光谱高清网络摄像机</w:t>
                  </w:r>
                </w:p>
              </w:tc>
              <w:tc>
                <w:tcPr>
                  <w:tcW w:w="1033" w:type="dxa"/>
                  <w:gridSpan w:val="4"/>
                  <w:vAlign w:val="center"/>
                </w:tcPr>
                <w:p w14:paraId="335529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5B4A29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24385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78C9CC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vAlign w:val="center"/>
                </w:tcPr>
                <w:p w14:paraId="42423C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400万像素红外枪（筒）型高清网络摄像机</w:t>
                  </w:r>
                </w:p>
              </w:tc>
              <w:tc>
                <w:tcPr>
                  <w:tcW w:w="1033" w:type="dxa"/>
                  <w:gridSpan w:val="4"/>
                  <w:vAlign w:val="center"/>
                </w:tcPr>
                <w:p w14:paraId="337677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258B23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7E355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EDE062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vAlign w:val="center"/>
                </w:tcPr>
                <w:p w14:paraId="3782D2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网络高清硬盘录像机</w:t>
                  </w:r>
                </w:p>
              </w:tc>
              <w:tc>
                <w:tcPr>
                  <w:tcW w:w="1033" w:type="dxa"/>
                  <w:gridSpan w:val="4"/>
                  <w:vAlign w:val="center"/>
                </w:tcPr>
                <w:p w14:paraId="3973089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09B43C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EFD8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86848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vAlign w:val="center"/>
                </w:tcPr>
                <w:p w14:paraId="01F892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视频主交换机</w:t>
                  </w:r>
                </w:p>
              </w:tc>
              <w:tc>
                <w:tcPr>
                  <w:tcW w:w="1033" w:type="dxa"/>
                  <w:gridSpan w:val="4"/>
                  <w:vAlign w:val="center"/>
                </w:tcPr>
                <w:p w14:paraId="7F3E0F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4F6415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4190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F6D23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3628" w:type="dxa"/>
                  <w:gridSpan w:val="2"/>
                  <w:vAlign w:val="center"/>
                </w:tcPr>
                <w:p w14:paraId="0FF187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27英寸LED液晶显示器</w:t>
                  </w:r>
                </w:p>
              </w:tc>
              <w:tc>
                <w:tcPr>
                  <w:tcW w:w="1033" w:type="dxa"/>
                  <w:gridSpan w:val="4"/>
                  <w:vAlign w:val="center"/>
                </w:tcPr>
                <w:p w14:paraId="6F34613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6E8296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5F2B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5986BD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3628" w:type="dxa"/>
                  <w:gridSpan w:val="2"/>
                  <w:vAlign w:val="center"/>
                </w:tcPr>
                <w:p w14:paraId="7EB0BA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网络机柜</w:t>
                  </w:r>
                </w:p>
              </w:tc>
              <w:tc>
                <w:tcPr>
                  <w:tcW w:w="1033" w:type="dxa"/>
                  <w:gridSpan w:val="4"/>
                  <w:vAlign w:val="center"/>
                </w:tcPr>
                <w:p w14:paraId="35AF94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台</w:t>
                  </w:r>
                </w:p>
              </w:tc>
              <w:tc>
                <w:tcPr>
                  <w:tcW w:w="1976" w:type="dxa"/>
                  <w:gridSpan w:val="2"/>
                  <w:vAlign w:val="center"/>
                </w:tcPr>
                <w:p w14:paraId="14021A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48144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569C4A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8" w:type="dxa"/>
                  <w:gridSpan w:val="2"/>
                  <w:vAlign w:val="center"/>
                </w:tcPr>
                <w:p w14:paraId="36167D9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摄像机安装立杆、防雷器及安装箱</w:t>
                  </w:r>
                </w:p>
              </w:tc>
              <w:tc>
                <w:tcPr>
                  <w:tcW w:w="1033" w:type="dxa"/>
                  <w:gridSpan w:val="4"/>
                  <w:vAlign w:val="center"/>
                </w:tcPr>
                <w:p w14:paraId="29C15C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71A4EC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E1B2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42545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8" w:type="dxa"/>
                  <w:gridSpan w:val="2"/>
                  <w:vAlign w:val="center"/>
                </w:tcPr>
                <w:p w14:paraId="52A0DC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光纤</w:t>
                  </w:r>
                </w:p>
              </w:tc>
              <w:tc>
                <w:tcPr>
                  <w:tcW w:w="1033" w:type="dxa"/>
                  <w:gridSpan w:val="4"/>
                  <w:vAlign w:val="center"/>
                </w:tcPr>
                <w:p w14:paraId="1D94FA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vAlign w:val="center"/>
                </w:tcPr>
                <w:p w14:paraId="47EC57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500</w:t>
                  </w:r>
                </w:p>
              </w:tc>
            </w:tr>
            <w:tr w14:paraId="34107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0A6DD7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3628" w:type="dxa"/>
                  <w:gridSpan w:val="2"/>
                  <w:vAlign w:val="center"/>
                </w:tcPr>
                <w:p w14:paraId="5A840D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网络电缆</w:t>
                  </w:r>
                </w:p>
              </w:tc>
              <w:tc>
                <w:tcPr>
                  <w:tcW w:w="1033" w:type="dxa"/>
                  <w:gridSpan w:val="4"/>
                  <w:vAlign w:val="center"/>
                </w:tcPr>
                <w:p w14:paraId="007C79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3E5104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31AC97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7ABEB0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3628" w:type="dxa"/>
                  <w:gridSpan w:val="2"/>
                  <w:vAlign w:val="center"/>
                </w:tcPr>
                <w:p w14:paraId="2FEB9D3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线缆、管材及安装辅件</w:t>
                  </w:r>
                </w:p>
              </w:tc>
              <w:tc>
                <w:tcPr>
                  <w:tcW w:w="1033" w:type="dxa"/>
                  <w:gridSpan w:val="4"/>
                  <w:vAlign w:val="center"/>
                </w:tcPr>
                <w:p w14:paraId="4B830E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5575F45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DA88F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86AF26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(二)</w:t>
                  </w:r>
                </w:p>
              </w:tc>
              <w:tc>
                <w:tcPr>
                  <w:tcW w:w="3628" w:type="dxa"/>
                  <w:gridSpan w:val="2"/>
                  <w:vAlign w:val="center"/>
                </w:tcPr>
                <w:p w14:paraId="289C4C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3" w:type="dxa"/>
                  <w:gridSpan w:val="4"/>
                  <w:vAlign w:val="center"/>
                </w:tcPr>
                <w:p w14:paraId="32ED2D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0AA6FF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8EFB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7F5DC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4E81BA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高低压电气设备</w:t>
                  </w:r>
                </w:p>
              </w:tc>
              <w:tc>
                <w:tcPr>
                  <w:tcW w:w="1033" w:type="dxa"/>
                  <w:gridSpan w:val="4"/>
                  <w:vAlign w:val="center"/>
                </w:tcPr>
                <w:p w14:paraId="399BDC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76" w:type="dxa"/>
                  <w:gridSpan w:val="2"/>
                  <w:vAlign w:val="center"/>
                </w:tcPr>
                <w:p w14:paraId="115512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08A4C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FAEA23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8" w:type="dxa"/>
                  <w:gridSpan w:val="2"/>
                  <w:vAlign w:val="center"/>
                </w:tcPr>
                <w:p w14:paraId="57870C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0.4kV线路接入工程</w:t>
                  </w:r>
                </w:p>
              </w:tc>
              <w:tc>
                <w:tcPr>
                  <w:tcW w:w="1033" w:type="dxa"/>
                  <w:gridSpan w:val="4"/>
                  <w:vAlign w:val="center"/>
                </w:tcPr>
                <w:p w14:paraId="09EF6E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5C9554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681FC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289B16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8" w:type="dxa"/>
                  <w:gridSpan w:val="2"/>
                  <w:vAlign w:val="center"/>
                </w:tcPr>
                <w:p w14:paraId="4B2E3C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气盾坝配电柜</w:t>
                  </w:r>
                </w:p>
              </w:tc>
              <w:tc>
                <w:tcPr>
                  <w:tcW w:w="1033" w:type="dxa"/>
                  <w:gridSpan w:val="4"/>
                  <w:vAlign w:val="center"/>
                </w:tcPr>
                <w:p w14:paraId="497269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76" w:type="dxa"/>
                  <w:gridSpan w:val="2"/>
                  <w:vAlign w:val="center"/>
                </w:tcPr>
                <w:p w14:paraId="0C47E7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65FB8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3F315E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3628" w:type="dxa"/>
                  <w:gridSpan w:val="2"/>
                  <w:vAlign w:val="center"/>
                </w:tcPr>
                <w:p w14:paraId="53BCAD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1kV电力电缆YJV22-0.6/1kV-4x16</w:t>
                  </w:r>
                </w:p>
              </w:tc>
              <w:tc>
                <w:tcPr>
                  <w:tcW w:w="1033" w:type="dxa"/>
                  <w:gridSpan w:val="4"/>
                  <w:vAlign w:val="center"/>
                </w:tcPr>
                <w:p w14:paraId="41AB2F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vAlign w:val="center"/>
                </w:tcPr>
                <w:p w14:paraId="13112D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w:t>
                  </w:r>
                </w:p>
              </w:tc>
            </w:tr>
            <w:tr w14:paraId="25D5B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65FBD8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3628" w:type="dxa"/>
                  <w:gridSpan w:val="2"/>
                  <w:vAlign w:val="center"/>
                </w:tcPr>
                <w:p w14:paraId="23B33B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控制电缆KVV-450/750V-10×1.5</w:t>
                  </w:r>
                </w:p>
              </w:tc>
              <w:tc>
                <w:tcPr>
                  <w:tcW w:w="1033" w:type="dxa"/>
                  <w:gridSpan w:val="4"/>
                  <w:vAlign w:val="center"/>
                </w:tcPr>
                <w:p w14:paraId="146A91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vAlign w:val="center"/>
                </w:tcPr>
                <w:p w14:paraId="4D521A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0.06</w:t>
                  </w:r>
                </w:p>
              </w:tc>
            </w:tr>
            <w:tr w14:paraId="1066C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C95C9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3628" w:type="dxa"/>
                  <w:gridSpan w:val="2"/>
                  <w:vAlign w:val="center"/>
                </w:tcPr>
                <w:p w14:paraId="485E5F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防雷接地用型钢（热镀锌）</w:t>
                  </w:r>
                </w:p>
              </w:tc>
              <w:tc>
                <w:tcPr>
                  <w:tcW w:w="1033" w:type="dxa"/>
                  <w:gridSpan w:val="4"/>
                  <w:vAlign w:val="center"/>
                </w:tcPr>
                <w:p w14:paraId="6A16DF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76" w:type="dxa"/>
                  <w:gridSpan w:val="2"/>
                  <w:vAlign w:val="center"/>
                </w:tcPr>
                <w:p w14:paraId="76344F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5682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1D1365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3628" w:type="dxa"/>
                  <w:gridSpan w:val="2"/>
                  <w:vAlign w:val="center"/>
                </w:tcPr>
                <w:p w14:paraId="64E54F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电缆穿管SC100</w:t>
                  </w:r>
                </w:p>
              </w:tc>
              <w:tc>
                <w:tcPr>
                  <w:tcW w:w="1033" w:type="dxa"/>
                  <w:gridSpan w:val="4"/>
                  <w:vAlign w:val="center"/>
                </w:tcPr>
                <w:p w14:paraId="03F7C52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vAlign w:val="center"/>
                </w:tcPr>
                <w:p w14:paraId="73AD440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100</w:t>
                  </w:r>
                </w:p>
              </w:tc>
            </w:tr>
            <w:tr w14:paraId="3529B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A48E9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3628" w:type="dxa"/>
                  <w:gridSpan w:val="2"/>
                  <w:vAlign w:val="center"/>
                </w:tcPr>
                <w:p w14:paraId="6C4996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镀锌钢管SC32/40/50/80/100</w:t>
                  </w:r>
                </w:p>
              </w:tc>
              <w:tc>
                <w:tcPr>
                  <w:tcW w:w="1033" w:type="dxa"/>
                  <w:gridSpan w:val="4"/>
                  <w:vAlign w:val="center"/>
                </w:tcPr>
                <w:p w14:paraId="6645A8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976" w:type="dxa"/>
                  <w:gridSpan w:val="2"/>
                  <w:vAlign w:val="center"/>
                </w:tcPr>
                <w:p w14:paraId="68EEF0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180</w:t>
                  </w:r>
                </w:p>
              </w:tc>
            </w:tr>
            <w:tr w14:paraId="6908C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34" w:type="dxa"/>
                  <w:gridSpan w:val="2"/>
                  <w:vAlign w:val="center"/>
                </w:tcPr>
                <w:p w14:paraId="4188D9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3628" w:type="dxa"/>
                  <w:gridSpan w:val="2"/>
                  <w:vAlign w:val="center"/>
                </w:tcPr>
                <w:p w14:paraId="6419C9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设备安装辅材</w:t>
                  </w:r>
                </w:p>
              </w:tc>
              <w:tc>
                <w:tcPr>
                  <w:tcW w:w="1033" w:type="dxa"/>
                  <w:gridSpan w:val="4"/>
                  <w:vAlign w:val="center"/>
                </w:tcPr>
                <w:p w14:paraId="30DC62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w:t>
                  </w:r>
                </w:p>
              </w:tc>
              <w:tc>
                <w:tcPr>
                  <w:tcW w:w="1976" w:type="dxa"/>
                  <w:gridSpan w:val="2"/>
                  <w:vAlign w:val="center"/>
                </w:tcPr>
                <w:p w14:paraId="48AAA4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r>
            <w:tr w14:paraId="1CB33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3205A4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3621" w:type="dxa"/>
                  <w:gridSpan w:val="3"/>
                  <w:vAlign w:val="center"/>
                </w:tcPr>
                <w:p w14:paraId="76CEC0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第三部分 机电设备及安装工程</w:t>
                  </w:r>
                </w:p>
              </w:tc>
              <w:tc>
                <w:tcPr>
                  <w:tcW w:w="1037" w:type="dxa"/>
                  <w:gridSpan w:val="3"/>
                  <w:vAlign w:val="center"/>
                </w:tcPr>
                <w:p w14:paraId="240FEF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4C06EB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7590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27FB32B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vAlign w:val="center"/>
                </w:tcPr>
                <w:p w14:paraId="7F1EF3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小黄沟涵闸</w:t>
                  </w:r>
                </w:p>
              </w:tc>
              <w:tc>
                <w:tcPr>
                  <w:tcW w:w="1037" w:type="dxa"/>
                  <w:gridSpan w:val="3"/>
                  <w:vAlign w:val="center"/>
                </w:tcPr>
                <w:p w14:paraId="0CB11C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534BC0B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F760D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4B4DC7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3621" w:type="dxa"/>
                  <w:gridSpan w:val="3"/>
                  <w:vAlign w:val="center"/>
                </w:tcPr>
                <w:p w14:paraId="18A3CB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闸门设备及安装</w:t>
                  </w:r>
                </w:p>
              </w:tc>
              <w:tc>
                <w:tcPr>
                  <w:tcW w:w="1037" w:type="dxa"/>
                  <w:gridSpan w:val="3"/>
                  <w:vAlign w:val="center"/>
                </w:tcPr>
                <w:p w14:paraId="513ABD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697201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2041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2CC91EA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vAlign w:val="center"/>
                </w:tcPr>
                <w:p w14:paraId="4079FB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铸铁框钢闸门3.0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7" w:type="dxa"/>
                  <w:gridSpan w:val="3"/>
                  <w:vAlign w:val="center"/>
                </w:tcPr>
                <w:p w14:paraId="530DF5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w:t>
                  </w:r>
                </w:p>
              </w:tc>
              <w:tc>
                <w:tcPr>
                  <w:tcW w:w="1968" w:type="dxa"/>
                  <w:vAlign w:val="center"/>
                </w:tcPr>
                <w:p w14:paraId="111957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r>
            <w:tr w14:paraId="12A9B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4B9D077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3621" w:type="dxa"/>
                  <w:gridSpan w:val="3"/>
                  <w:vAlign w:val="center"/>
                </w:tcPr>
                <w:p w14:paraId="166CB4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启闭设备及安装工程</w:t>
                  </w:r>
                </w:p>
              </w:tc>
              <w:tc>
                <w:tcPr>
                  <w:tcW w:w="1037" w:type="dxa"/>
                  <w:gridSpan w:val="3"/>
                  <w:vAlign w:val="center"/>
                </w:tcPr>
                <w:p w14:paraId="7AA6C4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3EFFBA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94AF0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0A030D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vAlign w:val="center"/>
                </w:tcPr>
                <w:p w14:paraId="34DA14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QL-2×125kN手电两用螺杆启闭机</w:t>
                  </w:r>
                </w:p>
              </w:tc>
              <w:tc>
                <w:tcPr>
                  <w:tcW w:w="1037" w:type="dxa"/>
                  <w:gridSpan w:val="3"/>
                  <w:vAlign w:val="center"/>
                </w:tcPr>
                <w:p w14:paraId="4FAAF6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vAlign w:val="center"/>
                </w:tcPr>
                <w:p w14:paraId="77FAE3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CB10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2BAC6C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vAlign w:val="center"/>
                </w:tcPr>
                <w:p w14:paraId="22C36E5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中间支承 导轴环，与启闭机适配</w:t>
                  </w:r>
                </w:p>
              </w:tc>
              <w:tc>
                <w:tcPr>
                  <w:tcW w:w="1037" w:type="dxa"/>
                  <w:gridSpan w:val="3"/>
                  <w:vAlign w:val="center"/>
                </w:tcPr>
                <w:p w14:paraId="1EF04C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vAlign w:val="center"/>
                </w:tcPr>
                <w:p w14:paraId="5597BA2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5D978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48A1E7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vAlign w:val="center"/>
                </w:tcPr>
                <w:p w14:paraId="5DC4E3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7" w:type="dxa"/>
                  <w:gridSpan w:val="3"/>
                  <w:vAlign w:val="center"/>
                </w:tcPr>
                <w:p w14:paraId="5BD125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39685E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5136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0C8B07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3621" w:type="dxa"/>
                  <w:gridSpan w:val="3"/>
                  <w:vAlign w:val="center"/>
                </w:tcPr>
                <w:p w14:paraId="13B715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闸门设备及安装</w:t>
                  </w:r>
                </w:p>
              </w:tc>
              <w:tc>
                <w:tcPr>
                  <w:tcW w:w="1037" w:type="dxa"/>
                  <w:gridSpan w:val="3"/>
                  <w:vAlign w:val="center"/>
                </w:tcPr>
                <w:p w14:paraId="191B3A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34FCAAE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0ED6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6314604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vAlign w:val="center"/>
                </w:tcPr>
                <w:p w14:paraId="5DD0FE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*28</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7" w:type="dxa"/>
                  <w:gridSpan w:val="3"/>
                  <w:vAlign w:val="center"/>
                </w:tcPr>
                <w:p w14:paraId="27D2BC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跨</w:t>
                  </w:r>
                </w:p>
              </w:tc>
              <w:tc>
                <w:tcPr>
                  <w:tcW w:w="1968" w:type="dxa"/>
                  <w:vAlign w:val="center"/>
                </w:tcPr>
                <w:p w14:paraId="24067C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32F2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1B3EB91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vAlign w:val="center"/>
                </w:tcPr>
                <w:p w14:paraId="008C41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*21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气盾坝</w:t>
                  </w:r>
                </w:p>
              </w:tc>
              <w:tc>
                <w:tcPr>
                  <w:tcW w:w="1037" w:type="dxa"/>
                  <w:gridSpan w:val="3"/>
                  <w:vAlign w:val="center"/>
                </w:tcPr>
                <w:p w14:paraId="5AFEC37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跨</w:t>
                  </w:r>
                </w:p>
              </w:tc>
              <w:tc>
                <w:tcPr>
                  <w:tcW w:w="1968" w:type="dxa"/>
                  <w:vAlign w:val="center"/>
                </w:tcPr>
                <w:p w14:paraId="23A301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638776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5754AE8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3621" w:type="dxa"/>
                  <w:gridSpan w:val="3"/>
                  <w:vAlign w:val="center"/>
                </w:tcPr>
                <w:p w14:paraId="72F398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启闭设备及安装工程</w:t>
                  </w:r>
                </w:p>
              </w:tc>
              <w:tc>
                <w:tcPr>
                  <w:tcW w:w="1037" w:type="dxa"/>
                  <w:gridSpan w:val="3"/>
                  <w:vAlign w:val="center"/>
                </w:tcPr>
                <w:p w14:paraId="24F0EA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968" w:type="dxa"/>
                  <w:vAlign w:val="center"/>
                </w:tcPr>
                <w:p w14:paraId="19958B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8C9F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3C81B6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3621" w:type="dxa"/>
                  <w:gridSpan w:val="3"/>
                  <w:vAlign w:val="center"/>
                </w:tcPr>
                <w:p w14:paraId="1D6235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QL-2×125kN手电两用螺杆启闭机</w:t>
                  </w:r>
                </w:p>
              </w:tc>
              <w:tc>
                <w:tcPr>
                  <w:tcW w:w="1037" w:type="dxa"/>
                  <w:gridSpan w:val="3"/>
                  <w:vAlign w:val="center"/>
                </w:tcPr>
                <w:p w14:paraId="02E8676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vAlign w:val="center"/>
                </w:tcPr>
                <w:p w14:paraId="29B943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14:paraId="79C8B7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5" w:type="dxa"/>
                  <w:gridSpan w:val="3"/>
                  <w:vAlign w:val="center"/>
                </w:tcPr>
                <w:p w14:paraId="4EA239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3621" w:type="dxa"/>
                  <w:gridSpan w:val="3"/>
                  <w:vAlign w:val="center"/>
                </w:tcPr>
                <w:p w14:paraId="1E188F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中间支承导轴环，与启闭机适配</w:t>
                  </w:r>
                </w:p>
              </w:tc>
              <w:tc>
                <w:tcPr>
                  <w:tcW w:w="1037" w:type="dxa"/>
                  <w:gridSpan w:val="3"/>
                  <w:vAlign w:val="center"/>
                </w:tcPr>
                <w:p w14:paraId="289BDF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套</w:t>
                  </w:r>
                </w:p>
              </w:tc>
              <w:tc>
                <w:tcPr>
                  <w:tcW w:w="1968" w:type="dxa"/>
                  <w:vAlign w:val="center"/>
                </w:tcPr>
                <w:p w14:paraId="36C4565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bl>
          <w:p w14:paraId="3330426E">
            <w:pPr>
              <w:pStyle w:val="7"/>
              <w:keepNext w:val="0"/>
              <w:keepLines w:val="0"/>
              <w:numPr>
                <w:ilvl w:val="0"/>
                <w:numId w:val="0"/>
              </w:numPr>
              <w:suppressLineNumbers w:val="0"/>
              <w:tabs>
                <w:tab w:val="left" w:pos="1019"/>
              </w:tabs>
              <w:spacing w:before="74" w:beforeAutospacing="0" w:after="0" w:afterAutospacing="0" w:line="240" w:lineRule="auto"/>
              <w:ind w:leftChars="200" w:right="0" w:rightChars="0"/>
              <w:jc w:val="left"/>
              <w:rPr>
                <w:rFonts w:hint="default" w:ascii="Times New Roman" w:hAnsi="Times New Roman" w:eastAsia="宋体" w:cs="Times New Roman"/>
                <w:color w:val="000000" w:themeColor="text1"/>
                <w14:textFill>
                  <w14:solidFill>
                    <w14:schemeClr w14:val="tx1"/>
                  </w14:solidFill>
                </w14:textFill>
              </w:rPr>
            </w:pPr>
            <w:bookmarkStart w:id="22" w:name="5.6.3排水管网改造工程主要工程量"/>
            <w:bookmarkEnd w:id="22"/>
            <w:bookmarkStart w:id="23" w:name="5.6.3排水管网改造工程主要工程量"/>
            <w:bookmarkEnd w:id="23"/>
            <w:r>
              <w:rPr>
                <w:rFonts w:hint="default" w:ascii="Times New Roman" w:hAnsi="Times New Roman" w:eastAsia="宋体" w:cs="Times New Roman"/>
                <w:color w:val="000000" w:themeColor="text1"/>
                <w14:textFill>
                  <w14:solidFill>
                    <w14:schemeClr w14:val="tx1"/>
                  </w14:solidFill>
                </w14:textFill>
              </w:rPr>
              <w:t>排水管网新建工程主要工程量</w:t>
            </w:r>
          </w:p>
          <w:p w14:paraId="21D044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表2-25  排水管网新建工程主要工程量表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4119"/>
              <w:gridCol w:w="1035"/>
              <w:gridCol w:w="1494"/>
            </w:tblGrid>
            <w:tr w14:paraId="4E665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72427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w w:val="95"/>
                      <w:sz w:val="21"/>
                      <w:szCs w:val="21"/>
                      <w14:textFill>
                        <w14:solidFill>
                          <w14:schemeClr w14:val="tx1"/>
                        </w14:solidFill>
                      </w14:textFill>
                    </w:rPr>
                    <w:t>序号</w:t>
                  </w:r>
                </w:p>
              </w:tc>
              <w:tc>
                <w:tcPr>
                  <w:tcW w:w="4119" w:type="dxa"/>
                  <w:vAlign w:val="center"/>
                </w:tcPr>
                <w:p w14:paraId="2C652D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工程或费用名称</w:t>
                  </w:r>
                </w:p>
              </w:tc>
              <w:tc>
                <w:tcPr>
                  <w:tcW w:w="1035" w:type="dxa"/>
                  <w:vAlign w:val="center"/>
                </w:tcPr>
                <w:p w14:paraId="0A30AE3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单位</w:t>
                  </w:r>
                </w:p>
              </w:tc>
              <w:tc>
                <w:tcPr>
                  <w:tcW w:w="1494" w:type="dxa"/>
                  <w:vAlign w:val="center"/>
                </w:tcPr>
                <w:p w14:paraId="4D59A8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数量</w:t>
                  </w:r>
                </w:p>
              </w:tc>
            </w:tr>
            <w:tr w14:paraId="1469B4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9C8B7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c>
                <w:tcPr>
                  <w:tcW w:w="4119" w:type="dxa"/>
                  <w:vAlign w:val="center"/>
                </w:tcPr>
                <w:p w14:paraId="06108B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幽芳河、柳林河沿岸排水管网新建工程</w:t>
                  </w:r>
                </w:p>
              </w:tc>
              <w:tc>
                <w:tcPr>
                  <w:tcW w:w="1035" w:type="dxa"/>
                  <w:vAlign w:val="center"/>
                </w:tcPr>
                <w:p w14:paraId="11E270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7E6F4D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22EFA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D86AA4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119" w:type="dxa"/>
                  <w:vAlign w:val="center"/>
                </w:tcPr>
                <w:p w14:paraId="1EBDC8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污水主管</w:t>
                  </w:r>
                </w:p>
              </w:tc>
              <w:tc>
                <w:tcPr>
                  <w:tcW w:w="1035" w:type="dxa"/>
                  <w:vAlign w:val="center"/>
                </w:tcPr>
                <w:p w14:paraId="175E90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4D079C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1FE7F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7989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1.1.1</w:t>
                  </w:r>
                </w:p>
              </w:tc>
              <w:tc>
                <w:tcPr>
                  <w:tcW w:w="4119" w:type="dxa"/>
                  <w:vAlign w:val="center"/>
                </w:tcPr>
                <w:p w14:paraId="03D66F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vAlign w:val="center"/>
                </w:tcPr>
                <w:p w14:paraId="098900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188A08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EEB3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D99A5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52BD3E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35" w:type="dxa"/>
                  <w:vAlign w:val="center"/>
                </w:tcPr>
                <w:p w14:paraId="01E9E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39ECA8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46151.24</w:t>
                  </w:r>
                </w:p>
              </w:tc>
            </w:tr>
            <w:tr w14:paraId="268DF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8C90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407482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35" w:type="dxa"/>
                  <w:vAlign w:val="center"/>
                </w:tcPr>
                <w:p w14:paraId="160E8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7C4935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46151.24</w:t>
                  </w:r>
                </w:p>
              </w:tc>
            </w:tr>
            <w:tr w14:paraId="53EC4F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C095A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5A4EF19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vAlign w:val="center"/>
                </w:tcPr>
                <w:p w14:paraId="4D0A7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4A162D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43671.15</w:t>
                  </w:r>
                </w:p>
              </w:tc>
            </w:tr>
            <w:tr w14:paraId="63E658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C14AF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1.1.2</w:t>
                  </w:r>
                </w:p>
              </w:tc>
              <w:tc>
                <w:tcPr>
                  <w:tcW w:w="4119" w:type="dxa"/>
                  <w:vAlign w:val="center"/>
                </w:tcPr>
                <w:p w14:paraId="24FDF19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vAlign w:val="center"/>
                </w:tcPr>
                <w:p w14:paraId="79B4208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1D8EBAB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1D69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36039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57DD3D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vAlign w:val="center"/>
                </w:tcPr>
                <w:p w14:paraId="0FB78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2FA208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323.49</w:t>
                  </w:r>
                </w:p>
              </w:tc>
            </w:tr>
            <w:tr w14:paraId="6382B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D7807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524359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中粗砂</w:t>
                  </w:r>
                </w:p>
              </w:tc>
              <w:tc>
                <w:tcPr>
                  <w:tcW w:w="1035" w:type="dxa"/>
                  <w:vAlign w:val="center"/>
                </w:tcPr>
                <w:p w14:paraId="5B2F2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7AE5115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1186.13</w:t>
                  </w:r>
                </w:p>
              </w:tc>
            </w:tr>
            <w:tr w14:paraId="56E318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8E93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1.1.3</w:t>
                  </w:r>
                </w:p>
              </w:tc>
              <w:tc>
                <w:tcPr>
                  <w:tcW w:w="4119" w:type="dxa"/>
                  <w:vAlign w:val="center"/>
                </w:tcPr>
                <w:p w14:paraId="352BC49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vAlign w:val="center"/>
                </w:tcPr>
                <w:p w14:paraId="1B09B6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34BDE2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EDAE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30CA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16D772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污水管De315</w:t>
                  </w:r>
                </w:p>
              </w:tc>
              <w:tc>
                <w:tcPr>
                  <w:tcW w:w="1035" w:type="dxa"/>
                  <w:vAlign w:val="center"/>
                </w:tcPr>
                <w:p w14:paraId="7A2D309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128DCF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11645.64</w:t>
                  </w:r>
                </w:p>
              </w:tc>
            </w:tr>
            <w:tr w14:paraId="7E9ED3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03F6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119" w:type="dxa"/>
                  <w:vAlign w:val="center"/>
                </w:tcPr>
                <w:p w14:paraId="225EB0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w:t>
                  </w:r>
                </w:p>
              </w:tc>
              <w:tc>
                <w:tcPr>
                  <w:tcW w:w="1035" w:type="dxa"/>
                  <w:vAlign w:val="center"/>
                </w:tcPr>
                <w:p w14:paraId="7D4F56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578905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5193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649F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1.2.1</w:t>
                  </w:r>
                </w:p>
              </w:tc>
              <w:tc>
                <w:tcPr>
                  <w:tcW w:w="4119" w:type="dxa"/>
                  <w:vAlign w:val="center"/>
                </w:tcPr>
                <w:p w14:paraId="718110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vAlign w:val="center"/>
                </w:tcPr>
                <w:p w14:paraId="37F1D9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6A18BD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BA33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D32B7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0BC6F3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35" w:type="dxa"/>
                  <w:vAlign w:val="center"/>
                </w:tcPr>
                <w:p w14:paraId="3ECC22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5AC6CB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32262</w:t>
                  </w:r>
                </w:p>
              </w:tc>
            </w:tr>
            <w:tr w14:paraId="2BBFE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A7FE6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67E542F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35" w:type="dxa"/>
                  <w:vAlign w:val="center"/>
                </w:tcPr>
                <w:p w14:paraId="7EB99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28D8AEE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31073.4</w:t>
                  </w:r>
                </w:p>
              </w:tc>
            </w:tr>
            <w:tr w14:paraId="3498C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7C865F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5B3303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vAlign w:val="center"/>
                </w:tcPr>
                <w:p w14:paraId="29A204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77BC29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31073.4</w:t>
                  </w:r>
                </w:p>
              </w:tc>
            </w:tr>
            <w:tr w14:paraId="299156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372F7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1.2.2</w:t>
                  </w:r>
                </w:p>
              </w:tc>
              <w:tc>
                <w:tcPr>
                  <w:tcW w:w="4119" w:type="dxa"/>
                  <w:vAlign w:val="center"/>
                </w:tcPr>
                <w:p w14:paraId="1F7073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vAlign w:val="center"/>
                </w:tcPr>
                <w:p w14:paraId="1A3803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 </w:t>
                  </w:r>
                </w:p>
              </w:tc>
              <w:tc>
                <w:tcPr>
                  <w:tcW w:w="1494" w:type="dxa"/>
                  <w:vAlign w:val="center"/>
                </w:tcPr>
                <w:p w14:paraId="27B3FD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FB66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35C95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6EE2BB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vAlign w:val="center"/>
                </w:tcPr>
                <w:p w14:paraId="115DFA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0E6F03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169.8</w:t>
                  </w:r>
                </w:p>
              </w:tc>
            </w:tr>
            <w:tr w14:paraId="60F14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1FF5B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76A927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中粗砂</w:t>
                  </w:r>
                </w:p>
              </w:tc>
              <w:tc>
                <w:tcPr>
                  <w:tcW w:w="1035" w:type="dxa"/>
                  <w:vAlign w:val="center"/>
                </w:tcPr>
                <w:p w14:paraId="3B5D2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403FAD7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933.9</w:t>
                  </w:r>
                </w:p>
              </w:tc>
            </w:tr>
            <w:tr w14:paraId="5FA153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43C21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1.2.3</w:t>
                  </w:r>
                </w:p>
              </w:tc>
              <w:tc>
                <w:tcPr>
                  <w:tcW w:w="4119" w:type="dxa"/>
                  <w:vAlign w:val="center"/>
                </w:tcPr>
                <w:p w14:paraId="38C888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vAlign w:val="center"/>
                </w:tcPr>
                <w:p w14:paraId="779A747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31290C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004A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8CF4A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7D8D18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接户管De160</w:t>
                  </w:r>
                </w:p>
              </w:tc>
              <w:tc>
                <w:tcPr>
                  <w:tcW w:w="1035" w:type="dxa"/>
                  <w:vAlign w:val="center"/>
                </w:tcPr>
                <w:p w14:paraId="3AC895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431C86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9169.2</w:t>
                  </w:r>
                </w:p>
              </w:tc>
            </w:tr>
            <w:tr w14:paraId="21DED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4F50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119" w:type="dxa"/>
                  <w:vAlign w:val="center"/>
                </w:tcPr>
                <w:p w14:paraId="392E28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w:t>
                  </w:r>
                </w:p>
              </w:tc>
              <w:tc>
                <w:tcPr>
                  <w:tcW w:w="1035" w:type="dxa"/>
                  <w:vAlign w:val="center"/>
                </w:tcPr>
                <w:p w14:paraId="47ADFA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018CAE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858D9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6BD20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67471F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污水检查井</w:t>
                  </w:r>
                </w:p>
              </w:tc>
              <w:tc>
                <w:tcPr>
                  <w:tcW w:w="1035" w:type="dxa"/>
                  <w:vAlign w:val="center"/>
                </w:tcPr>
                <w:p w14:paraId="4F0356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座</w:t>
                  </w:r>
                </w:p>
              </w:tc>
              <w:tc>
                <w:tcPr>
                  <w:tcW w:w="1494" w:type="dxa"/>
                  <w:vAlign w:val="center"/>
                </w:tcPr>
                <w:p w14:paraId="7B4209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397</w:t>
                  </w:r>
                </w:p>
              </w:tc>
            </w:tr>
            <w:tr w14:paraId="741AA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BD74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3599BE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接户井</w:t>
                  </w:r>
                </w:p>
              </w:tc>
              <w:tc>
                <w:tcPr>
                  <w:tcW w:w="1035" w:type="dxa"/>
                  <w:vAlign w:val="center"/>
                </w:tcPr>
                <w:p w14:paraId="204E9FB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座</w:t>
                  </w:r>
                </w:p>
              </w:tc>
              <w:tc>
                <w:tcPr>
                  <w:tcW w:w="1494" w:type="dxa"/>
                  <w:vAlign w:val="center"/>
                </w:tcPr>
                <w:p w14:paraId="5365895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1132</w:t>
                  </w:r>
                </w:p>
              </w:tc>
            </w:tr>
            <w:tr w14:paraId="0EB91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3811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274326A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跌水井</w:t>
                  </w:r>
                </w:p>
              </w:tc>
              <w:tc>
                <w:tcPr>
                  <w:tcW w:w="1035" w:type="dxa"/>
                  <w:vAlign w:val="center"/>
                </w:tcPr>
                <w:p w14:paraId="465B52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座</w:t>
                  </w:r>
                </w:p>
              </w:tc>
              <w:tc>
                <w:tcPr>
                  <w:tcW w:w="1494" w:type="dxa"/>
                  <w:vAlign w:val="center"/>
                </w:tcPr>
                <w:p w14:paraId="1D549D6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r>
            <w:tr w14:paraId="4C30D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FBD36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60FD65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提升泵站</w:t>
                  </w:r>
                </w:p>
              </w:tc>
              <w:tc>
                <w:tcPr>
                  <w:tcW w:w="1035" w:type="dxa"/>
                  <w:vAlign w:val="center"/>
                </w:tcPr>
                <w:p w14:paraId="291342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座</w:t>
                  </w:r>
                </w:p>
              </w:tc>
              <w:tc>
                <w:tcPr>
                  <w:tcW w:w="1494" w:type="dxa"/>
                  <w:vAlign w:val="center"/>
                </w:tcPr>
                <w:p w14:paraId="469A83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r>
            <w:tr w14:paraId="2D2F2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CBD57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0AFD25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资源化利用</w:t>
                  </w:r>
                </w:p>
              </w:tc>
              <w:tc>
                <w:tcPr>
                  <w:tcW w:w="1035" w:type="dxa"/>
                  <w:vAlign w:val="center"/>
                </w:tcPr>
                <w:p w14:paraId="09F715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座</w:t>
                  </w:r>
                </w:p>
              </w:tc>
              <w:tc>
                <w:tcPr>
                  <w:tcW w:w="1494" w:type="dxa"/>
                  <w:vAlign w:val="center"/>
                </w:tcPr>
                <w:p w14:paraId="13238A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w:t>
                  </w:r>
                </w:p>
              </w:tc>
            </w:tr>
            <w:tr w14:paraId="257225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31563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vAlign w:val="center"/>
                </w:tcPr>
                <w:p w14:paraId="12C169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/d一体化污水处理设施</w:t>
                  </w:r>
                </w:p>
              </w:tc>
              <w:tc>
                <w:tcPr>
                  <w:tcW w:w="1035" w:type="dxa"/>
                  <w:vAlign w:val="center"/>
                </w:tcPr>
                <w:p w14:paraId="708A381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座</w:t>
                  </w:r>
                </w:p>
              </w:tc>
              <w:tc>
                <w:tcPr>
                  <w:tcW w:w="1494" w:type="dxa"/>
                  <w:vAlign w:val="center"/>
                </w:tcPr>
                <w:p w14:paraId="4641A5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r>
            <w:tr w14:paraId="50E0B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3766F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4119" w:type="dxa"/>
                  <w:vAlign w:val="center"/>
                </w:tcPr>
                <w:p w14:paraId="4A76C06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配套管理设施</w:t>
                  </w:r>
                </w:p>
              </w:tc>
              <w:tc>
                <w:tcPr>
                  <w:tcW w:w="1035" w:type="dxa"/>
                  <w:vAlign w:val="center"/>
                </w:tcPr>
                <w:p w14:paraId="69921D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49A1AD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4D0E9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699C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1.4.1</w:t>
                  </w:r>
                </w:p>
              </w:tc>
              <w:tc>
                <w:tcPr>
                  <w:tcW w:w="4119" w:type="dxa"/>
                  <w:vAlign w:val="center"/>
                </w:tcPr>
                <w:p w14:paraId="792DF4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沥青恢复</w:t>
                  </w:r>
                </w:p>
              </w:tc>
              <w:tc>
                <w:tcPr>
                  <w:tcW w:w="1035" w:type="dxa"/>
                  <w:vAlign w:val="center"/>
                </w:tcPr>
                <w:p w14:paraId="446C63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049E9E9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383D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0F9FD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046CFB4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细粒式沥青砼厚40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03A4E9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494AA8C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58027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577DF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25A67F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40BBAC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39D09E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4128B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77C7A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6B41C9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35" w:type="dxa"/>
                  <w:vAlign w:val="center"/>
                </w:tcPr>
                <w:p w14:paraId="25E94A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4A1B757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4C4E7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0B6F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4F84B1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C30水泥砼</w:t>
                  </w:r>
                </w:p>
              </w:tc>
              <w:tc>
                <w:tcPr>
                  <w:tcW w:w="1035" w:type="dxa"/>
                  <w:vAlign w:val="center"/>
                </w:tcPr>
                <w:p w14:paraId="3D4224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72E1BA0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36990F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F63E9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4E459A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级配碎石</w:t>
                  </w:r>
                </w:p>
              </w:tc>
              <w:tc>
                <w:tcPr>
                  <w:tcW w:w="1035" w:type="dxa"/>
                  <w:vAlign w:val="center"/>
                </w:tcPr>
                <w:p w14:paraId="0DAD4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32AD847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155F0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E81C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1.4.2</w:t>
                  </w:r>
                </w:p>
              </w:tc>
              <w:tc>
                <w:tcPr>
                  <w:tcW w:w="4119" w:type="dxa"/>
                  <w:vAlign w:val="center"/>
                </w:tcPr>
                <w:p w14:paraId="6A8C7B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水泥混凝土路面恢复</w:t>
                  </w:r>
                </w:p>
              </w:tc>
              <w:tc>
                <w:tcPr>
                  <w:tcW w:w="1035" w:type="dxa"/>
                  <w:vAlign w:val="center"/>
                </w:tcPr>
                <w:p w14:paraId="22009C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 xml:space="preserve"> </w:t>
                  </w:r>
                </w:p>
              </w:tc>
              <w:tc>
                <w:tcPr>
                  <w:tcW w:w="1494" w:type="dxa"/>
                  <w:vAlign w:val="center"/>
                </w:tcPr>
                <w:p w14:paraId="551D26B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r>
            <w:tr w14:paraId="4E3A1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6722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5BD0B8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C30水泥砼</w:t>
                  </w:r>
                </w:p>
              </w:tc>
              <w:tc>
                <w:tcPr>
                  <w:tcW w:w="1035" w:type="dxa"/>
                  <w:vAlign w:val="center"/>
                </w:tcPr>
                <w:p w14:paraId="37E6CC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3A7FE0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2FDF9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F8B225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07E709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级配碎石</w:t>
                  </w:r>
                </w:p>
              </w:tc>
              <w:tc>
                <w:tcPr>
                  <w:tcW w:w="1035" w:type="dxa"/>
                  <w:vAlign w:val="center"/>
                </w:tcPr>
                <w:p w14:paraId="7AAC1C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477B76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10407.42</w:t>
                  </w:r>
                </w:p>
              </w:tc>
            </w:tr>
            <w:tr w14:paraId="25563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94DF9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2</w:t>
                  </w:r>
                </w:p>
              </w:tc>
              <w:tc>
                <w:tcPr>
                  <w:tcW w:w="4119" w:type="dxa"/>
                  <w:vAlign w:val="center"/>
                </w:tcPr>
                <w:p w14:paraId="08E954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南岳花都片排水管网新建工程</w:t>
                  </w:r>
                </w:p>
              </w:tc>
              <w:tc>
                <w:tcPr>
                  <w:tcW w:w="1035" w:type="dxa"/>
                  <w:vAlign w:val="center"/>
                </w:tcPr>
                <w:p w14:paraId="61B3D52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763678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FE6E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FBBE5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w:t>
                  </w:r>
                </w:p>
              </w:tc>
              <w:tc>
                <w:tcPr>
                  <w:tcW w:w="4119" w:type="dxa"/>
                  <w:vAlign w:val="center"/>
                </w:tcPr>
                <w:p w14:paraId="7F3A2F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检查井</w:t>
                  </w:r>
                </w:p>
              </w:tc>
              <w:tc>
                <w:tcPr>
                  <w:tcW w:w="1035" w:type="dxa"/>
                  <w:vAlign w:val="center"/>
                </w:tcPr>
                <w:p w14:paraId="39DFB40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52594BA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1EB2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B444C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2.1.1</w:t>
                  </w:r>
                </w:p>
              </w:tc>
              <w:tc>
                <w:tcPr>
                  <w:tcW w:w="4119" w:type="dxa"/>
                  <w:vAlign w:val="center"/>
                </w:tcPr>
                <w:p w14:paraId="73B389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vAlign w:val="center"/>
                </w:tcPr>
                <w:p w14:paraId="5AB9A3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399947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FFE8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EB32CE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0D0C152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人工开挖胶轮车运50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5" w:type="dxa"/>
                  <w:vAlign w:val="center"/>
                </w:tcPr>
                <w:p w14:paraId="1DDF9BC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2638B0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610.779</w:t>
                  </w:r>
                </w:p>
              </w:tc>
            </w:tr>
            <w:tr w14:paraId="6C8A0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BE9AA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65AE249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5" w:type="dxa"/>
                  <w:vAlign w:val="center"/>
                </w:tcPr>
                <w:p w14:paraId="2952E5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53FEBD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5497.011</w:t>
                  </w:r>
                </w:p>
              </w:tc>
            </w:tr>
            <w:tr w14:paraId="18923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DFCD9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4D0C4C8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推土机推回填土50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035" w:type="dxa"/>
                  <w:vAlign w:val="center"/>
                </w:tcPr>
                <w:p w14:paraId="6EFF0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7B66B5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5497.011</w:t>
                  </w:r>
                </w:p>
              </w:tc>
            </w:tr>
            <w:tr w14:paraId="5396C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CB007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5CEBD4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vAlign w:val="center"/>
                </w:tcPr>
                <w:p w14:paraId="10A54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45606D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3634.134</w:t>
                  </w:r>
                </w:p>
              </w:tc>
            </w:tr>
            <w:tr w14:paraId="40732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A5A6C9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3A7FB0B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电动打夯机压实</w:t>
                  </w:r>
                </w:p>
              </w:tc>
              <w:tc>
                <w:tcPr>
                  <w:tcW w:w="1035" w:type="dxa"/>
                  <w:vAlign w:val="center"/>
                </w:tcPr>
                <w:p w14:paraId="660FF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27BEC5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1557.486</w:t>
                  </w:r>
                </w:p>
              </w:tc>
            </w:tr>
            <w:tr w14:paraId="55751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40290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2.1.2</w:t>
                  </w:r>
                </w:p>
              </w:tc>
              <w:tc>
                <w:tcPr>
                  <w:tcW w:w="4119" w:type="dxa"/>
                  <w:vAlign w:val="center"/>
                </w:tcPr>
                <w:p w14:paraId="104387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vAlign w:val="center"/>
                </w:tcPr>
                <w:p w14:paraId="6C7D87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1A2035D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BFF4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30BC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17C279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vAlign w:val="center"/>
                </w:tcPr>
                <w:p w14:paraId="079FF1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2CB573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36.01</w:t>
                  </w:r>
                </w:p>
              </w:tc>
            </w:tr>
            <w:tr w14:paraId="418FAC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B5AD3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2.1.3</w:t>
                  </w:r>
                </w:p>
              </w:tc>
              <w:tc>
                <w:tcPr>
                  <w:tcW w:w="4119" w:type="dxa"/>
                  <w:vAlign w:val="center"/>
                </w:tcPr>
                <w:p w14:paraId="7B35E4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35" w:type="dxa"/>
                  <w:vAlign w:val="center"/>
                </w:tcPr>
                <w:p w14:paraId="7C512A0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705302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B772A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DD443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571574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进出水口500厚1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9水泥土垫层</w:t>
                  </w:r>
                </w:p>
              </w:tc>
              <w:tc>
                <w:tcPr>
                  <w:tcW w:w="1035" w:type="dxa"/>
                  <w:vAlign w:val="center"/>
                </w:tcPr>
                <w:p w14:paraId="65254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7B657EC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17.57</w:t>
                  </w:r>
                </w:p>
              </w:tc>
            </w:tr>
            <w:tr w14:paraId="3582E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A97891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3BDFD4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进出水口C25砼垫层</w:t>
                  </w:r>
                </w:p>
              </w:tc>
              <w:tc>
                <w:tcPr>
                  <w:tcW w:w="1035" w:type="dxa"/>
                  <w:vAlign w:val="center"/>
                </w:tcPr>
                <w:p w14:paraId="1E978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6CDB1C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2.74</w:t>
                  </w:r>
                </w:p>
              </w:tc>
            </w:tr>
            <w:tr w14:paraId="28BC8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BF82C4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651793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进出水口C30砼底板</w:t>
                  </w:r>
                </w:p>
              </w:tc>
              <w:tc>
                <w:tcPr>
                  <w:tcW w:w="1035" w:type="dxa"/>
                  <w:vAlign w:val="center"/>
                </w:tcPr>
                <w:p w14:paraId="52B8C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4591928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10.11</w:t>
                  </w:r>
                </w:p>
              </w:tc>
            </w:tr>
            <w:tr w14:paraId="1AF831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8C802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764069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进出水口C30砼侧墙</w:t>
                  </w:r>
                </w:p>
              </w:tc>
              <w:tc>
                <w:tcPr>
                  <w:tcW w:w="1035" w:type="dxa"/>
                  <w:vAlign w:val="center"/>
                </w:tcPr>
                <w:p w14:paraId="2E1872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427B3C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9.36</w:t>
                  </w:r>
                </w:p>
              </w:tc>
            </w:tr>
            <w:tr w14:paraId="056EA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2A8930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551134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C25砼格梗</w:t>
                  </w:r>
                </w:p>
              </w:tc>
              <w:tc>
                <w:tcPr>
                  <w:tcW w:w="1035" w:type="dxa"/>
                  <w:vAlign w:val="center"/>
                </w:tcPr>
                <w:p w14:paraId="46A876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1D3FA3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w:t>
                  </w:r>
                </w:p>
              </w:tc>
            </w:tr>
            <w:tr w14:paraId="71CAF5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05911E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vAlign w:val="center"/>
                </w:tcPr>
                <w:p w14:paraId="398D91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实心联锁块护坡恢复100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23B99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00C627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w:t>
                  </w:r>
                </w:p>
              </w:tc>
            </w:tr>
            <w:tr w14:paraId="162FF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2239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119" w:type="dxa"/>
                  <w:vAlign w:val="center"/>
                </w:tcPr>
                <w:p w14:paraId="7B8269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C25砼护底</w:t>
                  </w:r>
                </w:p>
              </w:tc>
              <w:tc>
                <w:tcPr>
                  <w:tcW w:w="1035" w:type="dxa"/>
                  <w:vAlign w:val="center"/>
                </w:tcPr>
                <w:p w14:paraId="3E8F2B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5C29B4A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36.03</w:t>
                  </w:r>
                </w:p>
              </w:tc>
            </w:tr>
            <w:tr w14:paraId="312F8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49F63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119" w:type="dxa"/>
                  <w:vAlign w:val="center"/>
                </w:tcPr>
                <w:p w14:paraId="0D4B75E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C25砼回填</w:t>
                  </w:r>
                </w:p>
              </w:tc>
              <w:tc>
                <w:tcPr>
                  <w:tcW w:w="1035" w:type="dxa"/>
                  <w:vAlign w:val="center"/>
                </w:tcPr>
                <w:p w14:paraId="35C8A8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027E604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640.69</w:t>
                  </w:r>
                </w:p>
              </w:tc>
            </w:tr>
            <w:tr w14:paraId="45EF3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1A142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119" w:type="dxa"/>
                  <w:vAlign w:val="center"/>
                </w:tcPr>
                <w:p w14:paraId="51E739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C40砼矩形混凝土井</w:t>
                  </w:r>
                </w:p>
              </w:tc>
              <w:tc>
                <w:tcPr>
                  <w:tcW w:w="1035" w:type="dxa"/>
                  <w:vAlign w:val="center"/>
                </w:tcPr>
                <w:p w14:paraId="4A8E00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135AD37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94.64</w:t>
                  </w:r>
                </w:p>
              </w:tc>
            </w:tr>
            <w:tr w14:paraId="46398A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1C9D4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119" w:type="dxa"/>
                  <w:vAlign w:val="center"/>
                </w:tcPr>
                <w:p w14:paraId="0B3D1C7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035" w:type="dxa"/>
                  <w:vAlign w:val="center"/>
                </w:tcPr>
                <w:p w14:paraId="42BD13B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t</w:t>
                  </w:r>
                </w:p>
              </w:tc>
              <w:tc>
                <w:tcPr>
                  <w:tcW w:w="1494" w:type="dxa"/>
                  <w:vAlign w:val="center"/>
                </w:tcPr>
                <w:p w14:paraId="456AE0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11.41</w:t>
                  </w:r>
                </w:p>
              </w:tc>
            </w:tr>
            <w:tr w14:paraId="76F56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623961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119" w:type="dxa"/>
                  <w:vAlign w:val="center"/>
                </w:tcPr>
                <w:p w14:paraId="189B2A6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35" w:type="dxa"/>
                  <w:vAlign w:val="center"/>
                </w:tcPr>
                <w:p w14:paraId="547D6D8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43555A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174.66</w:t>
                  </w:r>
                </w:p>
              </w:tc>
            </w:tr>
            <w:tr w14:paraId="623ED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E18D94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119" w:type="dxa"/>
                  <w:vAlign w:val="center"/>
                </w:tcPr>
                <w:p w14:paraId="291379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35" w:type="dxa"/>
                  <w:vAlign w:val="center"/>
                </w:tcPr>
                <w:p w14:paraId="3FEDB9D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108BD5A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30.88</w:t>
                  </w:r>
                </w:p>
              </w:tc>
            </w:tr>
            <w:tr w14:paraId="7D4BE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099D1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w:t>
                  </w:r>
                </w:p>
              </w:tc>
              <w:tc>
                <w:tcPr>
                  <w:tcW w:w="4119" w:type="dxa"/>
                  <w:vAlign w:val="center"/>
                </w:tcPr>
                <w:p w14:paraId="6ADBB41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vAlign w:val="center"/>
                </w:tcPr>
                <w:p w14:paraId="64C8D2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047911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66BF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34C7B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2.1.4.1</w:t>
                  </w:r>
                </w:p>
              </w:tc>
              <w:tc>
                <w:tcPr>
                  <w:tcW w:w="4119" w:type="dxa"/>
                  <w:vAlign w:val="center"/>
                </w:tcPr>
                <w:p w14:paraId="4794E46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D1800钢筋混凝土Ⅲ级管</w:t>
                  </w:r>
                </w:p>
              </w:tc>
              <w:tc>
                <w:tcPr>
                  <w:tcW w:w="1035" w:type="dxa"/>
                  <w:vAlign w:val="center"/>
                </w:tcPr>
                <w:p w14:paraId="30CE788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vAlign w:val="center"/>
                </w:tcPr>
                <w:p w14:paraId="25829D0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0.505</w:t>
                  </w:r>
                </w:p>
              </w:tc>
            </w:tr>
            <w:tr w14:paraId="65F6B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B89EF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2.1.4.2</w:t>
                  </w:r>
                </w:p>
              </w:tc>
              <w:tc>
                <w:tcPr>
                  <w:tcW w:w="4119" w:type="dxa"/>
                  <w:vAlign w:val="center"/>
                </w:tcPr>
                <w:p w14:paraId="146AC6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D1200钢筋混凝土Ⅲ级管</w:t>
                  </w:r>
                </w:p>
              </w:tc>
              <w:tc>
                <w:tcPr>
                  <w:tcW w:w="1035" w:type="dxa"/>
                  <w:vAlign w:val="center"/>
                </w:tcPr>
                <w:p w14:paraId="3A892B8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p>
              </w:tc>
              <w:tc>
                <w:tcPr>
                  <w:tcW w:w="1494" w:type="dxa"/>
                  <w:vAlign w:val="center"/>
                </w:tcPr>
                <w:p w14:paraId="42ED8A8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0.004</w:t>
                  </w:r>
                </w:p>
              </w:tc>
            </w:tr>
            <w:tr w14:paraId="07AE8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FA0A7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2.1.4.3</w:t>
                  </w:r>
                </w:p>
              </w:tc>
              <w:tc>
                <w:tcPr>
                  <w:tcW w:w="4119" w:type="dxa"/>
                  <w:vAlign w:val="center"/>
                </w:tcPr>
                <w:p w14:paraId="534396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沥青路恢复</w:t>
                  </w:r>
                </w:p>
              </w:tc>
              <w:tc>
                <w:tcPr>
                  <w:tcW w:w="1035" w:type="dxa"/>
                  <w:vAlign w:val="center"/>
                </w:tcPr>
                <w:p w14:paraId="7A36F4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36428AF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58C1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D232D9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7C5805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细粒式沥青砼厚30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4A4003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7A4215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2A704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6AAD2D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357212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7FE2F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2DBDC9A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3E180D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84EBD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14359BE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水泥稳定碎石厚300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145A6F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2A036E0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51DCA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FB22E3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29B833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石灰土厚200</w:t>
                  </w:r>
                </w:p>
              </w:tc>
              <w:tc>
                <w:tcPr>
                  <w:tcW w:w="1035" w:type="dxa"/>
                  <w:vAlign w:val="center"/>
                </w:tcPr>
                <w:p w14:paraId="6A685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672831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3499.2</w:t>
                  </w:r>
                </w:p>
              </w:tc>
            </w:tr>
            <w:tr w14:paraId="00820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2FE5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2.1.4.4</w:t>
                  </w:r>
                </w:p>
              </w:tc>
              <w:tc>
                <w:tcPr>
                  <w:tcW w:w="4119" w:type="dxa"/>
                  <w:vAlign w:val="center"/>
                </w:tcPr>
                <w:p w14:paraId="3A5BC5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防坠网</w:t>
                  </w:r>
                </w:p>
              </w:tc>
              <w:tc>
                <w:tcPr>
                  <w:tcW w:w="1035" w:type="dxa"/>
                  <w:vAlign w:val="center"/>
                </w:tcPr>
                <w:p w14:paraId="7B1DD0A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个</w:t>
                  </w:r>
                </w:p>
              </w:tc>
              <w:tc>
                <w:tcPr>
                  <w:tcW w:w="1494" w:type="dxa"/>
                  <w:vAlign w:val="center"/>
                </w:tcPr>
                <w:p w14:paraId="509F89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7</w:t>
                  </w:r>
                </w:p>
              </w:tc>
            </w:tr>
            <w:tr w14:paraId="38F99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999C8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w:t>
                  </w:r>
                </w:p>
              </w:tc>
              <w:tc>
                <w:tcPr>
                  <w:tcW w:w="4119" w:type="dxa"/>
                  <w:vAlign w:val="center"/>
                </w:tcPr>
                <w:p w14:paraId="51E550A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道路交安设施恢复费</w:t>
                  </w:r>
                </w:p>
              </w:tc>
              <w:tc>
                <w:tcPr>
                  <w:tcW w:w="1035" w:type="dxa"/>
                  <w:vAlign w:val="center"/>
                </w:tcPr>
                <w:p w14:paraId="475802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项</w:t>
                  </w:r>
                </w:p>
              </w:tc>
              <w:tc>
                <w:tcPr>
                  <w:tcW w:w="1494" w:type="dxa"/>
                  <w:vAlign w:val="center"/>
                </w:tcPr>
                <w:p w14:paraId="7886E02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r>
            <w:tr w14:paraId="70163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7BE6F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w:t>
                  </w:r>
                </w:p>
              </w:tc>
              <w:tc>
                <w:tcPr>
                  <w:tcW w:w="4119" w:type="dxa"/>
                  <w:vAlign w:val="center"/>
                </w:tcPr>
                <w:p w14:paraId="2C9A72C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保通道路工程</w:t>
                  </w:r>
                </w:p>
              </w:tc>
              <w:tc>
                <w:tcPr>
                  <w:tcW w:w="1035" w:type="dxa"/>
                  <w:vAlign w:val="center"/>
                </w:tcPr>
                <w:p w14:paraId="2D7C941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项</w:t>
                  </w:r>
                </w:p>
              </w:tc>
              <w:tc>
                <w:tcPr>
                  <w:tcW w:w="1494" w:type="dxa"/>
                  <w:vAlign w:val="center"/>
                </w:tcPr>
                <w:p w14:paraId="361FEF5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1</w:t>
                  </w:r>
                </w:p>
              </w:tc>
            </w:tr>
            <w:tr w14:paraId="2AA38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4FBDE4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3</w:t>
                  </w:r>
                </w:p>
              </w:tc>
              <w:tc>
                <w:tcPr>
                  <w:tcW w:w="4119" w:type="dxa"/>
                  <w:vAlign w:val="center"/>
                </w:tcPr>
                <w:p w14:paraId="647DF1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衡山工业园片排水管网新建工</w:t>
                  </w:r>
                  <w:r>
                    <w:rPr>
                      <w:rFonts w:hint="default" w:ascii="Times New Roman" w:hAnsi="Times New Roman" w:eastAsia="宋体" w:cs="Times New Roman"/>
                      <w:color w:val="000000" w:themeColor="text1"/>
                      <w:w w:val="99"/>
                      <w:sz w:val="21"/>
                      <w:szCs w:val="21"/>
                      <w14:textFill>
                        <w14:solidFill>
                          <w14:schemeClr w14:val="tx1"/>
                        </w14:solidFill>
                      </w14:textFill>
                    </w:rPr>
                    <w:t>程</w:t>
                  </w:r>
                </w:p>
              </w:tc>
              <w:tc>
                <w:tcPr>
                  <w:tcW w:w="1035" w:type="dxa"/>
                  <w:vAlign w:val="center"/>
                </w:tcPr>
                <w:p w14:paraId="45E890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113094C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4DAF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AE93B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w:t>
                  </w:r>
                </w:p>
              </w:tc>
              <w:tc>
                <w:tcPr>
                  <w:tcW w:w="4119" w:type="dxa"/>
                  <w:vAlign w:val="center"/>
                </w:tcPr>
                <w:p w14:paraId="47124B6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土方工程</w:t>
                  </w:r>
                </w:p>
              </w:tc>
              <w:tc>
                <w:tcPr>
                  <w:tcW w:w="1035" w:type="dxa"/>
                  <w:vAlign w:val="center"/>
                </w:tcPr>
                <w:p w14:paraId="57465A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07D622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949C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BF1B5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159D22F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3挖掘机挖土自卸汽车运输(III类土) 运距8k</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自卸汽车8t（弃土外运）</w:t>
                  </w:r>
                </w:p>
              </w:tc>
              <w:tc>
                <w:tcPr>
                  <w:tcW w:w="1035" w:type="dxa"/>
                  <w:vAlign w:val="center"/>
                </w:tcPr>
                <w:p w14:paraId="4443A5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6744761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1259.683</w:t>
                  </w:r>
                </w:p>
              </w:tc>
            </w:tr>
            <w:tr w14:paraId="4E4B3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C3211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4066E81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挖掘机挖，推土机推50</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（开挖土利用回填）</w:t>
                  </w:r>
                </w:p>
              </w:tc>
              <w:tc>
                <w:tcPr>
                  <w:tcW w:w="1035" w:type="dxa"/>
                  <w:vAlign w:val="center"/>
                </w:tcPr>
                <w:p w14:paraId="1A728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739B46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84123.447</w:t>
                  </w:r>
                </w:p>
              </w:tc>
            </w:tr>
            <w:tr w14:paraId="5CACC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D2AD1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7766B98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74kW推土机推土 Ⅲ类土 推土距离（</w:t>
                  </w: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14:textFill>
                        <w14:solidFill>
                          <w14:schemeClr w14:val="tx1"/>
                        </w14:solidFill>
                      </w14:textFill>
                    </w:rPr>
                    <w:t>） 50（就近堆放）</w:t>
                  </w:r>
                </w:p>
              </w:tc>
              <w:tc>
                <w:tcPr>
                  <w:tcW w:w="1035" w:type="dxa"/>
                  <w:vAlign w:val="center"/>
                </w:tcPr>
                <w:p w14:paraId="75A17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37EC799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84123.447</w:t>
                  </w:r>
                </w:p>
              </w:tc>
            </w:tr>
            <w:tr w14:paraId="71EA5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D0B4E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425FCA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拖拉机压实土方</w:t>
                  </w:r>
                </w:p>
              </w:tc>
              <w:tc>
                <w:tcPr>
                  <w:tcW w:w="1035" w:type="dxa"/>
                  <w:vAlign w:val="center"/>
                </w:tcPr>
                <w:p w14:paraId="0DC146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2A4FC2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71504.93</w:t>
                  </w:r>
                </w:p>
              </w:tc>
            </w:tr>
            <w:tr w14:paraId="12910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0BD10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w:t>
                  </w:r>
                </w:p>
              </w:tc>
              <w:tc>
                <w:tcPr>
                  <w:tcW w:w="4119" w:type="dxa"/>
                  <w:vAlign w:val="center"/>
                </w:tcPr>
                <w:p w14:paraId="0466506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砌石工程</w:t>
                  </w:r>
                </w:p>
              </w:tc>
              <w:tc>
                <w:tcPr>
                  <w:tcW w:w="1035" w:type="dxa"/>
                  <w:vAlign w:val="center"/>
                </w:tcPr>
                <w:p w14:paraId="122E568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2255B9D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0DF7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C7955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426EA0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中粗砂</w:t>
                  </w:r>
                </w:p>
              </w:tc>
              <w:tc>
                <w:tcPr>
                  <w:tcW w:w="1035" w:type="dxa"/>
                  <w:vAlign w:val="center"/>
                </w:tcPr>
                <w:p w14:paraId="30852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39F212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2211</w:t>
                  </w:r>
                </w:p>
              </w:tc>
            </w:tr>
            <w:tr w14:paraId="35EED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C6518D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7E532DA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碎石垫层</w:t>
                  </w:r>
                </w:p>
              </w:tc>
              <w:tc>
                <w:tcPr>
                  <w:tcW w:w="1035" w:type="dxa"/>
                  <w:vAlign w:val="center"/>
                </w:tcPr>
                <w:p w14:paraId="27E9F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0DD080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125.28</w:t>
                  </w:r>
                </w:p>
              </w:tc>
            </w:tr>
            <w:tr w14:paraId="78F2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EECDD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w:t>
                  </w:r>
                </w:p>
              </w:tc>
              <w:tc>
                <w:tcPr>
                  <w:tcW w:w="4119" w:type="dxa"/>
                  <w:vAlign w:val="center"/>
                </w:tcPr>
                <w:p w14:paraId="7833C33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雨污水管</w:t>
                  </w:r>
                </w:p>
              </w:tc>
              <w:tc>
                <w:tcPr>
                  <w:tcW w:w="1035" w:type="dxa"/>
                  <w:vAlign w:val="center"/>
                </w:tcPr>
                <w:p w14:paraId="22ADE50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05B5E1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AE22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887F7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5977AF5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DN800Ⅱ级钢筋混凝土管</w:t>
                  </w:r>
                </w:p>
              </w:tc>
              <w:tc>
                <w:tcPr>
                  <w:tcW w:w="1035" w:type="dxa"/>
                  <w:vAlign w:val="center"/>
                </w:tcPr>
                <w:p w14:paraId="599A00D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002053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3100</w:t>
                  </w:r>
                </w:p>
              </w:tc>
            </w:tr>
            <w:tr w14:paraId="632B4A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8FD6BE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66F56AC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DN500Ⅱ级钢筋混凝土管</w:t>
                  </w:r>
                </w:p>
              </w:tc>
              <w:tc>
                <w:tcPr>
                  <w:tcW w:w="1035" w:type="dxa"/>
                  <w:vAlign w:val="center"/>
                </w:tcPr>
                <w:p w14:paraId="7DEA3C4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46B1256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1285</w:t>
                  </w:r>
                </w:p>
              </w:tc>
            </w:tr>
            <w:tr w14:paraId="3911A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F8A77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4C7DA03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DN400Ⅱ级钢筋混凝土管</w:t>
                  </w:r>
                </w:p>
              </w:tc>
              <w:tc>
                <w:tcPr>
                  <w:tcW w:w="1035" w:type="dxa"/>
                  <w:vAlign w:val="center"/>
                </w:tcPr>
                <w:p w14:paraId="1CDDAE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74FAA71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450</w:t>
                  </w:r>
                </w:p>
              </w:tc>
            </w:tr>
            <w:tr w14:paraId="07FE6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17756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2157A0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DN600Ⅱ级钢筋混凝土管</w:t>
                  </w:r>
                </w:p>
              </w:tc>
              <w:tc>
                <w:tcPr>
                  <w:tcW w:w="1035" w:type="dxa"/>
                  <w:vAlign w:val="center"/>
                </w:tcPr>
                <w:p w14:paraId="749AB75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72D3D9F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1050</w:t>
                  </w:r>
                </w:p>
              </w:tc>
            </w:tr>
            <w:tr w14:paraId="50A5B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A906D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74E00B7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DN1000Ⅱ级钢筋混凝土管</w:t>
                  </w:r>
                </w:p>
              </w:tc>
              <w:tc>
                <w:tcPr>
                  <w:tcW w:w="1035" w:type="dxa"/>
                  <w:vAlign w:val="center"/>
                </w:tcPr>
                <w:p w14:paraId="24D2214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4CD664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230</w:t>
                  </w:r>
                </w:p>
              </w:tc>
            </w:tr>
            <w:tr w14:paraId="3E708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2F35CA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vAlign w:val="center"/>
                </w:tcPr>
                <w:p w14:paraId="29DF94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DN1200Ⅱ级钢筋混凝土管</w:t>
                  </w:r>
                </w:p>
              </w:tc>
              <w:tc>
                <w:tcPr>
                  <w:tcW w:w="1035" w:type="dxa"/>
                  <w:vAlign w:val="center"/>
                </w:tcPr>
                <w:p w14:paraId="3E871B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04FF46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310</w:t>
                  </w:r>
                </w:p>
              </w:tc>
            </w:tr>
            <w:tr w14:paraId="1DC03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ADE1F9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119" w:type="dxa"/>
                  <w:vAlign w:val="center"/>
                </w:tcPr>
                <w:p w14:paraId="178760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DN300HDPE缠绕管</w:t>
                  </w:r>
                </w:p>
              </w:tc>
              <w:tc>
                <w:tcPr>
                  <w:tcW w:w="1035" w:type="dxa"/>
                  <w:vAlign w:val="center"/>
                </w:tcPr>
                <w:p w14:paraId="3ADCD3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37D1B64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2048</w:t>
                  </w:r>
                </w:p>
              </w:tc>
            </w:tr>
            <w:tr w14:paraId="0921B2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ED525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3.4</w:t>
                  </w:r>
                </w:p>
              </w:tc>
              <w:tc>
                <w:tcPr>
                  <w:tcW w:w="4119" w:type="dxa"/>
                  <w:vAlign w:val="center"/>
                </w:tcPr>
                <w:p w14:paraId="494AF0D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混凝土工程</w:t>
                  </w:r>
                </w:p>
              </w:tc>
              <w:tc>
                <w:tcPr>
                  <w:tcW w:w="1035" w:type="dxa"/>
                  <w:vAlign w:val="center"/>
                </w:tcPr>
                <w:p w14:paraId="7BE4E9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5E6DE32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7DCC5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5FF98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78DE7F2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C25垫层</w:t>
                  </w:r>
                </w:p>
              </w:tc>
              <w:tc>
                <w:tcPr>
                  <w:tcW w:w="1035" w:type="dxa"/>
                  <w:vAlign w:val="center"/>
                </w:tcPr>
                <w:p w14:paraId="50AFED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1660857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765.94</w:t>
                  </w:r>
                </w:p>
              </w:tc>
            </w:tr>
            <w:tr w14:paraId="1B66D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BF7EF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6E828EC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C40预制箱式涵洞</w:t>
                  </w:r>
                </w:p>
              </w:tc>
              <w:tc>
                <w:tcPr>
                  <w:tcW w:w="1035" w:type="dxa"/>
                  <w:vAlign w:val="center"/>
                </w:tcPr>
                <w:p w14:paraId="39B97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6BA34AE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7585.27</w:t>
                  </w:r>
                </w:p>
              </w:tc>
            </w:tr>
            <w:tr w14:paraId="2CACC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4FB6E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3FB401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C30钢筋砼渠道底板</w:t>
                  </w:r>
                </w:p>
              </w:tc>
              <w:tc>
                <w:tcPr>
                  <w:tcW w:w="1035" w:type="dxa"/>
                  <w:vAlign w:val="center"/>
                </w:tcPr>
                <w:p w14:paraId="7FD7CC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64C0499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476.06</w:t>
                  </w:r>
                </w:p>
              </w:tc>
            </w:tr>
            <w:tr w14:paraId="5B3AC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A6D9AE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1226196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C30钢筋砼渠道立墙</w:t>
                  </w:r>
                </w:p>
              </w:tc>
              <w:tc>
                <w:tcPr>
                  <w:tcW w:w="1035" w:type="dxa"/>
                  <w:vAlign w:val="center"/>
                </w:tcPr>
                <w:p w14:paraId="32746A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07C894A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748.3</w:t>
                  </w:r>
                </w:p>
              </w:tc>
            </w:tr>
            <w:tr w14:paraId="06E5C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1A442C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3294E1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钢筋</w:t>
                  </w:r>
                </w:p>
              </w:tc>
              <w:tc>
                <w:tcPr>
                  <w:tcW w:w="1035" w:type="dxa"/>
                  <w:vAlign w:val="center"/>
                </w:tcPr>
                <w:p w14:paraId="02F93E1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t</w:t>
                  </w:r>
                </w:p>
              </w:tc>
              <w:tc>
                <w:tcPr>
                  <w:tcW w:w="1494" w:type="dxa"/>
                  <w:vAlign w:val="center"/>
                </w:tcPr>
                <w:p w14:paraId="5D9A53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880.97</w:t>
                  </w:r>
                </w:p>
              </w:tc>
            </w:tr>
            <w:tr w14:paraId="7F2B15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46CD4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vAlign w:val="center"/>
                </w:tcPr>
                <w:p w14:paraId="21D80EC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模板</w:t>
                  </w:r>
                </w:p>
              </w:tc>
              <w:tc>
                <w:tcPr>
                  <w:tcW w:w="1035" w:type="dxa"/>
                  <w:vAlign w:val="center"/>
                </w:tcPr>
                <w:p w14:paraId="2C698C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62ADDA5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1224.36</w:t>
                  </w:r>
                </w:p>
              </w:tc>
            </w:tr>
            <w:tr w14:paraId="61020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9BA95A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4119" w:type="dxa"/>
                  <w:vAlign w:val="center"/>
                </w:tcPr>
                <w:p w14:paraId="5A5760F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D1250钢筋混凝土检查井</w:t>
                  </w:r>
                </w:p>
              </w:tc>
              <w:tc>
                <w:tcPr>
                  <w:tcW w:w="1035" w:type="dxa"/>
                  <w:vAlign w:val="center"/>
                </w:tcPr>
                <w:p w14:paraId="0B7560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vAlign w:val="center"/>
                </w:tcPr>
                <w:p w14:paraId="5FE5F4F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r>
            <w:tr w14:paraId="47BF6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67A565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4119" w:type="dxa"/>
                  <w:vAlign w:val="center"/>
                </w:tcPr>
                <w:p w14:paraId="1B7FA61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D1000钢筋混凝土检查井</w:t>
                  </w:r>
                </w:p>
              </w:tc>
              <w:tc>
                <w:tcPr>
                  <w:tcW w:w="1035" w:type="dxa"/>
                  <w:vAlign w:val="center"/>
                </w:tcPr>
                <w:p w14:paraId="698C83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vAlign w:val="center"/>
                </w:tcPr>
                <w:p w14:paraId="05B51E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71</w:t>
                  </w:r>
                </w:p>
              </w:tc>
            </w:tr>
            <w:tr w14:paraId="0A9EC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9D2883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4119" w:type="dxa"/>
                  <w:vAlign w:val="center"/>
                </w:tcPr>
                <w:p w14:paraId="2385445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1300*1100钢筋混凝土检查井</w:t>
                  </w:r>
                </w:p>
              </w:tc>
              <w:tc>
                <w:tcPr>
                  <w:tcW w:w="1035" w:type="dxa"/>
                  <w:vAlign w:val="center"/>
                </w:tcPr>
                <w:p w14:paraId="4EE396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vAlign w:val="center"/>
                </w:tcPr>
                <w:p w14:paraId="4C17B09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7</w:t>
                  </w:r>
                </w:p>
              </w:tc>
            </w:tr>
            <w:tr w14:paraId="642B5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26D422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4119" w:type="dxa"/>
                  <w:vAlign w:val="center"/>
                </w:tcPr>
                <w:p w14:paraId="1E14286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1500*1100钢筋混凝土检查井</w:t>
                  </w:r>
                </w:p>
              </w:tc>
              <w:tc>
                <w:tcPr>
                  <w:tcW w:w="1035" w:type="dxa"/>
                  <w:vAlign w:val="center"/>
                </w:tcPr>
                <w:p w14:paraId="1A7841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vAlign w:val="center"/>
                </w:tcPr>
                <w:p w14:paraId="309DBC2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8</w:t>
                  </w:r>
                </w:p>
              </w:tc>
            </w:tr>
            <w:tr w14:paraId="7E27A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2C7AF02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4119" w:type="dxa"/>
                  <w:vAlign w:val="center"/>
                </w:tcPr>
                <w:p w14:paraId="0D3389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2030*960雨水篦子</w:t>
                  </w:r>
                </w:p>
              </w:tc>
              <w:tc>
                <w:tcPr>
                  <w:tcW w:w="1035" w:type="dxa"/>
                  <w:vAlign w:val="center"/>
                </w:tcPr>
                <w:p w14:paraId="446298F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vAlign w:val="center"/>
                </w:tcPr>
                <w:p w14:paraId="03029B2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256</w:t>
                  </w:r>
                </w:p>
              </w:tc>
            </w:tr>
            <w:tr w14:paraId="41C4C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90A6F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4119" w:type="dxa"/>
                  <w:vAlign w:val="center"/>
                </w:tcPr>
                <w:p w14:paraId="72EBCEC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八字口</w:t>
                  </w:r>
                </w:p>
              </w:tc>
              <w:tc>
                <w:tcPr>
                  <w:tcW w:w="1035" w:type="dxa"/>
                  <w:vAlign w:val="center"/>
                </w:tcPr>
                <w:p w14:paraId="2ECF951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座</w:t>
                  </w:r>
                </w:p>
              </w:tc>
              <w:tc>
                <w:tcPr>
                  <w:tcW w:w="1494" w:type="dxa"/>
                  <w:vAlign w:val="center"/>
                </w:tcPr>
                <w:p w14:paraId="2DCBD9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9"/>
                      <w:sz w:val="21"/>
                      <w:szCs w:val="21"/>
                      <w14:textFill>
                        <w14:solidFill>
                          <w14:schemeClr w14:val="tx1"/>
                        </w14:solidFill>
                      </w14:textFill>
                    </w:rPr>
                    <w:t>3</w:t>
                  </w:r>
                </w:p>
              </w:tc>
            </w:tr>
            <w:tr w14:paraId="6F2BA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6CDEF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4119" w:type="dxa"/>
                  <w:vAlign w:val="center"/>
                </w:tcPr>
                <w:p w14:paraId="5013262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细部结构工程</w:t>
                  </w:r>
                </w:p>
              </w:tc>
              <w:tc>
                <w:tcPr>
                  <w:tcW w:w="1035" w:type="dxa"/>
                  <w:vAlign w:val="center"/>
                </w:tcPr>
                <w:p w14:paraId="6B167BC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p>
              </w:tc>
              <w:tc>
                <w:tcPr>
                  <w:tcW w:w="1494" w:type="dxa"/>
                  <w:vAlign w:val="center"/>
                </w:tcPr>
                <w:p w14:paraId="53B2B07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880.97</w:t>
                  </w:r>
                </w:p>
              </w:tc>
            </w:tr>
            <w:tr w14:paraId="4306D0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5B96F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4119" w:type="dxa"/>
                  <w:vAlign w:val="center"/>
                </w:tcPr>
                <w:p w14:paraId="761CC7D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其他工程</w:t>
                  </w:r>
                </w:p>
              </w:tc>
              <w:tc>
                <w:tcPr>
                  <w:tcW w:w="1035" w:type="dxa"/>
                  <w:vAlign w:val="center"/>
                </w:tcPr>
                <w:p w14:paraId="02E226E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664CFB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2108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13D82B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3.5.1</w:t>
                  </w:r>
                </w:p>
              </w:tc>
              <w:tc>
                <w:tcPr>
                  <w:tcW w:w="4119" w:type="dxa"/>
                  <w:vAlign w:val="center"/>
                </w:tcPr>
                <w:p w14:paraId="29D5A1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混凝土道路开挖恢复</w:t>
                  </w:r>
                </w:p>
              </w:tc>
              <w:tc>
                <w:tcPr>
                  <w:tcW w:w="1035" w:type="dxa"/>
                  <w:vAlign w:val="center"/>
                </w:tcPr>
                <w:p w14:paraId="6F4EED7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94" w:type="dxa"/>
                  <w:vAlign w:val="center"/>
                </w:tcPr>
                <w:p w14:paraId="36158D8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4C3A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43529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051B1F6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厚水泥砼面层</w:t>
                  </w:r>
                </w:p>
              </w:tc>
              <w:tc>
                <w:tcPr>
                  <w:tcW w:w="1035" w:type="dxa"/>
                  <w:vAlign w:val="center"/>
                </w:tcPr>
                <w:p w14:paraId="36A005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54DCE18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24290</w:t>
                  </w:r>
                </w:p>
              </w:tc>
            </w:tr>
            <w:tr w14:paraId="2A651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0491BCF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175B2A3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200厚级配碎石</w:t>
                  </w:r>
                </w:p>
              </w:tc>
              <w:tc>
                <w:tcPr>
                  <w:tcW w:w="1035" w:type="dxa"/>
                  <w:vAlign w:val="center"/>
                </w:tcPr>
                <w:p w14:paraId="4F97F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04C2BAA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24290</w:t>
                  </w:r>
                </w:p>
              </w:tc>
            </w:tr>
            <w:tr w14:paraId="28278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760476D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3.5.2</w:t>
                  </w:r>
                </w:p>
              </w:tc>
              <w:tc>
                <w:tcPr>
                  <w:tcW w:w="4119" w:type="dxa"/>
                  <w:vAlign w:val="center"/>
                </w:tcPr>
                <w:p w14:paraId="25D66B8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沥青道路开挖恢复</w:t>
                  </w:r>
                </w:p>
              </w:tc>
              <w:tc>
                <w:tcPr>
                  <w:tcW w:w="1035" w:type="dxa"/>
                  <w:vAlign w:val="center"/>
                </w:tcPr>
                <w:p w14:paraId="3A162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c>
                <w:tcPr>
                  <w:tcW w:w="1494" w:type="dxa"/>
                  <w:vAlign w:val="center"/>
                </w:tcPr>
                <w:p w14:paraId="1B18C1A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14:textFill>
                        <w14:solidFill>
                          <w14:schemeClr w14:val="tx1"/>
                        </w14:solidFill>
                      </w14:textFill>
                    </w:rPr>
                  </w:pPr>
                </w:p>
              </w:tc>
            </w:tr>
            <w:tr w14:paraId="607EA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E0E6A3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4119" w:type="dxa"/>
                  <w:vAlign w:val="center"/>
                </w:tcPr>
                <w:p w14:paraId="3B09B1F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细粒式沥青砼厚40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4C862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727452B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7B778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6555C8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4119" w:type="dxa"/>
                  <w:vAlign w:val="center"/>
                </w:tcPr>
                <w:p w14:paraId="5C8669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中粒式沥青砼厚60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p>
              </w:tc>
              <w:tc>
                <w:tcPr>
                  <w:tcW w:w="1035" w:type="dxa"/>
                  <w:vAlign w:val="center"/>
                </w:tcPr>
                <w:p w14:paraId="51A60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6C7EC3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2B9DE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CE1ADD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4119" w:type="dxa"/>
                  <w:vAlign w:val="center"/>
                </w:tcPr>
                <w:p w14:paraId="7ACC8BB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玻纤格栅</w:t>
                  </w:r>
                </w:p>
              </w:tc>
              <w:tc>
                <w:tcPr>
                  <w:tcW w:w="1035" w:type="dxa"/>
                  <w:vAlign w:val="center"/>
                </w:tcPr>
                <w:p w14:paraId="59ECA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2416B19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3009BA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819F39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4119" w:type="dxa"/>
                  <w:vAlign w:val="center"/>
                </w:tcPr>
                <w:p w14:paraId="74DF31F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粘层</w:t>
                  </w:r>
                </w:p>
              </w:tc>
              <w:tc>
                <w:tcPr>
                  <w:tcW w:w="1035" w:type="dxa"/>
                  <w:vAlign w:val="center"/>
                </w:tcPr>
                <w:p w14:paraId="6B9884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374BCFE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1ACF3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5A24C0F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4119" w:type="dxa"/>
                  <w:vAlign w:val="center"/>
                </w:tcPr>
                <w:p w14:paraId="0E7C25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w:t>
                  </w:r>
                  <w:r>
                    <w:rPr>
                      <w:rFonts w:hint="default" w:ascii="Times New Roman" w:hAnsi="Times New Roman" w:eastAsia="宋体" w:cs="Times New Roman"/>
                      <w:color w:val="000000" w:themeColor="text1"/>
                      <w:sz w:val="21"/>
                      <w:szCs w:val="21"/>
                      <w:lang w:eastAsia="zh-CN"/>
                      <w14:textFill>
                        <w14:solidFill>
                          <w14:schemeClr w14:val="tx1"/>
                        </w14:solidFill>
                      </w14:textFill>
                    </w:rPr>
                    <w:t>mm</w:t>
                  </w:r>
                  <w:r>
                    <w:rPr>
                      <w:rFonts w:hint="default" w:ascii="Times New Roman" w:hAnsi="Times New Roman" w:eastAsia="宋体" w:cs="Times New Roman"/>
                      <w:color w:val="000000" w:themeColor="text1"/>
                      <w:sz w:val="21"/>
                      <w:szCs w:val="21"/>
                      <w14:textFill>
                        <w14:solidFill>
                          <w14:schemeClr w14:val="tx1"/>
                        </w14:solidFill>
                      </w14:textFill>
                    </w:rPr>
                    <w:t>厚C30水泥砼</w:t>
                  </w:r>
                </w:p>
              </w:tc>
              <w:tc>
                <w:tcPr>
                  <w:tcW w:w="1035" w:type="dxa"/>
                  <w:vAlign w:val="center"/>
                </w:tcPr>
                <w:p w14:paraId="711A0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642430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3B193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7AB390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4119" w:type="dxa"/>
                  <w:vAlign w:val="center"/>
                </w:tcPr>
                <w:p w14:paraId="01B432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200厚级配碎石</w:t>
                  </w:r>
                </w:p>
              </w:tc>
              <w:tc>
                <w:tcPr>
                  <w:tcW w:w="1035" w:type="dxa"/>
                  <w:vAlign w:val="center"/>
                </w:tcPr>
                <w:p w14:paraId="618C6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07CE33B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4000</w:t>
                  </w:r>
                </w:p>
              </w:tc>
            </w:tr>
            <w:tr w14:paraId="1135D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452B440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3.5.3</w:t>
                  </w:r>
                </w:p>
              </w:tc>
              <w:tc>
                <w:tcPr>
                  <w:tcW w:w="4119" w:type="dxa"/>
                  <w:vAlign w:val="center"/>
                </w:tcPr>
                <w:p w14:paraId="1C81D9B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道路拆除外运</w:t>
                  </w:r>
                </w:p>
              </w:tc>
              <w:tc>
                <w:tcPr>
                  <w:tcW w:w="1035" w:type="dxa"/>
                  <w:vAlign w:val="center"/>
                </w:tcPr>
                <w:p w14:paraId="09D6B9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1494" w:type="dxa"/>
                  <w:vAlign w:val="center"/>
                </w:tcPr>
                <w:p w14:paraId="5B4C13C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11316</w:t>
                  </w:r>
                </w:p>
              </w:tc>
            </w:tr>
            <w:tr w14:paraId="37058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23" w:type="dxa"/>
                  <w:vAlign w:val="center"/>
                </w:tcPr>
                <w:p w14:paraId="362E9E3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3.5.4</w:t>
                  </w:r>
                </w:p>
              </w:tc>
              <w:tc>
                <w:tcPr>
                  <w:tcW w:w="4119" w:type="dxa"/>
                  <w:vAlign w:val="center"/>
                </w:tcPr>
                <w:p w14:paraId="5C222C6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石材栏杆</w:t>
                  </w:r>
                </w:p>
              </w:tc>
              <w:tc>
                <w:tcPr>
                  <w:tcW w:w="1035" w:type="dxa"/>
                  <w:vAlign w:val="center"/>
                </w:tcPr>
                <w:p w14:paraId="211B922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w w:val="99"/>
                      <w:sz w:val="21"/>
                      <w:szCs w:val="21"/>
                      <w:lang w:eastAsia="zh-CN"/>
                      <w14:textFill>
                        <w14:solidFill>
                          <w14:schemeClr w14:val="tx1"/>
                        </w14:solidFill>
                      </w14:textFill>
                    </w:rPr>
                    <w:t>m</w:t>
                  </w:r>
                </w:p>
              </w:tc>
              <w:tc>
                <w:tcPr>
                  <w:tcW w:w="1494" w:type="dxa"/>
                  <w:vAlign w:val="center"/>
                </w:tcPr>
                <w:p w14:paraId="3FD8FB32">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626.4</w:t>
                  </w:r>
                </w:p>
              </w:tc>
            </w:tr>
          </w:tbl>
          <w:p w14:paraId="525A56C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项目使用块石料、细石料</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其他施工材料以及</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砼制品全部在本地采购。</w:t>
            </w:r>
          </w:p>
          <w:p w14:paraId="2967B5A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480" w:leftChars="200" w:right="0" w:rightChars="0" w:firstLine="0" w:firstLineChars="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4、工程占地</w:t>
            </w:r>
          </w:p>
          <w:p w14:paraId="3A88E505">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lang w:val="en-US" w:eastAsia="zh-CN"/>
                <w14:textFill>
                  <w14:solidFill>
                    <w14:schemeClr w14:val="tx1"/>
                  </w14:solidFill>
                </w14:textFill>
              </w:rPr>
              <w:t>本工程涉及土地总面积359.84亩，其中永久占地223.33亩，包括耕地65.43亩，园地6.14亩，林地25.51亩，草地22.35亩，住宅用地22.19亩，特殊用地0.11亩，交通运输用地32.51亩，水域及水利设施用地48.96亩，其他土地0.13亩；临时用地136.51亩，包括耕地70.95亩，园地3.35亩，林地14.77亩，草地12.86亩，商服用地20.04亩，工矿仓储用地0.74亩，住宅用地8.50亩，交通运输用地0.72亩，水域及水利设施用地4.57亩。</w:t>
            </w:r>
          </w:p>
          <w:p w14:paraId="667032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永久占地均为泵站占地，包含新建泵站及改建泵站。临时占地主要为市政排水工程、小区排水工程、施工生产生活区、临时堆土区及临时施工道路区占地。</w:t>
            </w:r>
          </w:p>
          <w:p w14:paraId="31E4089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根据六安市霍山县排水防涝能力提升项目用地预审与选址意见书（见附件</w:t>
            </w:r>
            <w:r>
              <w:rPr>
                <w:rFonts w:hint="eastAsia"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）可知，项目用地位于霍山县黑石渡镇、衡山镇、佛子岭镇境内，总用地面积14.8936公顷，其中农用地11.1394公顷(其中耕地4.5962公顷)、建设用地2.2128公顷、未利用地1.5414公顷。</w:t>
            </w:r>
            <w:r>
              <w:rPr>
                <w:rFonts w:hint="eastAsia" w:cs="Times New Roman"/>
                <w:color w:val="000000" w:themeColor="text1"/>
                <w:kern w:val="0"/>
                <w:sz w:val="24"/>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2025年11月19日《霍山县自然资源和规划局关于六安市霍山县排水防涝能力提升项目预审与规划选址意见的复函》（霍自然资函[2025]38号）中内容</w:t>
            </w:r>
            <w:r>
              <w:rPr>
                <w:rFonts w:hint="eastAsia" w:cs="Times New Roman"/>
                <w:color w:val="000000" w:themeColor="text1"/>
                <w:kern w:val="0"/>
                <w:sz w:val="24"/>
                <w:highlight w:val="none"/>
                <w:lang w:val="en-US" w:eastAsia="zh-CN"/>
                <w14:textFill>
                  <w14:solidFill>
                    <w14:schemeClr w14:val="tx1"/>
                  </w14:solidFill>
                </w14:textFill>
              </w:rPr>
              <w:t>可知</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，项目用地位于霍山县佛子岭镇、黑石渡镇和衡山镇境内，用地范围内不涉及占用生态保护红线和永久基本农田。</w:t>
            </w:r>
          </w:p>
          <w:p w14:paraId="4628726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 xml:space="preserve">表2-26 </w:t>
            </w:r>
            <w:r>
              <w:rPr>
                <w:rFonts w:hint="eastAsia" w:cs="Times New Roman"/>
                <w:b/>
                <w:bCs/>
                <w:color w:val="000000" w:themeColor="text1"/>
                <w:kern w:val="0"/>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占地类型一览表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9"/>
              <w:gridCol w:w="2698"/>
              <w:gridCol w:w="1277"/>
              <w:gridCol w:w="1686"/>
              <w:gridCol w:w="1481"/>
            </w:tblGrid>
            <w:tr w14:paraId="56C32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2146D3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序号</w:t>
                  </w:r>
                </w:p>
              </w:tc>
              <w:tc>
                <w:tcPr>
                  <w:tcW w:w="2250" w:type="dxa"/>
                  <w:vAlign w:val="center"/>
                </w:tcPr>
                <w:p w14:paraId="57B873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项目</w:t>
                  </w:r>
                </w:p>
              </w:tc>
              <w:tc>
                <w:tcPr>
                  <w:tcW w:w="1065" w:type="dxa"/>
                  <w:vAlign w:val="center"/>
                </w:tcPr>
                <w:p w14:paraId="7925F4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单位</w:t>
                  </w:r>
                </w:p>
              </w:tc>
              <w:tc>
                <w:tcPr>
                  <w:tcW w:w="2640" w:type="dxa"/>
                  <w:gridSpan w:val="2"/>
                  <w:vAlign w:val="center"/>
                </w:tcPr>
                <w:p w14:paraId="4F20C4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数量</w:t>
                  </w:r>
                </w:p>
              </w:tc>
            </w:tr>
            <w:tr w14:paraId="5CDC33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2D22B3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2250" w:type="dxa"/>
                  <w:vAlign w:val="center"/>
                </w:tcPr>
                <w:p w14:paraId="7FA4E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耕地</w:t>
                  </w:r>
                </w:p>
              </w:tc>
              <w:tc>
                <w:tcPr>
                  <w:tcW w:w="1065" w:type="dxa"/>
                  <w:vAlign w:val="center"/>
                </w:tcPr>
                <w:p w14:paraId="0D836C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45013B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永久占地</w:t>
                  </w:r>
                </w:p>
              </w:tc>
              <w:tc>
                <w:tcPr>
                  <w:tcW w:w="1234" w:type="dxa"/>
                  <w:vAlign w:val="center"/>
                </w:tcPr>
                <w:p w14:paraId="31444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临时用地</w:t>
                  </w:r>
                </w:p>
              </w:tc>
            </w:tr>
            <w:tr w14:paraId="7CAFC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779B1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3F9BC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水田</w:t>
                  </w:r>
                </w:p>
              </w:tc>
              <w:tc>
                <w:tcPr>
                  <w:tcW w:w="1065" w:type="dxa"/>
                  <w:vAlign w:val="center"/>
                </w:tcPr>
                <w:p w14:paraId="31BE80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37EF80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37.14</w:t>
                  </w:r>
                </w:p>
              </w:tc>
              <w:tc>
                <w:tcPr>
                  <w:tcW w:w="1234" w:type="dxa"/>
                  <w:vAlign w:val="center"/>
                </w:tcPr>
                <w:p w14:paraId="48EEA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69.11</w:t>
                  </w:r>
                </w:p>
              </w:tc>
            </w:tr>
            <w:tr w14:paraId="59821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20BC1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09281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旱地</w:t>
                  </w:r>
                </w:p>
              </w:tc>
              <w:tc>
                <w:tcPr>
                  <w:tcW w:w="1065" w:type="dxa"/>
                  <w:vAlign w:val="center"/>
                </w:tcPr>
                <w:p w14:paraId="24A6A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2B09E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28.29</w:t>
                  </w:r>
                </w:p>
              </w:tc>
              <w:tc>
                <w:tcPr>
                  <w:tcW w:w="1234" w:type="dxa"/>
                  <w:vAlign w:val="center"/>
                </w:tcPr>
                <w:p w14:paraId="76DB61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1.84</w:t>
                  </w:r>
                </w:p>
              </w:tc>
            </w:tr>
            <w:tr w14:paraId="44A09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1B527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2250" w:type="dxa"/>
                  <w:vAlign w:val="center"/>
                </w:tcPr>
                <w:p w14:paraId="721843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园地</w:t>
                  </w:r>
                </w:p>
              </w:tc>
              <w:tc>
                <w:tcPr>
                  <w:tcW w:w="1065" w:type="dxa"/>
                  <w:vAlign w:val="center"/>
                </w:tcPr>
                <w:p w14:paraId="58040F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2F424E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50E61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065C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5D1C6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2CD7E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果园</w:t>
                  </w:r>
                </w:p>
              </w:tc>
              <w:tc>
                <w:tcPr>
                  <w:tcW w:w="1065" w:type="dxa"/>
                  <w:vAlign w:val="center"/>
                </w:tcPr>
                <w:p w14:paraId="2EF496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77382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0.69</w:t>
                  </w:r>
                </w:p>
              </w:tc>
              <w:tc>
                <w:tcPr>
                  <w:tcW w:w="1234" w:type="dxa"/>
                  <w:vAlign w:val="center"/>
                </w:tcPr>
                <w:p w14:paraId="45018C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4F033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71AB2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1826D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茶园</w:t>
                  </w:r>
                </w:p>
              </w:tc>
              <w:tc>
                <w:tcPr>
                  <w:tcW w:w="1065" w:type="dxa"/>
                  <w:vAlign w:val="center"/>
                </w:tcPr>
                <w:p w14:paraId="3C71A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67376A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2.58</w:t>
                  </w:r>
                </w:p>
              </w:tc>
              <w:tc>
                <w:tcPr>
                  <w:tcW w:w="1234" w:type="dxa"/>
                  <w:vAlign w:val="center"/>
                </w:tcPr>
                <w:p w14:paraId="17DB4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3.35</w:t>
                  </w:r>
                </w:p>
              </w:tc>
            </w:tr>
            <w:tr w14:paraId="47B2A1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1BCFF4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026E06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其他园地</w:t>
                  </w:r>
                </w:p>
              </w:tc>
              <w:tc>
                <w:tcPr>
                  <w:tcW w:w="1065" w:type="dxa"/>
                  <w:vAlign w:val="center"/>
                </w:tcPr>
                <w:p w14:paraId="6178F4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3C599E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2.86</w:t>
                  </w:r>
                </w:p>
              </w:tc>
              <w:tc>
                <w:tcPr>
                  <w:tcW w:w="1234" w:type="dxa"/>
                  <w:vAlign w:val="center"/>
                </w:tcPr>
                <w:p w14:paraId="3763C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E7BA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01F347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2250" w:type="dxa"/>
                  <w:vAlign w:val="center"/>
                </w:tcPr>
                <w:p w14:paraId="5B7DC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林地</w:t>
                  </w:r>
                </w:p>
              </w:tc>
              <w:tc>
                <w:tcPr>
                  <w:tcW w:w="1065" w:type="dxa"/>
                  <w:vAlign w:val="center"/>
                </w:tcPr>
                <w:p w14:paraId="4A3E93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6C9DE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0A916A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16B4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43051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48381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乔木林地</w:t>
                  </w:r>
                </w:p>
              </w:tc>
              <w:tc>
                <w:tcPr>
                  <w:tcW w:w="1065" w:type="dxa"/>
                  <w:vAlign w:val="center"/>
                </w:tcPr>
                <w:p w14:paraId="799A7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150BC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13.44</w:t>
                  </w:r>
                </w:p>
              </w:tc>
              <w:tc>
                <w:tcPr>
                  <w:tcW w:w="1234" w:type="dxa"/>
                  <w:vAlign w:val="center"/>
                </w:tcPr>
                <w:p w14:paraId="12DDF4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6.07</w:t>
                  </w:r>
                </w:p>
              </w:tc>
            </w:tr>
            <w:tr w14:paraId="05FDE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48F20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6EA88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竹林地</w:t>
                  </w:r>
                </w:p>
              </w:tc>
              <w:tc>
                <w:tcPr>
                  <w:tcW w:w="1065" w:type="dxa"/>
                  <w:vAlign w:val="center"/>
                </w:tcPr>
                <w:p w14:paraId="654176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43697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0.98</w:t>
                  </w:r>
                </w:p>
              </w:tc>
              <w:tc>
                <w:tcPr>
                  <w:tcW w:w="1234" w:type="dxa"/>
                  <w:vAlign w:val="center"/>
                </w:tcPr>
                <w:p w14:paraId="257EAF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ECD2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4EFBBC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2924B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其他林地</w:t>
                  </w:r>
                </w:p>
              </w:tc>
              <w:tc>
                <w:tcPr>
                  <w:tcW w:w="1065" w:type="dxa"/>
                  <w:vAlign w:val="center"/>
                </w:tcPr>
                <w:p w14:paraId="471A5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1DCF22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11.09</w:t>
                  </w:r>
                </w:p>
              </w:tc>
              <w:tc>
                <w:tcPr>
                  <w:tcW w:w="1234" w:type="dxa"/>
                  <w:vAlign w:val="center"/>
                </w:tcPr>
                <w:p w14:paraId="652056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8.70</w:t>
                  </w:r>
                </w:p>
              </w:tc>
            </w:tr>
            <w:tr w14:paraId="5A942D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26862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w:t>
                  </w:r>
                </w:p>
              </w:tc>
              <w:tc>
                <w:tcPr>
                  <w:tcW w:w="2250" w:type="dxa"/>
                  <w:vAlign w:val="center"/>
                </w:tcPr>
                <w:p w14:paraId="62D6BF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草地</w:t>
                  </w:r>
                </w:p>
              </w:tc>
              <w:tc>
                <w:tcPr>
                  <w:tcW w:w="1065" w:type="dxa"/>
                  <w:vAlign w:val="center"/>
                </w:tcPr>
                <w:p w14:paraId="50C583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670AD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6077BE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104A3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152487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74107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其他草地</w:t>
                  </w:r>
                </w:p>
              </w:tc>
              <w:tc>
                <w:tcPr>
                  <w:tcW w:w="1065" w:type="dxa"/>
                  <w:vAlign w:val="center"/>
                </w:tcPr>
                <w:p w14:paraId="7CF0D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686F58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22.35</w:t>
                  </w:r>
                </w:p>
              </w:tc>
              <w:tc>
                <w:tcPr>
                  <w:tcW w:w="1234" w:type="dxa"/>
                  <w:vAlign w:val="center"/>
                </w:tcPr>
                <w:p w14:paraId="6B770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12.86</w:t>
                  </w:r>
                </w:p>
              </w:tc>
            </w:tr>
            <w:tr w14:paraId="3C4FB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27EF47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250" w:type="dxa"/>
                  <w:vAlign w:val="top"/>
                </w:tcPr>
                <w:p w14:paraId="62327E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商服用地</w:t>
                  </w:r>
                </w:p>
              </w:tc>
              <w:tc>
                <w:tcPr>
                  <w:tcW w:w="1065" w:type="dxa"/>
                  <w:vAlign w:val="top"/>
                </w:tcPr>
                <w:p w14:paraId="56B4C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4899B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14D7C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909E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31EBA1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50" w:type="dxa"/>
                  <w:vAlign w:val="top"/>
                </w:tcPr>
                <w:p w14:paraId="61210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物流仓储用地</w:t>
                  </w:r>
                </w:p>
              </w:tc>
              <w:tc>
                <w:tcPr>
                  <w:tcW w:w="1065" w:type="dxa"/>
                  <w:vAlign w:val="top"/>
                </w:tcPr>
                <w:p w14:paraId="1FEC0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294553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21E674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20.04</w:t>
                  </w:r>
                </w:p>
              </w:tc>
            </w:tr>
            <w:tr w14:paraId="2A425F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76CCF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w:t>
                  </w:r>
                </w:p>
              </w:tc>
              <w:tc>
                <w:tcPr>
                  <w:tcW w:w="2250" w:type="dxa"/>
                  <w:vAlign w:val="top"/>
                </w:tcPr>
                <w:p w14:paraId="4285A1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工矿仓储用地</w:t>
                  </w:r>
                </w:p>
              </w:tc>
              <w:tc>
                <w:tcPr>
                  <w:tcW w:w="1065" w:type="dxa"/>
                  <w:vAlign w:val="top"/>
                </w:tcPr>
                <w:p w14:paraId="47FEC6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04778A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7C45F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73E7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6B3419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250" w:type="dxa"/>
                  <w:vAlign w:val="top"/>
                </w:tcPr>
                <w:p w14:paraId="3B7CC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工业用地</w:t>
                  </w:r>
                </w:p>
              </w:tc>
              <w:tc>
                <w:tcPr>
                  <w:tcW w:w="1065" w:type="dxa"/>
                  <w:vAlign w:val="top"/>
                </w:tcPr>
                <w:p w14:paraId="1DE64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29BA7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09E76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0.74</w:t>
                  </w:r>
                </w:p>
              </w:tc>
            </w:tr>
            <w:tr w14:paraId="0130C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31D3E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w:t>
                  </w:r>
                </w:p>
              </w:tc>
              <w:tc>
                <w:tcPr>
                  <w:tcW w:w="2250" w:type="dxa"/>
                  <w:vAlign w:val="center"/>
                </w:tcPr>
                <w:p w14:paraId="4D2CD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住宅用地</w:t>
                  </w:r>
                </w:p>
              </w:tc>
              <w:tc>
                <w:tcPr>
                  <w:tcW w:w="1065" w:type="dxa"/>
                  <w:vAlign w:val="center"/>
                </w:tcPr>
                <w:p w14:paraId="6EA33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60BE4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0302F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DD32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634D98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47681A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农村宅基地</w:t>
                  </w:r>
                </w:p>
              </w:tc>
              <w:tc>
                <w:tcPr>
                  <w:tcW w:w="1065" w:type="dxa"/>
                  <w:vAlign w:val="center"/>
                </w:tcPr>
                <w:p w14:paraId="2C093B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2AFF1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22.19</w:t>
                  </w:r>
                </w:p>
              </w:tc>
              <w:tc>
                <w:tcPr>
                  <w:tcW w:w="1234" w:type="dxa"/>
                  <w:vAlign w:val="center"/>
                </w:tcPr>
                <w:p w14:paraId="14AFE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8.50</w:t>
                  </w:r>
                </w:p>
              </w:tc>
            </w:tr>
            <w:tr w14:paraId="78046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401282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w:t>
                  </w:r>
                </w:p>
              </w:tc>
              <w:tc>
                <w:tcPr>
                  <w:tcW w:w="2250" w:type="dxa"/>
                  <w:vAlign w:val="center"/>
                </w:tcPr>
                <w:p w14:paraId="034393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特殊用地</w:t>
                  </w:r>
                </w:p>
              </w:tc>
              <w:tc>
                <w:tcPr>
                  <w:tcW w:w="1065" w:type="dxa"/>
                  <w:vAlign w:val="center"/>
                </w:tcPr>
                <w:p w14:paraId="64A37F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121191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0.11</w:t>
                  </w:r>
                </w:p>
              </w:tc>
              <w:tc>
                <w:tcPr>
                  <w:tcW w:w="1234" w:type="dxa"/>
                  <w:vAlign w:val="center"/>
                </w:tcPr>
                <w:p w14:paraId="1F06F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E9E6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7473B2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w:t>
                  </w:r>
                </w:p>
              </w:tc>
              <w:tc>
                <w:tcPr>
                  <w:tcW w:w="2250" w:type="dxa"/>
                  <w:vAlign w:val="center"/>
                </w:tcPr>
                <w:p w14:paraId="164C5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交通运输用地</w:t>
                  </w:r>
                </w:p>
              </w:tc>
              <w:tc>
                <w:tcPr>
                  <w:tcW w:w="1065" w:type="dxa"/>
                  <w:vAlign w:val="center"/>
                </w:tcPr>
                <w:p w14:paraId="10A98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56E7FC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3ACE5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736F0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22933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5CE86D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公路用地</w:t>
                  </w:r>
                </w:p>
              </w:tc>
              <w:tc>
                <w:tcPr>
                  <w:tcW w:w="1065" w:type="dxa"/>
                  <w:vAlign w:val="center"/>
                </w:tcPr>
                <w:p w14:paraId="13D97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2F1C43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6.17</w:t>
                  </w:r>
                </w:p>
              </w:tc>
              <w:tc>
                <w:tcPr>
                  <w:tcW w:w="1234" w:type="dxa"/>
                  <w:vAlign w:val="center"/>
                </w:tcPr>
                <w:p w14:paraId="00C030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BBB9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140C2F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68A940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城镇村道路用地</w:t>
                  </w:r>
                </w:p>
              </w:tc>
              <w:tc>
                <w:tcPr>
                  <w:tcW w:w="1065" w:type="dxa"/>
                  <w:vAlign w:val="center"/>
                </w:tcPr>
                <w:p w14:paraId="0FBA8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4559A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20.29</w:t>
                  </w:r>
                </w:p>
              </w:tc>
              <w:tc>
                <w:tcPr>
                  <w:tcW w:w="1234" w:type="dxa"/>
                  <w:vAlign w:val="center"/>
                </w:tcPr>
                <w:p w14:paraId="600B1F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0.19</w:t>
                  </w:r>
                </w:p>
              </w:tc>
            </w:tr>
            <w:tr w14:paraId="007B6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44CE2B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6EB95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农村道路</w:t>
                  </w:r>
                </w:p>
              </w:tc>
              <w:tc>
                <w:tcPr>
                  <w:tcW w:w="1065" w:type="dxa"/>
                  <w:vAlign w:val="center"/>
                </w:tcPr>
                <w:p w14:paraId="02168C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23E97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6.05</w:t>
                  </w:r>
                </w:p>
              </w:tc>
              <w:tc>
                <w:tcPr>
                  <w:tcW w:w="1234" w:type="dxa"/>
                  <w:vAlign w:val="center"/>
                </w:tcPr>
                <w:p w14:paraId="742F8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0.53</w:t>
                  </w:r>
                </w:p>
              </w:tc>
            </w:tr>
            <w:tr w14:paraId="662065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179CB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p>
              </w:tc>
              <w:tc>
                <w:tcPr>
                  <w:tcW w:w="2250" w:type="dxa"/>
                  <w:vAlign w:val="center"/>
                </w:tcPr>
                <w:p w14:paraId="45F0F2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水域及水利设施用地</w:t>
                  </w:r>
                </w:p>
              </w:tc>
              <w:tc>
                <w:tcPr>
                  <w:tcW w:w="1065" w:type="dxa"/>
                  <w:vAlign w:val="center"/>
                </w:tcPr>
                <w:p w14:paraId="483D60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3DD349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4AD25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A1A83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4B2E16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088328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河流水面</w:t>
                  </w:r>
                </w:p>
              </w:tc>
              <w:tc>
                <w:tcPr>
                  <w:tcW w:w="1065" w:type="dxa"/>
                  <w:vAlign w:val="center"/>
                </w:tcPr>
                <w:p w14:paraId="5A45C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661CEB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0.61</w:t>
                  </w:r>
                </w:p>
              </w:tc>
              <w:tc>
                <w:tcPr>
                  <w:tcW w:w="1234" w:type="dxa"/>
                  <w:vAlign w:val="center"/>
                </w:tcPr>
                <w:p w14:paraId="1B9CE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62086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62A62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1532A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坑塘水面</w:t>
                  </w:r>
                </w:p>
              </w:tc>
              <w:tc>
                <w:tcPr>
                  <w:tcW w:w="1065" w:type="dxa"/>
                  <w:vAlign w:val="center"/>
                </w:tcPr>
                <w:p w14:paraId="78B7C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4177A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7.50</w:t>
                  </w:r>
                </w:p>
              </w:tc>
              <w:tc>
                <w:tcPr>
                  <w:tcW w:w="1234" w:type="dxa"/>
                  <w:vAlign w:val="center"/>
                </w:tcPr>
                <w:p w14:paraId="065CDB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4.08</w:t>
                  </w:r>
                </w:p>
              </w:tc>
            </w:tr>
            <w:tr w14:paraId="140C9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720C0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768857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养殖坑塘</w:t>
                  </w:r>
                </w:p>
              </w:tc>
              <w:tc>
                <w:tcPr>
                  <w:tcW w:w="1065" w:type="dxa"/>
                  <w:vAlign w:val="center"/>
                </w:tcPr>
                <w:p w14:paraId="7925F3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588CDF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1.01</w:t>
                  </w:r>
                </w:p>
              </w:tc>
              <w:tc>
                <w:tcPr>
                  <w:tcW w:w="1234" w:type="dxa"/>
                  <w:vAlign w:val="center"/>
                </w:tcPr>
                <w:p w14:paraId="6811F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958E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704817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63AE96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内陆滩涂</w:t>
                  </w:r>
                </w:p>
              </w:tc>
              <w:tc>
                <w:tcPr>
                  <w:tcW w:w="1065" w:type="dxa"/>
                  <w:vAlign w:val="center"/>
                </w:tcPr>
                <w:p w14:paraId="08E17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6DE503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15.10</w:t>
                  </w:r>
                </w:p>
              </w:tc>
              <w:tc>
                <w:tcPr>
                  <w:tcW w:w="1234" w:type="dxa"/>
                  <w:vAlign w:val="center"/>
                </w:tcPr>
                <w:p w14:paraId="580A4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2D34E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70F40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5F4BDC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沟渠</w:t>
                  </w:r>
                </w:p>
              </w:tc>
              <w:tc>
                <w:tcPr>
                  <w:tcW w:w="1065" w:type="dxa"/>
                  <w:vAlign w:val="center"/>
                </w:tcPr>
                <w:p w14:paraId="697FB9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020685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24.38</w:t>
                  </w:r>
                </w:p>
              </w:tc>
              <w:tc>
                <w:tcPr>
                  <w:tcW w:w="1234" w:type="dxa"/>
                  <w:vAlign w:val="center"/>
                </w:tcPr>
                <w:p w14:paraId="68A40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0.49</w:t>
                  </w:r>
                </w:p>
              </w:tc>
            </w:tr>
            <w:tr w14:paraId="1A7327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2F1870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6646A2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水工建筑用地</w:t>
                  </w:r>
                </w:p>
              </w:tc>
              <w:tc>
                <w:tcPr>
                  <w:tcW w:w="1065" w:type="dxa"/>
                  <w:vAlign w:val="center"/>
                </w:tcPr>
                <w:p w14:paraId="5EE64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6827AD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0.36</w:t>
                  </w:r>
                </w:p>
              </w:tc>
              <w:tc>
                <w:tcPr>
                  <w:tcW w:w="1234" w:type="dxa"/>
                  <w:vAlign w:val="center"/>
                </w:tcPr>
                <w:p w14:paraId="4DDD4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3E1409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6F3E92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11</w:t>
                  </w:r>
                </w:p>
              </w:tc>
              <w:tc>
                <w:tcPr>
                  <w:tcW w:w="2250" w:type="dxa"/>
                  <w:vAlign w:val="center"/>
                </w:tcPr>
                <w:p w14:paraId="3D760D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其他土地</w:t>
                  </w:r>
                </w:p>
              </w:tc>
              <w:tc>
                <w:tcPr>
                  <w:tcW w:w="1065" w:type="dxa"/>
                  <w:vAlign w:val="center"/>
                </w:tcPr>
                <w:p w14:paraId="277634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406" w:type="dxa"/>
                  <w:vAlign w:val="center"/>
                </w:tcPr>
                <w:p w14:paraId="5684D1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1234" w:type="dxa"/>
                  <w:vAlign w:val="center"/>
                </w:tcPr>
                <w:p w14:paraId="67C222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507524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775" w:type="dxa"/>
                  <w:vAlign w:val="center"/>
                </w:tcPr>
                <w:p w14:paraId="496B5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7FC3C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裸土地</w:t>
                  </w:r>
                </w:p>
              </w:tc>
              <w:tc>
                <w:tcPr>
                  <w:tcW w:w="1065" w:type="dxa"/>
                  <w:vAlign w:val="center"/>
                </w:tcPr>
                <w:p w14:paraId="1A2F65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4AC333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0.09</w:t>
                  </w:r>
                </w:p>
              </w:tc>
              <w:tc>
                <w:tcPr>
                  <w:tcW w:w="1234" w:type="dxa"/>
                  <w:vAlign w:val="center"/>
                </w:tcPr>
                <w:p w14:paraId="68B50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r w14:paraId="0615D1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775" w:type="dxa"/>
                  <w:vAlign w:val="center"/>
                </w:tcPr>
                <w:p w14:paraId="0CFAD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c>
                <w:tcPr>
                  <w:tcW w:w="2250" w:type="dxa"/>
                  <w:vAlign w:val="center"/>
                </w:tcPr>
                <w:p w14:paraId="22D60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后备耕地</w:t>
                  </w:r>
                </w:p>
              </w:tc>
              <w:tc>
                <w:tcPr>
                  <w:tcW w:w="1065" w:type="dxa"/>
                  <w:vAlign w:val="center"/>
                </w:tcPr>
                <w:p w14:paraId="717D1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亩</w:t>
                  </w:r>
                </w:p>
              </w:tc>
              <w:tc>
                <w:tcPr>
                  <w:tcW w:w="1406" w:type="dxa"/>
                  <w:vAlign w:val="center"/>
                </w:tcPr>
                <w:p w14:paraId="6F8905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0.04</w:t>
                  </w:r>
                </w:p>
              </w:tc>
              <w:tc>
                <w:tcPr>
                  <w:tcW w:w="1234" w:type="dxa"/>
                  <w:vAlign w:val="center"/>
                </w:tcPr>
                <w:p w14:paraId="66604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p>
              </w:tc>
            </w:tr>
          </w:tbl>
          <w:p w14:paraId="79CDB11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5、土方工程</w:t>
            </w:r>
          </w:p>
          <w:p w14:paraId="7F90FF7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土石方主要有：拆除、清淤、清杂、清表、土方开挖、土方填筑等。本工程开挖总量约</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；土方填筑总量</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52.2508</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；共计余方土约</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5.1753</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，余方土由县矿产公司统一运输安置。</w:t>
            </w:r>
          </w:p>
          <w:p w14:paraId="5A5791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表2-2</w:t>
            </w:r>
            <w:r>
              <w:rPr>
                <w:rFonts w:hint="eastAsia" w:cs="Times New Roman"/>
                <w:b/>
                <w:bCs/>
                <w:color w:val="000000" w:themeColor="text1"/>
                <w:kern w:val="0"/>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土石方平衡一览表  单位：万m</w:t>
            </w:r>
            <w:r>
              <w:rPr>
                <w:rFonts w:hint="default" w:ascii="Times New Roman" w:hAnsi="Times New Roman" w:eastAsia="宋体" w:cs="Times New Roman"/>
                <w:b/>
                <w:bCs/>
                <w:color w:val="000000" w:themeColor="text1"/>
                <w:kern w:val="0"/>
                <w:sz w:val="24"/>
                <w:highlight w:val="none"/>
                <w:vertAlign w:val="superscript"/>
                <w:lang w:val="en-US" w:eastAsia="zh-CN"/>
                <w14:textFill>
                  <w14:solidFill>
                    <w14:schemeClr w14:val="tx1"/>
                  </w14:solidFill>
                </w14:textFill>
              </w:rPr>
              <w:t>3</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2017"/>
              <w:gridCol w:w="2017"/>
              <w:gridCol w:w="2020"/>
            </w:tblGrid>
            <w:tr w14:paraId="07803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017" w:type="dxa"/>
                  <w:noWrap w:val="0"/>
                  <w:vAlign w:val="center"/>
                </w:tcPr>
                <w:p w14:paraId="69E7B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工程名称</w:t>
                  </w:r>
                </w:p>
              </w:tc>
              <w:tc>
                <w:tcPr>
                  <w:tcW w:w="2017" w:type="dxa"/>
                  <w:noWrap w:val="0"/>
                  <w:vAlign w:val="center"/>
                </w:tcPr>
                <w:p w14:paraId="497713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开挖土</w:t>
                  </w:r>
                </w:p>
              </w:tc>
              <w:tc>
                <w:tcPr>
                  <w:tcW w:w="2017" w:type="dxa"/>
                  <w:noWrap w:val="0"/>
                  <w:vAlign w:val="center"/>
                </w:tcPr>
                <w:p w14:paraId="1401E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填筑土</w:t>
                  </w:r>
                </w:p>
              </w:tc>
              <w:tc>
                <w:tcPr>
                  <w:tcW w:w="2020" w:type="dxa"/>
                  <w:noWrap w:val="0"/>
                  <w:vAlign w:val="center"/>
                </w:tcPr>
                <w:p w14:paraId="1441D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themeColor="text1"/>
                      <w:sz w:val="21"/>
                      <w:szCs w:val="21"/>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弃方</w:t>
                  </w:r>
                </w:p>
              </w:tc>
            </w:tr>
            <w:tr w14:paraId="618C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5BDF6F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数量</w:t>
                  </w:r>
                </w:p>
              </w:tc>
              <w:tc>
                <w:tcPr>
                  <w:tcW w:w="2017" w:type="dxa"/>
                  <w:noWrap w:val="0"/>
                  <w:vAlign w:val="center"/>
                </w:tcPr>
                <w:p w14:paraId="6D903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57.4261</w:t>
                  </w:r>
                </w:p>
              </w:tc>
              <w:tc>
                <w:tcPr>
                  <w:tcW w:w="2017" w:type="dxa"/>
                  <w:noWrap w:val="0"/>
                  <w:vAlign w:val="center"/>
                </w:tcPr>
                <w:p w14:paraId="781442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52.2508</w:t>
                  </w:r>
                </w:p>
              </w:tc>
              <w:tc>
                <w:tcPr>
                  <w:tcW w:w="2020" w:type="dxa"/>
                  <w:noWrap w:val="0"/>
                  <w:vAlign w:val="center"/>
                </w:tcPr>
                <w:p w14:paraId="0683C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5.1753</w:t>
                  </w:r>
                </w:p>
              </w:tc>
            </w:tr>
            <w:tr w14:paraId="675D5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4B019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合计</w:t>
                  </w:r>
                </w:p>
              </w:tc>
              <w:tc>
                <w:tcPr>
                  <w:tcW w:w="2017" w:type="dxa"/>
                  <w:noWrap w:val="0"/>
                  <w:vAlign w:val="center"/>
                </w:tcPr>
                <w:p w14:paraId="63412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57.4261</w:t>
                  </w:r>
                </w:p>
              </w:tc>
              <w:tc>
                <w:tcPr>
                  <w:tcW w:w="4037" w:type="dxa"/>
                  <w:gridSpan w:val="2"/>
                  <w:noWrap w:val="0"/>
                  <w:vAlign w:val="center"/>
                </w:tcPr>
                <w:p w14:paraId="2A8D07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57.4261</w:t>
                  </w:r>
                </w:p>
              </w:tc>
            </w:tr>
          </w:tbl>
          <w:p w14:paraId="47153C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14:textFill>
                  <w14:solidFill>
                    <w14:schemeClr w14:val="tx1"/>
                  </w14:solidFill>
                </w14:textFill>
              </w:rPr>
            </w:pPr>
          </w:p>
          <w:p w14:paraId="24FE1B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color w:val="000000" w:themeColor="text1"/>
                <w:lang w:val="en-US" w:eastAsia="zh-CN"/>
                <w14:textFill>
                  <w14:solidFill>
                    <w14:schemeClr w14:val="tx1"/>
                  </w14:solidFill>
                </w14:textFill>
              </w:rPr>
            </w:pPr>
          </w:p>
        </w:tc>
      </w:tr>
      <w:tr w14:paraId="7C883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3BA2CA55">
            <w:pPr>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bookmarkStart w:id="24" w:name="OLE_LINK11"/>
            <w:bookmarkStart w:id="25" w:name="OLE_LINK15"/>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总平面及现场布置</w:t>
            </w:r>
            <w:bookmarkEnd w:id="24"/>
            <w:bookmarkEnd w:id="25"/>
          </w:p>
        </w:tc>
        <w:tc>
          <w:tcPr>
            <w:tcW w:w="8297" w:type="dxa"/>
            <w:tcBorders>
              <w:tl2br w:val="nil"/>
              <w:tr2bl w:val="nil"/>
            </w:tcBorders>
            <w:vAlign w:val="center"/>
          </w:tcPr>
          <w:p w14:paraId="6C28E27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1、工程布局情况</w:t>
            </w:r>
          </w:p>
          <w:p w14:paraId="0C439B51">
            <w:pPr>
              <w:keepNext/>
              <w:keepLines/>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textAlignment w:val="auto"/>
              <w:outlineLvl w:val="3"/>
              <w:rPr>
                <w:rFonts w:hint="default" w:ascii="Times New Roman" w:hAnsi="Times New Roman" w:cs="Times New Roman" w:eastAsiaTheme="minorEastAsia"/>
                <w:b w:val="0"/>
                <w:bCs w:val="0"/>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cs="Times New Roman" w:eastAsiaTheme="minorEastAsia"/>
                <w:b w:val="0"/>
                <w:bCs w:val="0"/>
                <w:color w:val="000000" w:themeColor="text1"/>
                <w:kern w:val="0"/>
                <w:sz w:val="24"/>
                <w:szCs w:val="24"/>
                <w:highlight w:val="none"/>
                <w:lang w:val="en-US" w:eastAsia="zh-CN" w:bidi="ar"/>
                <w14:textFill>
                  <w14:solidFill>
                    <w14:schemeClr w14:val="tx1"/>
                  </w14:solidFill>
                </w14:textFill>
              </w:rPr>
              <w:t>1.1区域排涝能力提升工程</w:t>
            </w:r>
            <w:r>
              <w:rPr>
                <w:rFonts w:hint="default" w:ascii="Times New Roman" w:hAnsi="Times New Roman" w:cs="Times New Roman" w:eastAsiaTheme="minorEastAsia"/>
                <w:b w:val="0"/>
                <w:bCs w:val="0"/>
                <w:color w:val="000000" w:themeColor="text1"/>
                <w:spacing w:val="-2"/>
                <w:sz w:val="24"/>
                <w:szCs w:val="24"/>
                <w:highlight w:val="none"/>
                <w14:textFill>
                  <w14:solidFill>
                    <w14:schemeClr w14:val="tx1"/>
                  </w14:solidFill>
                </w14:textFill>
              </w:rPr>
              <w:t>布置</w:t>
            </w:r>
          </w:p>
          <w:p w14:paraId="733F8626">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1、迎驾厂片排涝能力提升工程：</w:t>
            </w:r>
          </w:p>
          <w:p w14:paraId="3DB14ADF">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新建泵站设计流量10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/s，选用4台立式轴流泵，单泵流量2.5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vertAlign w:val="superscript"/>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/s，总装机功率740kw。</w:t>
            </w:r>
          </w:p>
          <w:p w14:paraId="1923982B">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14:textFill>
                  <w14:solidFill>
                    <w14:schemeClr w14:val="tx1"/>
                  </w14:solidFill>
                </w14:textFill>
              </w:rPr>
              <w:t>北侧边沟长3.7k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，其中：矩形排涝沟长1.65k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，净宽2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、深1.5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；梯形断面排涝沟长2.05k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，底宽2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，口宽约8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，边坡1：1.5，采用联锁块护坡。</w:t>
            </w:r>
          </w:p>
          <w:p w14:paraId="0647FD17">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六佛路排涝沟长2.58k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，矩形断面，净宽2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、深1.5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7C819AD8">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14:textFill>
                  <w14:solidFill>
                    <w14:schemeClr w14:val="tx1"/>
                  </w14:solidFill>
                </w14:textFill>
              </w:rPr>
              <w:t>中心排涝沟长2.585k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，矩形断面，分为规格1：净宽3</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、深2.5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；规格2：净宽4.5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、深2.5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78D73BC1">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14:textFill>
                  <w14:solidFill>
                    <w14:schemeClr w14:val="tx1"/>
                  </w14:solidFill>
                </w14:textFill>
              </w:rPr>
              <w:t>项家院排涝沟长1.2k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，梯形断面，底宽2</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，口宽约6~8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，边坡1：1.5，采用联锁块护坡。</w:t>
            </w:r>
          </w:p>
          <w:p w14:paraId="0ECA859A">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2、戴家河片排涝能力提升工程：拆建穿路涵13座，改造排涝沟总长1.425k</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2E93F377">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（1）拆建穿路涵共计13座，其中：S332穿路涵1座，尺寸3×1.8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，长37</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；1#、2#、3#穿路涵3座，尺寸3×1.8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，长9</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；4#穿路涵1座，尺寸3×3.8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，长7.3</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。另拆建穿路管涵8座，管径0.5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w:t>
            </w:r>
          </w:p>
          <w:p w14:paraId="07561922">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（2）拆建1#排涝沟135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，尺寸1.5×1.5</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；新建2#排涝沟630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，尺寸2×1.8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；清淤护砌3#排涝沟630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；新建4#排涝沟30</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，尺寸4×1.8</w:t>
            </w:r>
            <w:r>
              <w:rPr>
                <w:rFonts w:hint="eastAsia" w:cs="Times New Roman" w:eastAsiaTheme="minorEastAsia"/>
                <w:color w:val="000000" w:themeColor="text1"/>
                <w:sz w:val="24"/>
                <w:szCs w:val="24"/>
                <w:lang w:eastAsia="zh-CN"/>
                <w14:textFill>
                  <w14:solidFill>
                    <w14:schemeClr w14:val="tx1"/>
                  </w14:solidFill>
                </w14:textFill>
              </w:rPr>
              <w:t>m</w:t>
            </w:r>
            <w:r>
              <w:rPr>
                <w:rFonts w:hint="default" w:ascii="Times New Roman" w:hAnsi="Times New Roman" w:cs="Times New Roman" w:eastAsiaTheme="minorEastAsia"/>
                <w:color w:val="000000" w:themeColor="text1"/>
                <w:sz w:val="24"/>
                <w:szCs w:val="24"/>
                <w14:textFill>
                  <w14:solidFill>
                    <w14:schemeClr w14:val="tx1"/>
                  </w14:solidFill>
                </w14:textFill>
              </w:rPr>
              <w:t>。（4#排涝沟与3#穿路涵衔接）。</w:t>
            </w:r>
          </w:p>
          <w:p w14:paraId="6D048A8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1.2城区排涝通道整治工程布置</w:t>
            </w:r>
          </w:p>
          <w:p w14:paraId="584003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幽芳河治理范围东石门水库~高庙河汇入口，治理河道6.36k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。其中河道疏拓6.36k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，防洪达标2.4k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，护岸加固12.72k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，拆（新）建蓄水建筑物7座，改造防汛道路1.8k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p>
          <w:p w14:paraId="3D3024D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高庙河治理范围牛角冲水库~东淠河汇入口，治理河道5.65k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。其中新建护岸7.24k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，石笼固脚3.15k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，拆（新）建蓄水建筑物4座，新建巡查便道0.525k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，防洪达标0.8k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p>
          <w:p w14:paraId="1541BD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柳林河治理范围团结水库~东淠河汇入口，治理河道11.1k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。其中新建护岸3.415k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、护坡5.28k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，石笼固脚9.19k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，堤防封闭300</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，加固拦河坝2座，拆建防洪闸1座，拆建（加固）排涝涵5座，堤顶防汛道路白改黑长7.2k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，水毁段修复16处。</w:t>
            </w:r>
          </w:p>
          <w:p w14:paraId="666AAD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新店河治理范围印墩村~戴家河汇入口，治理河道2.51k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。其中新建护岸2.106k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，现状护岸改造0.195k</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p>
          <w:p w14:paraId="56064DA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80" w:leftChars="200" w:right="0" w:rightChars="0"/>
              <w:textAlignment w:val="auto"/>
              <w:rPr>
                <w:rFonts w:hint="default" w:ascii="Times New Roman" w:hAnsi="Times New Roman" w:cs="Times New Roman" w:eastAsiaTheme="minorEastAsia"/>
                <w:b w:val="0"/>
                <w:bCs w:val="0"/>
                <w:color w:val="000000" w:themeColor="text1"/>
                <w:spacing w:val="-2"/>
                <w:sz w:val="24"/>
                <w:szCs w:val="24"/>
                <w:highlight w:val="none"/>
                <w:lang w:eastAsia="zh-CN"/>
                <w14:textFill>
                  <w14:solidFill>
                    <w14:schemeClr w14:val="tx1"/>
                  </w14:solidFill>
                </w14:textFill>
              </w:rPr>
            </w:pPr>
            <w:r>
              <w:rPr>
                <w:rFonts w:hint="default" w:ascii="Times New Roman" w:hAnsi="Times New Roman" w:cs="Times New Roman" w:eastAsiaTheme="minorEastAsia"/>
                <w:b w:val="0"/>
                <w:bCs w:val="0"/>
                <w:color w:val="000000" w:themeColor="text1"/>
                <w:spacing w:val="-2"/>
                <w:sz w:val="24"/>
                <w:szCs w:val="24"/>
                <w:highlight w:val="none"/>
                <w:lang w:val="en-US" w:eastAsia="zh-CN"/>
                <w14:textFill>
                  <w14:solidFill>
                    <w14:schemeClr w14:val="tx1"/>
                  </w14:solidFill>
                </w14:textFill>
              </w:rPr>
              <w:t>1.3</w:t>
            </w:r>
            <w:r>
              <w:rPr>
                <w:rFonts w:hint="default" w:ascii="Times New Roman" w:hAnsi="Times New Roman" w:cs="Times New Roman" w:eastAsiaTheme="minorEastAsia"/>
                <w:b w:val="0"/>
                <w:bCs w:val="0"/>
                <w:color w:val="000000" w:themeColor="text1"/>
                <w:spacing w:val="-2"/>
                <w:sz w:val="24"/>
                <w:szCs w:val="24"/>
                <w:highlight w:val="none"/>
                <w:lang w:eastAsia="zh-CN"/>
                <w14:textFill>
                  <w14:solidFill>
                    <w14:schemeClr w14:val="tx1"/>
                  </w14:solidFill>
                </w14:textFill>
              </w:rPr>
              <w:t>排水管网改造工程</w:t>
            </w:r>
          </w:p>
          <w:p w14:paraId="003292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沿柳林河两侧布置De315主管，由南向北接入现状市政管道，新建污水主管网总长度3354</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；新建Φ700混凝土模块式井127座；本工程沿河设计居民接管户数150户，包含接户井、接户管等，接户管为2250</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，设计总处理规模约为40</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/d。沿幽芳河两侧布置De315主管，由南向北接入现状市政管道，新建污水主管网总长度7429</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；新建Φ700混凝土模块式井270座；新建一体化提升泵站1座；本工程沿河设计居民接管户数416户，包含接户井、接户管等，接户管6240</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，设计总处理规模约为70</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/d。</w:t>
            </w:r>
          </w:p>
          <w:p w14:paraId="552C5F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本次南岳花都片排水管网新建工程，对片区雨水集中外排，本工程沿惠民路新建d1.8</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排水暗涵，由南向北排入淠源渠。新建排水管网设计排水流量7.3</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/s，总长度460</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；新建管涵长度450</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，钢筋砼检查井7座。</w:t>
            </w:r>
          </w:p>
          <w:p w14:paraId="7A50FE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衡山工业园片区雨污水管网建设滞后，本次衡山工业园片区通过雨污水管道及雨水箱涵建设解决片区的排水能力不足的问题。本次建设污水钢筋混凝土管道DN400~DN800约4.19k</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，建设雨水钢筋混凝土管道DN600~DN1200约4.28k</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，建设雨水箱涵及明渠2.53k</w:t>
            </w:r>
            <w:r>
              <w:rPr>
                <w:rFonts w:hint="eastAsia" w:cs="Times New Roman" w:eastAsiaTheme="minorEastAsia"/>
                <w:b w:val="0"/>
                <w:bCs/>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b w:val="0"/>
                <w:bCs/>
                <w:color w:val="000000" w:themeColor="text1"/>
                <w:kern w:val="0"/>
                <w:sz w:val="24"/>
                <w:highlight w:val="none"/>
                <w:lang w:val="en-US" w:eastAsia="zh-CN"/>
                <w14:textFill>
                  <w14:solidFill>
                    <w14:schemeClr w14:val="tx1"/>
                  </w14:solidFill>
                </w14:textFill>
              </w:rPr>
              <w:t>。</w:t>
            </w:r>
          </w:p>
          <w:p w14:paraId="5756E2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14:textFill>
                  <w14:solidFill>
                    <w14:schemeClr w14:val="tx1"/>
                  </w14:solidFill>
                </w14:textFill>
              </w:rPr>
              <w:t>2、施工布置情况</w:t>
            </w:r>
          </w:p>
          <w:p w14:paraId="6AEDE50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施工生产区场地布置由施工单位结合拟建场地现状进行布置，要求少占地并尽量减小对汛期防汛的影响。施工中临时道路可结合永久进场道路进行设置，并做好临时围堰及基坑排水，做到文明施工、安全施工。生活用房可就近租用民房。</w:t>
            </w:r>
          </w:p>
          <w:p w14:paraId="232E14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t>项</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目总平面布局依据河道走向，严格规范施工红线，</w:t>
            </w:r>
            <w:r>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t>项目分段施工，布局紧凑，施工临时占地面积小，有利于缩短施工时间，做到各段施工互不干扰，</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施工场地</w:t>
            </w:r>
            <w:r>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t>配套的环保设施齐全，有利于进一步</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地</w:t>
            </w:r>
            <w:r>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t>控制施工扬尘、废水、固废对环境的影响。施工段沿线分布</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居住区</w:t>
            </w:r>
            <w:r>
              <w:rPr>
                <w:rFonts w:hint="default" w:ascii="Times New Roman" w:hAnsi="Times New Roman" w:cs="Times New Roman" w:eastAsiaTheme="minorEastAsia"/>
                <w:color w:val="000000" w:themeColor="text1"/>
                <w:kern w:val="0"/>
                <w:sz w:val="24"/>
                <w:highlight w:val="none"/>
                <w:lang w:val="en-US"/>
                <w14:textFill>
                  <w14:solidFill>
                    <w14:schemeClr w14:val="tx1"/>
                  </w14:solidFill>
                </w14:textFill>
              </w:rPr>
              <w:t>，可满足施工用水用电需求，因此，从环保角度考虑，项目施工平面布置合理。</w:t>
            </w:r>
          </w:p>
          <w:p w14:paraId="72F3177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lang w:val="en-US"/>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lang w:val="en-US" w:eastAsia="zh-CN"/>
                <w14:textFill>
                  <w14:solidFill>
                    <w14:schemeClr w14:val="tx1"/>
                  </w14:solidFill>
                </w14:textFill>
              </w:rPr>
              <w:t>3、施工交通布置</w:t>
            </w:r>
          </w:p>
          <w:p w14:paraId="05CF37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（1）对外交通运输</w:t>
            </w:r>
          </w:p>
          <w:p w14:paraId="64A096F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本工程所在地各级公路纵横交错，交通网发达，外部交通满足本次施工的运输条件。</w:t>
            </w:r>
          </w:p>
          <w:p w14:paraId="6911318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（2）场内交通运输</w:t>
            </w:r>
          </w:p>
          <w:p w14:paraId="40C0B0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西部新城排涝站工程站址处有防汛道路相连，城区排涝通道整治工程和排水管网改造中，幽芳河、高庙河和柳林河沿线均有市政道路联通，场内交通便利。项目仅局部要修建临时道路便于材料和机械进场。</w:t>
            </w:r>
          </w:p>
          <w:p w14:paraId="09F91B8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S322省道穿路涵施工需采用道路半幅开挖施工，结合预制箱涵结构缩短工期，减少对S322道路交通的影响，施工前需由施工单位编制专项方案，并组织专项论证后方可施工。</w:t>
            </w:r>
          </w:p>
          <w:p w14:paraId="195EEC6E">
            <w:pPr>
              <w:keepNext w:val="0"/>
              <w:keepLines w:val="0"/>
              <w:suppressLineNumbers w:val="0"/>
              <w:topLinePunct w:val="0"/>
              <w:bidi w:val="0"/>
              <w:adjustRightInd/>
              <w:snapToGrid/>
              <w:spacing w:before="0" w:beforeAutospacing="0" w:after="0" w:afterAutospacing="0" w:line="360" w:lineRule="auto"/>
              <w:ind w:left="0" w:leftChars="0" w:right="0" w:rightChars="0" w:firstLine="482" w:firstLineChars="200"/>
              <w:rPr>
                <w:rFonts w:hint="default" w:ascii="Times New Roman" w:hAnsi="Times New Roman" w:cs="Times New Roman"/>
                <w:b/>
                <w:color w:val="000000" w:themeColor="text1"/>
                <w:sz w:val="21"/>
                <w:szCs w:val="21"/>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4、</w:t>
            </w: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环境影响因素识别</w:t>
            </w:r>
          </w:p>
          <w:p w14:paraId="7CD1F7E4">
            <w:pPr>
              <w:keepNext w:val="0"/>
              <w:keepLines w:val="0"/>
              <w:suppressLineNumbers w:val="0"/>
              <w:topLinePunct w:val="0"/>
              <w:bidi w:val="0"/>
              <w:adjustRightInd/>
              <w:snapToGrid/>
              <w:spacing w:before="0" w:beforeAutospacing="0" w:after="0" w:afterAutospacing="0" w:line="360" w:lineRule="auto"/>
              <w:ind w:left="0" w:leftChars="0" w:right="0" w:rightChars="0" w:firstLine="482" w:firstLineChars="200"/>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表2</w:t>
            </w:r>
            <w:r>
              <w:rPr>
                <w:rFonts w:hint="eastAsia" w:ascii="Times New Roman" w:hAnsi="Times New Roman" w:cs="Times New Roman"/>
                <w:b/>
                <w:color w:val="000000" w:themeColor="text1"/>
                <w:sz w:val="24"/>
                <w:szCs w:val="24"/>
                <w:lang w:val="en-US" w:eastAsia="zh-CN"/>
                <w14:textFill>
                  <w14:solidFill>
                    <w14:schemeClr w14:val="tx1"/>
                  </w14:solidFill>
                </w14:textFill>
              </w:rPr>
              <w:t xml:space="preserve">-27 </w:t>
            </w:r>
            <w:r>
              <w:rPr>
                <w:rFonts w:hint="default" w:ascii="Times New Roman" w:hAnsi="Times New Roman" w:cs="Times New Roman"/>
                <w:b/>
                <w:color w:val="000000" w:themeColor="text1"/>
                <w:sz w:val="24"/>
                <w:szCs w:val="24"/>
                <w14:textFill>
                  <w14:solidFill>
                    <w14:schemeClr w14:val="tx1"/>
                  </w14:solidFill>
                </w14:textFill>
              </w:rPr>
              <w:t xml:space="preserve"> </w:t>
            </w:r>
            <w:r>
              <w:rPr>
                <w:rFonts w:hint="default" w:ascii="Times New Roman" w:hAnsi="Times New Roman" w:cs="Times New Roman"/>
                <w:b/>
                <w:color w:val="000000" w:themeColor="text1"/>
                <w:sz w:val="24"/>
                <w:szCs w:val="24"/>
                <w:lang w:val="en-US" w:eastAsia="zh-CN"/>
                <w14:textFill>
                  <w14:solidFill>
                    <w14:schemeClr w14:val="tx1"/>
                  </w14:solidFill>
                </w14:textFill>
              </w:rPr>
              <w:t>环境影响因素识别一览表</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1714"/>
              <w:gridCol w:w="5036"/>
            </w:tblGrid>
            <w:tr w14:paraId="3B6A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noWrap w:val="0"/>
                  <w:vAlign w:val="center"/>
                </w:tcPr>
                <w:p w14:paraId="6BF478BF">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阶段</w:t>
                  </w:r>
                </w:p>
              </w:tc>
              <w:tc>
                <w:tcPr>
                  <w:tcW w:w="1061" w:type="pct"/>
                  <w:noWrap w:val="0"/>
                  <w:vAlign w:val="center"/>
                </w:tcPr>
                <w:p w14:paraId="2C9F9FC1">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环境要素</w:t>
                  </w:r>
                </w:p>
              </w:tc>
              <w:tc>
                <w:tcPr>
                  <w:tcW w:w="3119" w:type="pct"/>
                  <w:noWrap w:val="0"/>
                  <w:vAlign w:val="center"/>
                </w:tcPr>
                <w:p w14:paraId="2A3EEF5B">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影响因</w:t>
                  </w:r>
                  <w:r>
                    <w:rPr>
                      <w:rFonts w:hint="default" w:ascii="Times New Roman" w:hAnsi="Times New Roman" w:cs="Times New Roman"/>
                      <w:color w:val="000000" w:themeColor="text1"/>
                      <w:sz w:val="21"/>
                      <w:szCs w:val="21"/>
                      <w14:textFill>
                        <w14:solidFill>
                          <w14:schemeClr w14:val="tx1"/>
                        </w14:solidFill>
                      </w14:textFill>
                    </w:rPr>
                    <w:t>子</w:t>
                  </w:r>
                </w:p>
              </w:tc>
            </w:tr>
            <w:tr w14:paraId="0B12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noWrap w:val="0"/>
                  <w:vAlign w:val="center"/>
                </w:tcPr>
                <w:p w14:paraId="1D067616">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施工期</w:t>
                  </w:r>
                </w:p>
              </w:tc>
              <w:tc>
                <w:tcPr>
                  <w:tcW w:w="1061" w:type="pct"/>
                  <w:noWrap w:val="0"/>
                  <w:vAlign w:val="center"/>
                </w:tcPr>
                <w:p w14:paraId="7C9A04A5">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w:t>
                  </w:r>
                </w:p>
              </w:tc>
              <w:tc>
                <w:tcPr>
                  <w:tcW w:w="3119" w:type="pct"/>
                  <w:noWrap w:val="0"/>
                  <w:vAlign w:val="center"/>
                </w:tcPr>
                <w:p w14:paraId="5537F806">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eastAsia="zh-CN"/>
                      <w14:textFill>
                        <w14:solidFill>
                          <w14:schemeClr w14:val="tx1"/>
                        </w14:solidFill>
                      </w14:textFill>
                    </w:rPr>
                    <w:t>颗粒物</w:t>
                  </w:r>
                </w:p>
              </w:tc>
            </w:tr>
            <w:tr w14:paraId="3E79F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5D81CE0F">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61" w:type="pct"/>
                  <w:noWrap w:val="0"/>
                  <w:vAlign w:val="center"/>
                </w:tcPr>
                <w:p w14:paraId="2BCC43BF">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3119" w:type="pct"/>
                  <w:noWrap w:val="0"/>
                  <w:vAlign w:val="center"/>
                </w:tcPr>
                <w:p w14:paraId="525A7882">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COD、</w:t>
                  </w: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SS</w:t>
                  </w:r>
                </w:p>
              </w:tc>
            </w:tr>
            <w:tr w14:paraId="5025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683EAD60">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c>
                <w:tcPr>
                  <w:tcW w:w="1061" w:type="pct"/>
                  <w:noWrap w:val="0"/>
                  <w:vAlign w:val="center"/>
                </w:tcPr>
                <w:p w14:paraId="1937B216">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地下水环境</w:t>
                  </w:r>
                </w:p>
              </w:tc>
              <w:tc>
                <w:tcPr>
                  <w:tcW w:w="3119" w:type="pct"/>
                  <w:noWrap w:val="0"/>
                  <w:vAlign w:val="center"/>
                </w:tcPr>
                <w:p w14:paraId="78D058C7">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173C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6FB53CAE">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vertAlign w:val="baseline"/>
                      <w14:textFill>
                        <w14:solidFill>
                          <w14:schemeClr w14:val="tx1"/>
                        </w14:solidFill>
                      </w14:textFill>
                    </w:rPr>
                  </w:pPr>
                </w:p>
              </w:tc>
              <w:tc>
                <w:tcPr>
                  <w:tcW w:w="1061" w:type="pct"/>
                  <w:noWrap w:val="0"/>
                  <w:vAlign w:val="center"/>
                </w:tcPr>
                <w:p w14:paraId="040C24A3">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vertAlign w:val="baseline"/>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土壤</w:t>
                  </w:r>
                </w:p>
              </w:tc>
              <w:tc>
                <w:tcPr>
                  <w:tcW w:w="3119" w:type="pct"/>
                  <w:noWrap w:val="0"/>
                  <w:vAlign w:val="center"/>
                </w:tcPr>
                <w:p w14:paraId="36CA0E59">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eastAsia="宋体"/>
                      <w:color w:val="000000" w:themeColor="text1"/>
                      <w:lang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p>
              </w:tc>
            </w:tr>
            <w:tr w14:paraId="24CD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6D686E8E">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61" w:type="pct"/>
                  <w:noWrap w:val="0"/>
                  <w:vAlign w:val="center"/>
                </w:tcPr>
                <w:p w14:paraId="397D9A1E">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3119" w:type="pct"/>
                  <w:noWrap w:val="0"/>
                  <w:vAlign w:val="center"/>
                </w:tcPr>
                <w:p w14:paraId="4DBEC50E">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等效连续A声级LeqdB（A）</w:t>
                  </w:r>
                </w:p>
              </w:tc>
            </w:tr>
            <w:tr w14:paraId="6F8D5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053E106B">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061" w:type="pct"/>
                  <w:noWrap w:val="0"/>
                  <w:vAlign w:val="center"/>
                </w:tcPr>
                <w:p w14:paraId="18887D0B">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3119" w:type="pct"/>
                  <w:noWrap w:val="0"/>
                  <w:vAlign w:val="center"/>
                </w:tcPr>
                <w:p w14:paraId="0689CEDC">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建筑垃圾、弃土</w:t>
                  </w:r>
                </w:p>
              </w:tc>
            </w:tr>
            <w:tr w14:paraId="56532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6871B763">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01A023E4">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3119" w:type="pct"/>
                  <w:noWrap w:val="0"/>
                  <w:vAlign w:val="center"/>
                </w:tcPr>
                <w:p w14:paraId="47C75E90">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14:paraId="730D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restart"/>
                  <w:noWrap w:val="0"/>
                  <w:vAlign w:val="center"/>
                </w:tcPr>
                <w:p w14:paraId="75EA8A53">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营运期</w:t>
                  </w:r>
                </w:p>
              </w:tc>
              <w:tc>
                <w:tcPr>
                  <w:tcW w:w="1061" w:type="pct"/>
                  <w:noWrap w:val="0"/>
                  <w:vAlign w:val="center"/>
                </w:tcPr>
                <w:p w14:paraId="12015B19">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环境空气</w:t>
                  </w:r>
                </w:p>
              </w:tc>
              <w:tc>
                <w:tcPr>
                  <w:tcW w:w="3119" w:type="pct"/>
                  <w:shd w:val="clear" w:color="auto" w:fill="auto"/>
                  <w:noWrap w:val="0"/>
                  <w:vAlign w:val="center"/>
                </w:tcPr>
                <w:p w14:paraId="3393ABA4">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5F1C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6D7888C2">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30A5A391">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地表水环境</w:t>
                  </w:r>
                </w:p>
              </w:tc>
              <w:tc>
                <w:tcPr>
                  <w:tcW w:w="3119" w:type="pct"/>
                  <w:shd w:val="clear" w:color="auto" w:fill="auto"/>
                  <w:noWrap w:val="0"/>
                  <w:vAlign w:val="center"/>
                </w:tcPr>
                <w:p w14:paraId="13CB7485">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Fang Song"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eastAsia="Fang Song" w:cs="Times New Roman"/>
                      <w:color w:val="000000" w:themeColor="text1"/>
                      <w:sz w:val="21"/>
                      <w:szCs w:val="21"/>
                      <w:vertAlign w:val="baseline"/>
                      <w:lang w:val="en-US" w:eastAsia="zh-CN"/>
                      <w14:textFill>
                        <w14:solidFill>
                          <w14:schemeClr w14:val="tx1"/>
                        </w14:solidFill>
                      </w14:textFill>
                    </w:rPr>
                    <w:t>/</w:t>
                  </w:r>
                </w:p>
              </w:tc>
            </w:tr>
            <w:tr w14:paraId="174D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77D8A222">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2B9A7B8D">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地下水环境</w:t>
                  </w:r>
                </w:p>
              </w:tc>
              <w:tc>
                <w:tcPr>
                  <w:tcW w:w="3119" w:type="pct"/>
                  <w:shd w:val="clear" w:color="auto" w:fill="auto"/>
                  <w:noWrap w:val="0"/>
                  <w:vAlign w:val="center"/>
                </w:tcPr>
                <w:p w14:paraId="1A1137EC">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pPr>
                  <w:r>
                    <w:rPr>
                      <w:rFonts w:hint="eastAsia" w:ascii="Times New Roman" w:hAnsi="Times New Roman" w:cs="Times New Roman"/>
                      <w:color w:val="000000" w:themeColor="text1"/>
                      <w:sz w:val="21"/>
                      <w:szCs w:val="21"/>
                      <w:vertAlign w:val="baseline"/>
                      <w:lang w:val="en-US" w:eastAsia="zh-CN"/>
                      <w14:textFill>
                        <w14:solidFill>
                          <w14:schemeClr w14:val="tx1"/>
                        </w14:solidFill>
                      </w14:textFill>
                    </w:rPr>
                    <w:t>/</w:t>
                  </w:r>
                </w:p>
              </w:tc>
            </w:tr>
            <w:tr w14:paraId="522AD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4FB5D2AC">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72169E71">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vertAlign w:val="baseline"/>
                      <w14:textFill>
                        <w14:solidFill>
                          <w14:schemeClr w14:val="tx1"/>
                        </w14:solidFill>
                      </w14:textFill>
                    </w:rPr>
                    <w:t>土壤</w:t>
                  </w:r>
                </w:p>
              </w:tc>
              <w:tc>
                <w:tcPr>
                  <w:tcW w:w="3119" w:type="pct"/>
                  <w:shd w:val="clear" w:color="auto" w:fill="auto"/>
                  <w:noWrap w:val="0"/>
                  <w:vAlign w:val="center"/>
                </w:tcPr>
                <w:p w14:paraId="0273E46F">
                  <w:pPr>
                    <w:pStyle w:val="34"/>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Calibri"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w:t>
                  </w:r>
                </w:p>
              </w:tc>
            </w:tr>
            <w:tr w14:paraId="51B8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7EAEA8E6">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5A9C9F71">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w:t>
                  </w:r>
                </w:p>
              </w:tc>
              <w:tc>
                <w:tcPr>
                  <w:tcW w:w="3119" w:type="pct"/>
                  <w:shd w:val="clear" w:color="auto" w:fill="auto"/>
                  <w:noWrap w:val="0"/>
                  <w:vAlign w:val="center"/>
                </w:tcPr>
                <w:p w14:paraId="4F608A70">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等效连续A声级LeqdB（A）</w:t>
                  </w:r>
                </w:p>
              </w:tc>
            </w:tr>
            <w:tr w14:paraId="61E2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5D42B9EE">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6DD14B4D">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固体废物</w:t>
                  </w:r>
                </w:p>
              </w:tc>
              <w:tc>
                <w:tcPr>
                  <w:tcW w:w="3119" w:type="pct"/>
                  <w:noWrap w:val="0"/>
                  <w:vAlign w:val="center"/>
                </w:tcPr>
                <w:p w14:paraId="7DFCEF0D">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r w14:paraId="599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8" w:type="pct"/>
                  <w:vMerge w:val="continue"/>
                  <w:noWrap w:val="0"/>
                  <w:vAlign w:val="center"/>
                </w:tcPr>
                <w:p w14:paraId="03278E4C">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61" w:type="pct"/>
                  <w:noWrap w:val="0"/>
                  <w:vAlign w:val="center"/>
                </w:tcPr>
                <w:p w14:paraId="5BFF1D37">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环境风险</w:t>
                  </w:r>
                </w:p>
              </w:tc>
              <w:tc>
                <w:tcPr>
                  <w:tcW w:w="3119" w:type="pct"/>
                  <w:noWrap w:val="0"/>
                  <w:vAlign w:val="center"/>
                </w:tcPr>
                <w:p w14:paraId="2EB85E0D">
                  <w:pPr>
                    <w:keepNext w:val="0"/>
                    <w:keepLines w:val="0"/>
                    <w:suppressLineNumbers w:val="0"/>
                    <w:topLinePunct w:val="0"/>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p>
              </w:tc>
            </w:tr>
          </w:tbl>
          <w:p w14:paraId="759E24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p>
          <w:p w14:paraId="704009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pPr>
          </w:p>
        </w:tc>
      </w:tr>
      <w:tr w14:paraId="54FDA2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8" w:type="dxa"/>
            <w:tcBorders>
              <w:tl2br w:val="nil"/>
              <w:tr2bl w:val="nil"/>
            </w:tcBorders>
            <w:vAlign w:val="center"/>
          </w:tcPr>
          <w:p w14:paraId="4F9908F5">
            <w:pPr>
              <w:keepNext w:val="0"/>
              <w:keepLines w:val="0"/>
              <w:pageBreakBefore w:val="0"/>
              <w:suppressLineNumbers w:val="0"/>
              <w:kinsoku/>
              <w:wordWrap/>
              <w:overflowPunct/>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4"/>
                <w:highlight w:val="none"/>
                <w14:textFill>
                  <w14:solidFill>
                    <w14:schemeClr w14:val="tx1"/>
                  </w14:solidFill>
                </w14:textFill>
              </w:rPr>
              <w:t>施工方案</w:t>
            </w:r>
          </w:p>
        </w:tc>
        <w:tc>
          <w:tcPr>
            <w:tcW w:w="8297" w:type="dxa"/>
            <w:tcBorders>
              <w:tl2br w:val="nil"/>
              <w:tr2bl w:val="nil"/>
            </w:tcBorders>
            <w:vAlign w:val="center"/>
          </w:tcPr>
          <w:p w14:paraId="737410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1、施工导流</w:t>
            </w:r>
          </w:p>
          <w:p w14:paraId="36B2EE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西部新城排涝泵站工程圩内施工无需导流，来水可通过现有沟渠排入现有张家湾涵闸和永康桥涵闸。</w:t>
            </w:r>
          </w:p>
          <w:p w14:paraId="73234B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城区排涝整治工程施工主要安排在非汛期，本地降雨较少，施工期间河道来水较少，同时利用上游水库溢洪道控泄，区域少量降雨临时架机抽排。</w:t>
            </w:r>
          </w:p>
          <w:p w14:paraId="4ABBF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本工程在新建排水管道期间，需对两侧道路污水管道及现状污水支管实施调排水。针对整段开挖更换的管道可采取逐段封堵调排的方式，针对局部开挖更换，可采取在该段管道上、下游封堵调排的方式。</w:t>
            </w:r>
          </w:p>
          <w:p w14:paraId="396FD0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bookmarkStart w:id="26" w:name="_Toc148292848"/>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2、施工截流</w:t>
            </w:r>
            <w:bookmarkEnd w:id="26"/>
          </w:p>
          <w:p w14:paraId="492759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（1）西部新城排涝泵站工程在外河侧设置挡水围堰，施工安排在非汛期施工。</w:t>
            </w:r>
          </w:p>
          <w:p w14:paraId="242AD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（2）城区排涝整治工程中，堤顶道路施工无需专门的截流设施。堤防达标选择枯水季节施工，河道上游来水少，无需专门的截流设施。</w:t>
            </w:r>
          </w:p>
          <w:p w14:paraId="034A32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岸坡防护和配套建筑物施工时，利用沿河的滚水坝和临时施工围堰，分段施工。围堰所需土方可利用开挖土方。围堰顶高程为施工期水位加安全加高0.5m，围堰级别为5级，初步拟定平均净高为2.5m，顶宽2.00m，边坡1：2.5。</w:t>
            </w:r>
          </w:p>
          <w:p w14:paraId="50A63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（3）排水管网新建工程中，污水管道工程无需导截流。</w:t>
            </w:r>
          </w:p>
          <w:p w14:paraId="2FB843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（4）围堰稳定计算</w:t>
            </w:r>
          </w:p>
          <w:p w14:paraId="4B1ED8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有关规范，本计算中对围堰的渗透量、等势线分布、出逸段和下游坝身表面的渗透坡降进行分析计算，具体见下表和附图，表中给定的容许渗透坡降根据《水利水电工程地质勘察规范》（GB50487），由下式求得：</w:t>
            </w:r>
          </w:p>
          <w:p w14:paraId="24001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0" distR="0">
                  <wp:extent cx="1637665" cy="278130"/>
                  <wp:effectExtent l="0" t="0" r="0" b="6350"/>
                  <wp:docPr id="135619425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194251" name="图片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37665" cy="278130"/>
                          </a:xfrm>
                          <a:prstGeom prst="rect">
                            <a:avLst/>
                          </a:prstGeom>
                          <a:noFill/>
                          <a:ln>
                            <a:noFill/>
                          </a:ln>
                        </pic:spPr>
                      </pic:pic>
                    </a:graphicData>
                  </a:graphic>
                </wp:inline>
              </w:drawing>
            </w:r>
          </w:p>
          <w:p w14:paraId="5A42A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式中：Gs－－土的比重；</w:t>
            </w:r>
          </w:p>
          <w:p w14:paraId="08488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n－－土的孔隙率；</w:t>
            </w:r>
          </w:p>
          <w:p w14:paraId="77F57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kp－－折减系数，式中kp=2。</w:t>
            </w:r>
          </w:p>
          <w:p w14:paraId="11A0B9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表2-28  围堰渗流计算结果表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1600"/>
              <w:gridCol w:w="1479"/>
              <w:gridCol w:w="1848"/>
              <w:gridCol w:w="1816"/>
            </w:tblGrid>
            <w:tr w14:paraId="42AC2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vAlign w:val="center"/>
                </w:tcPr>
                <w:p w14:paraId="43A6F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计算工况</w:t>
                  </w:r>
                </w:p>
              </w:tc>
              <w:tc>
                <w:tcPr>
                  <w:tcW w:w="1907" w:type="pct"/>
                  <w:gridSpan w:val="2"/>
                  <w:vAlign w:val="center"/>
                </w:tcPr>
                <w:p w14:paraId="64B7C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最大渗透坡降</w:t>
                  </w:r>
                </w:p>
              </w:tc>
              <w:tc>
                <w:tcPr>
                  <w:tcW w:w="1145" w:type="pct"/>
                  <w:vAlign w:val="center"/>
                </w:tcPr>
                <w:p w14:paraId="747C8B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坡降容许值</w:t>
                  </w:r>
                </w:p>
              </w:tc>
              <w:tc>
                <w:tcPr>
                  <w:tcW w:w="1125" w:type="pct"/>
                  <w:vAlign w:val="center"/>
                </w:tcPr>
                <w:p w14:paraId="2CC63B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渗流量m</w:t>
                  </w:r>
                  <w:r>
                    <w:rPr>
                      <w:rFonts w:hint="default" w:ascii="Times New Roman" w:hAnsi="Times New Roman" w:eastAsia="宋体" w:cs="Times New Roman"/>
                      <w:b/>
                      <w:bCs/>
                      <w:color w:val="000000" w:themeColor="text1"/>
                      <w:kern w:val="2"/>
                      <w:sz w:val="21"/>
                      <w:szCs w:val="21"/>
                      <w:highlight w:val="none"/>
                      <w:vertAlign w:val="superscript"/>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/天</w:t>
                  </w:r>
                </w:p>
              </w:tc>
            </w:tr>
            <w:tr w14:paraId="4723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restart"/>
                  <w:vAlign w:val="center"/>
                </w:tcPr>
                <w:p w14:paraId="505D2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工况一</w:t>
                  </w:r>
                </w:p>
              </w:tc>
              <w:tc>
                <w:tcPr>
                  <w:tcW w:w="991" w:type="pct"/>
                  <w:vAlign w:val="center"/>
                </w:tcPr>
                <w:p w14:paraId="01F294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背水坡</w:t>
                  </w:r>
                </w:p>
              </w:tc>
              <w:tc>
                <w:tcPr>
                  <w:tcW w:w="916" w:type="pct"/>
                  <w:vAlign w:val="center"/>
                </w:tcPr>
                <w:p w14:paraId="08BCF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0.29</w:t>
                  </w:r>
                </w:p>
              </w:tc>
              <w:tc>
                <w:tcPr>
                  <w:tcW w:w="1145" w:type="pct"/>
                  <w:vAlign w:val="center"/>
                </w:tcPr>
                <w:p w14:paraId="569890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0.48</w:t>
                  </w:r>
                </w:p>
              </w:tc>
              <w:tc>
                <w:tcPr>
                  <w:tcW w:w="1125" w:type="pct"/>
                  <w:vMerge w:val="restart"/>
                  <w:vAlign w:val="center"/>
                </w:tcPr>
                <w:p w14:paraId="6D2A4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0.002</w:t>
                  </w:r>
                </w:p>
              </w:tc>
            </w:tr>
            <w:tr w14:paraId="22A1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continue"/>
                  <w:vAlign w:val="center"/>
                </w:tcPr>
                <w:p w14:paraId="2AD500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991" w:type="pct"/>
                  <w:vAlign w:val="center"/>
                </w:tcPr>
                <w:p w14:paraId="3F7C9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坝基</w:t>
                  </w:r>
                </w:p>
              </w:tc>
              <w:tc>
                <w:tcPr>
                  <w:tcW w:w="916" w:type="pct"/>
                  <w:vAlign w:val="center"/>
                </w:tcPr>
                <w:p w14:paraId="34A71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0.01</w:t>
                  </w:r>
                </w:p>
              </w:tc>
              <w:tc>
                <w:tcPr>
                  <w:tcW w:w="1145" w:type="pct"/>
                  <w:vAlign w:val="center"/>
                </w:tcPr>
                <w:p w14:paraId="70F0D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0.48</w:t>
                  </w:r>
                </w:p>
              </w:tc>
              <w:tc>
                <w:tcPr>
                  <w:tcW w:w="1125" w:type="pct"/>
                  <w:vMerge w:val="continue"/>
                  <w:vAlign w:val="center"/>
                </w:tcPr>
                <w:p w14:paraId="10CE21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r>
          </w:tbl>
          <w:p w14:paraId="7055D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0" distR="0">
                  <wp:extent cx="4712335" cy="921385"/>
                  <wp:effectExtent l="0" t="0" r="0" b="12065"/>
                  <wp:docPr id="60506352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63523" name="图片 41"/>
                          <pic:cNvPicPr>
                            <a:picLocks noChangeAspect="1" noChangeArrowheads="1"/>
                          </pic:cNvPicPr>
                        </pic:nvPicPr>
                        <pic:blipFill>
                          <a:blip r:embed="rId38">
                            <a:extLst>
                              <a:ext uri="{28A0092B-C50C-407E-A947-70E740481C1C}">
                                <a14:useLocalDpi xmlns:a14="http://schemas.microsoft.com/office/drawing/2010/main" val="0"/>
                              </a:ext>
                            </a:extLst>
                          </a:blip>
                          <a:srcRect b="9038"/>
                          <a:stretch>
                            <a:fillRect/>
                          </a:stretch>
                        </pic:blipFill>
                        <pic:spPr>
                          <a:xfrm>
                            <a:off x="0" y="0"/>
                            <a:ext cx="4712335" cy="921385"/>
                          </a:xfrm>
                          <a:prstGeom prst="rect">
                            <a:avLst/>
                          </a:prstGeom>
                          <a:noFill/>
                          <a:ln>
                            <a:noFill/>
                          </a:ln>
                        </pic:spPr>
                      </pic:pic>
                    </a:graphicData>
                  </a:graphic>
                </wp:inline>
              </w:drawing>
            </w:r>
          </w:p>
          <w:p w14:paraId="55C6F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图2-27  围堰渗流计算图</w:t>
            </w:r>
          </w:p>
          <w:p w14:paraId="4067BB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表2-29  围堰抗滑稳定计算水位组合表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2415"/>
              <w:gridCol w:w="2181"/>
              <w:gridCol w:w="2181"/>
            </w:tblGrid>
            <w:tr w14:paraId="771A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vAlign w:val="center"/>
                </w:tcPr>
                <w:p w14:paraId="31E7C9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工况</w:t>
                  </w:r>
                </w:p>
              </w:tc>
              <w:tc>
                <w:tcPr>
                  <w:tcW w:w="1496" w:type="pct"/>
                  <w:vAlign w:val="center"/>
                </w:tcPr>
                <w:p w14:paraId="6568F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上游水位</w:t>
                  </w:r>
                </w:p>
              </w:tc>
              <w:tc>
                <w:tcPr>
                  <w:tcW w:w="1351" w:type="pct"/>
                  <w:vAlign w:val="center"/>
                </w:tcPr>
                <w:p w14:paraId="4BBAE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下游水位</w:t>
                  </w:r>
                </w:p>
              </w:tc>
              <w:tc>
                <w:tcPr>
                  <w:tcW w:w="1351" w:type="pct"/>
                  <w:vAlign w:val="center"/>
                </w:tcPr>
                <w:p w14:paraId="0068A8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计算边坡</w:t>
                  </w:r>
                </w:p>
              </w:tc>
            </w:tr>
            <w:tr w14:paraId="727F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vAlign w:val="center"/>
                </w:tcPr>
                <w:p w14:paraId="3A755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工况一</w:t>
                  </w:r>
                </w:p>
              </w:tc>
              <w:tc>
                <w:tcPr>
                  <w:tcW w:w="1496" w:type="pct"/>
                  <w:vAlign w:val="center"/>
                </w:tcPr>
                <w:p w14:paraId="5275D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w:t>
                  </w:r>
                </w:p>
              </w:tc>
              <w:tc>
                <w:tcPr>
                  <w:tcW w:w="1351" w:type="pct"/>
                  <w:vAlign w:val="center"/>
                </w:tcPr>
                <w:p w14:paraId="5D9CF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w:t>
                  </w:r>
                </w:p>
              </w:tc>
              <w:tc>
                <w:tcPr>
                  <w:tcW w:w="1351" w:type="pct"/>
                  <w:vAlign w:val="center"/>
                </w:tcPr>
                <w:p w14:paraId="39D865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背水坡</w:t>
                  </w:r>
                </w:p>
              </w:tc>
            </w:tr>
          </w:tbl>
          <w:p w14:paraId="6BE40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计算结果见下表及附图，表中安全系数容许值参见《堤防工程设计规范》（GB50286-2013）。</w:t>
            </w:r>
          </w:p>
          <w:p w14:paraId="46971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表2-30  围堰抗滑稳定安全系数计算结果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2690"/>
              <w:gridCol w:w="2691"/>
            </w:tblGrid>
            <w:tr w14:paraId="529D1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vAlign w:val="center"/>
                </w:tcPr>
                <w:p w14:paraId="24229B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计算工况</w:t>
                  </w:r>
                </w:p>
              </w:tc>
              <w:tc>
                <w:tcPr>
                  <w:tcW w:w="3095" w:type="dxa"/>
                  <w:vAlign w:val="center"/>
                </w:tcPr>
                <w:p w14:paraId="2C1F6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安全系数</w:t>
                  </w:r>
                </w:p>
              </w:tc>
              <w:tc>
                <w:tcPr>
                  <w:tcW w:w="3096" w:type="dxa"/>
                  <w:vAlign w:val="center"/>
                </w:tcPr>
                <w:p w14:paraId="31EFD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t>规范允许值</w:t>
                  </w:r>
                </w:p>
              </w:tc>
            </w:tr>
            <w:tr w14:paraId="22BDC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vAlign w:val="center"/>
                </w:tcPr>
                <w:p w14:paraId="3B6C0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施工期</w:t>
                  </w:r>
                </w:p>
              </w:tc>
              <w:tc>
                <w:tcPr>
                  <w:tcW w:w="3095" w:type="dxa"/>
                  <w:vAlign w:val="center"/>
                </w:tcPr>
                <w:p w14:paraId="26468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1.64</w:t>
                  </w:r>
                </w:p>
              </w:tc>
              <w:tc>
                <w:tcPr>
                  <w:tcW w:w="3096" w:type="dxa"/>
                  <w:vAlign w:val="center"/>
                </w:tcPr>
                <w:p w14:paraId="7608B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w:t>
                  </w:r>
                </w:p>
              </w:tc>
            </w:tr>
          </w:tbl>
          <w:p w14:paraId="1CB491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drawing>
                <wp:inline distT="0" distB="0" distL="0" distR="0">
                  <wp:extent cx="4339590" cy="743585"/>
                  <wp:effectExtent l="0" t="0" r="0" b="18415"/>
                  <wp:docPr id="934133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3396"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b="21603"/>
                          <a:stretch>
                            <a:fillRect/>
                          </a:stretch>
                        </pic:blipFill>
                        <pic:spPr>
                          <a:xfrm>
                            <a:off x="0" y="0"/>
                            <a:ext cx="4339590" cy="743585"/>
                          </a:xfrm>
                          <a:prstGeom prst="rect">
                            <a:avLst/>
                          </a:prstGeom>
                          <a:noFill/>
                          <a:ln>
                            <a:noFill/>
                          </a:ln>
                        </pic:spPr>
                      </pic:pic>
                    </a:graphicData>
                  </a:graphic>
                </wp:inline>
              </w:drawing>
            </w:r>
          </w:p>
          <w:p w14:paraId="6010F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图2-28 抗滑稳定计算结果图</w:t>
            </w:r>
          </w:p>
          <w:p w14:paraId="65C6B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3、基坑降水、排水与基坑支护</w:t>
            </w:r>
          </w:p>
          <w:p w14:paraId="71278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工程基坑均采用开挖，坡比1：2，基坑内渗水、降水及施工弃水采用明沟汇集，排至集水坑，自排外河，明沟断面0.3×0.5m。基坑排水派专人值班，随时排水。基坑外围地面结合道路布置，在四周开挖截水沟，以防止地面雨水汇入基坑，截水沟断面0.3×0.5m。</w:t>
            </w:r>
          </w:p>
          <w:p w14:paraId="7557AB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衡山工业园箱涵埋置较深，开挖后采用钢板桩进行支护，基坑内不得带水施工，必须采取有效的降排水措施，防止结构上浮，确保结构安全。</w:t>
            </w:r>
          </w:p>
          <w:p w14:paraId="09C5C1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根据施工进度安排，本工程主要涉水作业均采用枯水期施工，工程中泵站、拦河坝等建筑物应在汛期前完成水下工程部分。</w:t>
            </w:r>
          </w:p>
          <w:p w14:paraId="2D52F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4、主体工程施工</w:t>
            </w:r>
          </w:p>
          <w:p w14:paraId="522437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4.1土石方工程</w:t>
            </w:r>
          </w:p>
          <w:p w14:paraId="3E3042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1、土方开挖：土方开挖前，先进行地表层清理，将场内所有障碍物清除，然后测量、放线、定位。土方开挖以机械为主，采用挖掘机挖土，自卸汽车外运，并将废渣、废土和好土分开堆放。</w:t>
            </w:r>
          </w:p>
          <w:p w14:paraId="1C736E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土方回填：堤防和围堰填筑采用均利用开挖土，填方量不足时外购土方。建筑物四周2m范围内用回填好土、蛙式打夯机夯实；2m以外土用挖掘机挖土，自卸汽车运土，推土机铺土，用拖拉机辅以蛙式打夯机分层碾压。回填土需满足压实度要求。</w:t>
            </w:r>
          </w:p>
          <w:p w14:paraId="4B85E3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4.2砼和钢筋砼工程</w:t>
            </w:r>
          </w:p>
          <w:p w14:paraId="6B7E30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1、基础开挖后，基面找平，放线，加强抽水，严禁地基表层被水浸入，及时将混凝土垫层浇好。然后立模，扎筋，安装止水、沥青板和混凝土浇筑，养护拆模。</w:t>
            </w:r>
          </w:p>
          <w:p w14:paraId="4A15A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2、钢筋制作与安装：钢筋按设计选型，在加工场集中加工，运至现场绑扎，主筋采用电焊，为控制混凝土保护层厚度，钢筋与模板之间放置适当数量水泥砂浆垫块，钢筋层之间设置撑筋。</w:t>
            </w:r>
          </w:p>
          <w:p w14:paraId="58931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3、模板制作与安装：模板应有足够的强度和刚度，支撑选用ф50mm钢管或[14槽钢，内外模用ф12对销螺栓联结，达到稳定牢固，拼缝要求紧密，板面刷脱模剂。</w:t>
            </w:r>
          </w:p>
          <w:p w14:paraId="77760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混凝土浇筑：混凝土采用现场集中拌和，用混凝土泵、管道输送到施工现场浇灌，插入式振捣器震实。施工缝采用人工打糙混凝土面层，用水冲洗干净，再在施工缝上铺一层厚1～2cm的1：2水泥砂浆，然后分层浇筑。</w:t>
            </w:r>
          </w:p>
          <w:p w14:paraId="74E72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5、止水、沉陷缝施工：止水、沉陷缝按设计要求，选用好材料，由加工厂集中加工制作成型，运至现场安装。</w:t>
            </w:r>
          </w:p>
          <w:p w14:paraId="5D4DDD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4.3高压旋喷桩</w:t>
            </w:r>
          </w:p>
          <w:p w14:paraId="72EBB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本工程柳林河水毁段采用高压旋喷桩。</w:t>
            </w:r>
          </w:p>
          <w:p w14:paraId="507BAD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1、施工工艺</w:t>
            </w:r>
          </w:p>
          <w:p w14:paraId="12E26F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双管法高压旋喷桩，每次成型一根桩。先施工下游排孔，后施工上游排孔，最后施工中间排孔。主要施工过程：钻机就位—钻孔—喷射注浆—旋喷成桩。</w:t>
            </w:r>
          </w:p>
          <w:p w14:paraId="0A8E8D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（1）钻机就位：钻机移动到施工的桩位上，水平校正机身，钻头对准标识的孔位，钻杆轴线垂直。桩位偏差＜50mm，垂直度偏差＜1%桩长。</w:t>
            </w:r>
          </w:p>
          <w:p w14:paraId="570F2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钻孔：根据地层情况和加固深度选择合适钻机，本项目采用跟管钻进，如遇坚硬土层，选择地质钻机引孔。为防喷头堵塞，钻孔过程中可利用喷射管喷射水成孔至设定孔底高程（孔底高程低于设计底高程300mm）。</w:t>
            </w:r>
          </w:p>
          <w:p w14:paraId="7DB73D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喷射注浆：喷射管下沉至设定深度后，输入符合要求的空气、浆液静喷1～3min，待灌入浆液冒出后，按试桩确定的提升及旋转速度、流量，自下而上，边旋喷边提升，观察记录气、浆压力，现场抽测水泥浆液密度。</w:t>
            </w:r>
          </w:p>
          <w:p w14:paraId="70E5D9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旋喷成桩：全程持续旋喷提升，直到设定高程后，停送气、浆，旋喷过程中，时刻控制浆液的流量及压力、气压、提升及旋转速度等在设定的范围内，做好过程记录。旋喷完成后，移动桩机，及时将各管路冲洗干净，进入下一桩施工。</w:t>
            </w:r>
          </w:p>
          <w:p w14:paraId="207B220C">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70CFB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2、检测</w:t>
            </w:r>
          </w:p>
          <w:p w14:paraId="5A5E65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（1）成桩后3天内，采用轻型动力触探（N10）检查桩身的均匀性，检验数量为施工总桩数的1%，且不少于3根。所检测的水泥土桩轻便触探击数均匀，变异系数小于0.3，受检桩桩身水泥土搅拌均匀。</w:t>
            </w:r>
          </w:p>
          <w:p w14:paraId="698B86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（2）成桩7天后，采用浅部开挖桩头进行检查，检查成桩直径和均匀性，检查数量为总桩数的5%。</w:t>
            </w:r>
          </w:p>
          <w:p w14:paraId="203E6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3）成桩7天后现场取桩身芯样，进行强度检验，抗压强度不小于0.5mpa，另外取样备份，做28d后的强度试验，抗压强度不小于1mpa，检验数量为施工总桩数的0.5%，且不少于6点。检验结果：受检桩桩身水泥土搅拌均匀，芯样连续、完整，桩长满足设计桩长，受检桩水泥土芯样单轴抗压强度值满足设计要求。</w:t>
            </w:r>
          </w:p>
          <w:p w14:paraId="2107BA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（4）复合地基载荷试验应在桩身强度满足试验荷载条件时，并宜在成桩28天后进行。检验数量为桩总数的0.5%～1%，且每单体工程不应少于3根。载荷试验受水利工程施工工期影响，选择实施。</w:t>
            </w:r>
          </w:p>
          <w:p w14:paraId="0821A2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4.4、水泥土换填</w:t>
            </w:r>
          </w:p>
          <w:p w14:paraId="41D80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本工程泵室及穿堤箱涵主要采用水泥土换填进行地基处理。</w:t>
            </w:r>
          </w:p>
          <w:p w14:paraId="6B378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水泥土换填的施工工艺为：基槽清理→软土挖除→拌制水泥土→水泥土夯实；</w:t>
            </w:r>
          </w:p>
          <w:p w14:paraId="49E364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垫层中水泥与土料的比例可用体积重量比控制，宜采用5%；土料较湿时,可采用8%~15%。垫层用的土料不得混入耕（植）土、淤泥质土和冻土块，有机质含量不得大于5%，水溶盐含量不应大于3%；不得采用膨胀土、盐渍土。</w:t>
            </w:r>
          </w:p>
          <w:p w14:paraId="17477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用于制作水泥土的土料，结块粒径不应过大；当用人力或小型机械拌和时,土料应过筛使用;当采用搅拌粉碎专用设备时，土块粒径可放宽到不大于50mm,但应拌和均匀，碾压时土块粒径不应大于20mm。水泥土从拌和开始到碾压或夯实结束，不宜超过24h。拌和好的水泥土,除处于十分干燥状态外,搁置时间不宜超过12h。根据土料和施工机械的具体情况,通过现场试验确定水泥土的分层铺填厚度、每层压实遍数；水泥土垫层的回填料含水量宜控制在击实试验的最优含水量Wop（100士4）%范围内，水泥土的压实度应满足设计要求。</w:t>
            </w:r>
          </w:p>
          <w:p w14:paraId="348CD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4.5、帷幕灌浆</w:t>
            </w:r>
          </w:p>
          <w:p w14:paraId="0E9342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本工程对穿堤箱涵下层及两侧采用帷幕灌浆处理。施工的主要顺序包括：钻孔→注浆→反渗试验→监测与评估。</w:t>
            </w:r>
          </w:p>
          <w:p w14:paraId="2C426F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帷幕灌浆一序孔→二序孔分序施工，孔距为1.5m。灌浆压力：帷幕灌浆初定为0.5～2.0MPa，应通过灌浆试验确定最终采用压力值；防渗帷幕透水率不得大于5Lu，水泥采用强度等级42.5的普通硅酸盐水泥，水泥浆液的水灰比取1.0，灌浆孔进入坝身素填土层内不小于500mm，灌浆采用自下而上分段灌浆法。</w:t>
            </w:r>
          </w:p>
          <w:p w14:paraId="46F996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4.6、建筑物施工</w:t>
            </w:r>
          </w:p>
          <w:p w14:paraId="2670B8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（1）土石方开挖</w:t>
            </w:r>
          </w:p>
          <w:p w14:paraId="1B36B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土方开挖：土方开挖采用1～2m3挖土，75kW推土机集料，可利用土方运至0.5km以内临时堆放。土方开挖以机械开挖为主，人工开挖为辅。大部分采用推土机挖推至临近填筑区域，减少回填土料的重复运输，工程沿线附近尽可能平衡补充。</w:t>
            </w:r>
          </w:p>
          <w:p w14:paraId="3A5FE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石方开挖及原建筑物拆除：石方开挖及原渠道、泵房等构筑物拆除采用反向挖掘机挂冲击钻头凿拆除；拆除渣料采用12t自卸汽车运输出渣。</w:t>
            </w:r>
          </w:p>
          <w:p w14:paraId="04BE38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（2）土石方回填</w:t>
            </w:r>
          </w:p>
          <w:p w14:paraId="198C17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水闸工程土石方回填料为开挖土料，其中土料应采用开挖料中土质相对较好的上层部分。采用反铲挖掘机及装载机挖装填筑料，5.0T自卸汽车运输，采用后退法卸料，推土机平整。回填料必须分层回填，严禁不分层大体积回填，对于一般土料控制在20~30cm左右。</w:t>
            </w:r>
          </w:p>
          <w:p w14:paraId="5719FB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（3）混凝土施工</w:t>
            </w:r>
          </w:p>
          <w:p w14:paraId="4D0066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混凝土采用商品混凝土。采用标准钢模，用钢管、扣件予以固定，内拉外撑进行加固。浇筑前，用脱模制涂刷模板，将浇筑面用水湿润。钢筋制安作业必经遵照规范的规定执行。入仓的混凝土拌和料，采用人工平仓、插入式振捣器捣实，振捣时应快插慢拔，以混凝土开始泛浆，不再显著下沉为准。平仓时如遇局部骨料集中，应将骨料分散，不准将砂浆覆盖在骨料上。混凝土浇筑要保持平整进程，连续浇筑，防止冷缝而影响质量，如遇无法避免的因素中途停工，则需按施工缝处理。混凝土浇筑后12～18小时要进行洒水养护，养护期不少于14天，如遇低温天气，则要采取加盖草袋或塑料布等保温措施。</w:t>
            </w:r>
          </w:p>
          <w:p w14:paraId="5E59B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①消力池、铺盖施工在水闸底板浇筑后，即可进行施工。</w:t>
            </w:r>
          </w:p>
          <w:p w14:paraId="6846D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②启闭机房应一次浇筑至大梁底高程，然后整体浇筑启闭机工作面板。钢筋混凝土工作闸门在预制场预制运至工地现场，从检修平台吊至闸门槽附近，待装止水橡皮等材料后，吊至闸槽内。</w:t>
            </w:r>
          </w:p>
          <w:p w14:paraId="0F9864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③各部位施工均应按照现行有关规范要求进行，严格施工程序监理、质量监督和</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检查验收，对隐蔽工程更应重点加强。</w:t>
            </w:r>
          </w:p>
          <w:p w14:paraId="24B3C6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4.7机电及金属结构设备安装</w:t>
            </w:r>
          </w:p>
          <w:p w14:paraId="6B6AA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泵站需安装钢管、拍门、铸铁闸门等，要求由专业化工厂集中制作，经验收合格后运至场地，由监理工程师及相关人员对产品进行验收。合格后用汽车吊配合人工安装，安装后防腐处理，然后进行校准、调合、试水等，均应应符合《水利工程铸铁闸门设计制造安装验收规范》（DB32/T1712-2011）等有关规定。启闭机要求在工厂组装总成后运至现场安装、调试后安装。</w:t>
            </w:r>
          </w:p>
          <w:p w14:paraId="6C37DF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泵站的机电安装工程应以主机泵为核心，全面展开，穿插进行，主机泵由汽车运至汽车吊作业范围，通过汽车吊和辅助机械吊装就位，主机泵可形成平面流水作业，安装精度应满足设计及规范要求。</w:t>
            </w:r>
          </w:p>
          <w:p w14:paraId="35C918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闸门安装前应进行门槽一期混凝土的凿毛，调整预埋插筋或基础螺栓，并清除门槽内渣土与积水，再进行埋件安装。埋件安装和二期混凝土采用搭设脚手架进行施工，按先埋设底槛，后埋设主机轨、反轨、侧轨及门楣的顺序进行，同时在组装场进行门叶组装，待埋件和门叶检查、测量合格后，由扒杆将闸门吊入门槽内进行启闭试验。</w:t>
            </w:r>
          </w:p>
          <w:p w14:paraId="2437FA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整个设备安装工程中的大量预埋件及设备安装准备工作，应在土建部分施工中相应进行，要求埋置及时，位置准确，避免发生漏埋与错埋事故，以保证安装工作质量可靠，进展顺利。</w:t>
            </w:r>
          </w:p>
          <w:p w14:paraId="05091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4.8、原建筑拆除</w:t>
            </w:r>
          </w:p>
          <w:p w14:paraId="585FF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原水闸主体结构进行拆除，采用人工与机械结合方案，自上而下运用挖掘机、人工、风镐、吊机等相互配合，拆除后将废料运输出去。</w:t>
            </w:r>
          </w:p>
          <w:p w14:paraId="26DF8216">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4C633097">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45244555">
            <w:pPr>
              <w:pStyle w:val="2"/>
              <w:keepNext w:val="0"/>
              <w:keepLines w:val="0"/>
              <w:suppressLineNumbers w:val="0"/>
              <w:spacing w:before="0" w:beforeAutospacing="0" w:after="0" w:afterAutospacing="0"/>
              <w:ind w:left="0" w:right="0"/>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p w14:paraId="482E65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5、管道施工</w:t>
            </w:r>
          </w:p>
          <w:p w14:paraId="10BD9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（1）测量放线</w:t>
            </w:r>
          </w:p>
          <w:p w14:paraId="42E6F0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①按设计施工图要求进行管道定位、放线，在各变坡点、三通处标出桩号、埋深。</w:t>
            </w:r>
          </w:p>
          <w:p w14:paraId="07E07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②每隔一段距离进行复测，必须经设计、业主等各方复测签字后方可开挖。</w:t>
            </w:r>
          </w:p>
          <w:p w14:paraId="510F9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（2）管沟开挖</w:t>
            </w:r>
          </w:p>
          <w:p w14:paraId="1306EC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①管道沟槽应按设计要求的平面位置和标高开挖，管沟开挖应使沟底原土层不被拢动，人工开挖且无地下水时，槽底宜预留50-100㎜，机械开挖或有地下水时，槽底宜预留200㎜，预留部分的管道安装前用人工清底，如局部超挖，需用砂土或素土填补并分层夯实。管沟堆土宜一边堆放，另一边作安装场地或安全通道。挖出的旧构筑物、石块、砖块、木块、垃圾等杂物与泥土应分别堆放。沟底遇有不易清除的块石</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等坚硬物体及凡可能引起不均匀沉降的地段，其他基应深挖至设计标高以下200㎜铺垫砂土或素土，并夯实平整。管沟内现场接点处按需加宽。沟槽没有支撑时，二边另外支撑宽度。</w:t>
            </w:r>
          </w:p>
          <w:p w14:paraId="23A4E4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开挖中严格控制沟槽直顺度，沟底标高，严禁超挖，并对相邻管线做好保护措施，清除沟底硬、杂物；管道安装前人工清底至设计标高，如下雨，必须每隔25米设一集水坑，配备足够水泵，严禁发生积水泡槽现象；间距6-10米进行检查验收，合格后方可进入下一道工序施工。</w:t>
            </w:r>
          </w:p>
          <w:p w14:paraId="225215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③管道埋深要保证管顶覆土0.7m，穿越道路、农田、河流或沿公路铺设时覆土不小于1.0m。</w:t>
            </w:r>
          </w:p>
          <w:p w14:paraId="575D7823">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eastAsia" w:cs="Times New Roman"/>
                <w:b/>
                <w:bCs/>
                <w:color w:val="000000" w:themeColor="text1"/>
                <w:kern w:val="0"/>
                <w:sz w:val="24"/>
                <w:szCs w:val="24"/>
                <w:lang w:val="en-US" w:eastAsia="zh-CN" w:bidi="ar"/>
                <w14:textFill>
                  <w14:solidFill>
                    <w14:schemeClr w14:val="tx1"/>
                  </w14:solidFill>
                </w14:textFill>
              </w:rPr>
              <w:t>6</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cs="Times New Roman"/>
                <w:b/>
                <w:bCs/>
                <w:color w:val="000000" w:themeColor="text1"/>
                <w:kern w:val="0"/>
                <w:sz w:val="24"/>
                <w:szCs w:val="24"/>
                <w:lang w:val="en-US" w:eastAsia="zh-CN" w:bidi="ar"/>
                <w14:textFill>
                  <w14:solidFill>
                    <w14:schemeClr w14:val="tx1"/>
                  </w14:solidFill>
                </w14:textFill>
              </w:rPr>
              <w:t>疏浚、</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清淤施工</w:t>
            </w:r>
          </w:p>
          <w:p w14:paraId="6F35AE4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河道由于多年来的淤积，严重影响河道的行洪能力，需对河道进行清淤疏浚，清淤应注意对两岸沿河建筑物的保护。本次清淤拟采用挖掘机清淤。</w:t>
            </w:r>
          </w:p>
          <w:p w14:paraId="2831F8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（1）排水干挖清淤（人工清淤-人工倒运-汽车运输）</w:t>
            </w:r>
          </w:p>
          <w:p w14:paraId="072F63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于一些墙角零星角落位置，任何施工机械均无法进入的区域，采用人工清淤人工倒运至自卸汽车可以到达的位置，再用挖掘机转运至自卸汽车上。人工清淤具体施工方式为：人工用锹装手推车，人工推手推车在已搭设好的跳板上行走，运到挖掘机有效作业范围内，再按照机械清淤的工序倒运、装车、运输。</w:t>
            </w:r>
          </w:p>
          <w:p w14:paraId="695B11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（2）排水干挖清淤（挖机清淤-汽车运输）</w:t>
            </w:r>
          </w:p>
          <w:p w14:paraId="548DC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对于交通条件较好的河段，形成干地施工条件后，先在干地条件下晾晒，经晾晒后，采用1.25m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挖掘机在河道内清理淤泥，将淤泥清理堆至0.5m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长臂挖掘机有效作业范围内，再用0.5m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长臂挖掘机清理有效作业范围内的淤泥至岸边，采用1.25m3挖掘机将淤泥装入20t自卸车外运。</w:t>
            </w:r>
          </w:p>
          <w:p w14:paraId="2696A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7</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、施工交通组织</w:t>
            </w:r>
          </w:p>
          <w:p w14:paraId="7914B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（1）对外交通运输</w:t>
            </w:r>
          </w:p>
          <w:p w14:paraId="00D0C4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本工程所在地各级公路纵横交错，交通网发达，外部交通满足本次施工的运输条件。</w:t>
            </w:r>
          </w:p>
          <w:p w14:paraId="34E24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（2）场内交通运输</w:t>
            </w:r>
          </w:p>
          <w:p w14:paraId="0BF0D2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西部新城排涝站工程站址处有防汛道路相连，城区排涝通道整治工程和排水管新建工程中，工程沿线均有市政道路联通，场内交通便利。项目仅局部要修建临时道路便于材料和机械进场。</w:t>
            </w:r>
          </w:p>
          <w:p w14:paraId="661AE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S322省道穿路涵施工需采用道路半幅开挖施工，结合预制箱涵结构缩短工期，减少对S322道路交通的影响，施工前需由施工单位编制专项方案，并组织专项论证后方可施工。</w:t>
            </w:r>
          </w:p>
          <w:p w14:paraId="6EB74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、施工总布置</w:t>
            </w:r>
          </w:p>
          <w:p w14:paraId="02E00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施工生产区场地布置由施工单位结合拟建场地现状进行布置，要求少占地并尽量减小对汛期防汛的影响。施工中临时道路可结合永久进场道路进行设置，并做好临时围堰及基坑排水，做到文明施工、安全施工。生活用房可就近租用民房。</w:t>
            </w:r>
          </w:p>
          <w:p w14:paraId="5AB51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（1）施工供电、供水系统布置</w:t>
            </w:r>
          </w:p>
          <w:p w14:paraId="179539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1）供水</w:t>
            </w:r>
          </w:p>
          <w:p w14:paraId="236146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本工程生活用水可采用市政自来水管网供水，施工用水就近从附近河道取水或采用市政自来水管网供水。</w:t>
            </w:r>
          </w:p>
          <w:p w14:paraId="456DDD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2）供电</w:t>
            </w:r>
          </w:p>
          <w:p w14:paraId="5AFD1D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施工用电供电范围包括泵站、河道护岸工程及配套建筑物、排水沟、排水管网。施工用电负荷集中在泵站、拦河坝及水闸施工区。本工程泵站、拦河坝及水闸施工供电拟采用永临结合方式，利用附近系统电。排水管网、排水沟施工用电较为分散，可就近从市政电网取电或自备柴油机发电。</w:t>
            </w:r>
          </w:p>
          <w:p w14:paraId="0EA130F6">
            <w:pPr>
              <w:pStyle w:val="2"/>
              <w:keepNext w:val="0"/>
              <w:keepLines w:val="0"/>
              <w:suppressLineNumbers w:val="0"/>
              <w:spacing w:before="0" w:beforeAutospacing="0" w:after="0" w:afterAutospacing="0"/>
              <w:ind w:left="0" w:right="0"/>
              <w:rPr>
                <w:rFonts w:hint="default"/>
                <w:color w:val="000000" w:themeColor="text1"/>
                <w:lang w:val="en-US" w:eastAsia="zh-CN"/>
                <w14:textFill>
                  <w14:solidFill>
                    <w14:schemeClr w14:val="tx1"/>
                  </w14:solidFill>
                </w14:textFill>
              </w:rPr>
            </w:pPr>
          </w:p>
          <w:p w14:paraId="2C3399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（2）混凝土生产设施</w:t>
            </w:r>
          </w:p>
          <w:p w14:paraId="160830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位于六安市县城内，交通运输发达，制备商品混凝土的厂家较多，具备使用商品混凝土的良好条件。若采用现场集中拌制混凝土的方案，需要较大的临时场地，因此本阶段选择外购商品混凝土的方式作为混凝土的来源。</w:t>
            </w:r>
          </w:p>
          <w:p w14:paraId="47CEE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（3）临时生产设施</w:t>
            </w:r>
          </w:p>
          <w:p w14:paraId="66EA4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工程所需的钢筋、木材均在现场加工，拟建立相应的综合材料加工场，布置在主要建筑物附近缓坡地。</w:t>
            </w:r>
          </w:p>
          <w:p w14:paraId="2E034D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（4）临时堆土场</w:t>
            </w:r>
          </w:p>
          <w:p w14:paraId="29F264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本工程部分泵站主泵房全年施工，涉水工作面选择枯水期施工。考虑工程开挖与填筑时序的不匹配，考虑在泵站施工区附近设置临时堆土场，暂存用于后续填筑的基坑开挖土石料。</w:t>
            </w:r>
          </w:p>
          <w:p w14:paraId="77252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（5）临时生活办公区</w:t>
            </w:r>
          </w:p>
          <w:p w14:paraId="246B8C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临时生活与办公用房拟采用租赁型式，拟租用附近民房作为施工承包商现场办公及生活营地。</w:t>
            </w:r>
          </w:p>
          <w:p w14:paraId="7682D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、施工时序及建设周期</w:t>
            </w:r>
          </w:p>
          <w:p w14:paraId="25A4C8B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霍山县水务局制定的建设计划以及《水利水电工程施工组织设计规范》SL303-2017的规定，本项目，其工程建设全过程依据规范要求被划分为四个明确的施工时段：工程筹建期、工程施工准备期、主体工程施工期和工程完建期。其中，工程筹建期主要涉及项目前期工作，如规划审批、资源协调和手续办理，因此不计入工程总工期之内。本项目的具体施工分期安排如下：工程筹建期预计2个月；工程施工准备期2个月，用于场地平整、设备进场和人员组织；主体工程施工期计划为10个月，负责核心结构建设和设施安装；工程完建期为2个月，用于收尾清理、调试和验收工作。</w:t>
            </w:r>
          </w:p>
          <w:p w14:paraId="7B193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项目工程</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建设工期为2026年10月至2027年12月，共</w:t>
            </w: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14个月。平均施工人数约50人。</w:t>
            </w:r>
          </w:p>
          <w:p w14:paraId="3B517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cs="Times New Roman"/>
                <w:b/>
                <w:bCs/>
                <w:color w:val="000000" w:themeColor="text1"/>
                <w:kern w:val="2"/>
                <w:sz w:val="24"/>
                <w:szCs w:val="24"/>
                <w:highlight w:val="none"/>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、建筑材料来源</w:t>
            </w:r>
          </w:p>
          <w:p w14:paraId="7986E3B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14:textFill>
                  <w14:solidFill>
                    <w14:schemeClr w14:val="tx1"/>
                  </w14:solidFill>
                </w14:textFill>
              </w:rPr>
              <w:t>项目使用块石料、细石料</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、其他施工材料以及</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砼制品全部在本地采购。</w:t>
            </w:r>
          </w:p>
        </w:tc>
      </w:tr>
    </w:tbl>
    <w:p w14:paraId="2D44A639">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482" w:firstLineChars="200"/>
        <w:jc w:val="center"/>
        <w:textAlignment w:val="auto"/>
        <w:outlineLvl w:val="0"/>
        <w:rPr>
          <w:rFonts w:hint="default" w:ascii="Times New Roman" w:hAnsi="Times New Roman" w:cs="Times New Roman" w:eastAsiaTheme="minorEastAsia"/>
          <w:snapToGrid w:val="0"/>
          <w:color w:val="000000" w:themeColor="text1"/>
          <w:kern w:val="0"/>
          <w:sz w:val="30"/>
          <w:szCs w:val="30"/>
          <w:lang w:val="en-US" w:eastAsia="zh-CN" w:bidi="ar-SA"/>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SA"/>
          <w14:textFill>
            <w14:solidFill>
              <w14:schemeClr w14:val="tx1"/>
            </w14:solidFill>
          </w14:textFill>
        </w:rPr>
        <w:br w:type="page"/>
      </w:r>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三、</w:t>
      </w:r>
      <w:bookmarkStart w:id="27" w:name="OLE_LINK21"/>
      <w:bookmarkStart w:id="28" w:name="OLE_LINK20"/>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生态环境现状、保护目标及评价标准</w:t>
      </w:r>
      <w:bookmarkEnd w:id="27"/>
      <w:bookmarkEnd w:id="28"/>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026"/>
      </w:tblGrid>
      <w:tr w14:paraId="1496D3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l2br w:val="nil"/>
              <w:tr2bl w:val="nil"/>
            </w:tcBorders>
            <w:vAlign w:val="center"/>
          </w:tcPr>
          <w:p w14:paraId="561D5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生态环境现状</w:t>
            </w:r>
          </w:p>
        </w:tc>
        <w:tc>
          <w:tcPr>
            <w:tcW w:w="8026" w:type="dxa"/>
            <w:tcBorders>
              <w:tl2br w:val="nil"/>
              <w:tr2bl w:val="nil"/>
            </w:tcBorders>
            <w:vAlign w:val="center"/>
          </w:tcPr>
          <w:p w14:paraId="6CE1C32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4"/>
                <w:highlight w:val="none"/>
                <w14:textFill>
                  <w14:solidFill>
                    <w14:schemeClr w14:val="tx1"/>
                  </w14:solidFill>
                </w14:textFill>
              </w:rPr>
              <w:t>1、生态环境现状</w:t>
            </w:r>
          </w:p>
          <w:p w14:paraId="4689D4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14:textFill>
                  <w14:solidFill>
                    <w14:schemeClr w14:val="tx1"/>
                  </w14:solidFill>
                </w14:textFill>
              </w:rPr>
              <w:t>主体功能区规划</w:t>
            </w:r>
          </w:p>
          <w:p w14:paraId="652BAB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根据《全国主体功能区规划》、《安徽省主体功能区规划》，安徽省主体功能区划分为重点开发区域、限制开发区域和禁止开发区域三类，没有优化开发区。</w:t>
            </w:r>
          </w:p>
          <w:p w14:paraId="78AA016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项目位于安徽省六安市霍山县境内，区域属于“限制开发区域-国家重点生态功能区-六安片区（霍山县）”，国家重点生态功能区主要分布于皖西大别山区，包括金寨、霍山、岳西、太湖、潜山、石台县，属国家大别山水土保持生态功能区，国土面积1.34万平方公里，占全省国土面积9.60%。</w:t>
            </w:r>
          </w:p>
          <w:p w14:paraId="5B1B0A1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该区域是淮河中游和长江下游的重要水源补给区，土壤侵蚀敏感性程度高，山地生态系统功能退化，水土流失严重，是全国重要的水土保持型和水源涵养型生态功能区，是全省乃至长三角地区的重要生态屏障。</w:t>
            </w:r>
          </w:p>
          <w:p w14:paraId="53AF468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——遏制区域水土流失。禁止毁林开荒，逐步恢复和扩大森林植被，增强水土保持能力，确保水库、湖泊安全。</w:t>
            </w:r>
          </w:p>
          <w:p w14:paraId="25D225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——加强流域综合治理。开展封山育林，河、湖、库上游要大力营造水源涵养林和水土保持林，加快区域生态防护林体系建设，提高防洪减灾能力，减轻对长江、淮河的洪水压力。</w:t>
            </w:r>
          </w:p>
          <w:p w14:paraId="3A1823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——严格监管资源开发。禁止发展与生态保护相矛盾的产业和项目，加大矿山环境整治和生态修复力度，控制人为因素对土壤的侵蚀。适度合理开发旅游资源和农产品资源。</w:t>
            </w:r>
          </w:p>
          <w:p w14:paraId="2C4934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本项目为县城排水防涝能力提升项目。</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工程实施能够增加污水收集率和处理率，保护片区水环境，提升片区排涝标准。对改善片区水环境和水安全以及保障片区经济、社会发展具有战略意义。同时能够有效完善市政基础设施建设，对提高区域整体环境和形象，实现乡村振兴有很大的作用，项目建设不会改变区域的功能区划，符合安徽省主体功能。</w:t>
            </w:r>
            <w:r>
              <w:rPr>
                <w:rFonts w:hint="eastAsia" w:cs="Times New Roman"/>
                <w:color w:val="000000" w:themeColor="text1"/>
                <w:kern w:val="0"/>
                <w:sz w:val="24"/>
                <w:highlight w:val="none"/>
                <w:lang w:val="en-US" w:eastAsia="zh-CN"/>
                <w14:textFill>
                  <w14:solidFill>
                    <w14:schemeClr w14:val="tx1"/>
                  </w14:solidFill>
                </w14:textFill>
              </w:rPr>
              <w:t>本项目</w:t>
            </w:r>
            <w:r>
              <w:rPr>
                <w:rFonts w:hint="default"/>
                <w:color w:val="000000" w:themeColor="text1"/>
                <w:spacing w:val="3"/>
                <w:sz w:val="24"/>
                <w14:textFill>
                  <w14:solidFill>
                    <w14:schemeClr w14:val="tx1"/>
                  </w14:solidFill>
                </w14:textFill>
              </w:rPr>
              <w:t>不涉及生态保护红线和占用永久基本农田。</w:t>
            </w:r>
          </w:p>
          <w:p w14:paraId="755D76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561340</wp:posOffset>
                      </wp:positionH>
                      <wp:positionV relativeFrom="paragraph">
                        <wp:posOffset>3666490</wp:posOffset>
                      </wp:positionV>
                      <wp:extent cx="818515" cy="333375"/>
                      <wp:effectExtent l="6350" t="6350" r="241935" b="212725"/>
                      <wp:wrapNone/>
                      <wp:docPr id="4" name="矩形标注 4"/>
                      <wp:cNvGraphicFramePr/>
                      <a:graphic xmlns:a="http://schemas.openxmlformats.org/drawingml/2006/main">
                        <a:graphicData uri="http://schemas.microsoft.com/office/word/2010/wordprocessingShape">
                          <wps:wsp>
                            <wps:cNvSpPr/>
                            <wps:spPr>
                              <a:xfrm>
                                <a:off x="3366135" y="4404360"/>
                                <a:ext cx="818515" cy="333375"/>
                              </a:xfrm>
                              <a:prstGeom prst="wedgeRectCallout">
                                <a:avLst>
                                  <a:gd name="adj1" fmla="val 72187"/>
                                  <a:gd name="adj2" fmla="val 102571"/>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E90856C">
                                  <w:pPr>
                                    <w:spacing w:line="240" w:lineRule="auto"/>
                                    <w:ind w:left="0" w:leftChars="0" w:firstLine="0" w:firstLineChars="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44.2pt;margin-top:288.7pt;height:26.25pt;width:64.45pt;z-index:251662336;v-text-anchor:middle;mso-width-relative:page;mso-height-relative:page;" filled="f" stroked="t" coordsize="21600,21600" o:gfxdata="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0RxINgAAAAKAQAADwAAAAAAAAABACAAAAAiAAAA&#10;ZHJzL2Rvd25yZXYueG1sUEsBAhQAFAAAAAgAh07iQNd1AEqyAgAARQUAAA4AAAAAAAAAAQAgAAAA&#10;JwEAAGRycy9lMm9Eb2MueG1sUEsFBgAAAAAGAAYAWQEAAEsGAAAAAA==&#10;" adj="26392,32955">
                      <v:fill on="f" focussize="0,0"/>
                      <v:stroke weight="1pt" color="#FF0000 [2404]" miterlimit="8" joinstyle="miter"/>
                      <v:imagedata o:title=""/>
                      <o:lock v:ext="edit" aspectratio="f"/>
                      <v:textbox>
                        <w:txbxContent>
                          <w:p w14:paraId="6E90856C">
                            <w:pPr>
                              <w:spacing w:line="240" w:lineRule="auto"/>
                              <w:ind w:left="0" w:leftChars="0" w:firstLine="0" w:firstLineChars="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v:textbox>
                    </v:shape>
                  </w:pict>
                </mc:Fallback>
              </mc:AlternateContent>
            </w:r>
            <w:r>
              <w:rPr>
                <w:rFonts w:hint="default" w:ascii="Times New Roman" w:hAnsi="Times New Roman" w:eastAsia="宋体" w:cs="Times New Roman"/>
                <w:color w:val="000000" w:themeColor="text1"/>
                <w:sz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1561465</wp:posOffset>
                      </wp:positionH>
                      <wp:positionV relativeFrom="paragraph">
                        <wp:posOffset>4102735</wp:posOffset>
                      </wp:positionV>
                      <wp:extent cx="114300" cy="104775"/>
                      <wp:effectExtent l="20320" t="19685" r="36830" b="27940"/>
                      <wp:wrapNone/>
                      <wp:docPr id="3" name="五角星 3"/>
                      <wp:cNvGraphicFramePr/>
                      <a:graphic xmlns:a="http://schemas.openxmlformats.org/drawingml/2006/main">
                        <a:graphicData uri="http://schemas.microsoft.com/office/word/2010/wordprocessingShape">
                          <wps:wsp>
                            <wps:cNvSpPr/>
                            <wps:spPr>
                              <a:xfrm>
                                <a:off x="3175635" y="5021580"/>
                                <a:ext cx="114300" cy="104775"/>
                              </a:xfrm>
                              <a:prstGeom prst="star5">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22.95pt;margin-top:323.05pt;height:8.25pt;width:9pt;z-index:251661312;v-text-anchor:middle;mso-width-relative:page;mso-height-relative:page;" fillcolor="#FFFF00" filled="t" stroked="t" coordsize="114300,104775" o:gfxdata="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bZBsPZAAAACwEAAA8AAAAAAAAAAQAg&#10;AAAAIgAAAGRycy9kb3ducmV2LnhtbFBLAQIUABQAAAAIAIdO4kCYkujnfwIAAAMFAAAOAAAAAAAA&#10;AAEAIAAAACgBAABkcnMvZTJvRG9jLnhtbFBLBQYAAAAABgAGAFkBAAAZBgAAAAA=&#10;" path="m0,40020l43658,40020,57150,0,70641,40020,114299,40020,78978,64754,92470,104774,57150,80040,21829,104774,35321,64754xe">
                      <v:path o:connectlocs="57150,0;0,40020;21829,104774;92470,104774;114299,40020" o:connectangles="247,164,82,82,0"/>
                      <v:fill on="t" focussize="0,0"/>
                      <v:stroke weight="1pt" color="#FFFF00 [2404]" miterlimit="8" joinstyle="miter"/>
                      <v:imagedata o:title=""/>
                      <o:lock v:ext="edit" aspectratio="f"/>
                    </v:shape>
                  </w:pict>
                </mc:Fallback>
              </mc:AlternateContent>
            </w: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4959350" cy="6935470"/>
                  <wp:effectExtent l="0" t="0" r="12700" b="1778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0"/>
                          <a:stretch>
                            <a:fillRect/>
                          </a:stretch>
                        </pic:blipFill>
                        <pic:spPr>
                          <a:xfrm>
                            <a:off x="0" y="0"/>
                            <a:ext cx="4959350" cy="6935470"/>
                          </a:xfrm>
                          <a:prstGeom prst="rect">
                            <a:avLst/>
                          </a:prstGeom>
                          <a:noFill/>
                          <a:ln w="9525">
                            <a:noFill/>
                          </a:ln>
                        </pic:spPr>
                      </pic:pic>
                    </a:graphicData>
                  </a:graphic>
                </wp:inline>
              </w:drawing>
            </w:r>
          </w:p>
          <w:p w14:paraId="10E39C6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w:t>
            </w:r>
            <w:r>
              <w:rPr>
                <w:rFonts w:hint="eastAsia" w:cs="Times New Roman"/>
                <w:b/>
                <w:bCs/>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3-1 安徽省主体功能区划图</w:t>
            </w:r>
          </w:p>
          <w:p w14:paraId="4C14EF49">
            <w:pPr>
              <w:keepNext w:val="0"/>
              <w:keepLines w:val="0"/>
              <w:suppressLineNumbers w:val="0"/>
              <w:spacing w:before="0" w:beforeAutospacing="0" w:after="0" w:afterAutospacing="0"/>
              <w:ind w:left="0" w:leftChars="0" w:right="0" w:firstLine="0" w:firstLineChars="0"/>
              <w:rPr>
                <w:rFonts w:hint="default"/>
                <w:color w:val="000000" w:themeColor="text1"/>
                <w:lang w:val="en-US" w:eastAsia="zh-CN"/>
                <w14:textFill>
                  <w14:solidFill>
                    <w14:schemeClr w14:val="tx1"/>
                  </w14:solidFill>
                </w14:textFill>
              </w:rPr>
            </w:pPr>
          </w:p>
          <w:p w14:paraId="24D2186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4959350" cy="3916680"/>
                  <wp:effectExtent l="0" t="0" r="12700" b="7620"/>
                  <wp:docPr id="6" name="图片 6" descr="b338afe2-6688-4df7-b63a-8901fc52a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338afe2-6688-4df7-b63a-8901fc52adac"/>
                          <pic:cNvPicPr>
                            <a:picLocks noChangeAspect="1"/>
                          </pic:cNvPicPr>
                        </pic:nvPicPr>
                        <pic:blipFill>
                          <a:blip r:embed="rId41"/>
                          <a:stretch>
                            <a:fillRect/>
                          </a:stretch>
                        </pic:blipFill>
                        <pic:spPr>
                          <a:xfrm>
                            <a:off x="0" y="0"/>
                            <a:ext cx="4959350" cy="3916680"/>
                          </a:xfrm>
                          <a:prstGeom prst="rect">
                            <a:avLst/>
                          </a:prstGeom>
                        </pic:spPr>
                      </pic:pic>
                    </a:graphicData>
                  </a:graphic>
                </wp:inline>
              </w:drawing>
            </w:r>
          </w:p>
          <w:p w14:paraId="4B5F96C6">
            <w:pPr>
              <w:pStyle w:val="6"/>
              <w:keepNext/>
              <w:keepLines/>
              <w:pageBreakBefore w:val="0"/>
              <w:widowControl w:val="0"/>
              <w:suppressLineNumbers w:val="0"/>
              <w:kinsoku/>
              <w:wordWrap/>
              <w:overflowPunct/>
              <w:topLinePunct w:val="0"/>
              <w:autoSpaceDE/>
              <w:autoSpaceDN/>
              <w:bidi w:val="0"/>
              <w:adjustRightInd/>
              <w:snapToGrid/>
              <w:spacing w:before="0" w:after="0" w:line="240" w:lineRule="auto"/>
              <w:ind w:left="0" w:right="0"/>
              <w:jc w:val="center"/>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图3-</w:t>
            </w:r>
            <w:r>
              <w:rPr>
                <w:rFonts w:hint="eastAsia"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 xml:space="preserve">2  </w:t>
            </w: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工程方案套合“三区三线”示意图</w:t>
            </w:r>
          </w:p>
          <w:p w14:paraId="7AE1358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生态功能区划</w:t>
            </w:r>
          </w:p>
          <w:p w14:paraId="0F62DCFD">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本项目位于安徽省六安市，根据《安徽省生态功能区划》，本项目区涉及Ⅲ1梅响磨佛水库水源涵养与生物多样性保护生态功能区、</w:t>
            </w:r>
            <w:bookmarkStart w:id="29" w:name="_Toc15817"/>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Ⅲ2龙河口水库上游水源涵养与水土保持生态功能区</w:t>
            </w:r>
            <w:bookmarkEnd w:id="29"/>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1276CE63">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Ⅲ</w:t>
            </w:r>
            <w:r>
              <w:rPr>
                <w:rFonts w:hint="default" w:ascii="Times New Roman" w:hAnsi="Times New Roman" w:eastAsia="宋体" w:cs="Times New Roman"/>
                <w:color w:val="000000" w:themeColor="text1"/>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梅响磨佛水库水源涵养与生物多样性保护生态功能区行政区划包括金寨县全部、霍山县大部、六安市辖区西南部地区，面积6746k</w:t>
            </w:r>
            <w:r>
              <w:rPr>
                <w:rFonts w:hint="eastAsia" w:cs="Times New Roman"/>
                <w:color w:val="000000" w:themeColor="text1"/>
                <w:sz w:val="24"/>
                <w:szCs w:val="24"/>
                <w:lang w:eastAsia="zh-CN"/>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。年均降水1400</w:t>
            </w:r>
            <w:r>
              <w:rPr>
                <w:rFonts w:hint="eastAsia" w:cs="Times New Roman"/>
                <w:color w:val="000000" w:themeColor="text1"/>
                <w:sz w:val="24"/>
                <w:szCs w:val="24"/>
                <w:lang w:eastAsia="zh-CN"/>
                <w14:textFill>
                  <w14:solidFill>
                    <w14:schemeClr w14:val="tx1"/>
                  </w14:solidFill>
                </w14:textFill>
              </w:rPr>
              <w:t>mm</w:t>
            </w:r>
            <w:r>
              <w:rPr>
                <w:rFonts w:hint="default" w:ascii="Times New Roman" w:hAnsi="Times New Roman" w:eastAsia="宋体" w:cs="Times New Roman"/>
                <w:color w:val="000000" w:themeColor="text1"/>
                <w:sz w:val="24"/>
                <w:szCs w:val="24"/>
                <w14:textFill>
                  <w14:solidFill>
                    <w14:schemeClr w14:val="tx1"/>
                  </w14:solidFill>
                </w14:textFill>
              </w:rPr>
              <w:t>左右，是安徽省的降水次中心。本生态功能区以森林生态系统为主，植被类型属暖温带落叶阔叶林向亚热带常绿阔叶林过渡型，植被垂直分布带谱明显，野生动植物资源丰富，区系成份复杂，特有种多。天马国家级自然保护区内保存了大批珍稀、古老孑遗物种和典型、多样的生物群落，目前已查明维管束植物有2000多种，陆栖脊椎动物200多种，其中国家重点保护的野生植物有大别山五针松、香果树、杜仲等25种，而且还是香果树、领春木、大别山五针松、连香树、鹅掌楸、金钱松、天女花、厚朴、大鲵、原麝等保护物种的集中分布区，其中中国特有植物13属及地方特有动植物十余种，被喻为“大别山区的天然物种基因库”。本区还是淮河重要支流史河、淠河的发源地和下游梅山、响洪甸、磨子潭和佛子岭四大水库的水源涵养区。</w:t>
            </w:r>
          </w:p>
          <w:p w14:paraId="7F50910A">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Ⅲ</w:t>
            </w:r>
            <w:r>
              <w:rPr>
                <w:rFonts w:hint="default" w:ascii="Times New Roman" w:hAnsi="Times New Roman" w:eastAsia="宋体" w:cs="Times New Roman"/>
                <w:color w:val="000000" w:themeColor="text1"/>
                <w:sz w:val="24"/>
                <w:szCs w:val="24"/>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梅响磨佛水库水源涵养与生物多样性保护生态功能区存在着以下生态环境问题：（1）由于人为活动频繁，区内水土流失问题较为突出，直接影响到水库的使用寿命和下游的生态安全；（2）区内人多地少，交通不便，出于生态保护的需要，为下游作出了较大的经济上的牺牲，目前仍然是贫困地区，人民生活水平不高，区域经济状况整体不发达；（3）水能资源丰富，开发不够；（4）部分地区基础设施建设时的保护措施不利，造成了崩塌、滑坡等地质灾害频发。</w:t>
            </w:r>
          </w:p>
          <w:p w14:paraId="5B24F7C9">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生态功能区在生物多样性保护、水源涵养、水土流失控制生态系统服务功能方面具有非常重要的地位，是安徽省生态系统保护的热点地区之一。因此，本功能区的发展应以保护区域生态系统服务功能为中心，利用当地丰富的自然资源，结合区内的生态示范区建设，发展生态型经济，茶叶、板栗、食用菌、毛竹、中药材、桑蚕以及水能源和生态旅游等经济活动均需要严格按照生态示范区规划的要求去发展。</w:t>
            </w:r>
          </w:p>
          <w:p w14:paraId="71EB4742">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Ⅲ</w:t>
            </w:r>
            <w:r>
              <w:rPr>
                <w:rFonts w:hint="default" w:ascii="Times New Roman" w:hAnsi="Times New Roman" w:eastAsia="宋体" w:cs="Times New Roman"/>
                <w:color w:val="000000" w:themeColor="text1"/>
                <w:sz w:val="24"/>
                <w:szCs w:val="24"/>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龙河口水库上游水源涵养与水土保持生态功能区行政区划包括舒城县中南部、霍山县东北部丘陵区以及金安区南部地区，主要为龙河口水库上游汇水区及下游部分地区。本区北接江淮丘陵岗地生态区的巢湖盆地农业与城镇生态亚区，南邻皖江沿江平原生态区的大别山南麓山前丘陵平原农业生态亚区。该区地貌类型以低山丘陵为主，在龙河口水库下游有畈区平原分布。生态功能区以森林生态系统为主，植被类型属暖温带落叶阔叶林向亚热带常绿阔叶林过渡型，境内生物多样性丰富，本区还是巢湖最大支流杭埠河的发源地及龙河口水库（万佛湖）的水源涵养区，以龙河口水库为主要水源的杭埠河灌区还是淠史杭灌区的重要组成部分。</w:t>
            </w:r>
          </w:p>
          <w:p w14:paraId="4FE1CB9F">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Ⅲ</w:t>
            </w:r>
            <w:r>
              <w:rPr>
                <w:rFonts w:hint="default" w:ascii="Times New Roman" w:hAnsi="Times New Roman" w:eastAsia="宋体" w:cs="Times New Roman"/>
                <w:color w:val="000000" w:themeColor="text1"/>
                <w:kern w:val="0"/>
                <w:highlight w:val="none"/>
                <w:vertAlign w:val="subscript"/>
                <w14:textFill>
                  <w14:solidFill>
                    <w14:schemeClr w14:val="tx1"/>
                  </w14:solidFill>
                </w14:textFill>
              </w:rPr>
              <w:t>2</w:t>
            </w:r>
            <w:r>
              <w:rPr>
                <w:rFonts w:hint="default" w:ascii="Times New Roman" w:hAnsi="Times New Roman" w:eastAsia="宋体" w:cs="Times New Roman"/>
                <w:color w:val="000000" w:themeColor="text1"/>
                <w:kern w:val="0"/>
                <w:highlight w:val="none"/>
                <w14:textFill>
                  <w14:solidFill>
                    <w14:schemeClr w14:val="tx1"/>
                  </w14:solidFill>
                </w14:textFill>
              </w:rPr>
              <w:t>龙河口水库上游水源涵养与水土保持生态功能区主要生态环境问题有：（1）区内降水丰沛，地形坡度大，水土流失问题较为突出，是导致杭埠河道及巢湖淤积的重要原因；（2）目前区内旅游开发活动活跃，但生态保护措施有待于进一步加强；（3）龙河口水库修建后淹没了大量土地，人口移民后加重了周边地区的压力。</w:t>
            </w:r>
          </w:p>
          <w:p w14:paraId="5AE6BC9D">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本生态功能区在生物多样性保护、水源涵养、水土流失控制等方面非常重要。因此，本功能区的发展应以保护龙河口水库上游水源涵养生态公益林为中心，加强生物多样性保护，生物措施与工程相结合进行水土流失控制，适度开展生态型旅游，避免因不当或过度开发导致区域生态系统退化乃至崩溃，利用距离合肥市近的地理优势，发展生态农业、观光农业和生态林业，提高茶叶、板栗等产品附加值。</w:t>
            </w:r>
          </w:p>
          <w:p w14:paraId="761B47D9">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themeColor="text1"/>
                <w:kern w:val="0"/>
                <w:highlight w:val="none"/>
                <w:lang w:eastAsia="zh-CN"/>
                <w14:textFill>
                  <w14:solidFill>
                    <w14:schemeClr w14:val="tx1"/>
                  </w14:solidFill>
                </w14:textFill>
              </w:rPr>
            </w:pPr>
            <w:r>
              <w:rPr>
                <w:rFonts w:hint="eastAsia" w:cs="Times New Roman"/>
                <w:color w:val="000000" w:themeColor="text1"/>
                <w:kern w:val="0"/>
                <w:highlight w:val="none"/>
                <w:lang w:eastAsia="zh-CN"/>
                <w14:textFill>
                  <w14:solidFill>
                    <w14:schemeClr w14:val="tx1"/>
                  </w14:solidFill>
                </w14:textFill>
              </w:rPr>
              <w:t>项目用地在</w:t>
            </w:r>
            <w:r>
              <w:rPr>
                <w:rFonts w:hint="default" w:ascii="Times New Roman" w:hAnsi="Times New Roman" w:eastAsia="宋体" w:cs="Times New Roman"/>
                <w:color w:val="000000" w:themeColor="text1"/>
                <w:kern w:val="0"/>
                <w:highlight w:val="none"/>
                <w14:textFill>
                  <w14:solidFill>
                    <w14:schemeClr w14:val="tx1"/>
                  </w14:solidFill>
                </w14:textFill>
              </w:rPr>
              <w:t>佛子岭镇</w:t>
            </w:r>
            <w:r>
              <w:rPr>
                <w:rFonts w:hint="eastAsia" w:cs="Times New Roman"/>
                <w:color w:val="000000" w:themeColor="text1"/>
                <w:kern w:val="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highlight w:val="none"/>
                <w14:textFill>
                  <w14:solidFill>
                    <w14:schemeClr w14:val="tx1"/>
                  </w14:solidFill>
                </w14:textFill>
              </w:rPr>
              <w:t>衡山镇</w:t>
            </w:r>
            <w:r>
              <w:rPr>
                <w:rFonts w:hint="eastAsia" w:ascii="Times New Roman" w:hAnsi="Times New Roman" w:eastAsia="宋体" w:cs="Times New Roman"/>
                <w:color w:val="000000" w:themeColor="text1"/>
                <w:kern w:val="0"/>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highlight w:val="none"/>
                <w14:textFill>
                  <w14:solidFill>
                    <w14:schemeClr w14:val="tx1"/>
                  </w14:solidFill>
                </w14:textFill>
              </w:rPr>
              <w:t>黑石渡镇</w:t>
            </w:r>
            <w:r>
              <w:rPr>
                <w:rFonts w:hint="eastAsia" w:cs="Times New Roman"/>
                <w:color w:val="000000" w:themeColor="text1"/>
                <w:kern w:val="0"/>
                <w:highlight w:val="none"/>
                <w:lang w:eastAsia="zh-CN"/>
                <w14:textFill>
                  <w14:solidFill>
                    <w14:schemeClr w14:val="tx1"/>
                  </w14:solidFill>
                </w14:textFill>
              </w:rPr>
              <w:t>境内。</w:t>
            </w:r>
          </w:p>
          <w:p w14:paraId="1559317A">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项目与生态保护红线关系：经核查，项目红线范围及施工作业带不涉及国家及安徽省、六安市、霍山县划定的生态保护红线范围。</w:t>
            </w:r>
          </w:p>
          <w:p w14:paraId="6271A86C">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项目与环境敏感区关系：项目选址基本规避了集中式饮用水水源保护区（如佛子岭水库等）、风景名胜区核心区等法定环境敏感区。</w:t>
            </w:r>
          </w:p>
          <w:p w14:paraId="387D861C">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本项目严格控制项目施工用地范围，避免越界施工，涉及山边、河岸或绿化带的工程（如河湖水系整治岸线、透水铺装），将严格保护现有乡土植被和重要生境。优化施工时序（避让鸟类繁殖、洄游期等），减少扰动。避免对原有植被的破坏；建筑垃圾应及时清理，同时做好水土流失防护工作，同时做好水土流失防护工作，符合生态保护措施要求</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3A976675">
            <w:pPr>
              <w:pStyle w:val="4"/>
              <w:suppressLineNumbers w:val="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4476C11E">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1DA72CA4">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6490BF04">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1796D305">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00D7C4D3">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59107652">
            <w:pPr>
              <w:pStyle w:val="4"/>
              <w:suppressLineNumbers w:val="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36FB2C13">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5C2D1F9A">
            <w:pPr>
              <w:pStyle w:val="4"/>
              <w:suppressLineNumbers w:val="0"/>
              <w:ind w:left="0" w:right="0"/>
              <w:rPr>
                <w:rFonts w:hint="default" w:ascii="Times New Roman" w:hAnsi="Times New Roman" w:eastAsia="宋体" w:cs="Times New Roman"/>
                <w:color w:val="000000" w:themeColor="text1"/>
                <w:kern w:val="0"/>
                <w:sz w:val="24"/>
                <w:highlight w:val="none"/>
                <w14:textFill>
                  <w14:solidFill>
                    <w14:schemeClr w14:val="tx1"/>
                  </w14:solidFill>
                </w14:textFill>
              </w:rPr>
            </w:pPr>
          </w:p>
          <w:p w14:paraId="18A01972">
            <w:pPr>
              <w:keepNext w:val="0"/>
              <w:keepLines w:val="0"/>
              <w:suppressLineNumbers w:val="0"/>
              <w:spacing w:before="0" w:beforeAutospacing="0" w:after="0" w:afterAutospacing="0"/>
              <w:ind w:left="0" w:right="0"/>
              <w:rPr>
                <w:rFonts w:hint="default" w:ascii="Times New Roman" w:hAnsi="Times New Roman" w:eastAsia="宋体" w:cs="Times New Roman"/>
                <w:color w:val="000000" w:themeColor="text1"/>
                <w14:textFill>
                  <w14:solidFill>
                    <w14:schemeClr w14:val="tx1"/>
                  </w14:solidFill>
                </w14:textFill>
              </w:rPr>
            </w:pPr>
          </w:p>
          <w:p w14:paraId="686B00B6">
            <w:pPr>
              <w:pStyle w:val="4"/>
              <w:suppressLineNumbers w:val="0"/>
              <w:ind w:left="0" w:leftChars="0" w:right="0" w:firstLine="0" w:firstLineChars="0"/>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lang w:eastAsia="zh-CN"/>
                <w14:textFill>
                  <w14:solidFill>
                    <w14:schemeClr w14:val="tx1"/>
                  </w14:solidFill>
                </w14:textFill>
              </w:rPr>
              <w:drawing>
                <wp:inline distT="0" distB="0" distL="114300" distR="114300">
                  <wp:extent cx="4591050" cy="6391275"/>
                  <wp:effectExtent l="0" t="0" r="0" b="9525"/>
                  <wp:docPr id="8" name="图片 8" descr="e2d9e79c-cf2f-4240-88bc-6144fa1f4c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2d9e79c-cf2f-4240-88bc-6144fa1f4c54"/>
                          <pic:cNvPicPr>
                            <a:picLocks noChangeAspect="1"/>
                          </pic:cNvPicPr>
                        </pic:nvPicPr>
                        <pic:blipFill>
                          <a:blip r:embed="rId42"/>
                          <a:stretch>
                            <a:fillRect/>
                          </a:stretch>
                        </pic:blipFill>
                        <pic:spPr>
                          <a:xfrm>
                            <a:off x="0" y="0"/>
                            <a:ext cx="4591050" cy="6391275"/>
                          </a:xfrm>
                          <a:prstGeom prst="rect">
                            <a:avLst/>
                          </a:prstGeom>
                        </pic:spPr>
                      </pic:pic>
                    </a:graphicData>
                  </a:graphic>
                </wp:inline>
              </w:drawing>
            </w:r>
          </w:p>
          <w:p w14:paraId="21FFD6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图3-</w:t>
            </w:r>
            <w:r>
              <w:rPr>
                <w:rFonts w:hint="eastAsia" w:cs="Times New Roman"/>
                <w:b/>
                <w:bCs/>
                <w:color w:val="000000" w:themeColor="text1"/>
                <w:kern w:val="0"/>
                <w:sz w:val="24"/>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kern w:val="0"/>
                <w:sz w:val="24"/>
                <w:highlight w:val="none"/>
                <w:lang w:val="en-US" w:eastAsia="zh-CN"/>
                <w14:textFill>
                  <w14:solidFill>
                    <w14:schemeClr w14:val="tx1"/>
                  </w14:solidFill>
                </w14:textFill>
              </w:rPr>
              <w:t xml:space="preserve"> 安徽省生态功能区划图</w:t>
            </w:r>
          </w:p>
          <w:p w14:paraId="549B7C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2、生态环境现状调查</w:t>
            </w:r>
          </w:p>
          <w:p w14:paraId="085B49A6">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2" w:firstLineChars="200"/>
              <w:textAlignment w:val="auto"/>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详见生态环境影响专项评价。</w:t>
            </w:r>
          </w:p>
          <w:p w14:paraId="6CF3944C">
            <w:pPr>
              <w:pStyle w:val="2"/>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p>
          <w:p w14:paraId="0E6FBEB4">
            <w:pPr>
              <w:pStyle w:val="2"/>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p>
          <w:p w14:paraId="11B57122">
            <w:pPr>
              <w:pStyle w:val="2"/>
              <w:keepNext w:val="0"/>
              <w:keepLines w:val="0"/>
              <w:suppressLineNumbers w:val="0"/>
              <w:spacing w:before="0" w:beforeAutospacing="0" w:after="0" w:afterAutospacing="0"/>
              <w:ind w:left="0" w:right="0"/>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p>
          <w:p w14:paraId="4125EB60">
            <w:pPr>
              <w:pStyle w:val="2"/>
              <w:keepNext w:val="0"/>
              <w:keepLines w:val="0"/>
              <w:suppressLineNumbers w:val="0"/>
              <w:spacing w:before="0" w:beforeAutospacing="0" w:after="0" w:afterAutospacing="0"/>
              <w:ind w:left="0" w:right="0"/>
              <w:rPr>
                <w:rFonts w:hint="default" w:ascii="Times New Roman" w:hAnsi="Times New Roman" w:eastAsia="宋体" w:cs="Times New Roman"/>
                <w:b/>
                <w:bCs/>
                <w:color w:val="000000" w:themeColor="text1"/>
                <w:highlight w:val="none"/>
                <w:lang w:val="en-US" w:eastAsia="zh-CN"/>
                <w14:textFill>
                  <w14:solidFill>
                    <w14:schemeClr w14:val="tx1"/>
                  </w14:solidFill>
                </w14:textFill>
              </w:rPr>
            </w:pPr>
          </w:p>
          <w:p w14:paraId="6CD8AC00">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3、</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环境质量现状调查与评价</w:t>
            </w:r>
          </w:p>
          <w:p w14:paraId="6602B4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环境空气质量现状</w:t>
            </w:r>
          </w:p>
          <w:p w14:paraId="595F958E">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根据《环境影响评价技术导则大气环境》（HJ2.2-2018）要求，项目所在区域达标判定，优先采用国家或地方生态环境主管部门公开发布的评价基准年环境质量公告或环境质量报告中的数据或结论。</w:t>
            </w:r>
          </w:p>
          <w:p w14:paraId="3C311A1A">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本次项目区域环境空气基本污染物评价采用霍山县生态环境分局发布的《2024年霍山县环境质量报告》中统计数据如下：</w:t>
            </w:r>
          </w:p>
          <w:p w14:paraId="170B8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b/>
                <w:bCs/>
                <w:color w:val="000000" w:themeColor="text1"/>
                <w:highlight w:val="none"/>
                <w14:textFill>
                  <w14:solidFill>
                    <w14:schemeClr w14:val="tx1"/>
                  </w14:solidFill>
                </w14:textFill>
              </w:rPr>
              <w:t>表3-</w:t>
            </w:r>
            <w:r>
              <w:rPr>
                <w:rFonts w:hint="eastAsia" w:cs="Times New Roman"/>
                <w:b/>
                <w:bCs/>
                <w:color w:val="000000" w:themeColor="text1"/>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highlight w:val="none"/>
                <w14:textFill>
                  <w14:solidFill>
                    <w14:schemeClr w14:val="tx1"/>
                  </w14:solidFill>
                </w14:textFill>
              </w:rPr>
              <w:t>区域空气质量现状评价表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434"/>
              <w:gridCol w:w="1224"/>
              <w:gridCol w:w="1224"/>
              <w:gridCol w:w="996"/>
              <w:gridCol w:w="1073"/>
            </w:tblGrid>
            <w:tr w14:paraId="4EF7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14:paraId="361ED5F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2577" w:type="dxa"/>
                  <w:tcBorders>
                    <w:tl2br w:val="nil"/>
                    <w:tr2bl w:val="nil"/>
                  </w:tcBorders>
                  <w:vAlign w:val="center"/>
                </w:tcPr>
                <w:p w14:paraId="13371B2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年评价指标</w:t>
                  </w:r>
                </w:p>
              </w:tc>
              <w:tc>
                <w:tcPr>
                  <w:tcW w:w="1290" w:type="dxa"/>
                  <w:tcBorders>
                    <w:tl2br w:val="nil"/>
                    <w:tr2bl w:val="nil"/>
                  </w:tcBorders>
                  <w:vAlign w:val="center"/>
                </w:tcPr>
                <w:p w14:paraId="6E203E1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现状值（μg/</w:t>
                  </w:r>
                  <w:r>
                    <w:rPr>
                      <w:rFonts w:hint="eastAsia" w:cs="Times New Roman"/>
                      <w:b/>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w:t>
                  </w:r>
                </w:p>
              </w:tc>
              <w:tc>
                <w:tcPr>
                  <w:tcW w:w="1290" w:type="dxa"/>
                  <w:tcBorders>
                    <w:tl2br w:val="nil"/>
                    <w:tr2bl w:val="nil"/>
                  </w:tcBorders>
                  <w:vAlign w:val="center"/>
                </w:tcPr>
                <w:p w14:paraId="0555C10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标准值（μg/</w:t>
                  </w:r>
                  <w:r>
                    <w:rPr>
                      <w:rFonts w:hint="eastAsia" w:cs="Times New Roman"/>
                      <w:b/>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color w:val="000000" w:themeColor="text1"/>
                      <w:sz w:val="21"/>
                      <w:szCs w:val="21"/>
                      <w:highlight w:val="none"/>
                      <w14:textFill>
                        <w14:solidFill>
                          <w14:schemeClr w14:val="tx1"/>
                        </w14:solidFill>
                      </w14:textFill>
                    </w:rPr>
                    <w:t>）</w:t>
                  </w:r>
                </w:p>
              </w:tc>
              <w:tc>
                <w:tcPr>
                  <w:tcW w:w="1046" w:type="dxa"/>
                  <w:tcBorders>
                    <w:tl2br w:val="nil"/>
                    <w:tr2bl w:val="nil"/>
                  </w:tcBorders>
                  <w:vAlign w:val="center"/>
                </w:tcPr>
                <w:p w14:paraId="3F262B4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占标率（%）</w:t>
                  </w:r>
                </w:p>
              </w:tc>
              <w:tc>
                <w:tcPr>
                  <w:tcW w:w="1127" w:type="dxa"/>
                  <w:tcBorders>
                    <w:tl2br w:val="nil"/>
                    <w:tr2bl w:val="nil"/>
                  </w:tcBorders>
                  <w:vAlign w:val="center"/>
                </w:tcPr>
                <w:p w14:paraId="21320A6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达标情况</w:t>
                  </w:r>
                </w:p>
              </w:tc>
            </w:tr>
            <w:tr w14:paraId="3DD7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14:paraId="4E663BB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2577" w:type="dxa"/>
                  <w:tcBorders>
                    <w:tl2br w:val="nil"/>
                    <w:tr2bl w:val="nil"/>
                  </w:tcBorders>
                  <w:vAlign w:val="center"/>
                </w:tcPr>
                <w:p w14:paraId="477A69D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tcBorders>
                    <w:tl2br w:val="nil"/>
                    <w:tr2bl w:val="nil"/>
                  </w:tcBorders>
                  <w:vAlign w:val="center"/>
                </w:tcPr>
                <w:p w14:paraId="76D81FE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52.3</w:t>
                  </w:r>
                </w:p>
              </w:tc>
              <w:tc>
                <w:tcPr>
                  <w:tcW w:w="1290" w:type="dxa"/>
                  <w:tcBorders>
                    <w:tl2br w:val="nil"/>
                    <w:tr2bl w:val="nil"/>
                  </w:tcBorders>
                  <w:vAlign w:val="center"/>
                </w:tcPr>
                <w:p w14:paraId="1B5F597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1046" w:type="dxa"/>
                  <w:tcBorders>
                    <w:tl2br w:val="nil"/>
                    <w:tr2bl w:val="nil"/>
                  </w:tcBorders>
                  <w:vAlign w:val="center"/>
                </w:tcPr>
                <w:p w14:paraId="7F1C89D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74.71</w:t>
                  </w:r>
                </w:p>
              </w:tc>
              <w:tc>
                <w:tcPr>
                  <w:tcW w:w="1127" w:type="dxa"/>
                  <w:tcBorders>
                    <w:tl2br w:val="nil"/>
                    <w:tr2bl w:val="nil"/>
                  </w:tcBorders>
                  <w:vAlign w:val="center"/>
                </w:tcPr>
                <w:p w14:paraId="2FF43C0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7BE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14:paraId="1E83FF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2577" w:type="dxa"/>
                  <w:tcBorders>
                    <w:tl2br w:val="nil"/>
                    <w:tr2bl w:val="nil"/>
                  </w:tcBorders>
                  <w:vAlign w:val="center"/>
                </w:tcPr>
                <w:p w14:paraId="224EAF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tcBorders>
                    <w:tl2br w:val="nil"/>
                    <w:tr2bl w:val="nil"/>
                  </w:tcBorders>
                  <w:vAlign w:val="center"/>
                </w:tcPr>
                <w:p w14:paraId="397DC2D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34.3</w:t>
                  </w:r>
                </w:p>
              </w:tc>
              <w:tc>
                <w:tcPr>
                  <w:tcW w:w="1290" w:type="dxa"/>
                  <w:tcBorders>
                    <w:tl2br w:val="nil"/>
                    <w:tr2bl w:val="nil"/>
                  </w:tcBorders>
                  <w:vAlign w:val="center"/>
                </w:tcPr>
                <w:p w14:paraId="50110E5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1046" w:type="dxa"/>
                  <w:tcBorders>
                    <w:tl2br w:val="nil"/>
                    <w:tr2bl w:val="nil"/>
                  </w:tcBorders>
                  <w:vAlign w:val="center"/>
                </w:tcPr>
                <w:p w14:paraId="30C76AB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98.00</w:t>
                  </w:r>
                </w:p>
              </w:tc>
              <w:tc>
                <w:tcPr>
                  <w:tcW w:w="1127" w:type="dxa"/>
                  <w:tcBorders>
                    <w:tl2br w:val="nil"/>
                    <w:tr2bl w:val="nil"/>
                  </w:tcBorders>
                  <w:vAlign w:val="center"/>
                </w:tcPr>
                <w:p w14:paraId="546AD82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27B7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14:paraId="05D3A8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577" w:type="dxa"/>
                  <w:tcBorders>
                    <w:tl2br w:val="nil"/>
                    <w:tr2bl w:val="nil"/>
                  </w:tcBorders>
                  <w:vAlign w:val="center"/>
                </w:tcPr>
                <w:p w14:paraId="0F0E3EF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tcBorders>
                    <w:tl2br w:val="nil"/>
                    <w:tr2bl w:val="nil"/>
                  </w:tcBorders>
                  <w:vAlign w:val="center"/>
                </w:tcPr>
                <w:p w14:paraId="24EFABC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5.3</w:t>
                  </w:r>
                </w:p>
              </w:tc>
              <w:tc>
                <w:tcPr>
                  <w:tcW w:w="1290" w:type="dxa"/>
                  <w:tcBorders>
                    <w:tl2br w:val="nil"/>
                    <w:tr2bl w:val="nil"/>
                  </w:tcBorders>
                  <w:vAlign w:val="center"/>
                </w:tcPr>
                <w:p w14:paraId="084FF11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1046" w:type="dxa"/>
                  <w:tcBorders>
                    <w:tl2br w:val="nil"/>
                    <w:tr2bl w:val="nil"/>
                  </w:tcBorders>
                  <w:vAlign w:val="center"/>
                </w:tcPr>
                <w:p w14:paraId="3E1570F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8.83</w:t>
                  </w:r>
                </w:p>
              </w:tc>
              <w:tc>
                <w:tcPr>
                  <w:tcW w:w="1127" w:type="dxa"/>
                  <w:tcBorders>
                    <w:tl2br w:val="nil"/>
                    <w:tr2bl w:val="nil"/>
                  </w:tcBorders>
                  <w:vAlign w:val="center"/>
                </w:tcPr>
                <w:p w14:paraId="7FB8743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698A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14:paraId="1211752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2577" w:type="dxa"/>
                  <w:tcBorders>
                    <w:tl2br w:val="nil"/>
                    <w:tr2bl w:val="nil"/>
                  </w:tcBorders>
                  <w:vAlign w:val="center"/>
                </w:tcPr>
                <w:p w14:paraId="362E0AA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年平均质量浓度</w:t>
                  </w:r>
                </w:p>
              </w:tc>
              <w:tc>
                <w:tcPr>
                  <w:tcW w:w="1290" w:type="dxa"/>
                  <w:tcBorders>
                    <w:tl2br w:val="nil"/>
                    <w:tr2bl w:val="nil"/>
                  </w:tcBorders>
                  <w:vAlign w:val="center"/>
                </w:tcPr>
                <w:p w14:paraId="6E7A83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15.1</w:t>
                  </w:r>
                </w:p>
              </w:tc>
              <w:tc>
                <w:tcPr>
                  <w:tcW w:w="1290" w:type="dxa"/>
                  <w:tcBorders>
                    <w:tl2br w:val="nil"/>
                    <w:tr2bl w:val="nil"/>
                  </w:tcBorders>
                  <w:vAlign w:val="center"/>
                </w:tcPr>
                <w:p w14:paraId="325984F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046" w:type="dxa"/>
                  <w:tcBorders>
                    <w:tl2br w:val="nil"/>
                    <w:tr2bl w:val="nil"/>
                  </w:tcBorders>
                  <w:vAlign w:val="center"/>
                </w:tcPr>
                <w:p w14:paraId="22B63F8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37.75</w:t>
                  </w:r>
                </w:p>
              </w:tc>
              <w:tc>
                <w:tcPr>
                  <w:tcW w:w="1127" w:type="dxa"/>
                  <w:tcBorders>
                    <w:tl2br w:val="nil"/>
                    <w:tr2bl w:val="nil"/>
                  </w:tcBorders>
                  <w:vAlign w:val="center"/>
                </w:tcPr>
                <w:p w14:paraId="1E27E73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15B55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90" w:type="dxa"/>
                  <w:tcBorders>
                    <w:tl2br w:val="nil"/>
                    <w:tr2bl w:val="nil"/>
                  </w:tcBorders>
                  <w:vAlign w:val="center"/>
                </w:tcPr>
                <w:p w14:paraId="616F614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2577" w:type="dxa"/>
                  <w:tcBorders>
                    <w:tl2br w:val="nil"/>
                    <w:tr2bl w:val="nil"/>
                  </w:tcBorders>
                  <w:vAlign w:val="center"/>
                </w:tcPr>
                <w:p w14:paraId="4F899B1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日平均第95百分位数</w:t>
                  </w:r>
                </w:p>
              </w:tc>
              <w:tc>
                <w:tcPr>
                  <w:tcW w:w="1290" w:type="dxa"/>
                  <w:tcBorders>
                    <w:tl2br w:val="nil"/>
                    <w:tr2bl w:val="nil"/>
                  </w:tcBorders>
                  <w:vAlign w:val="center"/>
                </w:tcPr>
                <w:p w14:paraId="0926711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w:t>
                  </w:r>
                  <w:r>
                    <w:rPr>
                      <w:rFonts w:hint="eastAsia" w:cs="Times New Roman"/>
                      <w:color w:val="000000" w:themeColor="text1"/>
                      <w:sz w:val="21"/>
                      <w:szCs w:val="21"/>
                      <w:highlight w:val="none"/>
                      <w:lang w:val="en-US" w:eastAsia="zh-CN"/>
                      <w14:textFill>
                        <w14:solidFill>
                          <w14:schemeClr w14:val="tx1"/>
                        </w14:solidFill>
                      </w14:textFill>
                    </w:rPr>
                    <w:t>9</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290" w:type="dxa"/>
                  <w:tcBorders>
                    <w:tl2br w:val="nil"/>
                    <w:tr2bl w:val="nil"/>
                  </w:tcBorders>
                  <w:vAlign w:val="center"/>
                </w:tcPr>
                <w:p w14:paraId="1991293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14:textFill>
                        <w14:solidFill>
                          <w14:schemeClr w14:val="tx1"/>
                        </w14:solidFill>
                      </w14:textFill>
                    </w:rPr>
                    <w:t>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1046" w:type="dxa"/>
                  <w:tcBorders>
                    <w:tl2br w:val="nil"/>
                    <w:tr2bl w:val="nil"/>
                  </w:tcBorders>
                  <w:vAlign w:val="center"/>
                </w:tcPr>
                <w:p w14:paraId="3CA8178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22.50</w:t>
                  </w:r>
                </w:p>
              </w:tc>
              <w:tc>
                <w:tcPr>
                  <w:tcW w:w="1127" w:type="dxa"/>
                  <w:tcBorders>
                    <w:tl2br w:val="nil"/>
                    <w:tr2bl w:val="nil"/>
                  </w:tcBorders>
                  <w:vAlign w:val="center"/>
                </w:tcPr>
                <w:p w14:paraId="6E69C15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p>
              </w:tc>
            </w:tr>
            <w:tr w14:paraId="45801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0" w:type="dxa"/>
                  <w:tcBorders>
                    <w:tl2br w:val="nil"/>
                    <w:tr2bl w:val="nil"/>
                  </w:tcBorders>
                  <w:vAlign w:val="center"/>
                </w:tcPr>
                <w:p w14:paraId="04BDD0C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2577" w:type="dxa"/>
                  <w:tcBorders>
                    <w:tl2br w:val="nil"/>
                    <w:tr2bl w:val="nil"/>
                  </w:tcBorders>
                  <w:vAlign w:val="center"/>
                </w:tcPr>
                <w:p w14:paraId="68B7D717">
                  <w:pPr>
                    <w:pStyle w:val="12"/>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日最大8小时平均值</w:t>
                  </w:r>
                </w:p>
              </w:tc>
              <w:tc>
                <w:tcPr>
                  <w:tcW w:w="1290" w:type="dxa"/>
                  <w:tcBorders>
                    <w:tl2br w:val="nil"/>
                    <w:tr2bl w:val="nil"/>
                  </w:tcBorders>
                  <w:vAlign w:val="center"/>
                </w:tcPr>
                <w:p w14:paraId="01650AE4">
                  <w:pPr>
                    <w:pStyle w:val="12"/>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14:textFill>
                        <w14:solidFill>
                          <w14:schemeClr w14:val="tx1"/>
                        </w14:solidFill>
                      </w14:textFill>
                    </w:rPr>
                    <w:t>133</w:t>
                  </w:r>
                </w:p>
              </w:tc>
              <w:tc>
                <w:tcPr>
                  <w:tcW w:w="1290" w:type="dxa"/>
                  <w:tcBorders>
                    <w:tl2br w:val="nil"/>
                    <w:tr2bl w:val="nil"/>
                  </w:tcBorders>
                  <w:vAlign w:val="center"/>
                </w:tcPr>
                <w:p w14:paraId="0213C1A6">
                  <w:pPr>
                    <w:pStyle w:val="12"/>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160</w:t>
                  </w:r>
                </w:p>
              </w:tc>
              <w:tc>
                <w:tcPr>
                  <w:tcW w:w="1046" w:type="dxa"/>
                  <w:tcBorders>
                    <w:tl2br w:val="nil"/>
                    <w:tr2bl w:val="nil"/>
                  </w:tcBorders>
                  <w:vAlign w:val="center"/>
                </w:tcPr>
                <w:p w14:paraId="674CC1A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83.13</w:t>
                  </w:r>
                </w:p>
              </w:tc>
              <w:tc>
                <w:tcPr>
                  <w:tcW w:w="1127" w:type="dxa"/>
                  <w:tcBorders>
                    <w:tl2br w:val="nil"/>
                    <w:tr2bl w:val="nil"/>
                  </w:tcBorders>
                  <w:vAlign w:val="center"/>
                </w:tcPr>
                <w:p w14:paraId="00EEFA61">
                  <w:pPr>
                    <w:pStyle w:val="12"/>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达标</w:t>
                  </w:r>
                </w:p>
              </w:tc>
            </w:tr>
          </w:tbl>
          <w:p w14:paraId="7622E2A9">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根据环境质量年报结果统计，并结合《环境空气质量标准》（GB3095-2012）及2018年修改单中二级标准评价可知，项目所在区域2024年SO</w:t>
            </w:r>
            <w:r>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、NO</w:t>
            </w:r>
            <w:r>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、CO、</w:t>
            </w:r>
            <w:r>
              <w:rPr>
                <w:rFonts w:hint="eastAsia" w:cs="Times New Roman"/>
                <w:color w:val="000000" w:themeColor="text1"/>
                <w:kern w:val="0"/>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w:t>
            </w:r>
            <w:r>
              <w:rPr>
                <w:rFonts w:hint="eastAsia" w:cs="Times New Roman"/>
                <w:color w:val="000000" w:themeColor="text1"/>
                <w:kern w:val="0"/>
                <w:highlight w:val="none"/>
                <w:lang w:val="en-US" w:eastAsia="zh-CN"/>
                <w14:textFill>
                  <w14:solidFill>
                    <w14:schemeClr w14:val="tx1"/>
                  </w14:solidFill>
                </w14:textFill>
              </w:rPr>
              <w:t>PM</w:t>
            </w:r>
            <w:r>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、O</w:t>
            </w:r>
            <w:r>
              <w:rPr>
                <w:rFonts w:hint="default" w:ascii="Times New Roman" w:hAnsi="Times New Roman" w:eastAsia="宋体" w:cs="Times New Roman"/>
                <w:color w:val="000000" w:themeColor="text1"/>
                <w:kern w:val="0"/>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kern w:val="0"/>
                <w:highlight w:val="none"/>
                <w:lang w:val="en-US" w:eastAsia="zh-CN"/>
                <w14:textFill>
                  <w14:solidFill>
                    <w14:schemeClr w14:val="tx1"/>
                  </w14:solidFill>
                </w14:textFill>
              </w:rPr>
              <w:t>均达到《环境空气质量标准》(GB3095-2012)中二级标准限值，项目所在区域空气质量为达标区。</w:t>
            </w:r>
          </w:p>
          <w:p w14:paraId="26B0DA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地表水环境质量现状</w:t>
            </w:r>
          </w:p>
          <w:p w14:paraId="7E1841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highlight w:val="none"/>
                <w:lang w:val="en-US" w:eastAsia="zh-CN"/>
                <w14:textFill>
                  <w14:solidFill>
                    <w14:schemeClr w14:val="tx1"/>
                  </w14:solidFill>
                </w14:textFill>
              </w:rPr>
              <w:t>霍山县生态环境分局发布的《2024年霍山县环境质量报告》</w:t>
            </w:r>
            <w:r>
              <w:rPr>
                <w:rFonts w:hint="eastAsia" w:cs="Times New Roman"/>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2024年霍山县地表水总体水质状况为优，13个国省控监测断面水质均到达地表水Ⅱ类标准，达标率100%。与去年同期相比，水质状况无明显变化。</w:t>
            </w:r>
          </w:p>
          <w:p w14:paraId="2883E72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lang w:val="en-US" w:eastAsia="zh-CN"/>
                <w14:textFill>
                  <w14:solidFill>
                    <w14:schemeClr w14:val="tx1"/>
                  </w14:solidFill>
                </w14:textFill>
              </w:rPr>
              <w:t>国考断面：2024年霍山县共有2个国考断面，佛子岭水库库心、东淠河陶洪集段水质均达到年度考核目标要求(不低于地表水Ⅱ类)，达标率为100％。</w:t>
            </w:r>
          </w:p>
          <w:p w14:paraId="10FBCC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highlight w:val="none"/>
                <w:lang w:val="en-US" w:eastAsia="zh-CN"/>
                <w14:textFill>
                  <w14:solidFill>
                    <w14:schemeClr w14:val="tx1"/>
                  </w14:solidFill>
                </w14:textFill>
              </w:rPr>
              <w:t>生态补偿断面：2024年东淠河陶洪集断面生态补偿指数（P值）为0.833，达到考核目标要求（不超过0.85）。</w:t>
            </w:r>
          </w:p>
          <w:p w14:paraId="531C451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bookmarkStart w:id="30" w:name="OLE_LINK13"/>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（3）</w:t>
            </w:r>
            <w:r>
              <w:rPr>
                <w:rFonts w:hint="default" w:ascii="Times New Roman" w:hAnsi="Times New Roman" w:eastAsia="宋体" w:cs="Times New Roman"/>
                <w:b/>
                <w:color w:val="000000" w:themeColor="text1"/>
                <w:kern w:val="0"/>
                <w:sz w:val="24"/>
                <w:highlight w:val="none"/>
                <w14:textFill>
                  <w14:solidFill>
                    <w14:schemeClr w14:val="tx1"/>
                  </w14:solidFill>
                </w14:textFill>
              </w:rPr>
              <w:t>声环境质量现状</w:t>
            </w:r>
            <w:bookmarkEnd w:id="30"/>
          </w:p>
          <w:p w14:paraId="4FAB6A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项目为防洪排涝工程项目，工程主要为移动声源，不存在固定声源，根据</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环境影响评价技术导则 声环境</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HJ2.4</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-20</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21</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中“二级、三级评价范围可根据建设项目所在区域和相邻区域的声环境功能区类别及声环境保护目标等实际情况适当缩小”，项目评价范围为线路中心线向两侧外延200</w:t>
            </w:r>
            <w:r>
              <w:rPr>
                <w:rFonts w:hint="eastAsia" w:cs="Times New Roman"/>
                <w:bCs/>
                <w:color w:val="000000" w:themeColor="text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highlight w:val="none"/>
                <w:lang w:val="en-US" w:eastAsia="zh-CN"/>
                <w14:textFill>
                  <w14:solidFill>
                    <w14:schemeClr w14:val="tx1"/>
                  </w14:solidFill>
                </w14:textFill>
              </w:rPr>
              <w:t>。</w:t>
            </w:r>
          </w:p>
          <w:p w14:paraId="72672DC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根据现场调查，项目周边主要为小区、农田和村庄等，</w:t>
            </w:r>
            <w:r>
              <w:rPr>
                <w:rFonts w:hint="eastAsia"/>
                <w:color w:val="000000" w:themeColor="text1"/>
                <w:sz w:val="24"/>
                <w:szCs w:val="32"/>
                <w14:textFill>
                  <w14:solidFill>
                    <w14:schemeClr w14:val="tx1"/>
                  </w14:solidFill>
                </w14:textFill>
              </w:rPr>
              <w:t>项目</w:t>
            </w:r>
            <w:r>
              <w:rPr>
                <w:rFonts w:hint="eastAsia"/>
                <w:color w:val="000000" w:themeColor="text1"/>
                <w:sz w:val="24"/>
                <w:szCs w:val="32"/>
                <w:lang w:val="en-US" w:eastAsia="zh-CN"/>
                <w14:textFill>
                  <w14:solidFill>
                    <w14:schemeClr w14:val="tx1"/>
                  </w14:solidFill>
                </w14:textFill>
              </w:rPr>
              <w:t>噪声</w:t>
            </w:r>
            <w:r>
              <w:rPr>
                <w:rFonts w:hint="eastAsia"/>
                <w:color w:val="000000" w:themeColor="text1"/>
                <w:sz w:val="24"/>
                <w:szCs w:val="32"/>
                <w14:textFill>
                  <w14:solidFill>
                    <w14:schemeClr w14:val="tx1"/>
                  </w14:solidFill>
                </w14:textFill>
              </w:rPr>
              <w:t>主要</w:t>
            </w:r>
            <w:r>
              <w:rPr>
                <w:rFonts w:hint="eastAsia"/>
                <w:color w:val="000000" w:themeColor="text1"/>
                <w:sz w:val="24"/>
                <w:szCs w:val="32"/>
                <w:lang w:val="en-US" w:eastAsia="zh-CN"/>
                <w14:textFill>
                  <w14:solidFill>
                    <w14:schemeClr w14:val="tx1"/>
                  </w14:solidFill>
                </w14:textFill>
              </w:rPr>
              <w:t>为</w:t>
            </w:r>
            <w:r>
              <w:rPr>
                <w:rFonts w:hint="eastAsia"/>
                <w:color w:val="000000" w:themeColor="text1"/>
                <w:sz w:val="24"/>
                <w:szCs w:val="32"/>
                <w14:textFill>
                  <w14:solidFill>
                    <w14:schemeClr w14:val="tx1"/>
                  </w14:solidFill>
                </w14:textFill>
              </w:rPr>
              <w:t>施工期噪声</w:t>
            </w:r>
            <w:r>
              <w:rPr>
                <w:rFonts w:hint="eastAsia"/>
                <w:color w:val="000000" w:themeColor="text1"/>
                <w:sz w:val="24"/>
                <w:szCs w:val="32"/>
                <w:lang w:eastAsia="zh-CN"/>
                <w14:textFill>
                  <w14:solidFill>
                    <w14:schemeClr w14:val="tx1"/>
                  </w14:solidFill>
                </w14:textFill>
              </w:rPr>
              <w:t>，</w:t>
            </w:r>
            <w:r>
              <w:rPr>
                <w:rFonts w:hint="eastAsia"/>
                <w:color w:val="000000" w:themeColor="text1"/>
                <w:sz w:val="24"/>
                <w:szCs w:val="32"/>
                <w14:textFill>
                  <w14:solidFill>
                    <w14:schemeClr w14:val="tx1"/>
                  </w14:solidFill>
                </w14:textFill>
              </w:rPr>
              <w:t>来自施工机械噪声，</w:t>
            </w:r>
            <w:r>
              <w:rPr>
                <w:rFonts w:hint="eastAsia"/>
                <w:color w:val="000000" w:themeColor="text1"/>
                <w:sz w:val="24"/>
                <w:szCs w:val="32"/>
                <w:lang w:val="en-US" w:eastAsia="zh-CN"/>
                <w14:textFill>
                  <w14:solidFill>
                    <w14:schemeClr w14:val="tx1"/>
                  </w14:solidFill>
                </w14:textFill>
              </w:rPr>
              <w:t>属于间断性、短暂性的，</w:t>
            </w:r>
            <w:r>
              <w:rPr>
                <w:rFonts w:hint="eastAsia"/>
                <w:color w:val="000000" w:themeColor="text1"/>
                <w:sz w:val="24"/>
                <w:szCs w:val="32"/>
                <w14:textFill>
                  <w14:solidFill>
                    <w14:schemeClr w14:val="tx1"/>
                  </w14:solidFill>
                </w14:textFill>
              </w:rPr>
              <w:t>随着工程结束，噪声影响随之结束。项目运营期无噪声产生，区域声环境质量基本维持现状</w:t>
            </w:r>
            <w:r>
              <w:rPr>
                <w:rFonts w:hint="eastAsia"/>
                <w:color w:val="000000" w:themeColor="text1"/>
                <w:sz w:val="24"/>
                <w:szCs w:val="32"/>
                <w:lang w:eastAsia="zh-CN"/>
                <w14:textFill>
                  <w14:solidFill>
                    <w14:schemeClr w14:val="tx1"/>
                  </w14:solidFill>
                </w14:textFill>
              </w:rPr>
              <w:t>，</w:t>
            </w:r>
            <w:r>
              <w:rPr>
                <w:rFonts w:hint="default"/>
                <w:color w:val="000000" w:themeColor="text1"/>
                <w:sz w:val="24"/>
                <w:szCs w:val="32"/>
                <w14:textFill>
                  <w14:solidFill>
                    <w14:schemeClr w14:val="tx1"/>
                  </w14:solidFill>
                </w14:textFill>
              </w:rPr>
              <w:t>质量现状良好，能够满足《声环境质量标准》（GB3096-2008）</w:t>
            </w:r>
            <w:r>
              <w:rPr>
                <w:rFonts w:hint="eastAsia"/>
                <w:color w:val="000000" w:themeColor="text1"/>
                <w:sz w:val="24"/>
                <w:szCs w:val="32"/>
                <w14:textFill>
                  <w14:solidFill>
                    <w14:schemeClr w14:val="tx1"/>
                  </w14:solidFill>
                </w14:textFill>
              </w:rPr>
              <w:t>2类标准要求</w:t>
            </w:r>
            <w:r>
              <w:rPr>
                <w:rFonts w:hint="default"/>
                <w:color w:val="000000" w:themeColor="text1"/>
                <w:sz w:val="24"/>
                <w:szCs w:val="32"/>
                <w14:textFill>
                  <w14:solidFill>
                    <w14:schemeClr w14:val="tx1"/>
                  </w14:solidFill>
                </w14:textFill>
              </w:rPr>
              <w:t>。</w:t>
            </w:r>
          </w:p>
          <w:p w14:paraId="75FE15B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bookmarkStart w:id="31" w:name="OLE_LINK4"/>
            <w:r>
              <w:rPr>
                <w:rFonts w:hint="eastAsia" w:ascii="Times New Roman" w:hAnsi="Times New Roman" w:eastAsia="宋体" w:cs="Times New Roman"/>
                <w:b/>
                <w:color w:val="000000" w:themeColor="text1"/>
                <w:kern w:val="0"/>
                <w:sz w:val="24"/>
                <w:highlight w:val="none"/>
                <w:lang w:val="en-US" w:eastAsia="zh-CN"/>
                <w14:textFill>
                  <w14:solidFill>
                    <w14:schemeClr w14:val="tx1"/>
                  </w14:solidFill>
                </w14:textFill>
              </w:rPr>
              <w:t>（4）</w:t>
            </w:r>
            <w:r>
              <w:rPr>
                <w:rFonts w:hint="default" w:ascii="Times New Roman" w:hAnsi="Times New Roman" w:eastAsia="宋体" w:cs="Times New Roman"/>
                <w:b/>
                <w:color w:val="000000" w:themeColor="text1"/>
                <w:kern w:val="0"/>
                <w:sz w:val="24"/>
                <w:highlight w:val="none"/>
                <w:lang w:val="en-US" w:eastAsia="zh-CN"/>
                <w14:textFill>
                  <w14:solidFill>
                    <w14:schemeClr w14:val="tx1"/>
                  </w14:solidFill>
                </w14:textFill>
              </w:rPr>
              <w:t>土壤</w:t>
            </w:r>
            <w:r>
              <w:rPr>
                <w:rFonts w:hint="default" w:ascii="Times New Roman" w:hAnsi="Times New Roman" w:eastAsia="宋体" w:cs="Times New Roman"/>
                <w:b/>
                <w:color w:val="000000" w:themeColor="text1"/>
                <w:kern w:val="0"/>
                <w:sz w:val="24"/>
                <w:highlight w:val="none"/>
                <w14:textFill>
                  <w14:solidFill>
                    <w14:schemeClr w14:val="tx1"/>
                  </w14:solidFill>
                </w14:textFill>
              </w:rPr>
              <w:t>环境质量现状</w:t>
            </w:r>
          </w:p>
          <w:p w14:paraId="5B8825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根据《环境影响评价技术导则土壤环境（试行）》（HJ、964-2018）附录A土壤环境影响评价项目类别，本项目为“其他行业”，属于Ⅳ类项目，可不开展土壤环境影响评价工作。</w:t>
            </w:r>
            <w:bookmarkEnd w:id="31"/>
          </w:p>
          <w:p w14:paraId="6BCEC638">
            <w:pPr>
              <w:keepNext w:val="0"/>
              <w:keepLines w:val="0"/>
              <w:suppressLineNumbers w:val="0"/>
              <w:spacing w:before="0" w:beforeAutospacing="0" w:after="0" w:afterAutospacing="0" w:line="360" w:lineRule="auto"/>
              <w:ind w:left="0" w:right="0" w:firstLine="482" w:firstLineChars="200"/>
              <w:jc w:val="left"/>
              <w:rPr>
                <w:rFonts w:hint="default"/>
                <w:b/>
                <w:bCs/>
                <w:color w:val="000000" w:themeColor="text1"/>
                <w:sz w:val="24"/>
                <w:szCs w:val="32"/>
                <w14:textFill>
                  <w14:solidFill>
                    <w14:schemeClr w14:val="tx1"/>
                  </w14:solidFill>
                </w14:textFill>
              </w:rPr>
            </w:pPr>
            <w:r>
              <w:rPr>
                <w:rFonts w:hint="eastAsia"/>
                <w:b/>
                <w:bCs/>
                <w:color w:val="000000" w:themeColor="text1"/>
                <w:sz w:val="24"/>
                <w:szCs w:val="32"/>
                <w:lang w:val="en-US" w:eastAsia="zh-CN"/>
                <w14:textFill>
                  <w14:solidFill>
                    <w14:schemeClr w14:val="tx1"/>
                  </w14:solidFill>
                </w14:textFill>
              </w:rPr>
              <w:t>（5）</w:t>
            </w:r>
            <w:r>
              <w:rPr>
                <w:rFonts w:hint="default"/>
                <w:b/>
                <w:bCs/>
                <w:color w:val="000000" w:themeColor="text1"/>
                <w:sz w:val="24"/>
                <w:szCs w:val="32"/>
                <w14:textFill>
                  <w14:solidFill>
                    <w14:schemeClr w14:val="tx1"/>
                  </w14:solidFill>
                </w14:textFill>
              </w:rPr>
              <w:t>生态环境</w:t>
            </w:r>
            <w:r>
              <w:rPr>
                <w:rFonts w:hint="eastAsia"/>
                <w:b/>
                <w:bCs/>
                <w:color w:val="000000" w:themeColor="text1"/>
                <w:sz w:val="24"/>
                <w:szCs w:val="32"/>
                <w:lang w:val="en-US" w:eastAsia="zh-CN"/>
                <w14:textFill>
                  <w14:solidFill>
                    <w14:schemeClr w14:val="tx1"/>
                  </w14:solidFill>
                </w14:textFill>
              </w:rPr>
              <w:t>质量现状</w:t>
            </w:r>
          </w:p>
          <w:p w14:paraId="1227133F">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color w:val="000000" w:themeColor="text1"/>
                <w:lang w:val="en-US" w:eastAsia="zh-CN"/>
                <w14:textFill>
                  <w14:solidFill>
                    <w14:schemeClr w14:val="tx1"/>
                  </w14:solidFill>
                </w14:textFill>
              </w:rPr>
            </w:pPr>
            <w:r>
              <w:rPr>
                <w:rFonts w:hint="default"/>
                <w:color w:val="000000" w:themeColor="text1"/>
                <w:szCs w:val="32"/>
                <w14:textFill>
                  <w14:solidFill>
                    <w14:schemeClr w14:val="tx1"/>
                  </w14:solidFill>
                </w14:textFill>
              </w:rPr>
              <w:t>本项目</w:t>
            </w:r>
            <w:r>
              <w:rPr>
                <w:rFonts w:hint="default" w:ascii="Times New Roman" w:hAnsi="Times New Roman" w:cs="Times New Roman"/>
                <w:b w:val="0"/>
                <w:bCs w:val="0"/>
                <w:color w:val="000000" w:themeColor="text1"/>
                <w:sz w:val="24"/>
                <w:szCs w:val="24"/>
                <w14:textFill>
                  <w14:solidFill>
                    <w14:schemeClr w14:val="tx1"/>
                  </w14:solidFill>
                </w14:textFill>
              </w:rPr>
              <w:t>不占用自然保护区、风景名胜区、世界文化和自然遗产地</w:t>
            </w:r>
            <w:r>
              <w:rPr>
                <w:rFonts w:hint="eastAsia" w:ascii="Times New Roman" w:hAnsi="Times New Roman" w:cs="Times New Roman"/>
                <w:b w:val="0"/>
                <w:bCs w:val="0"/>
                <w:color w:val="000000" w:themeColor="text1"/>
                <w:sz w:val="24"/>
                <w:szCs w:val="24"/>
                <w:lang w:eastAsia="zh-CN"/>
                <w14:textFill>
                  <w14:solidFill>
                    <w14:schemeClr w14:val="tx1"/>
                  </w14:solidFill>
                </w14:textFill>
              </w:rPr>
              <w:t>、</w:t>
            </w:r>
            <w:r>
              <w:rPr>
                <w:rFonts w:hint="eastAsia"/>
                <w:b w:val="0"/>
                <w:bCs/>
                <w:color w:val="000000" w:themeColor="text1"/>
                <w:sz w:val="24"/>
                <w:szCs w:val="24"/>
                <w:lang w:val="en-US" w:eastAsia="zh-CN"/>
                <w14:textFill>
                  <w14:solidFill>
                    <w14:schemeClr w14:val="tx1"/>
                  </w14:solidFill>
                </w14:textFill>
              </w:rPr>
              <w:t>其他生态保护红线</w:t>
            </w:r>
            <w:r>
              <w:rPr>
                <w:rFonts w:hint="default" w:ascii="Times New Roman" w:hAnsi="Times New Roman" w:cs="Times New Roman"/>
                <w:b w:val="0"/>
                <w:bCs w:val="0"/>
                <w:color w:val="000000" w:themeColor="text1"/>
                <w:sz w:val="24"/>
                <w:szCs w:val="24"/>
                <w14:textFill>
                  <w14:solidFill>
                    <w14:schemeClr w14:val="tx1"/>
                  </w14:solidFill>
                </w14:textFill>
              </w:rPr>
              <w:t>等</w:t>
            </w:r>
            <w:r>
              <w:rPr>
                <w:rFonts w:hint="eastAsia"/>
                <w:b w:val="0"/>
                <w:bCs/>
                <w:color w:val="000000" w:themeColor="text1"/>
                <w:sz w:val="24"/>
                <w:szCs w:val="24"/>
                <w:lang w:val="en-US" w:eastAsia="zh-CN"/>
                <w14:textFill>
                  <w14:solidFill>
                    <w14:schemeClr w14:val="tx1"/>
                  </w14:solidFill>
                </w14:textFill>
              </w:rPr>
              <w:t>不属于</w:t>
            </w:r>
            <w:r>
              <w:rPr>
                <w:rFonts w:hint="default" w:ascii="Times New Roman" w:hAnsi="Times New Roman" w:cs="Times New Roman"/>
                <w:b w:val="0"/>
                <w:bCs w:val="0"/>
                <w:color w:val="000000" w:themeColor="text1"/>
                <w:sz w:val="24"/>
                <w:szCs w:val="24"/>
                <w14:textFill>
                  <w14:solidFill>
                    <w14:schemeClr w14:val="tx1"/>
                  </w14:solidFill>
                </w14:textFill>
              </w:rPr>
              <w:t>环境敏感区中法律法规禁止占用的区域。</w:t>
            </w:r>
            <w:r>
              <w:rPr>
                <w:rFonts w:hint="eastAsia" w:ascii="Times New Roman" w:hAnsi="Times New Roman" w:cs="Times New Roman"/>
                <w:b w:val="0"/>
                <w:bCs w:val="0"/>
                <w:color w:val="000000" w:themeColor="text1"/>
                <w:sz w:val="24"/>
                <w:szCs w:val="24"/>
                <w:lang w:val="en-US" w:eastAsia="zh-CN"/>
                <w14:textFill>
                  <w14:solidFill>
                    <w14:schemeClr w14:val="tx1"/>
                  </w14:solidFill>
                </w14:textFill>
              </w:rPr>
              <w:t>项目</w:t>
            </w:r>
            <w:r>
              <w:rPr>
                <w:rFonts w:hint="eastAsia"/>
                <w:color w:val="000000" w:themeColor="text1"/>
                <w:sz w:val="24"/>
                <w:szCs w:val="24"/>
                <w:lang w:val="en-US" w:eastAsia="zh-CN"/>
                <w14:textFill>
                  <w14:solidFill>
                    <w14:schemeClr w14:val="tx1"/>
                  </w14:solidFill>
                </w14:textFill>
              </w:rPr>
              <w:t>施工期会对环境产生影响，但建成后对环境是有益的，正向的</w:t>
            </w:r>
            <w:r>
              <w:rPr>
                <w:rFonts w:hint="eastAsia"/>
                <w:color w:val="000000" w:themeColor="text1"/>
                <w:kern w:val="0"/>
                <w:sz w:val="24"/>
                <w:szCs w:val="24"/>
                <w:lang w:val="en-US" w:eastAsia="zh-CN"/>
                <w14:textFill>
                  <w14:solidFill>
                    <w14:schemeClr w14:val="tx1"/>
                  </w14:solidFill>
                </w14:textFill>
              </w:rPr>
              <w:t>。</w:t>
            </w:r>
            <w:r>
              <w:rPr>
                <w:rFonts w:hint="default"/>
                <w:color w:val="000000" w:themeColor="text1"/>
                <w:sz w:val="24"/>
                <w:szCs w:val="24"/>
                <w14:textFill>
                  <w14:solidFill>
                    <w14:schemeClr w14:val="tx1"/>
                  </w14:solidFill>
                </w14:textFill>
              </w:rPr>
              <w:t>根据前述的生态环境现状，</w:t>
            </w:r>
            <w:r>
              <w:rPr>
                <w:rFonts w:hint="default"/>
                <w:color w:val="000000" w:themeColor="text1"/>
                <w:szCs w:val="32"/>
                <w14:textFill>
                  <w14:solidFill>
                    <w14:schemeClr w14:val="tx1"/>
                  </w14:solidFill>
                </w14:textFill>
              </w:rPr>
              <w:t>区域生态环境质量较好。</w:t>
            </w:r>
          </w:p>
        </w:tc>
      </w:tr>
      <w:tr w14:paraId="2F781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l2br w:val="nil"/>
              <w:tr2bl w:val="nil"/>
            </w:tcBorders>
            <w:vAlign w:val="center"/>
          </w:tcPr>
          <w:p w14:paraId="411C1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与项目有关的原有环境污染和生态破坏问题</w:t>
            </w:r>
          </w:p>
        </w:tc>
        <w:tc>
          <w:tcPr>
            <w:tcW w:w="8026" w:type="dxa"/>
            <w:tcBorders>
              <w:tl2br w:val="nil"/>
              <w:tr2bl w:val="nil"/>
            </w:tcBorders>
            <w:vAlign w:val="center"/>
          </w:tcPr>
          <w:p w14:paraId="334D11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jc w:val="left"/>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区域排涝存在主要问题</w:t>
            </w:r>
          </w:p>
          <w:p w14:paraId="447E25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1.1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圩区现状排涝存在主要问题：</w:t>
            </w:r>
          </w:p>
          <w:p w14:paraId="635AD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迎驾厂片在2016年至2024年的汛期发生严重内涝灾害，导致区域内大面积农田被淹没、道路严重积水，交通瘫痪，给当地农业生产和居民出行带来严重影响。不仅造成农作物大幅减产，还损坏了基础设施，如排水系统和道路设施，从而引发了巨大的经济损失，包括直接财产损失和间接生产中断带来的长期影响。</w:t>
            </w:r>
          </w:p>
          <w:p w14:paraId="59F90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受淹成因分析：</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永康桥村位于地势低洼区域，北面紧邻东淠河，东面毗邻柳林河。该村的地理位置使其在汛期极易受柳林河山洪水影响，形成水位顶托现象，从而严重阻碍村内3条主要排涝沟的正常运作。这些排涝沟规模偏小，在暴雨冲击下排涝能力不足。同时，区域内田面排水沟渠之间连接不畅，导致整体排水效率低下。雨水无法顺畅排入柳林河，反而在村内缓慢积聚，致使上游所有雨水都汇流至低洼地带。这一积水问题不仅造成大面积农田作物受淹、减产甚至绝收，还严重威胁村民的房屋安全、财产损失以及人身健康风险。</w:t>
            </w:r>
          </w:p>
          <w:p w14:paraId="15594A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1.2戴家河圩区现状排涝存在问题：</w:t>
            </w:r>
          </w:p>
          <w:p w14:paraId="32F2C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戴家河受淹片位于地势低洼区域，区内排涝能力严重不足，排涝体系存在明显缺陷，缺乏完善的排水沟渠系统。几乎每年汛期，该区域都会遭受淹没，持续时间长、影响范围广，给当地农业生产带来巨大损失，农田积水导致农作物无法正常生长，大幅减产甚至绝收；同时，居民出行极为不便，道路被淹造成交通中断，日常出行受阻。</w:t>
            </w:r>
          </w:p>
          <w:p w14:paraId="73AEC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受淹成因分析：</w:t>
            </w:r>
          </w:p>
          <w:p w14:paraId="1B54AF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戴家河受淹片地势较低，现状排水主要依赖传统的田面沟系统，排水能力有限，无法有效应对暴雨或持续降雨，容易淤塞失效。近年来，S332省道贯穿该区域，在道路建设过程中，恢复的穿路涵孔径过小，设计规模不足，无法满足高峰排水需求，导致水流通道被严重卡阻，排水效率大幅降低。此外，下游排水通道（沟渠）规模较小，沟渠狭窄且维护不足，当排水至出口处时，常受戴家河高水位顶托，形成倒灌现象，进一步加剧排水不畅，积水难以排出。</w:t>
            </w:r>
          </w:p>
          <w:p w14:paraId="2EA2F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2、城区排涝通道现状存在主要问题</w:t>
            </w:r>
          </w:p>
          <w:p w14:paraId="13D47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2.1</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高庙河现状存在问题</w:t>
            </w:r>
          </w:p>
          <w:p w14:paraId="36FD56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1、部分河道岸坡缺乏防护</w:t>
            </w:r>
          </w:p>
          <w:p w14:paraId="3223A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河道K0+217~K3+550两岸、K7+375~K8+550右岸、K8+707~K8+778两岸河道岸坡无防护，受上游洪水冲刷影响，河坡淘刷严重。</w:t>
            </w:r>
          </w:p>
          <w:p w14:paraId="01462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2、现状岸坡防护淘刷破损；</w:t>
            </w:r>
          </w:p>
          <w:p w14:paraId="5064B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河道K3+550~K4+100两岸、K7+225~K8+550左岸两岸现状岸坡为预制块护坡，预制块护坡底格埂老化损坏严重，底部冲刷淘空。</w:t>
            </w:r>
          </w:p>
          <w:p w14:paraId="5E20BE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3、局部河道两侧低洼，防洪不达标；</w:t>
            </w:r>
          </w:p>
          <w:p w14:paraId="244F5E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通过现状堤顶高程与现状洪水位的比对，局部堤防顶高程不达标，河道K5+417附近岸顶高程防洪标准达不到50年一遇的规划要求。</w:t>
            </w:r>
          </w:p>
          <w:p w14:paraId="018020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4、部分拦河坝建设年代久远，损坏严重，无法正常使用</w:t>
            </w:r>
          </w:p>
          <w:p w14:paraId="05EF6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现状7、9、13-1号拦河坝破损建设年代久远，超过20年，结构开裂老化，继续使用存在安全隐患。</w:t>
            </w:r>
          </w:p>
          <w:p w14:paraId="32CD7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2.2柳林河现状存在问题</w:t>
            </w:r>
          </w:p>
          <w:p w14:paraId="19DE5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1、局部堤防堤顶高程不足、堤身单薄</w:t>
            </w:r>
          </w:p>
          <w:p w14:paraId="11F0D9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通过现状堤顶高程与现状洪水位的比对，柳林河左岸K2+100~K2+300及K2+900~K3+100段堤顶高程不达标，防洪标准达不到10年一遇要求。养殖场~俞家畈泄洪闸（K8+740~K9+040）段300</w:t>
            </w:r>
            <w:r>
              <w:rPr>
                <w:rFonts w:hint="eastAsia"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右堤堤身单薄，高程不满足10年一遇防洪要求，土坡无防护，堤顶无防汛道路，汛期洪水影响堤后养殖场安全。</w:t>
            </w:r>
          </w:p>
          <w:p w14:paraId="1F9A2E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2、部分河道岸坡缺乏防护</w:t>
            </w:r>
          </w:p>
          <w:p w14:paraId="056198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K0+000~K0+045左岸、K2+100~K2+400右岸、K3+260~K3+660两岸、K3+660~K3+880右岸、K3+200~K3+990左岸、K3+990~K4+210两岸、K4+410~K4+600两岸和K4+600~K5+150右岸河道岸坡无防护，受上游洪水冲刷影响，河坡掏刷严重。</w:t>
            </w:r>
          </w:p>
          <w:p w14:paraId="08C57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3、部分河道岸坡护坡损毁老化</w:t>
            </w:r>
          </w:p>
          <w:p w14:paraId="530853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拦河坝8~便民桥(K6+660~K9+340)河段两岸岸坡为六角块空心护坡，护坡损毁老化严重，多处底格埂断裂倾斜。</w:t>
            </w:r>
          </w:p>
          <w:p w14:paraId="6DB01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4、现状护岸掏空破损</w:t>
            </w:r>
          </w:p>
          <w:p w14:paraId="0B3D1C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1+900~K2+100右岸和K2+400~K2+480右岸现状岸坡为埋石砼挡墙、因墙角埋深不足，受洪水淘刷，挡墙底部多处冲刷掏空。8号拦河坝下游~东淠河口K6+680~K11+300两岸迎流顶冲段多处水毁，预制块护坡底部损毁严重，底格埂断裂倾斜。埋石砼K1+915~K3+600护坡预制块老化破损，局部缺失。</w:t>
            </w:r>
          </w:p>
          <w:p w14:paraId="459AED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5、部分拦河坝堰身破损，存在险情</w:t>
            </w:r>
          </w:p>
          <w:p w14:paraId="2CE1FC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跨河拦河坝众多，其中拦河坝4堰身破损，不能充分发挥蓄水能力。拦河坝9河底有冲坑，存在险情。</w:t>
            </w:r>
          </w:p>
          <w:p w14:paraId="3560D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6、部分穿堤排涝涵老化破损、无控制倒灌内圩</w:t>
            </w:r>
          </w:p>
          <w:p w14:paraId="715CDE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小黄沟处排涝涵无控制，柳林河高水位期间洪水倒灌内圩通水灌村居民区。龙门冲涵因泄洪流量大，出口冲刷，出口挡墙断裂损坏。</w:t>
            </w:r>
          </w:p>
          <w:p w14:paraId="0B7F1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K4+820左岸排涝涵1、K5+115左岸排涝涵2及K4+020左岸排水渠出水涵口径小，排涝能力不足，且结构简陋老化。</w:t>
            </w:r>
          </w:p>
          <w:p w14:paraId="363393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7、水泥路面老化破损</w:t>
            </w:r>
          </w:p>
          <w:p w14:paraId="37EAF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柳林河两岸堤顶道路为水泥路，K6+660迎驾大道桥以下两岸为居民区，因堤顶通行社会车辆较多，现状道路路面存在老化破损。其中茶乡大道桥K8+160~K9+040俞家畈泄洪闸段右岸堤顶无防汛道路。</w:t>
            </w:r>
          </w:p>
          <w:p w14:paraId="0244E7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2.3新店河现状存在问题</w:t>
            </w:r>
          </w:p>
          <w:p w14:paraId="0D5D73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现状岸坡局部迎流顶冲段冲刷严重，护岸存在冲刷损坏现象，威胁后方道路交通设施安全及居民点人民生命财产安全；</w:t>
            </w:r>
          </w:p>
          <w:p w14:paraId="2D5F05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河道沿线部分蓄水建筑物损坏，部分河段缺少蓄水建筑物，造成河道冲刷下切与河道淤积问题并存，河道内漫水桥过流断面不足，影响河道排水。</w:t>
            </w:r>
          </w:p>
          <w:p w14:paraId="42AF36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2.4幽芳河现状存在问题</w:t>
            </w:r>
          </w:p>
          <w:p w14:paraId="544154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1、局部岸坡防护不达标</w:t>
            </w:r>
          </w:p>
          <w:p w14:paraId="42348E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河道设计防洪标准为50年一遇，根据水文计算，K4+200~K5+600左岸和K4+200~K5+200右岸防护不达标，该段无阻水建筑物，水位较高主要为下游河道水位顶托导致。</w:t>
            </w:r>
          </w:p>
          <w:p w14:paraId="42BDE5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2、部分河道岸坡缺乏防护</w:t>
            </w:r>
          </w:p>
          <w:p w14:paraId="6BD4C1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K0+000~K0+090右岸、K0+170~K0+430右岸、K0+555~K1+200右岸、K1+200~K1+915两岸和K5+210~K5+600右岸河道岸坡无防护，受上游洪水冲刷影响，河坡冲掏蚀严重。</w:t>
            </w:r>
          </w:p>
          <w:p w14:paraId="5C4B76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3、现状岸坡防护掏空破损；</w:t>
            </w:r>
          </w:p>
          <w:p w14:paraId="4032B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K0+000~K0+090右岸、K0+090~K0+170两岸、K0+430~K0+555右岸、K1+915~K3+600两岸、K3+600~K5+210两岸、K5+210~K5+600左岸和K5+600~K6+360两岸现状岸坡为预制块护坡或浆砌石挡墙。预制块护坡底格埂和浆砌石挡墙底部冲刷掏空。K1+915~K3+600护坡预制块老化破损，局部缺失。</w:t>
            </w:r>
          </w:p>
          <w:p w14:paraId="1FC4C1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4、部分建筑物阻水严重，局部河道两侧低洼，防洪不达标；</w:t>
            </w:r>
          </w:p>
          <w:p w14:paraId="1CD80D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跨河拦河坝众多，其中拦河坝4和5间距小，左岸低洼，拦河坝阻水严重，抬高水位，加大沿河的防洪压力，造成左岸居名区汛期受淹。</w:t>
            </w:r>
          </w:p>
          <w:p w14:paraId="7FB6A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通过现状堤顶高程与现状洪水位的比对，局部堤防顶高程不达标，堤身单薄，骆驼桥以南局部堤段防洪标准达不到20年一遇的规划要求。</w:t>
            </w:r>
          </w:p>
          <w:p w14:paraId="796204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5、部分拦河坝建设年代久远，存在安全隐患</w:t>
            </w:r>
          </w:p>
          <w:p w14:paraId="6869B8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拦河坝1建设年代久远，超过20年，结构开裂老化，继续使用存在安全隐患。拦河坝6坝体局部开裂，下游存在冲刷。</w:t>
            </w:r>
          </w:p>
          <w:p w14:paraId="1300F4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3管网基础设施存在主要问题</w:t>
            </w:r>
          </w:p>
          <w:p w14:paraId="213AED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管网覆盖率低，现状管道老化破损</w:t>
            </w:r>
          </w:p>
          <w:p w14:paraId="693C9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经过现场调查，柳林河、幽芳河等河道沿线许多居民区缺乏排水管道和污水处理系统，多数区域污水仍通过明渠排放或自然渗透，导致污水直接排放至周边河道、农田或地下水，造成水体污染。现有排水管道多建于早期，现已老化，材料质量差且缺乏维护，普遍存在渗漏、堵塞、沉降等问题，部分管道甚至裸露或破损，加剧了污水外溢和地下水污染风险。</w:t>
            </w:r>
          </w:p>
          <w:p w14:paraId="31CDF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color w:val="000000" w:themeColor="text1"/>
                <w14:textFill>
                  <w14:solidFill>
                    <w14:schemeClr w14:val="tx1"/>
                  </w14:solidFill>
                </w14:textFill>
              </w:rPr>
            </w:pPr>
            <w:r>
              <w:rPr>
                <w:rFonts w:hint="default"/>
                <w:color w:val="000000" w:themeColor="text1"/>
                <w14:textFill>
                  <w14:solidFill>
                    <w14:schemeClr w14:val="tx1"/>
                  </w14:solidFill>
                </w14:textFill>
              </w:rPr>
              <w:t>南岳花都片原</w:t>
            </w:r>
            <w:r>
              <w:rPr>
                <w:rFonts w:hint="eastAsia"/>
                <w:color w:val="000000" w:themeColor="text1"/>
                <w:lang w:eastAsia="zh-CN"/>
                <w14:textFill>
                  <w14:solidFill>
                    <w14:schemeClr w14:val="tx1"/>
                  </w14:solidFill>
                </w14:textFill>
              </w:rPr>
              <w:t>为</w:t>
            </w:r>
            <w:r>
              <w:rPr>
                <w:rFonts w:hint="default"/>
                <w:color w:val="000000" w:themeColor="text1"/>
                <w14:textFill>
                  <w14:solidFill>
                    <w14:schemeClr w14:val="tx1"/>
                  </w14:solidFill>
                </w14:textFill>
              </w:rPr>
              <w:t>尹家冲泄洪通道，小区建设后泄洪通道由小区内管网代替，因管径偏小且管道年久失修，出现多处堵塞、损毁，排水不畅，大雨外部雨水汇入，导致小区积水。</w:t>
            </w:r>
          </w:p>
          <w:p w14:paraId="4286CB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衡山工业园片区雨污水管道建设滞后，排水能力不足：衡山工业园片区污水、雨水管网建设滞后，片区康复北路有雨水管收集该片区的雨水，然后排至下游河道，通过排涝泵站排至外河，但由于片区雨水管管径偏小，片区内涝水不能及时排至外河，形成关门淹的局面。同时片区后期有工业企业进入，结合远期规划，片区应建设相应的污水管道来满足后期污水收集处理的需求。</w:t>
            </w:r>
          </w:p>
          <w:p w14:paraId="28869F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雨污混流现象普遍，缺乏污水处理设施</w:t>
            </w:r>
          </w:p>
          <w:p w14:paraId="019C2A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居民区雨季时雨水与生活污水混合排放，导致污水量增加，且缺乏污水处理设施，未经处理的污水直接排入河流、湖泊，导致氮磷含量超标，引发水体富营养化，威胁饮用水安全和农业灌溉用水。</w:t>
            </w:r>
          </w:p>
          <w:p w14:paraId="4B42464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p w14:paraId="714619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p>
        </w:tc>
      </w:tr>
      <w:tr w14:paraId="42FDE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8" w:type="dxa"/>
            <w:tcBorders>
              <w:tl2br w:val="nil"/>
              <w:tr2bl w:val="nil"/>
            </w:tcBorders>
            <w:vAlign w:val="center"/>
          </w:tcPr>
          <w:p w14:paraId="329F8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生态环境保护目标</w:t>
            </w:r>
          </w:p>
        </w:tc>
        <w:tc>
          <w:tcPr>
            <w:tcW w:w="8026" w:type="dxa"/>
            <w:tcBorders>
              <w:tl2br w:val="nil"/>
              <w:tr2bl w:val="nil"/>
            </w:tcBorders>
            <w:vAlign w:val="center"/>
          </w:tcPr>
          <w:p w14:paraId="2C6D87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一、大气环境保护目标</w:t>
            </w:r>
          </w:p>
          <w:p w14:paraId="76703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本项目周边</w:t>
            </w:r>
            <w:r>
              <w:rPr>
                <w:rFonts w:hint="eastAsia"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00米范围内不存在自然保护区、风景名胜区和其他需要特殊保护的地区；主要环境保护目标为居民区，</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详见项目主要环境保护目标一览表</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23202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二、声环境保护目标</w:t>
            </w:r>
          </w:p>
          <w:p w14:paraId="24816C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根据现场调查，本项目沿线</w:t>
            </w:r>
            <w:r>
              <w:rPr>
                <w:rFonts w:hint="eastAsia" w:cs="Times New Roman"/>
                <w:color w:val="000000" w:themeColor="text1"/>
                <w:kern w:val="0"/>
                <w:sz w:val="24"/>
                <w:highlight w:val="none"/>
                <w:lang w:val="en-US" w:eastAsia="zh-CN"/>
                <w14:textFill>
                  <w14:solidFill>
                    <w14:schemeClr w14:val="tx1"/>
                  </w14:solidFill>
                </w14:textFill>
              </w:rPr>
              <w:t>20</w:t>
            </w:r>
            <w:r>
              <w:rPr>
                <w:rFonts w:hint="default" w:ascii="Times New Roman" w:hAnsi="Times New Roman" w:eastAsia="宋体" w:cs="Times New Roman"/>
                <w:color w:val="000000" w:themeColor="text1"/>
                <w:kern w:val="0"/>
                <w:sz w:val="24"/>
                <w:highlight w:val="none"/>
                <w14:textFill>
                  <w14:solidFill>
                    <w14:schemeClr w14:val="tx1"/>
                  </w14:solidFill>
                </w14:textFill>
              </w:rPr>
              <w:t>0</w:t>
            </w:r>
            <w:r>
              <w:rPr>
                <w:rFonts w:hint="eastAsia" w:cs="Times New Roman"/>
                <w:color w:val="000000" w:themeColor="text1"/>
                <w:kern w:val="0"/>
                <w:sz w:val="24"/>
                <w:highlight w:val="none"/>
                <w:lang w:eastAsia="zh-CN"/>
                <w14:textFill>
                  <w14:solidFill>
                    <w14:schemeClr w14:val="tx1"/>
                  </w14:solidFill>
                </w14:textFill>
              </w:rPr>
              <w:t>m</w:t>
            </w:r>
            <w:r>
              <w:rPr>
                <w:rFonts w:hint="default" w:ascii="Times New Roman" w:hAnsi="Times New Roman" w:eastAsia="宋体" w:cs="Times New Roman"/>
                <w:color w:val="000000" w:themeColor="text1"/>
                <w:kern w:val="0"/>
                <w:sz w:val="24"/>
                <w:highlight w:val="none"/>
                <w14:textFill>
                  <w14:solidFill>
                    <w14:schemeClr w14:val="tx1"/>
                  </w14:solidFill>
                </w14:textFill>
              </w:rPr>
              <w:t>范围内声环境保护目标</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主要为学校、行政办公场所、居民区，环境保护目标见环境保护目标一览表</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7E7C6F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三、地表水环境保护目标</w:t>
            </w:r>
          </w:p>
          <w:p w14:paraId="671354D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根据现场调查，本项目地表水环境保护目标为幽芳河、高庙河、柳林河、新店河</w:t>
            </w:r>
            <w:r>
              <w:rPr>
                <w:rFonts w:hint="eastAsia" w:cs="Times New Roman"/>
                <w:color w:val="000000" w:themeColor="text1"/>
                <w:kern w:val="0"/>
                <w:sz w:val="24"/>
                <w:szCs w:val="24"/>
                <w:highlight w:val="none"/>
                <w:lang w:eastAsia="zh-CN"/>
                <w14:textFill>
                  <w14:solidFill>
                    <w14:schemeClr w14:val="tx1"/>
                  </w14:solidFill>
                </w14:textFill>
              </w:rPr>
              <w:t>、</w:t>
            </w:r>
            <w:r>
              <w:rPr>
                <w:rFonts w:hint="eastAsia" w:ascii="宋体"/>
                <w:color w:val="000000" w:themeColor="text1"/>
                <w:sz w:val="24"/>
                <w:szCs w:val="24"/>
                <w:lang w:eastAsia="zh-CN"/>
                <w14:textFill>
                  <w14:solidFill>
                    <w14:schemeClr w14:val="tx1"/>
                  </w14:solidFill>
                </w14:textFill>
              </w:rPr>
              <w:t>东淠</w:t>
            </w:r>
            <w:r>
              <w:rPr>
                <w:rFonts w:hint="eastAsia" w:ascii="宋体" w:eastAsia="宋体"/>
                <w:color w:val="000000" w:themeColor="text1"/>
                <w:sz w:val="24"/>
                <w:szCs w:val="24"/>
                <w14:textFill>
                  <w14:solidFill>
                    <w14:schemeClr w14:val="tx1"/>
                  </w14:solidFill>
                </w14:textFill>
              </w:rPr>
              <w:t>河</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，详见主要环境保护目标一览表。</w:t>
            </w:r>
          </w:p>
          <w:p w14:paraId="495D7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四、地下水环境保护目标</w:t>
            </w:r>
          </w:p>
          <w:p w14:paraId="68ECF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根据现场调查，本项目不涉及地下水环境保护目标。</w:t>
            </w:r>
          </w:p>
          <w:p w14:paraId="0A74DD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五、生态环境保护目标</w:t>
            </w:r>
          </w:p>
          <w:p w14:paraId="35251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根据现场调查，本项目</w:t>
            </w:r>
            <w:r>
              <w:rPr>
                <w:rFonts w:hint="default" w:ascii="Times New Roman" w:hAnsi="Times New Roman" w:eastAsia="宋体" w:cs="Times New Roman"/>
                <w:color w:val="000000" w:themeColor="text1"/>
                <w:kern w:val="0"/>
                <w:sz w:val="24"/>
                <w:highlight w:val="none"/>
                <w14:textFill>
                  <w14:solidFill>
                    <w14:schemeClr w14:val="tx1"/>
                  </w14:solidFill>
                </w14:textFill>
              </w:rPr>
              <w:t>用地范围内及污水管线沿途不涉及生态红线</w:t>
            </w:r>
            <w:r>
              <w:rPr>
                <w:rFonts w:hint="eastAsia"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基本农田等内容</w:t>
            </w:r>
            <w:r>
              <w:rPr>
                <w:rFonts w:hint="eastAsia"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生态环境保护目标</w:t>
            </w:r>
            <w:r>
              <w:rPr>
                <w:rFonts w:hint="eastAsia" w:cs="Times New Roman"/>
                <w:color w:val="000000" w:themeColor="text1"/>
                <w:kern w:val="0"/>
                <w:sz w:val="24"/>
                <w:highlight w:val="none"/>
                <w:lang w:eastAsia="zh-CN"/>
                <w14:textFill>
                  <w14:solidFill>
                    <w14:schemeClr w14:val="tx1"/>
                  </w14:solidFill>
                </w14:textFill>
              </w:rPr>
              <w:t>主要为</w:t>
            </w:r>
            <w:r>
              <w:rPr>
                <w:rFonts w:hint="eastAsia" w:cs="Times New Roman"/>
                <w:color w:val="000000" w:themeColor="text1"/>
                <w:kern w:val="0"/>
                <w:sz w:val="24"/>
                <w:highlight w:val="none"/>
                <w:lang w:val="en-US" w:eastAsia="zh-CN"/>
                <w14:textFill>
                  <w14:solidFill>
                    <w14:schemeClr w14:val="tx1"/>
                  </w14:solidFill>
                </w14:textFill>
              </w:rPr>
              <w:t>施工河道水生生物、可能受项目施工活动影响及运输路线周边的植被、动物及区域内的鸟类。</w:t>
            </w:r>
          </w:p>
          <w:p w14:paraId="77BBB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本项目环境保护目标见表</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w:t>
            </w:r>
            <w:r>
              <w:rPr>
                <w:rFonts w:hint="eastAsia"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14:textFill>
                  <w14:solidFill>
                    <w14:schemeClr w14:val="tx1"/>
                  </w14:solidFill>
                </w14:textFill>
              </w:rPr>
              <w:t>。</w:t>
            </w:r>
          </w:p>
          <w:p w14:paraId="1E1FD325">
            <w:pPr>
              <w:keepNext w:val="0"/>
              <w:keepLines w:val="0"/>
              <w:suppressLineNumbers w:val="0"/>
              <w:bidi w:val="0"/>
              <w:spacing w:before="0" w:beforeAutospacing="0" w:after="0" w:afterAutospacing="0" w:line="240" w:lineRule="auto"/>
              <w:ind w:left="0" w:right="0"/>
              <w:jc w:val="center"/>
              <w:rPr>
                <w:rFonts w:hint="default"/>
                <w:b/>
                <w:bCs/>
                <w:color w:val="000000" w:themeColor="text1"/>
                <w14:textFill>
                  <w14:solidFill>
                    <w14:schemeClr w14:val="tx1"/>
                  </w14:solidFill>
                </w14:textFill>
              </w:rPr>
            </w:pPr>
            <w:r>
              <w:rPr>
                <w:rFonts w:hint="default"/>
                <w:b/>
                <w:bCs/>
                <w:color w:val="000000" w:themeColor="text1"/>
                <w14:textFill>
                  <w14:solidFill>
                    <w14:schemeClr w14:val="tx1"/>
                  </w14:solidFill>
                </w14:textFill>
              </w:rPr>
              <w:t>表</w:t>
            </w:r>
            <w:r>
              <w:rPr>
                <w:rFonts w:hint="default"/>
                <w:b/>
                <w:bCs/>
                <w:color w:val="000000" w:themeColor="text1"/>
                <w:lang w:val="en-US" w:eastAsia="zh-CN"/>
                <w14:textFill>
                  <w14:solidFill>
                    <w14:schemeClr w14:val="tx1"/>
                  </w14:solidFill>
                </w14:textFill>
              </w:rPr>
              <w:t>3-</w:t>
            </w:r>
            <w:r>
              <w:rPr>
                <w:rFonts w:hint="eastAsia"/>
                <w:b/>
                <w:bCs/>
                <w:color w:val="000000" w:themeColor="text1"/>
                <w:lang w:val="en-US" w:eastAsia="zh-CN"/>
                <w14:textFill>
                  <w14:solidFill>
                    <w14:schemeClr w14:val="tx1"/>
                  </w14:solidFill>
                </w14:textFill>
              </w:rPr>
              <w:t xml:space="preserve">2  </w:t>
            </w:r>
            <w:r>
              <w:rPr>
                <w:rFonts w:hint="default"/>
                <w:b/>
                <w:bCs/>
                <w:color w:val="000000" w:themeColor="text1"/>
                <w14:textFill>
                  <w14:solidFill>
                    <w14:schemeClr w14:val="tx1"/>
                  </w14:solidFill>
                </w14:textFill>
              </w:rPr>
              <w:t>项目主要环境保护目标一览表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84"/>
              <w:gridCol w:w="590"/>
              <w:gridCol w:w="1004"/>
              <w:gridCol w:w="1146"/>
              <w:gridCol w:w="1176"/>
              <w:gridCol w:w="668"/>
              <w:gridCol w:w="1042"/>
              <w:gridCol w:w="894"/>
              <w:gridCol w:w="796"/>
            </w:tblGrid>
            <w:tr w14:paraId="19F9194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tcBorders>
                    <w:tl2br w:val="nil"/>
                    <w:tr2bl w:val="nil"/>
                  </w:tcBorders>
                  <w:vAlign w:val="center"/>
                </w:tcPr>
                <w:p w14:paraId="3E75F99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环境</w:t>
                  </w:r>
                </w:p>
                <w:p w14:paraId="0BC6AB3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both"/>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要素</w:t>
                  </w:r>
                </w:p>
              </w:tc>
              <w:tc>
                <w:tcPr>
                  <w:tcW w:w="1594" w:type="dxa"/>
                  <w:gridSpan w:val="2"/>
                  <w:vMerge w:val="restart"/>
                  <w:tcBorders>
                    <w:tl2br w:val="nil"/>
                    <w:tr2bl w:val="nil"/>
                  </w:tcBorders>
                  <w:vAlign w:val="center"/>
                </w:tcPr>
                <w:p w14:paraId="74B195B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名称</w:t>
                  </w:r>
                </w:p>
              </w:tc>
              <w:tc>
                <w:tcPr>
                  <w:tcW w:w="2322" w:type="dxa"/>
                  <w:gridSpan w:val="2"/>
                  <w:tcBorders>
                    <w:tl2br w:val="nil"/>
                    <w:tr2bl w:val="nil"/>
                  </w:tcBorders>
                  <w:vAlign w:val="center"/>
                </w:tcPr>
                <w:p w14:paraId="6DB5F6D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坐标</w:t>
                  </w:r>
                </w:p>
              </w:tc>
              <w:tc>
                <w:tcPr>
                  <w:tcW w:w="668" w:type="dxa"/>
                  <w:vMerge w:val="restart"/>
                  <w:tcBorders>
                    <w:tl2br w:val="nil"/>
                    <w:tr2bl w:val="nil"/>
                  </w:tcBorders>
                  <w:vAlign w:val="center"/>
                </w:tcPr>
                <w:p w14:paraId="607D1A3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保护对象</w:t>
                  </w:r>
                </w:p>
              </w:tc>
              <w:tc>
                <w:tcPr>
                  <w:tcW w:w="1042" w:type="dxa"/>
                  <w:vMerge w:val="restart"/>
                  <w:tcBorders>
                    <w:tl2br w:val="nil"/>
                    <w:tr2bl w:val="nil"/>
                  </w:tcBorders>
                  <w:vAlign w:val="center"/>
                </w:tcPr>
                <w:p w14:paraId="66E3133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保护</w:t>
                  </w:r>
                </w:p>
                <w:p w14:paraId="71969CA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内容</w:t>
                  </w:r>
                </w:p>
              </w:tc>
              <w:tc>
                <w:tcPr>
                  <w:tcW w:w="894" w:type="dxa"/>
                  <w:vMerge w:val="restart"/>
                  <w:tcBorders>
                    <w:tl2br w:val="nil"/>
                    <w:tr2bl w:val="nil"/>
                  </w:tcBorders>
                  <w:vAlign w:val="center"/>
                </w:tcPr>
                <w:p w14:paraId="39A864A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相对本项目方位及距离</w:t>
                  </w:r>
                </w:p>
              </w:tc>
              <w:tc>
                <w:tcPr>
                  <w:tcW w:w="796" w:type="dxa"/>
                  <w:vMerge w:val="restart"/>
                  <w:tcBorders>
                    <w:tl2br w:val="nil"/>
                    <w:tr2bl w:val="nil"/>
                  </w:tcBorders>
                  <w:vAlign w:val="center"/>
                </w:tcPr>
                <w:p w14:paraId="3FAF828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环境功能区保护要求</w:t>
                  </w:r>
                </w:p>
              </w:tc>
            </w:tr>
            <w:tr w14:paraId="686A76B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D0A5916">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594" w:type="dxa"/>
                  <w:gridSpan w:val="2"/>
                  <w:vMerge w:val="continue"/>
                  <w:tcBorders>
                    <w:tl2br w:val="nil"/>
                    <w:tr2bl w:val="nil"/>
                  </w:tcBorders>
                  <w:vAlign w:val="center"/>
                </w:tcPr>
                <w:p w14:paraId="7412494A">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146" w:type="dxa"/>
                  <w:tcBorders>
                    <w:tl2br w:val="nil"/>
                    <w:tr2bl w:val="nil"/>
                  </w:tcBorders>
                  <w:vAlign w:val="center"/>
                </w:tcPr>
                <w:p w14:paraId="0FAB50A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经度</w:t>
                  </w:r>
                </w:p>
              </w:tc>
              <w:tc>
                <w:tcPr>
                  <w:tcW w:w="1176" w:type="dxa"/>
                  <w:tcBorders>
                    <w:tl2br w:val="nil"/>
                    <w:tr2bl w:val="nil"/>
                  </w:tcBorders>
                  <w:vAlign w:val="center"/>
                </w:tcPr>
                <w:p w14:paraId="785E97E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纬度</w:t>
                  </w:r>
                </w:p>
              </w:tc>
              <w:tc>
                <w:tcPr>
                  <w:tcW w:w="668" w:type="dxa"/>
                  <w:vMerge w:val="continue"/>
                  <w:tcBorders>
                    <w:tl2br w:val="nil"/>
                    <w:tr2bl w:val="nil"/>
                  </w:tcBorders>
                  <w:vAlign w:val="center"/>
                </w:tcPr>
                <w:p w14:paraId="08895504">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1042" w:type="dxa"/>
                  <w:vMerge w:val="continue"/>
                  <w:tcBorders>
                    <w:tl2br w:val="nil"/>
                    <w:tr2bl w:val="nil"/>
                  </w:tcBorders>
                  <w:vAlign w:val="center"/>
                </w:tcPr>
                <w:p w14:paraId="69992C8B">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894" w:type="dxa"/>
                  <w:vMerge w:val="continue"/>
                  <w:tcBorders>
                    <w:tl2br w:val="nil"/>
                    <w:tr2bl w:val="nil"/>
                  </w:tcBorders>
                  <w:vAlign w:val="center"/>
                </w:tcPr>
                <w:p w14:paraId="14F6EC17">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796" w:type="dxa"/>
                  <w:vMerge w:val="continue"/>
                  <w:tcBorders>
                    <w:tl2br w:val="nil"/>
                    <w:tr2bl w:val="nil"/>
                  </w:tcBorders>
                  <w:vAlign w:val="center"/>
                </w:tcPr>
                <w:p w14:paraId="13D2E9DF">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r>
            <w:tr w14:paraId="525DC2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tcBorders>
                    <w:tl2br w:val="nil"/>
                    <w:tr2bl w:val="nil"/>
                  </w:tcBorders>
                  <w:vAlign w:val="center"/>
                </w:tcPr>
                <w:p w14:paraId="18FA5D5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t>大气环境</w:t>
                  </w:r>
                </w:p>
              </w:tc>
              <w:tc>
                <w:tcPr>
                  <w:tcW w:w="590" w:type="dxa"/>
                  <w:vMerge w:val="restart"/>
                  <w:tcBorders>
                    <w:tl2br w:val="nil"/>
                    <w:tr2bl w:val="nil"/>
                  </w:tcBorders>
                  <w:shd w:val="clear" w:color="auto" w:fill="auto"/>
                  <w:vAlign w:val="center"/>
                </w:tcPr>
                <w:p w14:paraId="7201987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cs="Times New Roman"/>
                      <w:color w:val="000000" w:themeColor="text1"/>
                      <w:kern w:val="0"/>
                      <w:sz w:val="21"/>
                      <w:szCs w:val="21"/>
                      <w:highlight w:val="none"/>
                      <w:lang w:val="en-US" w:eastAsia="zh-CN" w:bidi="ar-SA"/>
                      <w14:textFill>
                        <w14:solidFill>
                          <w14:schemeClr w14:val="tx1"/>
                        </w14:solidFill>
                      </w14:textFill>
                    </w:rPr>
                    <w:t>新店河</w:t>
                  </w:r>
                </w:p>
              </w:tc>
              <w:tc>
                <w:tcPr>
                  <w:tcW w:w="1004" w:type="dxa"/>
                  <w:tcBorders>
                    <w:tl2br w:val="nil"/>
                    <w:tr2bl w:val="nil"/>
                  </w:tcBorders>
                  <w:shd w:val="clear" w:color="auto" w:fill="auto"/>
                  <w:vAlign w:val="center"/>
                </w:tcPr>
                <w:p w14:paraId="09C013B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印墩包子</w:t>
                  </w:r>
                </w:p>
              </w:tc>
              <w:tc>
                <w:tcPr>
                  <w:tcW w:w="1146" w:type="dxa"/>
                  <w:tcBorders>
                    <w:tl2br w:val="nil"/>
                    <w:tr2bl w:val="nil"/>
                  </w:tcBorders>
                  <w:shd w:val="clear" w:color="auto" w:fill="auto"/>
                  <w:vAlign w:val="center"/>
                </w:tcPr>
                <w:p w14:paraId="49A9A42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116.203595</w:t>
                  </w:r>
                </w:p>
              </w:tc>
              <w:tc>
                <w:tcPr>
                  <w:tcW w:w="1176" w:type="dxa"/>
                  <w:tcBorders>
                    <w:tl2br w:val="nil"/>
                    <w:tr2bl w:val="nil"/>
                  </w:tcBorders>
                  <w:shd w:val="clear" w:color="auto" w:fill="auto"/>
                  <w:vAlign w:val="center"/>
                </w:tcPr>
                <w:p w14:paraId="255B08B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31.447603</w:t>
                  </w:r>
                </w:p>
              </w:tc>
              <w:tc>
                <w:tcPr>
                  <w:tcW w:w="668" w:type="dxa"/>
                  <w:tcBorders>
                    <w:tl2br w:val="nil"/>
                    <w:tr2bl w:val="nil"/>
                  </w:tcBorders>
                  <w:shd w:val="clear" w:color="auto" w:fill="auto"/>
                  <w:vAlign w:val="center"/>
                </w:tcPr>
                <w:p w14:paraId="2CE4E28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shd w:val="clear" w:color="auto" w:fill="auto"/>
                  <w:vAlign w:val="center"/>
                </w:tcPr>
                <w:p w14:paraId="529236C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约30人</w:t>
                  </w:r>
                </w:p>
              </w:tc>
              <w:tc>
                <w:tcPr>
                  <w:tcW w:w="894" w:type="dxa"/>
                  <w:tcBorders>
                    <w:tl2br w:val="nil"/>
                    <w:tr2bl w:val="nil"/>
                  </w:tcBorders>
                  <w:shd w:val="clear" w:color="auto" w:fill="auto"/>
                  <w:vAlign w:val="center"/>
                </w:tcPr>
                <w:p w14:paraId="36DB4FD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N，32m</w:t>
                  </w:r>
                </w:p>
              </w:tc>
              <w:tc>
                <w:tcPr>
                  <w:tcW w:w="796" w:type="dxa"/>
                  <w:vMerge w:val="restart"/>
                  <w:tcBorders>
                    <w:tl2br w:val="nil"/>
                    <w:tr2bl w:val="nil"/>
                  </w:tcBorders>
                  <w:vAlign w:val="center"/>
                </w:tcPr>
                <w:p w14:paraId="15EE1FA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《环境空气质量标准》（GB3095-2012）及修改单及修改单中二级标准</w:t>
                  </w:r>
                </w:p>
              </w:tc>
            </w:tr>
            <w:tr w14:paraId="36B37FF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8B5098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427349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004" w:type="dxa"/>
                  <w:tcBorders>
                    <w:tl2br w:val="nil"/>
                    <w:tr2bl w:val="nil"/>
                  </w:tcBorders>
                  <w:vAlign w:val="center"/>
                </w:tcPr>
                <w:p w14:paraId="3993BA0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t>姜家粉坊</w:t>
                  </w:r>
                </w:p>
              </w:tc>
              <w:tc>
                <w:tcPr>
                  <w:tcW w:w="1146" w:type="dxa"/>
                  <w:tcBorders>
                    <w:tl2br w:val="nil"/>
                    <w:tr2bl w:val="nil"/>
                  </w:tcBorders>
                  <w:vAlign w:val="center"/>
                </w:tcPr>
                <w:p w14:paraId="02B5755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116.214547</w:t>
                  </w:r>
                </w:p>
              </w:tc>
              <w:tc>
                <w:tcPr>
                  <w:tcW w:w="1176" w:type="dxa"/>
                  <w:tcBorders>
                    <w:tl2br w:val="nil"/>
                    <w:tr2bl w:val="nil"/>
                  </w:tcBorders>
                  <w:vAlign w:val="center"/>
                </w:tcPr>
                <w:p w14:paraId="38044C2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31.443357</w:t>
                  </w:r>
                </w:p>
              </w:tc>
              <w:tc>
                <w:tcPr>
                  <w:tcW w:w="668" w:type="dxa"/>
                  <w:tcBorders>
                    <w:tl2br w:val="nil"/>
                    <w:tr2bl w:val="nil"/>
                  </w:tcBorders>
                  <w:vAlign w:val="center"/>
                </w:tcPr>
                <w:p w14:paraId="4DE923D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2F8C15B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约30人</w:t>
                  </w:r>
                </w:p>
              </w:tc>
              <w:tc>
                <w:tcPr>
                  <w:tcW w:w="894" w:type="dxa"/>
                  <w:tcBorders>
                    <w:tl2br w:val="nil"/>
                    <w:tr2bl w:val="nil"/>
                  </w:tcBorders>
                  <w:vAlign w:val="center"/>
                </w:tcPr>
                <w:p w14:paraId="110DD17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N，22m</w:t>
                  </w:r>
                </w:p>
              </w:tc>
              <w:tc>
                <w:tcPr>
                  <w:tcW w:w="796" w:type="dxa"/>
                  <w:vMerge w:val="continue"/>
                  <w:tcBorders>
                    <w:tl2br w:val="nil"/>
                    <w:tr2bl w:val="nil"/>
                  </w:tcBorders>
                  <w:vAlign w:val="center"/>
                </w:tcPr>
                <w:p w14:paraId="1558BF8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2E1D291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036C7D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4A2C3EE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lang w:val="en-US" w:eastAsia="zh-CN" w:bidi="ar-SA"/>
                      <w14:textFill>
                        <w14:solidFill>
                          <w14:schemeClr w14:val="tx1"/>
                        </w14:solidFill>
                      </w14:textFill>
                    </w:rPr>
                  </w:pPr>
                </w:p>
              </w:tc>
              <w:tc>
                <w:tcPr>
                  <w:tcW w:w="1004" w:type="dxa"/>
                  <w:tcBorders>
                    <w:tl2br w:val="nil"/>
                    <w:tr2bl w:val="nil"/>
                  </w:tcBorders>
                  <w:vAlign w:val="center"/>
                </w:tcPr>
                <w:p w14:paraId="073733C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散户1</w:t>
                  </w:r>
                </w:p>
              </w:tc>
              <w:tc>
                <w:tcPr>
                  <w:tcW w:w="1146" w:type="dxa"/>
                  <w:tcBorders>
                    <w:tl2br w:val="nil"/>
                    <w:tr2bl w:val="nil"/>
                  </w:tcBorders>
                  <w:vAlign w:val="center"/>
                </w:tcPr>
                <w:p w14:paraId="78AD44E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116.210778</w:t>
                  </w:r>
                </w:p>
              </w:tc>
              <w:tc>
                <w:tcPr>
                  <w:tcW w:w="1176" w:type="dxa"/>
                  <w:tcBorders>
                    <w:tl2br w:val="nil"/>
                    <w:tr2bl w:val="nil"/>
                  </w:tcBorders>
                  <w:vAlign w:val="center"/>
                </w:tcPr>
                <w:p w14:paraId="1DC54E4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31.444342</w:t>
                  </w:r>
                </w:p>
              </w:tc>
              <w:tc>
                <w:tcPr>
                  <w:tcW w:w="668" w:type="dxa"/>
                  <w:tcBorders>
                    <w:tl2br w:val="nil"/>
                    <w:tr2bl w:val="nil"/>
                  </w:tcBorders>
                  <w:vAlign w:val="center"/>
                </w:tcPr>
                <w:p w14:paraId="36F33C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2192C83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约6人</w:t>
                  </w:r>
                </w:p>
              </w:tc>
              <w:tc>
                <w:tcPr>
                  <w:tcW w:w="894" w:type="dxa"/>
                  <w:tcBorders>
                    <w:tl2br w:val="nil"/>
                    <w:tr2bl w:val="nil"/>
                  </w:tcBorders>
                  <w:vAlign w:val="center"/>
                </w:tcPr>
                <w:p w14:paraId="7E79718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N，20m</w:t>
                  </w:r>
                </w:p>
              </w:tc>
              <w:tc>
                <w:tcPr>
                  <w:tcW w:w="796" w:type="dxa"/>
                  <w:vMerge w:val="continue"/>
                  <w:tcBorders>
                    <w:tl2br w:val="nil"/>
                    <w:tr2bl w:val="nil"/>
                  </w:tcBorders>
                  <w:vAlign w:val="center"/>
                </w:tcPr>
                <w:p w14:paraId="090876B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628447D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611670A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44852CC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p>
              </w:tc>
              <w:tc>
                <w:tcPr>
                  <w:tcW w:w="1004" w:type="dxa"/>
                  <w:tcBorders>
                    <w:tl2br w:val="nil"/>
                    <w:tr2bl w:val="nil"/>
                  </w:tcBorders>
                  <w:vAlign w:val="center"/>
                </w:tcPr>
                <w:p w14:paraId="2AFD223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散户2</w:t>
                  </w:r>
                </w:p>
              </w:tc>
              <w:tc>
                <w:tcPr>
                  <w:tcW w:w="1146" w:type="dxa"/>
                  <w:tcBorders>
                    <w:tl2br w:val="nil"/>
                    <w:tr2bl w:val="nil"/>
                  </w:tcBorders>
                  <w:vAlign w:val="center"/>
                </w:tcPr>
                <w:p w14:paraId="4EC5FC2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116.214093</w:t>
                  </w:r>
                </w:p>
              </w:tc>
              <w:tc>
                <w:tcPr>
                  <w:tcW w:w="1176" w:type="dxa"/>
                  <w:tcBorders>
                    <w:tl2br w:val="nil"/>
                    <w:tr2bl w:val="nil"/>
                  </w:tcBorders>
                  <w:vAlign w:val="center"/>
                </w:tcPr>
                <w:p w14:paraId="79B0636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31.442024</w:t>
                  </w:r>
                </w:p>
              </w:tc>
              <w:tc>
                <w:tcPr>
                  <w:tcW w:w="668" w:type="dxa"/>
                  <w:tcBorders>
                    <w:tl2br w:val="nil"/>
                    <w:tr2bl w:val="nil"/>
                  </w:tcBorders>
                  <w:vAlign w:val="center"/>
                </w:tcPr>
                <w:p w14:paraId="5BF76D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39548E3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约21人</w:t>
                  </w:r>
                </w:p>
              </w:tc>
              <w:tc>
                <w:tcPr>
                  <w:tcW w:w="894" w:type="dxa"/>
                  <w:tcBorders>
                    <w:tl2br w:val="nil"/>
                    <w:tr2bl w:val="nil"/>
                  </w:tcBorders>
                  <w:vAlign w:val="center"/>
                </w:tcPr>
                <w:p w14:paraId="4FF19EA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N，127m</w:t>
                  </w:r>
                </w:p>
              </w:tc>
              <w:tc>
                <w:tcPr>
                  <w:tcW w:w="796" w:type="dxa"/>
                  <w:vMerge w:val="continue"/>
                  <w:tcBorders>
                    <w:tl2br w:val="nil"/>
                    <w:tr2bl w:val="nil"/>
                  </w:tcBorders>
                  <w:vAlign w:val="center"/>
                </w:tcPr>
                <w:p w14:paraId="7E64D1E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5D100824">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07A73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1D1ECE4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04" w:type="dxa"/>
                  <w:tcBorders>
                    <w:tl2br w:val="nil"/>
                    <w:tr2bl w:val="nil"/>
                  </w:tcBorders>
                  <w:vAlign w:val="center"/>
                </w:tcPr>
                <w:p w14:paraId="73D8FCA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散户3</w:t>
                  </w:r>
                </w:p>
              </w:tc>
              <w:tc>
                <w:tcPr>
                  <w:tcW w:w="1146" w:type="dxa"/>
                  <w:tcBorders>
                    <w:tl2br w:val="nil"/>
                    <w:tr2bl w:val="nil"/>
                  </w:tcBorders>
                  <w:vAlign w:val="center"/>
                </w:tcPr>
                <w:p w14:paraId="4B26BEE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116.217805</w:t>
                  </w:r>
                </w:p>
              </w:tc>
              <w:tc>
                <w:tcPr>
                  <w:tcW w:w="1176" w:type="dxa"/>
                  <w:tcBorders>
                    <w:tl2br w:val="nil"/>
                    <w:tr2bl w:val="nil"/>
                  </w:tcBorders>
                  <w:vAlign w:val="center"/>
                </w:tcPr>
                <w:p w14:paraId="68BA925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31.443634</w:t>
                  </w:r>
                </w:p>
              </w:tc>
              <w:tc>
                <w:tcPr>
                  <w:tcW w:w="668" w:type="dxa"/>
                  <w:tcBorders>
                    <w:tl2br w:val="nil"/>
                    <w:tr2bl w:val="nil"/>
                  </w:tcBorders>
                  <w:vAlign w:val="center"/>
                </w:tcPr>
                <w:p w14:paraId="3A3FE2F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223EF72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约16人</w:t>
                  </w:r>
                </w:p>
              </w:tc>
              <w:tc>
                <w:tcPr>
                  <w:tcW w:w="894" w:type="dxa"/>
                  <w:tcBorders>
                    <w:tl2br w:val="nil"/>
                    <w:tr2bl w:val="nil"/>
                  </w:tcBorders>
                  <w:vAlign w:val="center"/>
                </w:tcPr>
                <w:p w14:paraId="04C185E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W，28m</w:t>
                  </w:r>
                </w:p>
              </w:tc>
              <w:tc>
                <w:tcPr>
                  <w:tcW w:w="796" w:type="dxa"/>
                  <w:vMerge w:val="continue"/>
                  <w:tcBorders>
                    <w:tl2br w:val="nil"/>
                    <w:tr2bl w:val="nil"/>
                  </w:tcBorders>
                  <w:vAlign w:val="center"/>
                </w:tcPr>
                <w:p w14:paraId="4F0DD61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4E263E8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E8BCC0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shd w:val="clear" w:color="auto" w:fill="auto"/>
                  <w:vAlign w:val="center"/>
                </w:tcPr>
                <w:p w14:paraId="0F3D692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004" w:type="dxa"/>
                  <w:tcBorders>
                    <w:tl2br w:val="nil"/>
                    <w:tr2bl w:val="nil"/>
                  </w:tcBorders>
                  <w:shd w:val="clear" w:color="auto" w:fill="auto"/>
                  <w:vAlign w:val="center"/>
                </w:tcPr>
                <w:p w14:paraId="7A85386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胡家院</w:t>
                  </w:r>
                </w:p>
              </w:tc>
              <w:tc>
                <w:tcPr>
                  <w:tcW w:w="1146" w:type="dxa"/>
                  <w:tcBorders>
                    <w:tl2br w:val="nil"/>
                    <w:tr2bl w:val="nil"/>
                  </w:tcBorders>
                  <w:shd w:val="clear" w:color="auto" w:fill="auto"/>
                  <w:vAlign w:val="center"/>
                </w:tcPr>
                <w:p w14:paraId="1D70DDE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116.230410</w:t>
                  </w:r>
                </w:p>
              </w:tc>
              <w:tc>
                <w:tcPr>
                  <w:tcW w:w="1176" w:type="dxa"/>
                  <w:tcBorders>
                    <w:tl2br w:val="nil"/>
                    <w:tr2bl w:val="nil"/>
                  </w:tcBorders>
                  <w:shd w:val="clear" w:color="auto" w:fill="auto"/>
                  <w:vAlign w:val="center"/>
                </w:tcPr>
                <w:p w14:paraId="577F2B0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31.433496</w:t>
                  </w:r>
                </w:p>
              </w:tc>
              <w:tc>
                <w:tcPr>
                  <w:tcW w:w="668" w:type="dxa"/>
                  <w:tcBorders>
                    <w:tl2br w:val="nil"/>
                    <w:tr2bl w:val="nil"/>
                  </w:tcBorders>
                  <w:shd w:val="clear" w:color="auto" w:fill="auto"/>
                  <w:vAlign w:val="center"/>
                </w:tcPr>
                <w:p w14:paraId="77D2675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shd w:val="clear" w:color="auto" w:fill="auto"/>
                  <w:vAlign w:val="center"/>
                </w:tcPr>
                <w:p w14:paraId="2C9010F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约27人</w:t>
                  </w:r>
                </w:p>
              </w:tc>
              <w:tc>
                <w:tcPr>
                  <w:tcW w:w="894" w:type="dxa"/>
                  <w:tcBorders>
                    <w:tl2br w:val="nil"/>
                    <w:tr2bl w:val="nil"/>
                  </w:tcBorders>
                  <w:shd w:val="clear" w:color="auto" w:fill="auto"/>
                  <w:vAlign w:val="center"/>
                </w:tcPr>
                <w:p w14:paraId="71B9483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N，194m</w:t>
                  </w:r>
                </w:p>
              </w:tc>
              <w:tc>
                <w:tcPr>
                  <w:tcW w:w="796" w:type="dxa"/>
                  <w:vMerge w:val="continue"/>
                  <w:tcBorders>
                    <w:tl2br w:val="nil"/>
                    <w:tr2bl w:val="nil"/>
                  </w:tcBorders>
                  <w:vAlign w:val="center"/>
                </w:tcPr>
                <w:p w14:paraId="5351DE0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3E851EB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0BF1B3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shd w:val="clear" w:color="auto" w:fill="auto"/>
                  <w:vAlign w:val="center"/>
                </w:tcPr>
                <w:p w14:paraId="19E8757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004" w:type="dxa"/>
                  <w:tcBorders>
                    <w:tl2br w:val="nil"/>
                    <w:tr2bl w:val="nil"/>
                  </w:tcBorders>
                  <w:shd w:val="clear" w:color="auto" w:fill="auto"/>
                  <w:vAlign w:val="center"/>
                </w:tcPr>
                <w:p w14:paraId="34715B8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散户4</w:t>
                  </w:r>
                </w:p>
              </w:tc>
              <w:tc>
                <w:tcPr>
                  <w:tcW w:w="1146" w:type="dxa"/>
                  <w:tcBorders>
                    <w:tl2br w:val="nil"/>
                    <w:tr2bl w:val="nil"/>
                  </w:tcBorders>
                  <w:shd w:val="clear" w:color="auto" w:fill="auto"/>
                  <w:vAlign w:val="center"/>
                </w:tcPr>
                <w:p w14:paraId="1ACE11C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116.235100</w:t>
                  </w:r>
                </w:p>
              </w:tc>
              <w:tc>
                <w:tcPr>
                  <w:tcW w:w="1176" w:type="dxa"/>
                  <w:tcBorders>
                    <w:tl2br w:val="nil"/>
                    <w:tr2bl w:val="nil"/>
                  </w:tcBorders>
                  <w:shd w:val="clear" w:color="auto" w:fill="auto"/>
                  <w:vAlign w:val="center"/>
                </w:tcPr>
                <w:p w14:paraId="6377C8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31.430631</w:t>
                  </w:r>
                </w:p>
              </w:tc>
              <w:tc>
                <w:tcPr>
                  <w:tcW w:w="668" w:type="dxa"/>
                  <w:tcBorders>
                    <w:tl2br w:val="nil"/>
                    <w:tr2bl w:val="nil"/>
                  </w:tcBorders>
                  <w:shd w:val="clear" w:color="auto" w:fill="auto"/>
                  <w:vAlign w:val="center"/>
                </w:tcPr>
                <w:p w14:paraId="56B3B90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shd w:val="clear" w:color="auto" w:fill="auto"/>
                  <w:vAlign w:val="center"/>
                </w:tcPr>
                <w:p w14:paraId="7530FB0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约21人</w:t>
                  </w:r>
                </w:p>
              </w:tc>
              <w:tc>
                <w:tcPr>
                  <w:tcW w:w="894" w:type="dxa"/>
                  <w:tcBorders>
                    <w:tl2br w:val="nil"/>
                    <w:tr2bl w:val="nil"/>
                  </w:tcBorders>
                  <w:shd w:val="clear" w:color="auto" w:fill="auto"/>
                  <w:vAlign w:val="center"/>
                </w:tcPr>
                <w:p w14:paraId="53A29FA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N，15m</w:t>
                  </w:r>
                </w:p>
              </w:tc>
              <w:tc>
                <w:tcPr>
                  <w:tcW w:w="796" w:type="dxa"/>
                  <w:vMerge w:val="continue"/>
                  <w:tcBorders>
                    <w:tl2br w:val="nil"/>
                    <w:tr2bl w:val="nil"/>
                  </w:tcBorders>
                  <w:vAlign w:val="center"/>
                </w:tcPr>
                <w:p w14:paraId="07CC146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546A58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FCE959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shd w:val="clear" w:color="auto" w:fill="auto"/>
                  <w:vAlign w:val="center"/>
                </w:tcPr>
                <w:p w14:paraId="1EF16F0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p>
              </w:tc>
              <w:tc>
                <w:tcPr>
                  <w:tcW w:w="1004" w:type="dxa"/>
                  <w:tcBorders>
                    <w:tl2br w:val="nil"/>
                    <w:tr2bl w:val="nil"/>
                  </w:tcBorders>
                  <w:shd w:val="clear" w:color="auto" w:fill="auto"/>
                  <w:vAlign w:val="center"/>
                </w:tcPr>
                <w:p w14:paraId="718CEF6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散户5</w:t>
                  </w:r>
                </w:p>
              </w:tc>
              <w:tc>
                <w:tcPr>
                  <w:tcW w:w="1146" w:type="dxa"/>
                  <w:tcBorders>
                    <w:tl2br w:val="nil"/>
                    <w:tr2bl w:val="nil"/>
                  </w:tcBorders>
                  <w:shd w:val="clear" w:color="auto" w:fill="auto"/>
                  <w:vAlign w:val="center"/>
                </w:tcPr>
                <w:p w14:paraId="2282D4F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116.240459</w:t>
                  </w:r>
                </w:p>
              </w:tc>
              <w:tc>
                <w:tcPr>
                  <w:tcW w:w="1176" w:type="dxa"/>
                  <w:tcBorders>
                    <w:tl2br w:val="nil"/>
                    <w:tr2bl w:val="nil"/>
                  </w:tcBorders>
                  <w:shd w:val="clear" w:color="auto" w:fill="auto"/>
                  <w:vAlign w:val="center"/>
                </w:tcPr>
                <w:p w14:paraId="72B6978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31.428828</w:t>
                  </w:r>
                </w:p>
              </w:tc>
              <w:tc>
                <w:tcPr>
                  <w:tcW w:w="668" w:type="dxa"/>
                  <w:tcBorders>
                    <w:tl2br w:val="nil"/>
                    <w:tr2bl w:val="nil"/>
                  </w:tcBorders>
                  <w:shd w:val="clear" w:color="auto" w:fill="auto"/>
                  <w:vAlign w:val="center"/>
                </w:tcPr>
                <w:p w14:paraId="4CE1626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shd w:val="clear" w:color="auto" w:fill="auto"/>
                  <w:vAlign w:val="center"/>
                </w:tcPr>
                <w:p w14:paraId="3F89138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约10人</w:t>
                  </w:r>
                </w:p>
              </w:tc>
              <w:tc>
                <w:tcPr>
                  <w:tcW w:w="894" w:type="dxa"/>
                  <w:tcBorders>
                    <w:tl2br w:val="nil"/>
                    <w:tr2bl w:val="nil"/>
                  </w:tcBorders>
                  <w:shd w:val="clear" w:color="auto" w:fill="auto"/>
                  <w:vAlign w:val="center"/>
                </w:tcPr>
                <w:p w14:paraId="7E1EBE5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N，74m</w:t>
                  </w:r>
                </w:p>
              </w:tc>
              <w:tc>
                <w:tcPr>
                  <w:tcW w:w="796" w:type="dxa"/>
                  <w:vMerge w:val="continue"/>
                  <w:tcBorders>
                    <w:tl2br w:val="nil"/>
                    <w:tr2bl w:val="nil"/>
                  </w:tcBorders>
                  <w:vAlign w:val="center"/>
                </w:tcPr>
                <w:p w14:paraId="57A609D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0E2856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DC58D4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62FB535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04" w:type="dxa"/>
                  <w:tcBorders>
                    <w:tl2br w:val="nil"/>
                    <w:tr2bl w:val="nil"/>
                  </w:tcBorders>
                  <w:vAlign w:val="center"/>
                </w:tcPr>
                <w:p w14:paraId="2AEBE49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陶家湾</w:t>
                  </w:r>
                </w:p>
              </w:tc>
              <w:tc>
                <w:tcPr>
                  <w:tcW w:w="1146" w:type="dxa"/>
                  <w:tcBorders>
                    <w:tl2br w:val="nil"/>
                    <w:tr2bl w:val="nil"/>
                  </w:tcBorders>
                  <w:vAlign w:val="center"/>
                </w:tcPr>
                <w:p w14:paraId="06871AF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116.244487</w:t>
                  </w:r>
                </w:p>
              </w:tc>
              <w:tc>
                <w:tcPr>
                  <w:tcW w:w="1176" w:type="dxa"/>
                  <w:tcBorders>
                    <w:tl2br w:val="nil"/>
                    <w:tr2bl w:val="nil"/>
                  </w:tcBorders>
                  <w:vAlign w:val="center"/>
                </w:tcPr>
                <w:p w14:paraId="5E8CA25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31.428453</w:t>
                  </w:r>
                </w:p>
              </w:tc>
              <w:tc>
                <w:tcPr>
                  <w:tcW w:w="668" w:type="dxa"/>
                  <w:tcBorders>
                    <w:tl2br w:val="nil"/>
                    <w:tr2bl w:val="nil"/>
                  </w:tcBorders>
                  <w:vAlign w:val="center"/>
                </w:tcPr>
                <w:p w14:paraId="2C49A71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16976F3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约10人</w:t>
                  </w:r>
                </w:p>
              </w:tc>
              <w:tc>
                <w:tcPr>
                  <w:tcW w:w="894" w:type="dxa"/>
                  <w:tcBorders>
                    <w:tl2br w:val="nil"/>
                    <w:tr2bl w:val="nil"/>
                  </w:tcBorders>
                  <w:vAlign w:val="center"/>
                </w:tcPr>
                <w:p w14:paraId="77C64B4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S，33m</w:t>
                  </w:r>
                </w:p>
              </w:tc>
              <w:tc>
                <w:tcPr>
                  <w:tcW w:w="796" w:type="dxa"/>
                  <w:vMerge w:val="continue"/>
                  <w:tcBorders>
                    <w:tl2br w:val="nil"/>
                    <w:tr2bl w:val="nil"/>
                  </w:tcBorders>
                  <w:vAlign w:val="center"/>
                </w:tcPr>
                <w:p w14:paraId="318D6DD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4BC5F02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459307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2931B2D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004" w:type="dxa"/>
                  <w:tcBorders>
                    <w:tl2br w:val="nil"/>
                    <w:tr2bl w:val="nil"/>
                  </w:tcBorders>
                  <w:vAlign w:val="center"/>
                </w:tcPr>
                <w:p w14:paraId="0B514DF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香花岭</w:t>
                  </w:r>
                </w:p>
              </w:tc>
              <w:tc>
                <w:tcPr>
                  <w:tcW w:w="1146" w:type="dxa"/>
                  <w:tcBorders>
                    <w:tl2br w:val="nil"/>
                    <w:tr2bl w:val="nil"/>
                  </w:tcBorders>
                  <w:vAlign w:val="center"/>
                </w:tcPr>
                <w:p w14:paraId="5C2B930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116.253778</w:t>
                  </w:r>
                </w:p>
              </w:tc>
              <w:tc>
                <w:tcPr>
                  <w:tcW w:w="1176" w:type="dxa"/>
                  <w:tcBorders>
                    <w:tl2br w:val="nil"/>
                    <w:tr2bl w:val="nil"/>
                  </w:tcBorders>
                  <w:vAlign w:val="center"/>
                </w:tcPr>
                <w:p w14:paraId="5C457C3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31.424017</w:t>
                  </w:r>
                </w:p>
              </w:tc>
              <w:tc>
                <w:tcPr>
                  <w:tcW w:w="668" w:type="dxa"/>
                  <w:tcBorders>
                    <w:tl2br w:val="nil"/>
                    <w:tr2bl w:val="nil"/>
                  </w:tcBorders>
                  <w:vAlign w:val="center"/>
                </w:tcPr>
                <w:p w14:paraId="0302A2D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600BC7C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约50人</w:t>
                  </w:r>
                </w:p>
              </w:tc>
              <w:tc>
                <w:tcPr>
                  <w:tcW w:w="894" w:type="dxa"/>
                  <w:tcBorders>
                    <w:tl2br w:val="nil"/>
                    <w:tr2bl w:val="nil"/>
                  </w:tcBorders>
                  <w:vAlign w:val="center"/>
                </w:tcPr>
                <w:p w14:paraId="41799AE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N，98m</w:t>
                  </w:r>
                </w:p>
              </w:tc>
              <w:tc>
                <w:tcPr>
                  <w:tcW w:w="796" w:type="dxa"/>
                  <w:vMerge w:val="continue"/>
                  <w:tcBorders>
                    <w:tl2br w:val="nil"/>
                    <w:tr2bl w:val="nil"/>
                  </w:tcBorders>
                  <w:vAlign w:val="center"/>
                </w:tcPr>
                <w:p w14:paraId="412C86E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58E9870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3273A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38125D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326" w:type="dxa"/>
                  <w:gridSpan w:val="3"/>
                  <w:tcBorders>
                    <w:tl2br w:val="nil"/>
                    <w:tr2bl w:val="nil"/>
                  </w:tcBorders>
                  <w:vAlign w:val="center"/>
                </w:tcPr>
                <w:p w14:paraId="1B3DA00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沿线两侧200m范围内敏感点</w:t>
                  </w:r>
                </w:p>
              </w:tc>
              <w:tc>
                <w:tcPr>
                  <w:tcW w:w="668" w:type="dxa"/>
                  <w:tcBorders>
                    <w:tl2br w:val="nil"/>
                    <w:tr2bl w:val="nil"/>
                  </w:tcBorders>
                  <w:vAlign w:val="center"/>
                </w:tcPr>
                <w:p w14:paraId="0E88F6A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olor w:val="000000" w:themeColor="text1"/>
                      <w:sz w:val="21"/>
                      <w:szCs w:val="21"/>
                      <w14:textFill>
                        <w14:solidFill>
                          <w14:schemeClr w14:val="tx1"/>
                        </w14:solidFill>
                      </w14:textFill>
                    </w:rPr>
                    <w:t>村庄</w:t>
                  </w:r>
                  <w:r>
                    <w:rPr>
                      <w:rFonts w:hint="eastAsia"/>
                      <w:color w:val="000000" w:themeColor="text1"/>
                      <w:sz w:val="21"/>
                      <w:szCs w:val="21"/>
                      <w:lang w:eastAsia="zh-CN"/>
                      <w14:textFill>
                        <w14:solidFill>
                          <w14:schemeClr w14:val="tx1"/>
                        </w14:solidFill>
                      </w14:textFill>
                    </w:rPr>
                    <w:t>、散户</w:t>
                  </w:r>
                </w:p>
              </w:tc>
              <w:tc>
                <w:tcPr>
                  <w:tcW w:w="1042" w:type="dxa"/>
                  <w:tcBorders>
                    <w:tl2br w:val="nil"/>
                    <w:tr2bl w:val="nil"/>
                  </w:tcBorders>
                  <w:vAlign w:val="center"/>
                </w:tcPr>
                <w:p w14:paraId="0F826AE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eastAsia" w:cs="Times New Roman"/>
                      <w:color w:val="000000" w:themeColor="text1"/>
                      <w:kern w:val="0"/>
                      <w:sz w:val="21"/>
                      <w:szCs w:val="21"/>
                      <w:highlight w:val="none"/>
                      <w:shd w:val="clear" w:color="FFFFFF" w:fill="D9D9D9"/>
                      <w:lang w:val="en-US" w:eastAsia="zh-CN"/>
                      <w14:textFill>
                        <w14:solidFill>
                          <w14:schemeClr w14:val="tx1"/>
                        </w14:solidFill>
                      </w14:textFill>
                    </w:rPr>
                    <w:t>/</w:t>
                  </w:r>
                </w:p>
              </w:tc>
              <w:tc>
                <w:tcPr>
                  <w:tcW w:w="894" w:type="dxa"/>
                  <w:tcBorders>
                    <w:tl2br w:val="nil"/>
                    <w:tr2bl w:val="nil"/>
                  </w:tcBorders>
                  <w:vAlign w:val="center"/>
                </w:tcPr>
                <w:p w14:paraId="4F72A82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shd w:val="clear" w:color="FFFFFF" w:fill="D9D9D9"/>
                      <w:lang w:val="en-US" w:eastAsia="zh-CN"/>
                      <w14:textFill>
                        <w14:solidFill>
                          <w14:schemeClr w14:val="tx1"/>
                        </w14:solidFill>
                      </w14:textFill>
                    </w:rPr>
                    <w:t>/</w:t>
                  </w:r>
                </w:p>
              </w:tc>
              <w:tc>
                <w:tcPr>
                  <w:tcW w:w="796" w:type="dxa"/>
                  <w:vMerge w:val="continue"/>
                  <w:tcBorders>
                    <w:tl2br w:val="nil"/>
                    <w:tr2bl w:val="nil"/>
                  </w:tcBorders>
                  <w:vAlign w:val="center"/>
                </w:tcPr>
                <w:p w14:paraId="3341E2D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648DD37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C7128E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restart"/>
                  <w:tcBorders>
                    <w:tl2br w:val="nil"/>
                    <w:tr2bl w:val="nil"/>
                  </w:tcBorders>
                  <w:vAlign w:val="center"/>
                </w:tcPr>
                <w:p w14:paraId="728559F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戴家河排涝片</w:t>
                  </w:r>
                </w:p>
              </w:tc>
              <w:tc>
                <w:tcPr>
                  <w:tcW w:w="1004" w:type="dxa"/>
                  <w:tcBorders>
                    <w:tl2br w:val="nil"/>
                    <w:tr2bl w:val="nil"/>
                  </w:tcBorders>
                  <w:vAlign w:val="center"/>
                </w:tcPr>
                <w:p w14:paraId="789FEBB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月牙塘</w:t>
                  </w:r>
                </w:p>
              </w:tc>
              <w:tc>
                <w:tcPr>
                  <w:tcW w:w="1146" w:type="dxa"/>
                  <w:tcBorders>
                    <w:tl2br w:val="nil"/>
                    <w:tr2bl w:val="nil"/>
                  </w:tcBorders>
                  <w:vAlign w:val="center"/>
                </w:tcPr>
                <w:p w14:paraId="713489E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t>116.264828</w:t>
                  </w:r>
                </w:p>
              </w:tc>
              <w:tc>
                <w:tcPr>
                  <w:tcW w:w="1176" w:type="dxa"/>
                  <w:tcBorders>
                    <w:tl2br w:val="nil"/>
                    <w:tr2bl w:val="nil"/>
                  </w:tcBorders>
                  <w:vAlign w:val="center"/>
                </w:tcPr>
                <w:p w14:paraId="781D709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t>31.430978</w:t>
                  </w:r>
                </w:p>
              </w:tc>
              <w:tc>
                <w:tcPr>
                  <w:tcW w:w="668" w:type="dxa"/>
                  <w:tcBorders>
                    <w:tl2br w:val="nil"/>
                    <w:tr2bl w:val="nil"/>
                  </w:tcBorders>
                  <w:vAlign w:val="center"/>
                </w:tcPr>
                <w:p w14:paraId="359F183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22320B7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约24人</w:t>
                  </w:r>
                </w:p>
              </w:tc>
              <w:tc>
                <w:tcPr>
                  <w:tcW w:w="894" w:type="dxa"/>
                  <w:tcBorders>
                    <w:tl2br w:val="nil"/>
                    <w:tr2bl w:val="nil"/>
                  </w:tcBorders>
                  <w:vAlign w:val="center"/>
                </w:tcPr>
                <w:p w14:paraId="40E2084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E，35m</w:t>
                  </w:r>
                </w:p>
              </w:tc>
              <w:tc>
                <w:tcPr>
                  <w:tcW w:w="796" w:type="dxa"/>
                  <w:vMerge w:val="continue"/>
                  <w:tcBorders>
                    <w:tl2br w:val="nil"/>
                    <w:tr2bl w:val="nil"/>
                  </w:tcBorders>
                  <w:vAlign w:val="center"/>
                </w:tcPr>
                <w:p w14:paraId="501F549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42E6BCA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3B22DC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00EEEB8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004" w:type="dxa"/>
                  <w:tcBorders>
                    <w:tl2br w:val="nil"/>
                    <w:tr2bl w:val="nil"/>
                  </w:tcBorders>
                  <w:vAlign w:val="center"/>
                </w:tcPr>
                <w:p w14:paraId="7853D74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散户6</w:t>
                  </w:r>
                </w:p>
              </w:tc>
              <w:tc>
                <w:tcPr>
                  <w:tcW w:w="1146" w:type="dxa"/>
                  <w:tcBorders>
                    <w:tl2br w:val="nil"/>
                    <w:tr2bl w:val="nil"/>
                  </w:tcBorders>
                  <w:vAlign w:val="center"/>
                </w:tcPr>
                <w:p w14:paraId="5D4F282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t>116.256691</w:t>
                  </w:r>
                </w:p>
              </w:tc>
              <w:tc>
                <w:tcPr>
                  <w:tcW w:w="1176" w:type="dxa"/>
                  <w:tcBorders>
                    <w:tl2br w:val="nil"/>
                    <w:tr2bl w:val="nil"/>
                  </w:tcBorders>
                  <w:vAlign w:val="center"/>
                </w:tcPr>
                <w:p w14:paraId="12E05C0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t>31.432723</w:t>
                  </w:r>
                </w:p>
              </w:tc>
              <w:tc>
                <w:tcPr>
                  <w:tcW w:w="668" w:type="dxa"/>
                  <w:tcBorders>
                    <w:tl2br w:val="nil"/>
                    <w:tr2bl w:val="nil"/>
                  </w:tcBorders>
                  <w:vAlign w:val="center"/>
                </w:tcPr>
                <w:p w14:paraId="2832DA2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居民</w:t>
                  </w:r>
                </w:p>
              </w:tc>
              <w:tc>
                <w:tcPr>
                  <w:tcW w:w="1042" w:type="dxa"/>
                  <w:tcBorders>
                    <w:tl2br w:val="nil"/>
                    <w:tr2bl w:val="nil"/>
                  </w:tcBorders>
                  <w:vAlign w:val="center"/>
                </w:tcPr>
                <w:p w14:paraId="24BD478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约20人</w:t>
                  </w:r>
                </w:p>
              </w:tc>
              <w:tc>
                <w:tcPr>
                  <w:tcW w:w="894" w:type="dxa"/>
                  <w:tcBorders>
                    <w:tl2br w:val="nil"/>
                    <w:tr2bl w:val="nil"/>
                  </w:tcBorders>
                  <w:vAlign w:val="center"/>
                </w:tcPr>
                <w:p w14:paraId="779D69F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W，46m</w:t>
                  </w:r>
                </w:p>
              </w:tc>
              <w:tc>
                <w:tcPr>
                  <w:tcW w:w="796" w:type="dxa"/>
                  <w:vMerge w:val="continue"/>
                  <w:tcBorders>
                    <w:tl2br w:val="nil"/>
                    <w:tr2bl w:val="nil"/>
                  </w:tcBorders>
                  <w:vAlign w:val="center"/>
                </w:tcPr>
                <w:p w14:paraId="2EE0D2F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54FE80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69C0B9A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796F9B7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p>
              </w:tc>
              <w:tc>
                <w:tcPr>
                  <w:tcW w:w="1004" w:type="dxa"/>
                  <w:tcBorders>
                    <w:tl2br w:val="nil"/>
                    <w:tr2bl w:val="nil"/>
                  </w:tcBorders>
                  <w:vAlign w:val="center"/>
                </w:tcPr>
                <w:p w14:paraId="5E62B59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客人河</w:t>
                  </w:r>
                </w:p>
              </w:tc>
              <w:tc>
                <w:tcPr>
                  <w:tcW w:w="1146" w:type="dxa"/>
                  <w:tcBorders>
                    <w:tl2br w:val="nil"/>
                    <w:tr2bl w:val="nil"/>
                  </w:tcBorders>
                  <w:vAlign w:val="center"/>
                </w:tcPr>
                <w:p w14:paraId="37D703A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116.254449</w:t>
                  </w:r>
                </w:p>
              </w:tc>
              <w:tc>
                <w:tcPr>
                  <w:tcW w:w="1176" w:type="dxa"/>
                  <w:tcBorders>
                    <w:tl2br w:val="nil"/>
                    <w:tr2bl w:val="nil"/>
                  </w:tcBorders>
                  <w:vAlign w:val="center"/>
                </w:tcPr>
                <w:p w14:paraId="07ACB7A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31.4260818</w:t>
                  </w:r>
                </w:p>
              </w:tc>
              <w:tc>
                <w:tcPr>
                  <w:tcW w:w="668" w:type="dxa"/>
                  <w:tcBorders>
                    <w:tl2br w:val="nil"/>
                    <w:tr2bl w:val="nil"/>
                  </w:tcBorders>
                  <w:vAlign w:val="center"/>
                </w:tcPr>
                <w:p w14:paraId="13006F3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2215F0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约54人</w:t>
                  </w:r>
                </w:p>
              </w:tc>
              <w:tc>
                <w:tcPr>
                  <w:tcW w:w="894" w:type="dxa"/>
                  <w:tcBorders>
                    <w:tl2br w:val="nil"/>
                    <w:tr2bl w:val="nil"/>
                  </w:tcBorders>
                  <w:vAlign w:val="center"/>
                </w:tcPr>
                <w:p w14:paraId="615627C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S，145m</w:t>
                  </w:r>
                </w:p>
              </w:tc>
              <w:tc>
                <w:tcPr>
                  <w:tcW w:w="796" w:type="dxa"/>
                  <w:vMerge w:val="continue"/>
                  <w:tcBorders>
                    <w:tl2br w:val="nil"/>
                    <w:tr2bl w:val="nil"/>
                  </w:tcBorders>
                  <w:vAlign w:val="center"/>
                </w:tcPr>
                <w:p w14:paraId="7C3C786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r>
            <w:tr w14:paraId="41AA58A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65209A6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restart"/>
                  <w:tcBorders>
                    <w:tl2br w:val="nil"/>
                    <w:tr2bl w:val="nil"/>
                  </w:tcBorders>
                  <w:vAlign w:val="center"/>
                </w:tcPr>
                <w:p w14:paraId="022EB10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柳林河西排涝片</w:t>
                  </w:r>
                </w:p>
              </w:tc>
              <w:tc>
                <w:tcPr>
                  <w:tcW w:w="1004" w:type="dxa"/>
                  <w:tcBorders>
                    <w:tl2br w:val="nil"/>
                    <w:tr2bl w:val="nil"/>
                  </w:tcBorders>
                  <w:vAlign w:val="center"/>
                </w:tcPr>
                <w:p w14:paraId="635FF96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居民点1</w:t>
                  </w:r>
                </w:p>
              </w:tc>
              <w:tc>
                <w:tcPr>
                  <w:tcW w:w="1146" w:type="dxa"/>
                  <w:tcBorders>
                    <w:tl2br w:val="nil"/>
                    <w:tr2bl w:val="nil"/>
                  </w:tcBorders>
                  <w:vAlign w:val="center"/>
                </w:tcPr>
                <w:p w14:paraId="0877FC9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116.258988</w:t>
                  </w:r>
                </w:p>
              </w:tc>
              <w:tc>
                <w:tcPr>
                  <w:tcW w:w="1176" w:type="dxa"/>
                  <w:tcBorders>
                    <w:tl2br w:val="nil"/>
                    <w:tr2bl w:val="nil"/>
                  </w:tcBorders>
                  <w:vAlign w:val="center"/>
                </w:tcPr>
                <w:p w14:paraId="551921E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31.404903</w:t>
                  </w:r>
                </w:p>
              </w:tc>
              <w:tc>
                <w:tcPr>
                  <w:tcW w:w="668" w:type="dxa"/>
                  <w:tcBorders>
                    <w:tl2br w:val="nil"/>
                    <w:tr2bl w:val="nil"/>
                  </w:tcBorders>
                  <w:vAlign w:val="center"/>
                </w:tcPr>
                <w:p w14:paraId="525BB2E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17EC60A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约80人</w:t>
                  </w:r>
                </w:p>
              </w:tc>
              <w:tc>
                <w:tcPr>
                  <w:tcW w:w="894" w:type="dxa"/>
                  <w:tcBorders>
                    <w:tl2br w:val="nil"/>
                    <w:tr2bl w:val="nil"/>
                  </w:tcBorders>
                  <w:vAlign w:val="center"/>
                </w:tcPr>
                <w:p w14:paraId="6A391A2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W，97m</w:t>
                  </w:r>
                </w:p>
              </w:tc>
              <w:tc>
                <w:tcPr>
                  <w:tcW w:w="796" w:type="dxa"/>
                  <w:vMerge w:val="continue"/>
                  <w:tcBorders>
                    <w:tl2br w:val="nil"/>
                    <w:tr2bl w:val="nil"/>
                  </w:tcBorders>
                  <w:vAlign w:val="center"/>
                </w:tcPr>
                <w:p w14:paraId="168FDAE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p>
              </w:tc>
            </w:tr>
            <w:tr w14:paraId="099688A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BCB9D7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77DC38E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pPr>
                </w:p>
              </w:tc>
              <w:tc>
                <w:tcPr>
                  <w:tcW w:w="1004" w:type="dxa"/>
                  <w:tcBorders>
                    <w:tl2br w:val="nil"/>
                    <w:tr2bl w:val="nil"/>
                  </w:tcBorders>
                  <w:vAlign w:val="center"/>
                </w:tcPr>
                <w:p w14:paraId="3E85BF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居民点2</w:t>
                  </w:r>
                </w:p>
              </w:tc>
              <w:tc>
                <w:tcPr>
                  <w:tcW w:w="1146" w:type="dxa"/>
                  <w:tcBorders>
                    <w:tl2br w:val="nil"/>
                    <w:tr2bl w:val="nil"/>
                  </w:tcBorders>
                  <w:vAlign w:val="center"/>
                </w:tcPr>
                <w:p w14:paraId="4BF445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116.262249</w:t>
                  </w:r>
                </w:p>
              </w:tc>
              <w:tc>
                <w:tcPr>
                  <w:tcW w:w="1176" w:type="dxa"/>
                  <w:tcBorders>
                    <w:tl2br w:val="nil"/>
                    <w:tr2bl w:val="nil"/>
                  </w:tcBorders>
                  <w:vAlign w:val="center"/>
                </w:tcPr>
                <w:p w14:paraId="42FA8C8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31.405858</w:t>
                  </w:r>
                </w:p>
              </w:tc>
              <w:tc>
                <w:tcPr>
                  <w:tcW w:w="668" w:type="dxa"/>
                  <w:tcBorders>
                    <w:tl2br w:val="nil"/>
                    <w:tr2bl w:val="nil"/>
                  </w:tcBorders>
                  <w:vAlign w:val="center"/>
                </w:tcPr>
                <w:p w14:paraId="0A3E13F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36699E5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约70人</w:t>
                  </w:r>
                </w:p>
              </w:tc>
              <w:tc>
                <w:tcPr>
                  <w:tcW w:w="894" w:type="dxa"/>
                  <w:tcBorders>
                    <w:tl2br w:val="nil"/>
                    <w:tr2bl w:val="nil"/>
                  </w:tcBorders>
                  <w:vAlign w:val="center"/>
                </w:tcPr>
                <w:p w14:paraId="6116FFE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E，19m</w:t>
                  </w:r>
                </w:p>
              </w:tc>
              <w:tc>
                <w:tcPr>
                  <w:tcW w:w="796" w:type="dxa"/>
                  <w:vMerge w:val="continue"/>
                  <w:tcBorders>
                    <w:tl2br w:val="nil"/>
                    <w:tr2bl w:val="nil"/>
                  </w:tcBorders>
                  <w:vAlign w:val="center"/>
                </w:tcPr>
                <w:p w14:paraId="5744A24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p>
              </w:tc>
            </w:tr>
            <w:tr w14:paraId="074E2A8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7F32A5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olor w:val="000000" w:themeColor="text1"/>
                      <w14:textFill>
                        <w14:solidFill>
                          <w14:schemeClr w14:val="tx1"/>
                        </w14:solidFill>
                      </w14:textFill>
                    </w:rPr>
                  </w:pPr>
                </w:p>
              </w:tc>
              <w:tc>
                <w:tcPr>
                  <w:tcW w:w="590" w:type="dxa"/>
                  <w:vMerge w:val="continue"/>
                  <w:tcBorders>
                    <w:tl2br w:val="nil"/>
                    <w:tr2bl w:val="nil"/>
                  </w:tcBorders>
                  <w:vAlign w:val="center"/>
                </w:tcPr>
                <w:p w14:paraId="0E6CAAD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4A6A091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居民点3</w:t>
                  </w:r>
                </w:p>
              </w:tc>
              <w:tc>
                <w:tcPr>
                  <w:tcW w:w="1146" w:type="dxa"/>
                  <w:tcBorders>
                    <w:tl2br w:val="nil"/>
                    <w:tr2bl w:val="nil"/>
                  </w:tcBorders>
                  <w:vAlign w:val="center"/>
                </w:tcPr>
                <w:p w14:paraId="5975220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116.260479</w:t>
                  </w:r>
                </w:p>
              </w:tc>
              <w:tc>
                <w:tcPr>
                  <w:tcW w:w="1176" w:type="dxa"/>
                  <w:tcBorders>
                    <w:tl2br w:val="nil"/>
                    <w:tr2bl w:val="nil"/>
                  </w:tcBorders>
                  <w:vAlign w:val="center"/>
                </w:tcPr>
                <w:p w14:paraId="1DBA4AF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31.412295</w:t>
                  </w:r>
                </w:p>
              </w:tc>
              <w:tc>
                <w:tcPr>
                  <w:tcW w:w="668" w:type="dxa"/>
                  <w:tcBorders>
                    <w:tl2br w:val="nil"/>
                    <w:tr2bl w:val="nil"/>
                  </w:tcBorders>
                  <w:vAlign w:val="center"/>
                </w:tcPr>
                <w:p w14:paraId="3584833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2EE2CB1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约40人</w:t>
                  </w:r>
                </w:p>
              </w:tc>
              <w:tc>
                <w:tcPr>
                  <w:tcW w:w="894" w:type="dxa"/>
                  <w:tcBorders>
                    <w:tl2br w:val="nil"/>
                    <w:tr2bl w:val="nil"/>
                  </w:tcBorders>
                  <w:vAlign w:val="center"/>
                </w:tcPr>
                <w:p w14:paraId="6B48132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E，39m</w:t>
                  </w:r>
                </w:p>
              </w:tc>
              <w:tc>
                <w:tcPr>
                  <w:tcW w:w="796" w:type="dxa"/>
                  <w:vMerge w:val="continue"/>
                  <w:tcBorders>
                    <w:tl2br w:val="nil"/>
                    <w:tr2bl w:val="nil"/>
                  </w:tcBorders>
                  <w:vAlign w:val="center"/>
                </w:tcPr>
                <w:p w14:paraId="79B5ADB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5C480D9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89D0FD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615541F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12B1AB6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项家院子</w:t>
                  </w:r>
                </w:p>
              </w:tc>
              <w:tc>
                <w:tcPr>
                  <w:tcW w:w="1146" w:type="dxa"/>
                  <w:tcBorders>
                    <w:tl2br w:val="nil"/>
                    <w:tr2bl w:val="nil"/>
                  </w:tcBorders>
                  <w:vAlign w:val="center"/>
                </w:tcPr>
                <w:p w14:paraId="501B7A6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116.266072</w:t>
                  </w:r>
                </w:p>
              </w:tc>
              <w:tc>
                <w:tcPr>
                  <w:tcW w:w="1176" w:type="dxa"/>
                  <w:tcBorders>
                    <w:tl2br w:val="nil"/>
                    <w:tr2bl w:val="nil"/>
                  </w:tcBorders>
                  <w:vAlign w:val="center"/>
                </w:tcPr>
                <w:p w14:paraId="79BB36D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31.414038</w:t>
                  </w:r>
                </w:p>
              </w:tc>
              <w:tc>
                <w:tcPr>
                  <w:tcW w:w="668" w:type="dxa"/>
                  <w:tcBorders>
                    <w:tl2br w:val="nil"/>
                    <w:tr2bl w:val="nil"/>
                  </w:tcBorders>
                  <w:vAlign w:val="center"/>
                </w:tcPr>
                <w:p w14:paraId="33C316B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77DAF2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约10人</w:t>
                  </w:r>
                </w:p>
              </w:tc>
              <w:tc>
                <w:tcPr>
                  <w:tcW w:w="894" w:type="dxa"/>
                  <w:tcBorders>
                    <w:tl2br w:val="nil"/>
                    <w:tr2bl w:val="nil"/>
                  </w:tcBorders>
                  <w:vAlign w:val="center"/>
                </w:tcPr>
                <w:p w14:paraId="6696CC7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E，108m</w:t>
                  </w:r>
                </w:p>
              </w:tc>
              <w:tc>
                <w:tcPr>
                  <w:tcW w:w="796" w:type="dxa"/>
                  <w:vMerge w:val="continue"/>
                  <w:tcBorders>
                    <w:tl2br w:val="nil"/>
                    <w:tr2bl w:val="nil"/>
                  </w:tcBorders>
                  <w:vAlign w:val="center"/>
                </w:tcPr>
                <w:p w14:paraId="4FC393E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9B1A1D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0BBEEB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D89523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69A114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双枣树</w:t>
                  </w:r>
                </w:p>
              </w:tc>
              <w:tc>
                <w:tcPr>
                  <w:tcW w:w="1146" w:type="dxa"/>
                  <w:tcBorders>
                    <w:tl2br w:val="nil"/>
                    <w:tr2bl w:val="nil"/>
                  </w:tcBorders>
                  <w:vAlign w:val="center"/>
                </w:tcPr>
                <w:p w14:paraId="30BAA77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116.271653</w:t>
                  </w:r>
                </w:p>
              </w:tc>
              <w:tc>
                <w:tcPr>
                  <w:tcW w:w="1176" w:type="dxa"/>
                  <w:tcBorders>
                    <w:tl2br w:val="nil"/>
                    <w:tr2bl w:val="nil"/>
                  </w:tcBorders>
                  <w:vAlign w:val="center"/>
                </w:tcPr>
                <w:p w14:paraId="3904B01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31.412822</w:t>
                  </w:r>
                </w:p>
              </w:tc>
              <w:tc>
                <w:tcPr>
                  <w:tcW w:w="668" w:type="dxa"/>
                  <w:tcBorders>
                    <w:tl2br w:val="nil"/>
                    <w:tr2bl w:val="nil"/>
                  </w:tcBorders>
                  <w:vAlign w:val="center"/>
                </w:tcPr>
                <w:p w14:paraId="560F2F4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8126F8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约300人</w:t>
                  </w:r>
                </w:p>
              </w:tc>
              <w:tc>
                <w:tcPr>
                  <w:tcW w:w="894" w:type="dxa"/>
                  <w:tcBorders>
                    <w:tl2br w:val="nil"/>
                    <w:tr2bl w:val="nil"/>
                  </w:tcBorders>
                  <w:vAlign w:val="center"/>
                </w:tcPr>
                <w:p w14:paraId="411E67E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N，41m</w:t>
                  </w:r>
                </w:p>
              </w:tc>
              <w:tc>
                <w:tcPr>
                  <w:tcW w:w="796" w:type="dxa"/>
                  <w:vMerge w:val="continue"/>
                  <w:tcBorders>
                    <w:tl2br w:val="nil"/>
                    <w:tr2bl w:val="nil"/>
                  </w:tcBorders>
                  <w:vAlign w:val="center"/>
                </w:tcPr>
                <w:p w14:paraId="458F4F5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41350A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669B53B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8669E8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05933F3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居民点4</w:t>
                  </w:r>
                </w:p>
              </w:tc>
              <w:tc>
                <w:tcPr>
                  <w:tcW w:w="1146" w:type="dxa"/>
                  <w:tcBorders>
                    <w:tl2br w:val="nil"/>
                    <w:tr2bl w:val="nil"/>
                  </w:tcBorders>
                  <w:vAlign w:val="center"/>
                </w:tcPr>
                <w:p w14:paraId="3D2D4A4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116.271889</w:t>
                  </w:r>
                </w:p>
              </w:tc>
              <w:tc>
                <w:tcPr>
                  <w:tcW w:w="1176" w:type="dxa"/>
                  <w:tcBorders>
                    <w:tl2br w:val="nil"/>
                    <w:tr2bl w:val="nil"/>
                  </w:tcBorders>
                  <w:vAlign w:val="center"/>
                </w:tcPr>
                <w:p w14:paraId="04BBE4C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31.413610</w:t>
                  </w:r>
                </w:p>
              </w:tc>
              <w:tc>
                <w:tcPr>
                  <w:tcW w:w="668" w:type="dxa"/>
                  <w:tcBorders>
                    <w:tl2br w:val="nil"/>
                    <w:tr2bl w:val="nil"/>
                  </w:tcBorders>
                  <w:vAlign w:val="center"/>
                </w:tcPr>
                <w:p w14:paraId="6D99134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1B3DCA6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约30人</w:t>
                  </w:r>
                </w:p>
              </w:tc>
              <w:tc>
                <w:tcPr>
                  <w:tcW w:w="894" w:type="dxa"/>
                  <w:tcBorders>
                    <w:tl2br w:val="nil"/>
                    <w:tr2bl w:val="nil"/>
                  </w:tcBorders>
                  <w:vAlign w:val="center"/>
                </w:tcPr>
                <w:p w14:paraId="2EF4B31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N，130m</w:t>
                  </w:r>
                </w:p>
              </w:tc>
              <w:tc>
                <w:tcPr>
                  <w:tcW w:w="796" w:type="dxa"/>
                  <w:vMerge w:val="continue"/>
                  <w:tcBorders>
                    <w:tl2br w:val="nil"/>
                    <w:tr2bl w:val="nil"/>
                  </w:tcBorders>
                  <w:vAlign w:val="center"/>
                </w:tcPr>
                <w:p w14:paraId="27AD53B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9F24C2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CF4655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491EF1F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1B99FFC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孙家墩子</w:t>
                  </w:r>
                </w:p>
              </w:tc>
              <w:tc>
                <w:tcPr>
                  <w:tcW w:w="1146" w:type="dxa"/>
                  <w:tcBorders>
                    <w:tl2br w:val="nil"/>
                    <w:tr2bl w:val="nil"/>
                  </w:tcBorders>
                  <w:vAlign w:val="center"/>
                </w:tcPr>
                <w:p w14:paraId="28FA639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116.279393</w:t>
                  </w:r>
                </w:p>
              </w:tc>
              <w:tc>
                <w:tcPr>
                  <w:tcW w:w="1176" w:type="dxa"/>
                  <w:tcBorders>
                    <w:tl2br w:val="nil"/>
                    <w:tr2bl w:val="nil"/>
                  </w:tcBorders>
                  <w:vAlign w:val="center"/>
                </w:tcPr>
                <w:p w14:paraId="24F1D50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31.409531</w:t>
                  </w:r>
                </w:p>
              </w:tc>
              <w:tc>
                <w:tcPr>
                  <w:tcW w:w="668" w:type="dxa"/>
                  <w:tcBorders>
                    <w:tl2br w:val="nil"/>
                    <w:tr2bl w:val="nil"/>
                  </w:tcBorders>
                  <w:vAlign w:val="center"/>
                </w:tcPr>
                <w:p w14:paraId="23D1F39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E66C9F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约60人</w:t>
                  </w:r>
                </w:p>
              </w:tc>
              <w:tc>
                <w:tcPr>
                  <w:tcW w:w="894" w:type="dxa"/>
                  <w:tcBorders>
                    <w:tl2br w:val="nil"/>
                    <w:tr2bl w:val="nil"/>
                  </w:tcBorders>
                  <w:vAlign w:val="center"/>
                </w:tcPr>
                <w:p w14:paraId="6E2FE7D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S，37m</w:t>
                  </w:r>
                </w:p>
              </w:tc>
              <w:tc>
                <w:tcPr>
                  <w:tcW w:w="796" w:type="dxa"/>
                  <w:vMerge w:val="continue"/>
                  <w:tcBorders>
                    <w:tl2br w:val="nil"/>
                    <w:tr2bl w:val="nil"/>
                  </w:tcBorders>
                  <w:vAlign w:val="center"/>
                </w:tcPr>
                <w:p w14:paraId="1DFA898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03A7DC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05C756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775BD6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216B302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叶氏祠</w:t>
                  </w:r>
                </w:p>
              </w:tc>
              <w:tc>
                <w:tcPr>
                  <w:tcW w:w="1146" w:type="dxa"/>
                  <w:tcBorders>
                    <w:tl2br w:val="nil"/>
                    <w:tr2bl w:val="nil"/>
                  </w:tcBorders>
                  <w:vAlign w:val="center"/>
                </w:tcPr>
                <w:p w14:paraId="5CB2A53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116.276771</w:t>
                  </w:r>
                </w:p>
              </w:tc>
              <w:tc>
                <w:tcPr>
                  <w:tcW w:w="1176" w:type="dxa"/>
                  <w:tcBorders>
                    <w:tl2br w:val="nil"/>
                    <w:tr2bl w:val="nil"/>
                  </w:tcBorders>
                  <w:vAlign w:val="center"/>
                </w:tcPr>
                <w:p w14:paraId="5D327C6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31.413985</w:t>
                  </w:r>
                </w:p>
              </w:tc>
              <w:tc>
                <w:tcPr>
                  <w:tcW w:w="668" w:type="dxa"/>
                  <w:tcBorders>
                    <w:tl2br w:val="nil"/>
                    <w:tr2bl w:val="nil"/>
                  </w:tcBorders>
                  <w:vAlign w:val="center"/>
                </w:tcPr>
                <w:p w14:paraId="26614AB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2046AE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约30人</w:t>
                  </w:r>
                </w:p>
              </w:tc>
              <w:tc>
                <w:tcPr>
                  <w:tcW w:w="894" w:type="dxa"/>
                  <w:tcBorders>
                    <w:tl2br w:val="nil"/>
                    <w:tr2bl w:val="nil"/>
                  </w:tcBorders>
                  <w:vAlign w:val="center"/>
                </w:tcPr>
                <w:p w14:paraId="42F9686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S，79m</w:t>
                  </w:r>
                </w:p>
              </w:tc>
              <w:tc>
                <w:tcPr>
                  <w:tcW w:w="796" w:type="dxa"/>
                  <w:vMerge w:val="continue"/>
                  <w:tcBorders>
                    <w:tl2br w:val="nil"/>
                    <w:tr2bl w:val="nil"/>
                  </w:tcBorders>
                  <w:vAlign w:val="center"/>
                </w:tcPr>
                <w:p w14:paraId="0E83A92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97BB69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F7A8D8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E7227B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105A626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永康桥村</w:t>
                  </w:r>
                </w:p>
              </w:tc>
              <w:tc>
                <w:tcPr>
                  <w:tcW w:w="1146" w:type="dxa"/>
                  <w:tcBorders>
                    <w:tl2br w:val="nil"/>
                    <w:tr2bl w:val="nil"/>
                  </w:tcBorders>
                  <w:vAlign w:val="center"/>
                </w:tcPr>
                <w:p w14:paraId="2417D86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116.284247</w:t>
                  </w:r>
                </w:p>
              </w:tc>
              <w:tc>
                <w:tcPr>
                  <w:tcW w:w="1176" w:type="dxa"/>
                  <w:tcBorders>
                    <w:tl2br w:val="nil"/>
                    <w:tr2bl w:val="nil"/>
                  </w:tcBorders>
                  <w:vAlign w:val="center"/>
                </w:tcPr>
                <w:p w14:paraId="3BDB2E9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31.415535</w:t>
                  </w:r>
                </w:p>
              </w:tc>
              <w:tc>
                <w:tcPr>
                  <w:tcW w:w="668" w:type="dxa"/>
                  <w:tcBorders>
                    <w:tl2br w:val="nil"/>
                    <w:tr2bl w:val="nil"/>
                  </w:tcBorders>
                  <w:vAlign w:val="center"/>
                </w:tcPr>
                <w:p w14:paraId="08A2452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2D1F03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约100人</w:t>
                  </w:r>
                </w:p>
              </w:tc>
              <w:tc>
                <w:tcPr>
                  <w:tcW w:w="894" w:type="dxa"/>
                  <w:tcBorders>
                    <w:tl2br w:val="nil"/>
                    <w:tr2bl w:val="nil"/>
                  </w:tcBorders>
                  <w:vAlign w:val="center"/>
                </w:tcPr>
                <w:p w14:paraId="21CBEC3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N，24m</w:t>
                  </w:r>
                </w:p>
              </w:tc>
              <w:tc>
                <w:tcPr>
                  <w:tcW w:w="796" w:type="dxa"/>
                  <w:vMerge w:val="continue"/>
                  <w:tcBorders>
                    <w:tl2br w:val="nil"/>
                    <w:tr2bl w:val="nil"/>
                  </w:tcBorders>
                  <w:vAlign w:val="center"/>
                </w:tcPr>
                <w:p w14:paraId="1F4F77B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36C11EE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88F8E6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653B5CA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2E39768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华家院子</w:t>
                  </w:r>
                </w:p>
              </w:tc>
              <w:tc>
                <w:tcPr>
                  <w:tcW w:w="1146" w:type="dxa"/>
                  <w:tcBorders>
                    <w:tl2br w:val="nil"/>
                    <w:tr2bl w:val="nil"/>
                  </w:tcBorders>
                  <w:vAlign w:val="center"/>
                </w:tcPr>
                <w:p w14:paraId="346CAB4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116.283498</w:t>
                  </w:r>
                </w:p>
              </w:tc>
              <w:tc>
                <w:tcPr>
                  <w:tcW w:w="1176" w:type="dxa"/>
                  <w:tcBorders>
                    <w:tl2br w:val="nil"/>
                    <w:tr2bl w:val="nil"/>
                  </w:tcBorders>
                  <w:vAlign w:val="center"/>
                </w:tcPr>
                <w:p w14:paraId="00C04C7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31.415562</w:t>
                  </w:r>
                </w:p>
              </w:tc>
              <w:tc>
                <w:tcPr>
                  <w:tcW w:w="668" w:type="dxa"/>
                  <w:tcBorders>
                    <w:tl2br w:val="nil"/>
                    <w:tr2bl w:val="nil"/>
                  </w:tcBorders>
                  <w:vAlign w:val="center"/>
                </w:tcPr>
                <w:p w14:paraId="51EBBE5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4F0633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约50人</w:t>
                  </w:r>
                </w:p>
              </w:tc>
              <w:tc>
                <w:tcPr>
                  <w:tcW w:w="894" w:type="dxa"/>
                  <w:tcBorders>
                    <w:tl2br w:val="nil"/>
                    <w:tr2bl w:val="nil"/>
                  </w:tcBorders>
                  <w:vAlign w:val="center"/>
                </w:tcPr>
                <w:p w14:paraId="4AB7FD8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N，76m</w:t>
                  </w:r>
                </w:p>
              </w:tc>
              <w:tc>
                <w:tcPr>
                  <w:tcW w:w="796" w:type="dxa"/>
                  <w:vMerge w:val="continue"/>
                  <w:tcBorders>
                    <w:tl2br w:val="nil"/>
                    <w:tr2bl w:val="nil"/>
                  </w:tcBorders>
                  <w:vAlign w:val="center"/>
                </w:tcPr>
                <w:p w14:paraId="27C3F23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2F1095F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B6C3C5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D44F46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6C042E1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凉水井</w:t>
                  </w:r>
                </w:p>
              </w:tc>
              <w:tc>
                <w:tcPr>
                  <w:tcW w:w="1146" w:type="dxa"/>
                  <w:tcBorders>
                    <w:tl2br w:val="nil"/>
                    <w:tr2bl w:val="nil"/>
                  </w:tcBorders>
                  <w:vAlign w:val="center"/>
                </w:tcPr>
                <w:p w14:paraId="5072FCF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116.288576</w:t>
                  </w:r>
                </w:p>
              </w:tc>
              <w:tc>
                <w:tcPr>
                  <w:tcW w:w="1176" w:type="dxa"/>
                  <w:tcBorders>
                    <w:tl2br w:val="nil"/>
                    <w:tr2bl w:val="nil"/>
                  </w:tcBorders>
                  <w:vAlign w:val="center"/>
                </w:tcPr>
                <w:p w14:paraId="396C0EC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116.288576</w:t>
                  </w:r>
                </w:p>
              </w:tc>
              <w:tc>
                <w:tcPr>
                  <w:tcW w:w="668" w:type="dxa"/>
                  <w:tcBorders>
                    <w:tl2br w:val="nil"/>
                    <w:tr2bl w:val="nil"/>
                  </w:tcBorders>
                  <w:vAlign w:val="center"/>
                </w:tcPr>
                <w:p w14:paraId="49C7A13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D11D6A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约18人</w:t>
                  </w:r>
                </w:p>
              </w:tc>
              <w:tc>
                <w:tcPr>
                  <w:tcW w:w="894" w:type="dxa"/>
                  <w:tcBorders>
                    <w:tl2br w:val="nil"/>
                    <w:tr2bl w:val="nil"/>
                  </w:tcBorders>
                  <w:vAlign w:val="center"/>
                </w:tcPr>
                <w:p w14:paraId="184CFC0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N，11m</w:t>
                  </w:r>
                </w:p>
              </w:tc>
              <w:tc>
                <w:tcPr>
                  <w:tcW w:w="796" w:type="dxa"/>
                  <w:vMerge w:val="continue"/>
                  <w:tcBorders>
                    <w:tl2br w:val="nil"/>
                    <w:tr2bl w:val="nil"/>
                  </w:tcBorders>
                  <w:vAlign w:val="center"/>
                </w:tcPr>
                <w:p w14:paraId="5AA1E28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1C8BF5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04F71C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EBDF2C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1AB7E84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曹家院子</w:t>
                  </w:r>
                </w:p>
              </w:tc>
              <w:tc>
                <w:tcPr>
                  <w:tcW w:w="1146" w:type="dxa"/>
                  <w:tcBorders>
                    <w:tl2br w:val="nil"/>
                    <w:tr2bl w:val="nil"/>
                  </w:tcBorders>
                  <w:vAlign w:val="center"/>
                </w:tcPr>
                <w:p w14:paraId="52F3693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116.290810</w:t>
                  </w:r>
                </w:p>
              </w:tc>
              <w:tc>
                <w:tcPr>
                  <w:tcW w:w="1176" w:type="dxa"/>
                  <w:tcBorders>
                    <w:tl2br w:val="nil"/>
                    <w:tr2bl w:val="nil"/>
                  </w:tcBorders>
                  <w:vAlign w:val="center"/>
                </w:tcPr>
                <w:p w14:paraId="15D46EF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31.415964</w:t>
                  </w:r>
                </w:p>
              </w:tc>
              <w:tc>
                <w:tcPr>
                  <w:tcW w:w="668" w:type="dxa"/>
                  <w:tcBorders>
                    <w:tl2br w:val="nil"/>
                    <w:tr2bl w:val="nil"/>
                  </w:tcBorders>
                  <w:vAlign w:val="center"/>
                </w:tcPr>
                <w:p w14:paraId="7051A0C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60227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约51人</w:t>
                  </w:r>
                </w:p>
              </w:tc>
              <w:tc>
                <w:tcPr>
                  <w:tcW w:w="894" w:type="dxa"/>
                  <w:tcBorders>
                    <w:tl2br w:val="nil"/>
                    <w:tr2bl w:val="nil"/>
                  </w:tcBorders>
                  <w:vAlign w:val="center"/>
                </w:tcPr>
                <w:p w14:paraId="505B64B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S，102m</w:t>
                  </w:r>
                </w:p>
              </w:tc>
              <w:tc>
                <w:tcPr>
                  <w:tcW w:w="796" w:type="dxa"/>
                  <w:vMerge w:val="continue"/>
                  <w:tcBorders>
                    <w:tl2br w:val="nil"/>
                    <w:tr2bl w:val="nil"/>
                  </w:tcBorders>
                  <w:vAlign w:val="center"/>
                </w:tcPr>
                <w:p w14:paraId="17CF2DE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B5CBDD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5F7ED1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E83857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727CCBB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陈家院子</w:t>
                  </w:r>
                </w:p>
              </w:tc>
              <w:tc>
                <w:tcPr>
                  <w:tcW w:w="1146" w:type="dxa"/>
                  <w:tcBorders>
                    <w:tl2br w:val="nil"/>
                    <w:tr2bl w:val="nil"/>
                  </w:tcBorders>
                  <w:vAlign w:val="center"/>
                </w:tcPr>
                <w:p w14:paraId="5E5A47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116.295451</w:t>
                  </w:r>
                </w:p>
              </w:tc>
              <w:tc>
                <w:tcPr>
                  <w:tcW w:w="1176" w:type="dxa"/>
                  <w:tcBorders>
                    <w:tl2br w:val="nil"/>
                    <w:tr2bl w:val="nil"/>
                  </w:tcBorders>
                  <w:vAlign w:val="center"/>
                </w:tcPr>
                <w:p w14:paraId="2E9AAC1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31.412893</w:t>
                  </w:r>
                </w:p>
              </w:tc>
              <w:tc>
                <w:tcPr>
                  <w:tcW w:w="668" w:type="dxa"/>
                  <w:tcBorders>
                    <w:tl2br w:val="nil"/>
                    <w:tr2bl w:val="nil"/>
                  </w:tcBorders>
                  <w:vAlign w:val="center"/>
                </w:tcPr>
                <w:p w14:paraId="2375D5E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312A5E8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约40人</w:t>
                  </w:r>
                </w:p>
              </w:tc>
              <w:tc>
                <w:tcPr>
                  <w:tcW w:w="894" w:type="dxa"/>
                  <w:tcBorders>
                    <w:tl2br w:val="nil"/>
                    <w:tr2bl w:val="nil"/>
                  </w:tcBorders>
                  <w:vAlign w:val="center"/>
                </w:tcPr>
                <w:p w14:paraId="639F7A6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N，72m</w:t>
                  </w:r>
                </w:p>
              </w:tc>
              <w:tc>
                <w:tcPr>
                  <w:tcW w:w="796" w:type="dxa"/>
                  <w:vMerge w:val="continue"/>
                  <w:tcBorders>
                    <w:tl2br w:val="nil"/>
                    <w:tr2bl w:val="nil"/>
                  </w:tcBorders>
                  <w:vAlign w:val="center"/>
                </w:tcPr>
                <w:p w14:paraId="6D8851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3E0B1F6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318C5B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7F0780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3B8878B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张家湾</w:t>
                  </w:r>
                </w:p>
              </w:tc>
              <w:tc>
                <w:tcPr>
                  <w:tcW w:w="1146" w:type="dxa"/>
                  <w:tcBorders>
                    <w:tl2br w:val="nil"/>
                    <w:tr2bl w:val="nil"/>
                  </w:tcBorders>
                  <w:vAlign w:val="center"/>
                </w:tcPr>
                <w:p w14:paraId="78F8CB1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116.297686</w:t>
                  </w:r>
                </w:p>
              </w:tc>
              <w:tc>
                <w:tcPr>
                  <w:tcW w:w="1176" w:type="dxa"/>
                  <w:tcBorders>
                    <w:tl2br w:val="nil"/>
                    <w:tr2bl w:val="nil"/>
                  </w:tcBorders>
                  <w:vAlign w:val="center"/>
                </w:tcPr>
                <w:p w14:paraId="608C67A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31.416797</w:t>
                  </w:r>
                </w:p>
              </w:tc>
              <w:tc>
                <w:tcPr>
                  <w:tcW w:w="668" w:type="dxa"/>
                  <w:tcBorders>
                    <w:tl2br w:val="nil"/>
                    <w:tr2bl w:val="nil"/>
                  </w:tcBorders>
                  <w:vAlign w:val="center"/>
                </w:tcPr>
                <w:p w14:paraId="14EFA16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E9A9FB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约30人</w:t>
                  </w:r>
                </w:p>
              </w:tc>
              <w:tc>
                <w:tcPr>
                  <w:tcW w:w="894" w:type="dxa"/>
                  <w:tcBorders>
                    <w:tl2br w:val="nil"/>
                    <w:tr2bl w:val="nil"/>
                  </w:tcBorders>
                  <w:vAlign w:val="center"/>
                </w:tcPr>
                <w:p w14:paraId="2FFA73E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S，90m</w:t>
                  </w:r>
                </w:p>
              </w:tc>
              <w:tc>
                <w:tcPr>
                  <w:tcW w:w="796" w:type="dxa"/>
                  <w:vMerge w:val="continue"/>
                  <w:tcBorders>
                    <w:tl2br w:val="nil"/>
                    <w:tr2bl w:val="nil"/>
                  </w:tcBorders>
                  <w:vAlign w:val="center"/>
                </w:tcPr>
                <w:p w14:paraId="463A585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CE1F37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9C448E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7111174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3326" w:type="dxa"/>
                  <w:gridSpan w:val="3"/>
                  <w:tcBorders>
                    <w:tl2br w:val="nil"/>
                    <w:tr2bl w:val="nil"/>
                  </w:tcBorders>
                  <w:vAlign w:val="center"/>
                </w:tcPr>
                <w:p w14:paraId="6ADDA78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沿线两侧200m范围内敏感点</w:t>
                  </w:r>
                </w:p>
              </w:tc>
              <w:tc>
                <w:tcPr>
                  <w:tcW w:w="668" w:type="dxa"/>
                  <w:tcBorders>
                    <w:tl2br w:val="nil"/>
                    <w:tr2bl w:val="nil"/>
                  </w:tcBorders>
                  <w:vAlign w:val="center"/>
                </w:tcPr>
                <w:p w14:paraId="6989397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村庄、散户</w:t>
                  </w:r>
                </w:p>
              </w:tc>
              <w:tc>
                <w:tcPr>
                  <w:tcW w:w="1042" w:type="dxa"/>
                  <w:tcBorders>
                    <w:tl2br w:val="nil"/>
                    <w:tr2bl w:val="nil"/>
                  </w:tcBorders>
                  <w:vAlign w:val="center"/>
                </w:tcPr>
                <w:p w14:paraId="791FCA9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t>
                  </w:r>
                </w:p>
              </w:tc>
              <w:tc>
                <w:tcPr>
                  <w:tcW w:w="894" w:type="dxa"/>
                  <w:tcBorders>
                    <w:tl2br w:val="nil"/>
                    <w:tr2bl w:val="nil"/>
                  </w:tcBorders>
                  <w:vAlign w:val="center"/>
                </w:tcPr>
                <w:p w14:paraId="07C5739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t>
                  </w:r>
                </w:p>
              </w:tc>
              <w:tc>
                <w:tcPr>
                  <w:tcW w:w="796" w:type="dxa"/>
                  <w:vMerge w:val="continue"/>
                  <w:tcBorders>
                    <w:tl2br w:val="nil"/>
                    <w:tr2bl w:val="nil"/>
                  </w:tcBorders>
                  <w:vAlign w:val="center"/>
                </w:tcPr>
                <w:p w14:paraId="3811715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43093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DDF4A4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restart"/>
                  <w:tcBorders>
                    <w:tl2br w:val="nil"/>
                    <w:tr2bl w:val="nil"/>
                  </w:tcBorders>
                  <w:vAlign w:val="center"/>
                </w:tcPr>
                <w:p w14:paraId="208D762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泵站</w:t>
                  </w:r>
                </w:p>
              </w:tc>
              <w:tc>
                <w:tcPr>
                  <w:tcW w:w="1004" w:type="dxa"/>
                  <w:tcBorders>
                    <w:tl2br w:val="nil"/>
                    <w:tr2bl w:val="nil"/>
                  </w:tcBorders>
                  <w:vAlign w:val="center"/>
                </w:tcPr>
                <w:p w14:paraId="74D3608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张家湾</w:t>
                  </w:r>
                </w:p>
              </w:tc>
              <w:tc>
                <w:tcPr>
                  <w:tcW w:w="1146" w:type="dxa"/>
                  <w:tcBorders>
                    <w:tl2br w:val="nil"/>
                    <w:tr2bl w:val="nil"/>
                  </w:tcBorders>
                  <w:vAlign w:val="center"/>
                </w:tcPr>
                <w:p w14:paraId="3CB1BAC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116.295451</w:t>
                  </w:r>
                </w:p>
              </w:tc>
              <w:tc>
                <w:tcPr>
                  <w:tcW w:w="1176" w:type="dxa"/>
                  <w:tcBorders>
                    <w:tl2br w:val="nil"/>
                    <w:tr2bl w:val="nil"/>
                  </w:tcBorders>
                  <w:vAlign w:val="center"/>
                </w:tcPr>
                <w:p w14:paraId="39EDB1B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31.412893</w:t>
                  </w:r>
                </w:p>
              </w:tc>
              <w:tc>
                <w:tcPr>
                  <w:tcW w:w="668" w:type="dxa"/>
                  <w:tcBorders>
                    <w:tl2br w:val="nil"/>
                    <w:tr2bl w:val="nil"/>
                  </w:tcBorders>
                  <w:vAlign w:val="center"/>
                </w:tcPr>
                <w:p w14:paraId="68B3364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A64DFF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约30人</w:t>
                  </w:r>
                </w:p>
              </w:tc>
              <w:tc>
                <w:tcPr>
                  <w:tcW w:w="894" w:type="dxa"/>
                  <w:tcBorders>
                    <w:tl2br w:val="nil"/>
                    <w:tr2bl w:val="nil"/>
                  </w:tcBorders>
                  <w:vAlign w:val="center"/>
                </w:tcPr>
                <w:p w14:paraId="641F656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S</w:t>
                  </w: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，31m</w:t>
                  </w:r>
                </w:p>
              </w:tc>
              <w:tc>
                <w:tcPr>
                  <w:tcW w:w="796" w:type="dxa"/>
                  <w:vMerge w:val="continue"/>
                  <w:tcBorders>
                    <w:tl2br w:val="nil"/>
                    <w:tr2bl w:val="nil"/>
                  </w:tcBorders>
                  <w:vAlign w:val="center"/>
                </w:tcPr>
                <w:p w14:paraId="0458DEC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5F4D26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7B0374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73EEB7D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22CFF5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陈家院子</w:t>
                  </w:r>
                </w:p>
              </w:tc>
              <w:tc>
                <w:tcPr>
                  <w:tcW w:w="1146" w:type="dxa"/>
                  <w:tcBorders>
                    <w:tl2br w:val="nil"/>
                    <w:tr2bl w:val="nil"/>
                  </w:tcBorders>
                  <w:vAlign w:val="center"/>
                </w:tcPr>
                <w:p w14:paraId="1734FB2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116.297686</w:t>
                  </w:r>
                </w:p>
              </w:tc>
              <w:tc>
                <w:tcPr>
                  <w:tcW w:w="1176" w:type="dxa"/>
                  <w:tcBorders>
                    <w:tl2br w:val="nil"/>
                    <w:tr2bl w:val="nil"/>
                  </w:tcBorders>
                  <w:vAlign w:val="center"/>
                </w:tcPr>
                <w:p w14:paraId="595A925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31.416797</w:t>
                  </w:r>
                </w:p>
              </w:tc>
              <w:tc>
                <w:tcPr>
                  <w:tcW w:w="668" w:type="dxa"/>
                  <w:tcBorders>
                    <w:tl2br w:val="nil"/>
                    <w:tr2bl w:val="nil"/>
                  </w:tcBorders>
                  <w:vAlign w:val="center"/>
                </w:tcPr>
                <w:p w14:paraId="6C9C12C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0A5C5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约40人</w:t>
                  </w:r>
                </w:p>
              </w:tc>
              <w:tc>
                <w:tcPr>
                  <w:tcW w:w="894" w:type="dxa"/>
                  <w:tcBorders>
                    <w:tl2br w:val="nil"/>
                    <w:tr2bl w:val="nil"/>
                  </w:tcBorders>
                  <w:vAlign w:val="center"/>
                </w:tcPr>
                <w:p w14:paraId="6182A54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N</w:t>
                  </w: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，182m</w:t>
                  </w:r>
                </w:p>
              </w:tc>
              <w:tc>
                <w:tcPr>
                  <w:tcW w:w="796" w:type="dxa"/>
                  <w:vMerge w:val="continue"/>
                  <w:tcBorders>
                    <w:tl2br w:val="nil"/>
                    <w:tr2bl w:val="nil"/>
                  </w:tcBorders>
                  <w:vAlign w:val="center"/>
                </w:tcPr>
                <w:p w14:paraId="320D1F9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A6ED66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69B50C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restart"/>
                  <w:tcBorders>
                    <w:tl2br w:val="nil"/>
                    <w:tr2bl w:val="nil"/>
                  </w:tcBorders>
                  <w:vAlign w:val="center"/>
                </w:tcPr>
                <w:p w14:paraId="740F08C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衡山工业园</w:t>
                  </w:r>
                </w:p>
              </w:tc>
              <w:tc>
                <w:tcPr>
                  <w:tcW w:w="1004" w:type="dxa"/>
                  <w:tcBorders>
                    <w:tl2br w:val="nil"/>
                    <w:tr2bl w:val="nil"/>
                  </w:tcBorders>
                  <w:vAlign w:val="center"/>
                </w:tcPr>
                <w:p w14:paraId="2FC0F0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古城村</w:t>
                  </w:r>
                </w:p>
              </w:tc>
              <w:tc>
                <w:tcPr>
                  <w:tcW w:w="1146" w:type="dxa"/>
                  <w:tcBorders>
                    <w:tl2br w:val="nil"/>
                    <w:tr2bl w:val="nil"/>
                  </w:tcBorders>
                  <w:vAlign w:val="center"/>
                </w:tcPr>
                <w:p w14:paraId="1980650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116.2986629</w:t>
                  </w:r>
                </w:p>
              </w:tc>
              <w:tc>
                <w:tcPr>
                  <w:tcW w:w="1176" w:type="dxa"/>
                  <w:tcBorders>
                    <w:tl2br w:val="nil"/>
                    <w:tr2bl w:val="nil"/>
                  </w:tcBorders>
                  <w:vAlign w:val="center"/>
                </w:tcPr>
                <w:p w14:paraId="0E6B686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31.4123436</w:t>
                  </w:r>
                </w:p>
              </w:tc>
              <w:tc>
                <w:tcPr>
                  <w:tcW w:w="668" w:type="dxa"/>
                  <w:tcBorders>
                    <w:tl2br w:val="nil"/>
                    <w:tr2bl w:val="nil"/>
                  </w:tcBorders>
                  <w:vAlign w:val="center"/>
                </w:tcPr>
                <w:p w14:paraId="7BA86DF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47B8F62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约80人</w:t>
                  </w:r>
                </w:p>
              </w:tc>
              <w:tc>
                <w:tcPr>
                  <w:tcW w:w="894" w:type="dxa"/>
                  <w:tcBorders>
                    <w:tl2br w:val="nil"/>
                    <w:tr2bl w:val="nil"/>
                  </w:tcBorders>
                  <w:vAlign w:val="center"/>
                </w:tcPr>
                <w:p w14:paraId="00E9090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N</w:t>
                  </w: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，72m</w:t>
                  </w:r>
                </w:p>
              </w:tc>
              <w:tc>
                <w:tcPr>
                  <w:tcW w:w="796" w:type="dxa"/>
                  <w:vMerge w:val="continue"/>
                  <w:tcBorders>
                    <w:tl2br w:val="nil"/>
                    <w:tr2bl w:val="nil"/>
                  </w:tcBorders>
                  <w:vAlign w:val="center"/>
                </w:tcPr>
                <w:p w14:paraId="110F786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6AAE65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761E6A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EB3409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2A3AA7E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新鑫家园</w:t>
                  </w:r>
                </w:p>
              </w:tc>
              <w:tc>
                <w:tcPr>
                  <w:tcW w:w="1146" w:type="dxa"/>
                  <w:tcBorders>
                    <w:tl2br w:val="nil"/>
                    <w:tr2bl w:val="nil"/>
                  </w:tcBorders>
                  <w:vAlign w:val="center"/>
                </w:tcPr>
                <w:p w14:paraId="04ABEE5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116.3041131</w:t>
                  </w:r>
                </w:p>
              </w:tc>
              <w:tc>
                <w:tcPr>
                  <w:tcW w:w="1176" w:type="dxa"/>
                  <w:tcBorders>
                    <w:tl2br w:val="nil"/>
                    <w:tr2bl w:val="nil"/>
                  </w:tcBorders>
                  <w:vAlign w:val="center"/>
                </w:tcPr>
                <w:p w14:paraId="61900D3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31.4127942</w:t>
                  </w:r>
                </w:p>
              </w:tc>
              <w:tc>
                <w:tcPr>
                  <w:tcW w:w="668" w:type="dxa"/>
                  <w:tcBorders>
                    <w:tl2br w:val="nil"/>
                    <w:tr2bl w:val="nil"/>
                  </w:tcBorders>
                  <w:vAlign w:val="center"/>
                </w:tcPr>
                <w:p w14:paraId="1AF59F5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54FE3F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约100人</w:t>
                  </w:r>
                </w:p>
              </w:tc>
              <w:tc>
                <w:tcPr>
                  <w:tcW w:w="894" w:type="dxa"/>
                  <w:tcBorders>
                    <w:tl2br w:val="nil"/>
                    <w:tr2bl w:val="nil"/>
                  </w:tcBorders>
                  <w:vAlign w:val="center"/>
                </w:tcPr>
                <w:p w14:paraId="7B3D1D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N</w:t>
                  </w: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，103m</w:t>
                  </w:r>
                </w:p>
              </w:tc>
              <w:tc>
                <w:tcPr>
                  <w:tcW w:w="796" w:type="dxa"/>
                  <w:vMerge w:val="continue"/>
                  <w:tcBorders>
                    <w:tl2br w:val="nil"/>
                    <w:tr2bl w:val="nil"/>
                  </w:tcBorders>
                  <w:vAlign w:val="center"/>
                </w:tcPr>
                <w:p w14:paraId="3B4E48A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3CC790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4A804D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restart"/>
                  <w:tcBorders>
                    <w:tl2br w:val="nil"/>
                    <w:tr2bl w:val="nil"/>
                  </w:tcBorders>
                  <w:vAlign w:val="center"/>
                </w:tcPr>
                <w:p w14:paraId="7F7441E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eastAsia="zh-CN"/>
                      <w14:textFill>
                        <w14:solidFill>
                          <w14:schemeClr w14:val="tx1"/>
                        </w14:solidFill>
                      </w14:textFill>
                    </w:rPr>
                    <w:t>柳林河</w:t>
                  </w:r>
                </w:p>
              </w:tc>
              <w:tc>
                <w:tcPr>
                  <w:tcW w:w="1004" w:type="dxa"/>
                  <w:tcBorders>
                    <w:tl2br w:val="nil"/>
                    <w:tr2bl w:val="nil"/>
                  </w:tcBorders>
                  <w:vAlign w:val="center"/>
                </w:tcPr>
                <w:p w14:paraId="27A404B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俞家院</w:t>
                  </w:r>
                </w:p>
              </w:tc>
              <w:tc>
                <w:tcPr>
                  <w:tcW w:w="1146" w:type="dxa"/>
                  <w:tcBorders>
                    <w:tl2br w:val="nil"/>
                    <w:tr2bl w:val="nil"/>
                  </w:tcBorders>
                  <w:vAlign w:val="center"/>
                </w:tcPr>
                <w:p w14:paraId="5173A99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116.290959</w:t>
                  </w:r>
                </w:p>
              </w:tc>
              <w:tc>
                <w:tcPr>
                  <w:tcW w:w="1176" w:type="dxa"/>
                  <w:tcBorders>
                    <w:tl2br w:val="nil"/>
                    <w:tr2bl w:val="nil"/>
                  </w:tcBorders>
                  <w:vAlign w:val="center"/>
                </w:tcPr>
                <w:p w14:paraId="6568038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31.4022256</w:t>
                  </w:r>
                </w:p>
              </w:tc>
              <w:tc>
                <w:tcPr>
                  <w:tcW w:w="668" w:type="dxa"/>
                  <w:tcBorders>
                    <w:tl2br w:val="nil"/>
                    <w:tr2bl w:val="nil"/>
                  </w:tcBorders>
                  <w:vAlign w:val="center"/>
                </w:tcPr>
                <w:p w14:paraId="2F9C577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478B1C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约100人</w:t>
                  </w:r>
                </w:p>
              </w:tc>
              <w:tc>
                <w:tcPr>
                  <w:tcW w:w="894" w:type="dxa"/>
                  <w:tcBorders>
                    <w:tl2br w:val="nil"/>
                    <w:tr2bl w:val="nil"/>
                  </w:tcBorders>
                  <w:vAlign w:val="center"/>
                </w:tcPr>
                <w:p w14:paraId="2AAC60A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W，32m</w:t>
                  </w:r>
                </w:p>
              </w:tc>
              <w:tc>
                <w:tcPr>
                  <w:tcW w:w="796" w:type="dxa"/>
                  <w:vMerge w:val="continue"/>
                  <w:tcBorders>
                    <w:tl2br w:val="nil"/>
                    <w:tr2bl w:val="nil"/>
                  </w:tcBorders>
                  <w:vAlign w:val="center"/>
                </w:tcPr>
                <w:p w14:paraId="7AB4DEC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0071E1E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BDE00F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4676E9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1CD10AF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南岳村</w:t>
                  </w:r>
                </w:p>
              </w:tc>
              <w:tc>
                <w:tcPr>
                  <w:tcW w:w="1146" w:type="dxa"/>
                  <w:tcBorders>
                    <w:tl2br w:val="nil"/>
                    <w:tr2bl w:val="nil"/>
                  </w:tcBorders>
                  <w:vAlign w:val="center"/>
                </w:tcPr>
                <w:p w14:paraId="29894F2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116.2890284</w:t>
                  </w:r>
                </w:p>
              </w:tc>
              <w:tc>
                <w:tcPr>
                  <w:tcW w:w="1176" w:type="dxa"/>
                  <w:tcBorders>
                    <w:tl2br w:val="nil"/>
                    <w:tr2bl w:val="nil"/>
                  </w:tcBorders>
                  <w:vAlign w:val="center"/>
                </w:tcPr>
                <w:p w14:paraId="53E637E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31.4039858</w:t>
                  </w:r>
                </w:p>
              </w:tc>
              <w:tc>
                <w:tcPr>
                  <w:tcW w:w="668" w:type="dxa"/>
                  <w:tcBorders>
                    <w:tl2br w:val="nil"/>
                    <w:tr2bl w:val="nil"/>
                  </w:tcBorders>
                  <w:vAlign w:val="center"/>
                </w:tcPr>
                <w:p w14:paraId="1C4AD3F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44D1F5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约200人</w:t>
                  </w:r>
                </w:p>
              </w:tc>
              <w:tc>
                <w:tcPr>
                  <w:tcW w:w="894" w:type="dxa"/>
                  <w:tcBorders>
                    <w:tl2br w:val="nil"/>
                    <w:tr2bl w:val="nil"/>
                  </w:tcBorders>
                  <w:vAlign w:val="center"/>
                </w:tcPr>
                <w:p w14:paraId="1B4F6DF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E，48m</w:t>
                  </w:r>
                </w:p>
              </w:tc>
              <w:tc>
                <w:tcPr>
                  <w:tcW w:w="796" w:type="dxa"/>
                  <w:vMerge w:val="continue"/>
                  <w:tcBorders>
                    <w:tl2br w:val="nil"/>
                    <w:tr2bl w:val="nil"/>
                  </w:tcBorders>
                  <w:vAlign w:val="center"/>
                </w:tcPr>
                <w:p w14:paraId="46DA05D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98B49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68AF5A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28633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549475F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居民点5</w:t>
                  </w:r>
                </w:p>
              </w:tc>
              <w:tc>
                <w:tcPr>
                  <w:tcW w:w="1146" w:type="dxa"/>
                  <w:tcBorders>
                    <w:tl2br w:val="nil"/>
                    <w:tr2bl w:val="nil"/>
                  </w:tcBorders>
                  <w:vAlign w:val="center"/>
                </w:tcPr>
                <w:p w14:paraId="2B6B205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116.2796407</w:t>
                  </w:r>
                </w:p>
              </w:tc>
              <w:tc>
                <w:tcPr>
                  <w:tcW w:w="1176" w:type="dxa"/>
                  <w:tcBorders>
                    <w:tl2br w:val="nil"/>
                    <w:tr2bl w:val="nil"/>
                  </w:tcBorders>
                  <w:vAlign w:val="center"/>
                </w:tcPr>
                <w:p w14:paraId="4AFF424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31.4039643</w:t>
                  </w:r>
                </w:p>
              </w:tc>
              <w:tc>
                <w:tcPr>
                  <w:tcW w:w="668" w:type="dxa"/>
                  <w:tcBorders>
                    <w:tl2br w:val="nil"/>
                    <w:tr2bl w:val="nil"/>
                  </w:tcBorders>
                  <w:vAlign w:val="center"/>
                </w:tcPr>
                <w:p w14:paraId="322C2BF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753D0F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约60人</w:t>
                  </w:r>
                </w:p>
              </w:tc>
              <w:tc>
                <w:tcPr>
                  <w:tcW w:w="894" w:type="dxa"/>
                  <w:tcBorders>
                    <w:tl2br w:val="nil"/>
                    <w:tr2bl w:val="nil"/>
                  </w:tcBorders>
                  <w:vAlign w:val="center"/>
                </w:tcPr>
                <w:p w14:paraId="6A4EF09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N，92m</w:t>
                  </w:r>
                </w:p>
              </w:tc>
              <w:tc>
                <w:tcPr>
                  <w:tcW w:w="796" w:type="dxa"/>
                  <w:vMerge w:val="continue"/>
                  <w:tcBorders>
                    <w:tl2br w:val="nil"/>
                    <w:tr2bl w:val="nil"/>
                  </w:tcBorders>
                  <w:vAlign w:val="center"/>
                </w:tcPr>
                <w:p w14:paraId="491723F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9857A2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5697DB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420D753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064592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居民点6</w:t>
                  </w:r>
                </w:p>
              </w:tc>
              <w:tc>
                <w:tcPr>
                  <w:tcW w:w="1146" w:type="dxa"/>
                  <w:tcBorders>
                    <w:tl2br w:val="nil"/>
                    <w:tr2bl w:val="nil"/>
                  </w:tcBorders>
                  <w:vAlign w:val="center"/>
                </w:tcPr>
                <w:p w14:paraId="44C2FD4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116.2764220</w:t>
                  </w:r>
                </w:p>
              </w:tc>
              <w:tc>
                <w:tcPr>
                  <w:tcW w:w="1176" w:type="dxa"/>
                  <w:tcBorders>
                    <w:tl2br w:val="nil"/>
                    <w:tr2bl w:val="nil"/>
                  </w:tcBorders>
                  <w:vAlign w:val="center"/>
                </w:tcPr>
                <w:p w14:paraId="225CAAB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31.3994475</w:t>
                  </w:r>
                </w:p>
              </w:tc>
              <w:tc>
                <w:tcPr>
                  <w:tcW w:w="668" w:type="dxa"/>
                  <w:tcBorders>
                    <w:tl2br w:val="nil"/>
                    <w:tr2bl w:val="nil"/>
                  </w:tcBorders>
                  <w:vAlign w:val="center"/>
                </w:tcPr>
                <w:p w14:paraId="169F8F3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BB69AC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约90人</w:t>
                  </w:r>
                </w:p>
              </w:tc>
              <w:tc>
                <w:tcPr>
                  <w:tcW w:w="894" w:type="dxa"/>
                  <w:tcBorders>
                    <w:tl2br w:val="nil"/>
                    <w:tr2bl w:val="nil"/>
                  </w:tcBorders>
                  <w:vAlign w:val="center"/>
                </w:tcPr>
                <w:p w14:paraId="1C590B1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E，62m</w:t>
                  </w:r>
                </w:p>
              </w:tc>
              <w:tc>
                <w:tcPr>
                  <w:tcW w:w="796" w:type="dxa"/>
                  <w:vMerge w:val="continue"/>
                  <w:tcBorders>
                    <w:tl2br w:val="nil"/>
                    <w:tr2bl w:val="nil"/>
                  </w:tcBorders>
                  <w:vAlign w:val="center"/>
                </w:tcPr>
                <w:p w14:paraId="03E4A3A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2DF5E10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8FEAFE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1EB62D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4E1FADF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居民点7</w:t>
                  </w:r>
                </w:p>
              </w:tc>
              <w:tc>
                <w:tcPr>
                  <w:tcW w:w="1146" w:type="dxa"/>
                  <w:tcBorders>
                    <w:tl2br w:val="nil"/>
                    <w:tr2bl w:val="nil"/>
                  </w:tcBorders>
                  <w:vAlign w:val="center"/>
                </w:tcPr>
                <w:p w14:paraId="674593D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116.2743889</w:t>
                  </w:r>
                </w:p>
              </w:tc>
              <w:tc>
                <w:tcPr>
                  <w:tcW w:w="1176" w:type="dxa"/>
                  <w:tcBorders>
                    <w:tl2br w:val="nil"/>
                    <w:tr2bl w:val="nil"/>
                  </w:tcBorders>
                  <w:vAlign w:val="center"/>
                </w:tcPr>
                <w:p w14:paraId="2B273D3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31.3996674</w:t>
                  </w:r>
                </w:p>
              </w:tc>
              <w:tc>
                <w:tcPr>
                  <w:tcW w:w="668" w:type="dxa"/>
                  <w:tcBorders>
                    <w:tl2br w:val="nil"/>
                    <w:tr2bl w:val="nil"/>
                  </w:tcBorders>
                  <w:vAlign w:val="center"/>
                </w:tcPr>
                <w:p w14:paraId="1445DB0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7385C2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约40人</w:t>
                  </w:r>
                </w:p>
              </w:tc>
              <w:tc>
                <w:tcPr>
                  <w:tcW w:w="894" w:type="dxa"/>
                  <w:tcBorders>
                    <w:tl2br w:val="nil"/>
                    <w:tr2bl w:val="nil"/>
                  </w:tcBorders>
                  <w:vAlign w:val="center"/>
                </w:tcPr>
                <w:p w14:paraId="0983D86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W，87m</w:t>
                  </w:r>
                </w:p>
              </w:tc>
              <w:tc>
                <w:tcPr>
                  <w:tcW w:w="796" w:type="dxa"/>
                  <w:vMerge w:val="continue"/>
                  <w:tcBorders>
                    <w:tl2br w:val="nil"/>
                    <w:tr2bl w:val="nil"/>
                  </w:tcBorders>
                  <w:vAlign w:val="center"/>
                </w:tcPr>
                <w:p w14:paraId="406C469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70EA89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2FC5D1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3C2E2D8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38B12A8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居民点8</w:t>
                  </w:r>
                </w:p>
              </w:tc>
              <w:tc>
                <w:tcPr>
                  <w:tcW w:w="1146" w:type="dxa"/>
                  <w:tcBorders>
                    <w:tl2br w:val="nil"/>
                    <w:tr2bl w:val="nil"/>
                  </w:tcBorders>
                  <w:vAlign w:val="center"/>
                </w:tcPr>
                <w:p w14:paraId="5E58363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116.2673561</w:t>
                  </w:r>
                </w:p>
              </w:tc>
              <w:tc>
                <w:tcPr>
                  <w:tcW w:w="1176" w:type="dxa"/>
                  <w:tcBorders>
                    <w:tl2br w:val="nil"/>
                    <w:tr2bl w:val="nil"/>
                  </w:tcBorders>
                  <w:vAlign w:val="center"/>
                </w:tcPr>
                <w:p w14:paraId="0F229AB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31.3922216</w:t>
                  </w:r>
                </w:p>
              </w:tc>
              <w:tc>
                <w:tcPr>
                  <w:tcW w:w="668" w:type="dxa"/>
                  <w:tcBorders>
                    <w:tl2br w:val="nil"/>
                    <w:tr2bl w:val="nil"/>
                  </w:tcBorders>
                  <w:vAlign w:val="center"/>
                </w:tcPr>
                <w:p w14:paraId="387C98E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F05BFC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约30人</w:t>
                  </w:r>
                </w:p>
              </w:tc>
              <w:tc>
                <w:tcPr>
                  <w:tcW w:w="894" w:type="dxa"/>
                  <w:tcBorders>
                    <w:tl2br w:val="nil"/>
                    <w:tr2bl w:val="nil"/>
                  </w:tcBorders>
                  <w:vAlign w:val="center"/>
                </w:tcPr>
                <w:p w14:paraId="61B9E98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W，31m</w:t>
                  </w:r>
                </w:p>
              </w:tc>
              <w:tc>
                <w:tcPr>
                  <w:tcW w:w="796" w:type="dxa"/>
                  <w:vMerge w:val="continue"/>
                  <w:tcBorders>
                    <w:tl2br w:val="nil"/>
                    <w:tr2bl w:val="nil"/>
                  </w:tcBorders>
                  <w:vAlign w:val="center"/>
                </w:tcPr>
                <w:p w14:paraId="71B73DF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0FF113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86D807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73E9CD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50F3FDB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散户7</w:t>
                  </w:r>
                </w:p>
              </w:tc>
              <w:tc>
                <w:tcPr>
                  <w:tcW w:w="1146" w:type="dxa"/>
                  <w:tcBorders>
                    <w:tl2br w:val="nil"/>
                    <w:tr2bl w:val="nil"/>
                  </w:tcBorders>
                  <w:vAlign w:val="center"/>
                </w:tcPr>
                <w:p w14:paraId="3087B09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116.2770979</w:t>
                  </w:r>
                </w:p>
              </w:tc>
              <w:tc>
                <w:tcPr>
                  <w:tcW w:w="1176" w:type="dxa"/>
                  <w:tcBorders>
                    <w:tl2br w:val="nil"/>
                    <w:tr2bl w:val="nil"/>
                  </w:tcBorders>
                  <w:vAlign w:val="center"/>
                </w:tcPr>
                <w:p w14:paraId="67F746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31.3812890</w:t>
                  </w:r>
                </w:p>
              </w:tc>
              <w:tc>
                <w:tcPr>
                  <w:tcW w:w="668" w:type="dxa"/>
                  <w:tcBorders>
                    <w:tl2br w:val="nil"/>
                    <w:tr2bl w:val="nil"/>
                  </w:tcBorders>
                  <w:vAlign w:val="center"/>
                </w:tcPr>
                <w:p w14:paraId="59080BB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6BAD248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约7人</w:t>
                  </w:r>
                </w:p>
              </w:tc>
              <w:tc>
                <w:tcPr>
                  <w:tcW w:w="894" w:type="dxa"/>
                  <w:tcBorders>
                    <w:tl2br w:val="nil"/>
                    <w:tr2bl w:val="nil"/>
                  </w:tcBorders>
                  <w:vAlign w:val="center"/>
                </w:tcPr>
                <w:p w14:paraId="6C8C600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N，26m</w:t>
                  </w:r>
                </w:p>
              </w:tc>
              <w:tc>
                <w:tcPr>
                  <w:tcW w:w="796" w:type="dxa"/>
                  <w:vMerge w:val="continue"/>
                  <w:tcBorders>
                    <w:tl2br w:val="nil"/>
                    <w:tr2bl w:val="nil"/>
                  </w:tcBorders>
                  <w:vAlign w:val="center"/>
                </w:tcPr>
                <w:p w14:paraId="140E5C8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6E47DC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C744F3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370BF75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79499C3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散户8</w:t>
                  </w:r>
                </w:p>
              </w:tc>
              <w:tc>
                <w:tcPr>
                  <w:tcW w:w="1146" w:type="dxa"/>
                  <w:tcBorders>
                    <w:tl2br w:val="nil"/>
                    <w:tr2bl w:val="nil"/>
                  </w:tcBorders>
                  <w:vAlign w:val="center"/>
                </w:tcPr>
                <w:p w14:paraId="0932625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116.2814968</w:t>
                  </w:r>
                </w:p>
              </w:tc>
              <w:tc>
                <w:tcPr>
                  <w:tcW w:w="1176" w:type="dxa"/>
                  <w:tcBorders>
                    <w:tl2br w:val="nil"/>
                    <w:tr2bl w:val="nil"/>
                  </w:tcBorders>
                  <w:vAlign w:val="center"/>
                </w:tcPr>
                <w:p w14:paraId="28B69B0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31.3797172</w:t>
                  </w:r>
                </w:p>
              </w:tc>
              <w:tc>
                <w:tcPr>
                  <w:tcW w:w="668" w:type="dxa"/>
                  <w:tcBorders>
                    <w:tl2br w:val="nil"/>
                    <w:tr2bl w:val="nil"/>
                  </w:tcBorders>
                  <w:vAlign w:val="center"/>
                </w:tcPr>
                <w:p w14:paraId="4CE7CEB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1A2E2AE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约10人</w:t>
                  </w:r>
                </w:p>
              </w:tc>
              <w:tc>
                <w:tcPr>
                  <w:tcW w:w="894" w:type="dxa"/>
                  <w:tcBorders>
                    <w:tl2br w:val="nil"/>
                    <w:tr2bl w:val="nil"/>
                  </w:tcBorders>
                  <w:vAlign w:val="center"/>
                </w:tcPr>
                <w:p w14:paraId="3D93C1C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N，39m</w:t>
                  </w:r>
                </w:p>
              </w:tc>
              <w:tc>
                <w:tcPr>
                  <w:tcW w:w="796" w:type="dxa"/>
                  <w:vMerge w:val="continue"/>
                  <w:tcBorders>
                    <w:tl2br w:val="nil"/>
                    <w:tr2bl w:val="nil"/>
                  </w:tcBorders>
                  <w:vAlign w:val="center"/>
                </w:tcPr>
                <w:p w14:paraId="795286E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277F28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39CBC7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A8CA96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2B95C9F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散户9</w:t>
                  </w:r>
                </w:p>
              </w:tc>
              <w:tc>
                <w:tcPr>
                  <w:tcW w:w="1146" w:type="dxa"/>
                  <w:tcBorders>
                    <w:tl2br w:val="nil"/>
                    <w:tr2bl w:val="nil"/>
                  </w:tcBorders>
                  <w:vAlign w:val="center"/>
                </w:tcPr>
                <w:p w14:paraId="085A5AF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116.2864052</w:t>
                  </w:r>
                </w:p>
              </w:tc>
              <w:tc>
                <w:tcPr>
                  <w:tcW w:w="1176" w:type="dxa"/>
                  <w:tcBorders>
                    <w:tl2br w:val="nil"/>
                    <w:tr2bl w:val="nil"/>
                  </w:tcBorders>
                  <w:vAlign w:val="center"/>
                </w:tcPr>
                <w:p w14:paraId="3741CF9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31.3748034</w:t>
                  </w:r>
                </w:p>
              </w:tc>
              <w:tc>
                <w:tcPr>
                  <w:tcW w:w="668" w:type="dxa"/>
                  <w:tcBorders>
                    <w:tl2br w:val="nil"/>
                    <w:tr2bl w:val="nil"/>
                  </w:tcBorders>
                  <w:vAlign w:val="center"/>
                </w:tcPr>
                <w:p w14:paraId="09244A9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A7DC6F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约30人</w:t>
                  </w:r>
                </w:p>
              </w:tc>
              <w:tc>
                <w:tcPr>
                  <w:tcW w:w="894" w:type="dxa"/>
                  <w:tcBorders>
                    <w:tl2br w:val="nil"/>
                    <w:tr2bl w:val="nil"/>
                  </w:tcBorders>
                  <w:vAlign w:val="center"/>
                </w:tcPr>
                <w:p w14:paraId="21F3F63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S，53m</w:t>
                  </w:r>
                </w:p>
              </w:tc>
              <w:tc>
                <w:tcPr>
                  <w:tcW w:w="796" w:type="dxa"/>
                  <w:vMerge w:val="continue"/>
                  <w:tcBorders>
                    <w:tl2br w:val="nil"/>
                    <w:tr2bl w:val="nil"/>
                  </w:tcBorders>
                  <w:vAlign w:val="center"/>
                </w:tcPr>
                <w:p w14:paraId="19E6A6B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566B048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43C55F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22896C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center"/>
                </w:tcPr>
                <w:p w14:paraId="74B43C7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散户10</w:t>
                  </w:r>
                </w:p>
              </w:tc>
              <w:tc>
                <w:tcPr>
                  <w:tcW w:w="1146" w:type="dxa"/>
                  <w:tcBorders>
                    <w:tl2br w:val="nil"/>
                    <w:tr2bl w:val="nil"/>
                  </w:tcBorders>
                  <w:vAlign w:val="center"/>
                </w:tcPr>
                <w:p w14:paraId="6C1B4D8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116.2886904</w:t>
                  </w:r>
                </w:p>
              </w:tc>
              <w:tc>
                <w:tcPr>
                  <w:tcW w:w="1176" w:type="dxa"/>
                  <w:tcBorders>
                    <w:tl2br w:val="nil"/>
                    <w:tr2bl w:val="nil"/>
                  </w:tcBorders>
                  <w:vAlign w:val="center"/>
                </w:tcPr>
                <w:p w14:paraId="7D8D0DD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31.3735481</w:t>
                  </w:r>
                </w:p>
              </w:tc>
              <w:tc>
                <w:tcPr>
                  <w:tcW w:w="668" w:type="dxa"/>
                  <w:tcBorders>
                    <w:tl2br w:val="nil"/>
                    <w:tr2bl w:val="nil"/>
                  </w:tcBorders>
                  <w:vAlign w:val="center"/>
                </w:tcPr>
                <w:p w14:paraId="744731A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0D6FA9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约15人</w:t>
                  </w:r>
                </w:p>
              </w:tc>
              <w:tc>
                <w:tcPr>
                  <w:tcW w:w="894" w:type="dxa"/>
                  <w:tcBorders>
                    <w:tl2br w:val="nil"/>
                    <w:tr2bl w:val="nil"/>
                  </w:tcBorders>
                  <w:vAlign w:val="center"/>
                </w:tcPr>
                <w:p w14:paraId="1055C50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S，56m</w:t>
                  </w:r>
                </w:p>
              </w:tc>
              <w:tc>
                <w:tcPr>
                  <w:tcW w:w="796" w:type="dxa"/>
                  <w:vMerge w:val="continue"/>
                  <w:tcBorders>
                    <w:tl2br w:val="nil"/>
                    <w:tr2bl w:val="nil"/>
                  </w:tcBorders>
                  <w:vAlign w:val="center"/>
                </w:tcPr>
                <w:p w14:paraId="46684B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506C1D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A4A135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619FDC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3326" w:type="dxa"/>
                  <w:gridSpan w:val="3"/>
                  <w:tcBorders>
                    <w:tl2br w:val="nil"/>
                    <w:tr2bl w:val="nil"/>
                  </w:tcBorders>
                  <w:vAlign w:val="center"/>
                </w:tcPr>
                <w:p w14:paraId="65236D9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olor w:val="000000" w:themeColor="text1"/>
                      <w:sz w:val="21"/>
                      <w:szCs w:val="21"/>
                      <w:highlight w:val="none"/>
                      <w:shd w:val="clear" w:color="auto" w:fill="auto"/>
                      <w:lang w:val="en-US" w:eastAsia="zh-CN"/>
                      <w14:textFill>
                        <w14:solidFill>
                          <w14:schemeClr w14:val="tx1"/>
                        </w14:solidFill>
                      </w14:textFill>
                    </w:rPr>
                    <w:t>沿线两侧200m范围内敏感点</w:t>
                  </w:r>
                </w:p>
              </w:tc>
              <w:tc>
                <w:tcPr>
                  <w:tcW w:w="668" w:type="dxa"/>
                  <w:tcBorders>
                    <w:tl2br w:val="nil"/>
                    <w:tr2bl w:val="nil"/>
                  </w:tcBorders>
                  <w:vAlign w:val="center"/>
                </w:tcPr>
                <w:p w14:paraId="5A2662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olor w:val="000000" w:themeColor="text1"/>
                      <w:sz w:val="21"/>
                      <w:szCs w:val="21"/>
                      <w:highlight w:val="none"/>
                      <w:shd w:val="clear" w:color="auto" w:fill="auto"/>
                      <w14:textFill>
                        <w14:solidFill>
                          <w14:schemeClr w14:val="tx1"/>
                        </w14:solidFill>
                      </w14:textFill>
                    </w:rPr>
                    <w:t>村庄</w:t>
                  </w:r>
                  <w:r>
                    <w:rPr>
                      <w:rFonts w:hint="eastAsia"/>
                      <w:color w:val="000000" w:themeColor="text1"/>
                      <w:sz w:val="21"/>
                      <w:szCs w:val="21"/>
                      <w:highlight w:val="none"/>
                      <w:shd w:val="clear" w:color="auto" w:fill="auto"/>
                      <w:lang w:eastAsia="zh-CN"/>
                      <w14:textFill>
                        <w14:solidFill>
                          <w14:schemeClr w14:val="tx1"/>
                        </w14:solidFill>
                      </w14:textFill>
                    </w:rPr>
                    <w:t>、散户</w:t>
                  </w:r>
                </w:p>
              </w:tc>
              <w:tc>
                <w:tcPr>
                  <w:tcW w:w="1042" w:type="dxa"/>
                  <w:tcBorders>
                    <w:tl2br w:val="nil"/>
                    <w:tr2bl w:val="nil"/>
                  </w:tcBorders>
                  <w:vAlign w:val="center"/>
                </w:tcPr>
                <w:p w14:paraId="3187D2C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w:t>
                  </w:r>
                </w:p>
              </w:tc>
              <w:tc>
                <w:tcPr>
                  <w:tcW w:w="894" w:type="dxa"/>
                  <w:tcBorders>
                    <w:tl2br w:val="nil"/>
                    <w:tr2bl w:val="nil"/>
                  </w:tcBorders>
                  <w:vAlign w:val="center"/>
                </w:tcPr>
                <w:p w14:paraId="5413FC7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w:t>
                  </w:r>
                </w:p>
              </w:tc>
              <w:tc>
                <w:tcPr>
                  <w:tcW w:w="796" w:type="dxa"/>
                  <w:vMerge w:val="continue"/>
                  <w:tcBorders>
                    <w:tl2br w:val="nil"/>
                    <w:tr2bl w:val="nil"/>
                  </w:tcBorders>
                  <w:vAlign w:val="center"/>
                </w:tcPr>
                <w:p w14:paraId="4631859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93C27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934C0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1594" w:type="dxa"/>
                  <w:gridSpan w:val="2"/>
                  <w:tcBorders>
                    <w:tl2br w:val="nil"/>
                    <w:tr2bl w:val="nil"/>
                  </w:tcBorders>
                  <w:vAlign w:val="center"/>
                </w:tcPr>
                <w:p w14:paraId="2971A17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南岳花都</w:t>
                  </w:r>
                </w:p>
              </w:tc>
              <w:tc>
                <w:tcPr>
                  <w:tcW w:w="1146" w:type="dxa"/>
                  <w:tcBorders>
                    <w:tl2br w:val="nil"/>
                    <w:tr2bl w:val="nil"/>
                  </w:tcBorders>
                  <w:vAlign w:val="center"/>
                </w:tcPr>
                <w:p w14:paraId="254A4BE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116.337691</w:t>
                  </w:r>
                </w:p>
              </w:tc>
              <w:tc>
                <w:tcPr>
                  <w:tcW w:w="1176" w:type="dxa"/>
                  <w:tcBorders>
                    <w:tl2br w:val="nil"/>
                    <w:tr2bl w:val="nil"/>
                  </w:tcBorders>
                  <w:vAlign w:val="center"/>
                </w:tcPr>
                <w:p w14:paraId="76FB826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31.392284</w:t>
                  </w:r>
                </w:p>
              </w:tc>
              <w:tc>
                <w:tcPr>
                  <w:tcW w:w="668" w:type="dxa"/>
                  <w:tcBorders>
                    <w:tl2br w:val="nil"/>
                    <w:tr2bl w:val="nil"/>
                  </w:tcBorders>
                  <w:vAlign w:val="center"/>
                </w:tcPr>
                <w:p w14:paraId="42B44AC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472F783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约1000人</w:t>
                  </w:r>
                </w:p>
              </w:tc>
              <w:tc>
                <w:tcPr>
                  <w:tcW w:w="894" w:type="dxa"/>
                  <w:tcBorders>
                    <w:tl2br w:val="nil"/>
                    <w:tr2bl w:val="nil"/>
                  </w:tcBorders>
                  <w:vAlign w:val="center"/>
                </w:tcPr>
                <w:p w14:paraId="7FD1882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E，21m</w:t>
                  </w:r>
                </w:p>
              </w:tc>
              <w:tc>
                <w:tcPr>
                  <w:tcW w:w="796" w:type="dxa"/>
                  <w:vMerge w:val="continue"/>
                  <w:tcBorders>
                    <w:tl2br w:val="nil"/>
                    <w:tr2bl w:val="nil"/>
                  </w:tcBorders>
                  <w:vAlign w:val="center"/>
                </w:tcPr>
                <w:p w14:paraId="33517D0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7F72CF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F41D32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restart"/>
                  <w:tcBorders>
                    <w:tl2br w:val="nil"/>
                    <w:tr2bl w:val="nil"/>
                  </w:tcBorders>
                  <w:vAlign w:val="center"/>
                </w:tcPr>
                <w:p w14:paraId="34018E0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幽芳河</w:t>
                  </w:r>
                </w:p>
              </w:tc>
              <w:tc>
                <w:tcPr>
                  <w:tcW w:w="1004" w:type="dxa"/>
                  <w:tcBorders>
                    <w:tl2br w:val="nil"/>
                    <w:tr2bl w:val="nil"/>
                  </w:tcBorders>
                  <w:vAlign w:val="center"/>
                </w:tcPr>
                <w:p w14:paraId="27298E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阳光丽景</w:t>
                  </w:r>
                </w:p>
              </w:tc>
              <w:tc>
                <w:tcPr>
                  <w:tcW w:w="1146" w:type="dxa"/>
                  <w:tcBorders>
                    <w:tl2br w:val="nil"/>
                    <w:tr2bl w:val="nil"/>
                  </w:tcBorders>
                  <w:vAlign w:val="center"/>
                </w:tcPr>
                <w:p w14:paraId="6381374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116.338183</w:t>
                  </w:r>
                </w:p>
              </w:tc>
              <w:tc>
                <w:tcPr>
                  <w:tcW w:w="1176" w:type="dxa"/>
                  <w:tcBorders>
                    <w:tl2br w:val="nil"/>
                    <w:tr2bl w:val="nil"/>
                  </w:tcBorders>
                  <w:vAlign w:val="center"/>
                </w:tcPr>
                <w:p w14:paraId="5ECDEF5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31.414634</w:t>
                  </w:r>
                </w:p>
              </w:tc>
              <w:tc>
                <w:tcPr>
                  <w:tcW w:w="668" w:type="dxa"/>
                  <w:tcBorders>
                    <w:tl2br w:val="nil"/>
                    <w:tr2bl w:val="nil"/>
                  </w:tcBorders>
                  <w:vAlign w:val="center"/>
                </w:tcPr>
                <w:p w14:paraId="7D6ED44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FD085D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约300人</w:t>
                  </w:r>
                </w:p>
              </w:tc>
              <w:tc>
                <w:tcPr>
                  <w:tcW w:w="894" w:type="dxa"/>
                  <w:tcBorders>
                    <w:tl2br w:val="nil"/>
                    <w:tr2bl w:val="nil"/>
                  </w:tcBorders>
                  <w:vAlign w:val="center"/>
                </w:tcPr>
                <w:p w14:paraId="3DF17B7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W，76m</w:t>
                  </w:r>
                </w:p>
              </w:tc>
              <w:tc>
                <w:tcPr>
                  <w:tcW w:w="796" w:type="dxa"/>
                  <w:vMerge w:val="continue"/>
                  <w:tcBorders>
                    <w:tl2br w:val="nil"/>
                    <w:tr2bl w:val="nil"/>
                  </w:tcBorders>
                  <w:vAlign w:val="center"/>
                </w:tcPr>
                <w:p w14:paraId="0E0AC50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23D0FB3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49881B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7CAAC41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3CBC397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政务花园</w:t>
                  </w:r>
                </w:p>
              </w:tc>
              <w:tc>
                <w:tcPr>
                  <w:tcW w:w="1146" w:type="dxa"/>
                  <w:tcBorders>
                    <w:tl2br w:val="nil"/>
                    <w:tr2bl w:val="nil"/>
                  </w:tcBorders>
                  <w:vAlign w:val="center"/>
                </w:tcPr>
                <w:p w14:paraId="3B7E34C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116.340586</w:t>
                  </w:r>
                </w:p>
              </w:tc>
              <w:tc>
                <w:tcPr>
                  <w:tcW w:w="1176" w:type="dxa"/>
                  <w:tcBorders>
                    <w:tl2br w:val="nil"/>
                    <w:tr2bl w:val="nil"/>
                  </w:tcBorders>
                  <w:vAlign w:val="center"/>
                </w:tcPr>
                <w:p w14:paraId="358B3CB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31.417080</w:t>
                  </w:r>
                </w:p>
              </w:tc>
              <w:tc>
                <w:tcPr>
                  <w:tcW w:w="668" w:type="dxa"/>
                  <w:tcBorders>
                    <w:tl2br w:val="nil"/>
                    <w:tr2bl w:val="nil"/>
                  </w:tcBorders>
                  <w:vAlign w:val="center"/>
                </w:tcPr>
                <w:p w14:paraId="616F1ED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17F33D0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约200人</w:t>
                  </w:r>
                </w:p>
              </w:tc>
              <w:tc>
                <w:tcPr>
                  <w:tcW w:w="894" w:type="dxa"/>
                  <w:tcBorders>
                    <w:tl2br w:val="nil"/>
                    <w:tr2bl w:val="nil"/>
                  </w:tcBorders>
                  <w:vAlign w:val="center"/>
                </w:tcPr>
                <w:p w14:paraId="2A24E3C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E，115m</w:t>
                  </w:r>
                </w:p>
              </w:tc>
              <w:tc>
                <w:tcPr>
                  <w:tcW w:w="796" w:type="dxa"/>
                  <w:vMerge w:val="continue"/>
                  <w:tcBorders>
                    <w:tl2br w:val="nil"/>
                    <w:tr2bl w:val="nil"/>
                  </w:tcBorders>
                  <w:vAlign w:val="center"/>
                </w:tcPr>
                <w:p w14:paraId="40997D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0AE7EC6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8896AD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633ED7B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3D79C81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花园小区</w:t>
                  </w:r>
                </w:p>
              </w:tc>
              <w:tc>
                <w:tcPr>
                  <w:tcW w:w="1146" w:type="dxa"/>
                  <w:tcBorders>
                    <w:tl2br w:val="nil"/>
                    <w:tr2bl w:val="nil"/>
                  </w:tcBorders>
                  <w:vAlign w:val="center"/>
                </w:tcPr>
                <w:p w14:paraId="086AF96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116.340960</w:t>
                  </w:r>
                </w:p>
              </w:tc>
              <w:tc>
                <w:tcPr>
                  <w:tcW w:w="1176" w:type="dxa"/>
                  <w:tcBorders>
                    <w:tl2br w:val="nil"/>
                    <w:tr2bl w:val="nil"/>
                  </w:tcBorders>
                  <w:vAlign w:val="center"/>
                </w:tcPr>
                <w:p w14:paraId="610BA93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31.404547</w:t>
                  </w:r>
                </w:p>
              </w:tc>
              <w:tc>
                <w:tcPr>
                  <w:tcW w:w="668" w:type="dxa"/>
                  <w:tcBorders>
                    <w:tl2br w:val="nil"/>
                    <w:tr2bl w:val="nil"/>
                  </w:tcBorders>
                  <w:vAlign w:val="center"/>
                </w:tcPr>
                <w:p w14:paraId="6CA4D82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35D5F4C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约800人</w:t>
                  </w:r>
                </w:p>
              </w:tc>
              <w:tc>
                <w:tcPr>
                  <w:tcW w:w="894" w:type="dxa"/>
                  <w:tcBorders>
                    <w:tl2br w:val="nil"/>
                    <w:tr2bl w:val="nil"/>
                  </w:tcBorders>
                  <w:vAlign w:val="center"/>
                </w:tcPr>
                <w:p w14:paraId="220F5F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N，33m</w:t>
                  </w:r>
                </w:p>
              </w:tc>
              <w:tc>
                <w:tcPr>
                  <w:tcW w:w="796" w:type="dxa"/>
                  <w:vMerge w:val="continue"/>
                  <w:tcBorders>
                    <w:tl2br w:val="nil"/>
                    <w:tr2bl w:val="nil"/>
                  </w:tcBorders>
                  <w:vAlign w:val="center"/>
                </w:tcPr>
                <w:p w14:paraId="3AD4A0C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284840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4DC010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60177FA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528A468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东湖兰庭</w:t>
                  </w:r>
                </w:p>
              </w:tc>
              <w:tc>
                <w:tcPr>
                  <w:tcW w:w="1146" w:type="dxa"/>
                  <w:tcBorders>
                    <w:tl2br w:val="nil"/>
                    <w:tr2bl w:val="nil"/>
                  </w:tcBorders>
                  <w:vAlign w:val="center"/>
                </w:tcPr>
                <w:p w14:paraId="6B1786B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116.338826</w:t>
                  </w:r>
                </w:p>
              </w:tc>
              <w:tc>
                <w:tcPr>
                  <w:tcW w:w="1176" w:type="dxa"/>
                  <w:tcBorders>
                    <w:tl2br w:val="nil"/>
                    <w:tr2bl w:val="nil"/>
                  </w:tcBorders>
                  <w:vAlign w:val="center"/>
                </w:tcPr>
                <w:p w14:paraId="2AE7097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31.405547</w:t>
                  </w:r>
                </w:p>
              </w:tc>
              <w:tc>
                <w:tcPr>
                  <w:tcW w:w="668" w:type="dxa"/>
                  <w:tcBorders>
                    <w:tl2br w:val="nil"/>
                    <w:tr2bl w:val="nil"/>
                  </w:tcBorders>
                  <w:vAlign w:val="center"/>
                </w:tcPr>
                <w:p w14:paraId="13061D8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4E9BEE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约500人</w:t>
                  </w:r>
                </w:p>
              </w:tc>
              <w:tc>
                <w:tcPr>
                  <w:tcW w:w="894" w:type="dxa"/>
                  <w:tcBorders>
                    <w:tl2br w:val="nil"/>
                    <w:tr2bl w:val="nil"/>
                  </w:tcBorders>
                  <w:vAlign w:val="center"/>
                </w:tcPr>
                <w:p w14:paraId="40CA74D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N，142m</w:t>
                  </w:r>
                </w:p>
              </w:tc>
              <w:tc>
                <w:tcPr>
                  <w:tcW w:w="796" w:type="dxa"/>
                  <w:vMerge w:val="continue"/>
                  <w:tcBorders>
                    <w:tl2br w:val="nil"/>
                    <w:tr2bl w:val="nil"/>
                  </w:tcBorders>
                  <w:vAlign w:val="center"/>
                </w:tcPr>
                <w:p w14:paraId="71DF3E6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B9608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49D175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064DDB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5328D29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幽芳院</w:t>
                  </w:r>
                </w:p>
              </w:tc>
              <w:tc>
                <w:tcPr>
                  <w:tcW w:w="1146" w:type="dxa"/>
                  <w:tcBorders>
                    <w:tl2br w:val="nil"/>
                    <w:tr2bl w:val="nil"/>
                  </w:tcBorders>
                  <w:vAlign w:val="center"/>
                </w:tcPr>
                <w:p w14:paraId="51F527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116.338681</w:t>
                  </w:r>
                </w:p>
              </w:tc>
              <w:tc>
                <w:tcPr>
                  <w:tcW w:w="1176" w:type="dxa"/>
                  <w:tcBorders>
                    <w:tl2br w:val="nil"/>
                    <w:tr2bl w:val="nil"/>
                  </w:tcBorders>
                  <w:vAlign w:val="center"/>
                </w:tcPr>
                <w:p w14:paraId="2849B79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31.402820</w:t>
                  </w:r>
                </w:p>
              </w:tc>
              <w:tc>
                <w:tcPr>
                  <w:tcW w:w="668" w:type="dxa"/>
                  <w:tcBorders>
                    <w:tl2br w:val="nil"/>
                    <w:tr2bl w:val="nil"/>
                  </w:tcBorders>
                  <w:vAlign w:val="center"/>
                </w:tcPr>
                <w:p w14:paraId="2CB62B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347E57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约600人</w:t>
                  </w:r>
                </w:p>
              </w:tc>
              <w:tc>
                <w:tcPr>
                  <w:tcW w:w="894" w:type="dxa"/>
                  <w:tcBorders>
                    <w:tl2br w:val="nil"/>
                    <w:tr2bl w:val="nil"/>
                  </w:tcBorders>
                  <w:vAlign w:val="center"/>
                </w:tcPr>
                <w:p w14:paraId="7FAEEB7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N，36m</w:t>
                  </w:r>
                </w:p>
              </w:tc>
              <w:tc>
                <w:tcPr>
                  <w:tcW w:w="796" w:type="dxa"/>
                  <w:vMerge w:val="continue"/>
                  <w:tcBorders>
                    <w:tl2br w:val="nil"/>
                    <w:tr2bl w:val="nil"/>
                  </w:tcBorders>
                  <w:vAlign w:val="center"/>
                </w:tcPr>
                <w:p w14:paraId="54AEAC8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0929C9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F63D12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4CCC546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1441BDB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幸福里</w:t>
                  </w:r>
                </w:p>
              </w:tc>
              <w:tc>
                <w:tcPr>
                  <w:tcW w:w="1146" w:type="dxa"/>
                  <w:tcBorders>
                    <w:tl2br w:val="nil"/>
                    <w:tr2bl w:val="nil"/>
                  </w:tcBorders>
                  <w:vAlign w:val="center"/>
                </w:tcPr>
                <w:p w14:paraId="7879CD0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116.340584</w:t>
                  </w:r>
                </w:p>
              </w:tc>
              <w:tc>
                <w:tcPr>
                  <w:tcW w:w="1176" w:type="dxa"/>
                  <w:tcBorders>
                    <w:tl2br w:val="nil"/>
                    <w:tr2bl w:val="nil"/>
                  </w:tcBorders>
                  <w:vAlign w:val="center"/>
                </w:tcPr>
                <w:p w14:paraId="2850556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31.402457</w:t>
                  </w:r>
                </w:p>
              </w:tc>
              <w:tc>
                <w:tcPr>
                  <w:tcW w:w="668" w:type="dxa"/>
                  <w:tcBorders>
                    <w:tl2br w:val="nil"/>
                    <w:tr2bl w:val="nil"/>
                  </w:tcBorders>
                  <w:vAlign w:val="center"/>
                </w:tcPr>
                <w:p w14:paraId="63247F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2714F91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约180人</w:t>
                  </w:r>
                </w:p>
              </w:tc>
              <w:tc>
                <w:tcPr>
                  <w:tcW w:w="894" w:type="dxa"/>
                  <w:tcBorders>
                    <w:tl2br w:val="nil"/>
                    <w:tr2bl w:val="nil"/>
                  </w:tcBorders>
                  <w:vAlign w:val="center"/>
                </w:tcPr>
                <w:p w14:paraId="6AC3E74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S，44m</w:t>
                  </w:r>
                </w:p>
              </w:tc>
              <w:tc>
                <w:tcPr>
                  <w:tcW w:w="796" w:type="dxa"/>
                  <w:vMerge w:val="continue"/>
                  <w:tcBorders>
                    <w:tl2br w:val="nil"/>
                    <w:tr2bl w:val="nil"/>
                  </w:tcBorders>
                  <w:vAlign w:val="center"/>
                </w:tcPr>
                <w:p w14:paraId="7FAFACE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2BB4A5F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A9BFF8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AB1B7D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418CBB5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文峰学校</w:t>
                  </w:r>
                </w:p>
              </w:tc>
              <w:tc>
                <w:tcPr>
                  <w:tcW w:w="1146" w:type="dxa"/>
                  <w:tcBorders>
                    <w:tl2br w:val="nil"/>
                    <w:tr2bl w:val="nil"/>
                  </w:tcBorders>
                  <w:vAlign w:val="center"/>
                </w:tcPr>
                <w:p w14:paraId="7A99BEE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116.333355</w:t>
                  </w:r>
                </w:p>
              </w:tc>
              <w:tc>
                <w:tcPr>
                  <w:tcW w:w="1176" w:type="dxa"/>
                  <w:tcBorders>
                    <w:tl2br w:val="nil"/>
                    <w:tr2bl w:val="nil"/>
                  </w:tcBorders>
                  <w:vAlign w:val="center"/>
                </w:tcPr>
                <w:p w14:paraId="6EA4B0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31.403361</w:t>
                  </w:r>
                </w:p>
              </w:tc>
              <w:tc>
                <w:tcPr>
                  <w:tcW w:w="668" w:type="dxa"/>
                  <w:tcBorders>
                    <w:tl2br w:val="nil"/>
                    <w:tr2bl w:val="nil"/>
                  </w:tcBorders>
                  <w:vAlign w:val="center"/>
                </w:tcPr>
                <w:p w14:paraId="0532146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师生</w:t>
                  </w:r>
                </w:p>
              </w:tc>
              <w:tc>
                <w:tcPr>
                  <w:tcW w:w="1042" w:type="dxa"/>
                  <w:tcBorders>
                    <w:tl2br w:val="nil"/>
                    <w:tr2bl w:val="nil"/>
                  </w:tcBorders>
                  <w:vAlign w:val="center"/>
                </w:tcPr>
                <w:p w14:paraId="169209D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约200人</w:t>
                  </w:r>
                </w:p>
              </w:tc>
              <w:tc>
                <w:tcPr>
                  <w:tcW w:w="894" w:type="dxa"/>
                  <w:tcBorders>
                    <w:tl2br w:val="nil"/>
                    <w:tr2bl w:val="nil"/>
                  </w:tcBorders>
                  <w:vAlign w:val="center"/>
                </w:tcPr>
                <w:p w14:paraId="2EBD48C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E，35m</w:t>
                  </w:r>
                </w:p>
              </w:tc>
              <w:tc>
                <w:tcPr>
                  <w:tcW w:w="796" w:type="dxa"/>
                  <w:vMerge w:val="continue"/>
                  <w:tcBorders>
                    <w:tl2br w:val="nil"/>
                    <w:tr2bl w:val="nil"/>
                  </w:tcBorders>
                  <w:vAlign w:val="center"/>
                </w:tcPr>
                <w:p w14:paraId="21C3F35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335713B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A857D6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63FAF5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4BCE7BF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居民点9</w:t>
                  </w:r>
                </w:p>
              </w:tc>
              <w:tc>
                <w:tcPr>
                  <w:tcW w:w="1146" w:type="dxa"/>
                  <w:tcBorders>
                    <w:tl2br w:val="nil"/>
                    <w:tr2bl w:val="nil"/>
                  </w:tcBorders>
                  <w:vAlign w:val="center"/>
                </w:tcPr>
                <w:p w14:paraId="75A7171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116.331965</w:t>
                  </w:r>
                </w:p>
              </w:tc>
              <w:tc>
                <w:tcPr>
                  <w:tcW w:w="1176" w:type="dxa"/>
                  <w:tcBorders>
                    <w:tl2br w:val="nil"/>
                    <w:tr2bl w:val="nil"/>
                  </w:tcBorders>
                  <w:vAlign w:val="center"/>
                </w:tcPr>
                <w:p w14:paraId="34D900C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31.402819</w:t>
                  </w:r>
                </w:p>
              </w:tc>
              <w:tc>
                <w:tcPr>
                  <w:tcW w:w="668" w:type="dxa"/>
                  <w:tcBorders>
                    <w:tl2br w:val="nil"/>
                    <w:tr2bl w:val="nil"/>
                  </w:tcBorders>
                  <w:vAlign w:val="center"/>
                </w:tcPr>
                <w:p w14:paraId="2CBA5BE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205A73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约180人</w:t>
                  </w:r>
                </w:p>
              </w:tc>
              <w:tc>
                <w:tcPr>
                  <w:tcW w:w="894" w:type="dxa"/>
                  <w:tcBorders>
                    <w:tl2br w:val="nil"/>
                    <w:tr2bl w:val="nil"/>
                  </w:tcBorders>
                  <w:vAlign w:val="center"/>
                </w:tcPr>
                <w:p w14:paraId="5323568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W，50m</w:t>
                  </w:r>
                </w:p>
              </w:tc>
              <w:tc>
                <w:tcPr>
                  <w:tcW w:w="796" w:type="dxa"/>
                  <w:vMerge w:val="continue"/>
                  <w:tcBorders>
                    <w:tl2br w:val="nil"/>
                    <w:tr2bl w:val="nil"/>
                  </w:tcBorders>
                  <w:vAlign w:val="center"/>
                </w:tcPr>
                <w:p w14:paraId="566094A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C01B05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561C90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213D7CA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shd w:val="clear" w:color="auto" w:fill="auto"/>
                  <w:vAlign w:val="center"/>
                </w:tcPr>
                <w:p w14:paraId="7619E89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御景苑</w:t>
                  </w:r>
                </w:p>
              </w:tc>
              <w:tc>
                <w:tcPr>
                  <w:tcW w:w="1146" w:type="dxa"/>
                  <w:tcBorders>
                    <w:tl2br w:val="nil"/>
                    <w:tr2bl w:val="nil"/>
                  </w:tcBorders>
                  <w:shd w:val="clear" w:color="auto" w:fill="auto"/>
                  <w:vAlign w:val="center"/>
                </w:tcPr>
                <w:p w14:paraId="3FFD665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116.345464</w:t>
                  </w:r>
                </w:p>
              </w:tc>
              <w:tc>
                <w:tcPr>
                  <w:tcW w:w="1176" w:type="dxa"/>
                  <w:tcBorders>
                    <w:tl2br w:val="nil"/>
                    <w:tr2bl w:val="nil"/>
                  </w:tcBorders>
                  <w:shd w:val="clear" w:color="auto" w:fill="auto"/>
                  <w:vAlign w:val="center"/>
                </w:tcPr>
                <w:p w14:paraId="6CF2922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31.392299</w:t>
                  </w:r>
                </w:p>
              </w:tc>
              <w:tc>
                <w:tcPr>
                  <w:tcW w:w="668" w:type="dxa"/>
                  <w:tcBorders>
                    <w:tl2br w:val="nil"/>
                    <w:tr2bl w:val="nil"/>
                  </w:tcBorders>
                  <w:shd w:val="clear" w:color="auto" w:fill="auto"/>
                  <w:vAlign w:val="center"/>
                </w:tcPr>
                <w:p w14:paraId="546718B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shd w:val="clear" w:color="auto" w:fill="auto"/>
                  <w:vAlign w:val="center"/>
                </w:tcPr>
                <w:p w14:paraId="3CC785F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约220人</w:t>
                  </w:r>
                </w:p>
              </w:tc>
              <w:tc>
                <w:tcPr>
                  <w:tcW w:w="894" w:type="dxa"/>
                  <w:tcBorders>
                    <w:tl2br w:val="nil"/>
                    <w:tr2bl w:val="nil"/>
                  </w:tcBorders>
                  <w:shd w:val="clear" w:color="auto" w:fill="auto"/>
                  <w:vAlign w:val="center"/>
                </w:tcPr>
                <w:p w14:paraId="005F150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E，24m</w:t>
                  </w:r>
                </w:p>
              </w:tc>
              <w:tc>
                <w:tcPr>
                  <w:tcW w:w="796" w:type="dxa"/>
                  <w:vMerge w:val="continue"/>
                  <w:tcBorders>
                    <w:tl2br w:val="nil"/>
                    <w:tr2bl w:val="nil"/>
                  </w:tcBorders>
                  <w:vAlign w:val="center"/>
                </w:tcPr>
                <w:p w14:paraId="59FC34C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2B36E4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17858E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635E0FD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top"/>
                </w:tcPr>
                <w:p w14:paraId="462A3B3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散户11</w:t>
                  </w:r>
                </w:p>
              </w:tc>
              <w:tc>
                <w:tcPr>
                  <w:tcW w:w="1146" w:type="dxa"/>
                  <w:tcBorders>
                    <w:tl2br w:val="nil"/>
                    <w:tr2bl w:val="nil"/>
                  </w:tcBorders>
                  <w:vAlign w:val="center"/>
                </w:tcPr>
                <w:p w14:paraId="3D3DB50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116.342517</w:t>
                  </w:r>
                </w:p>
              </w:tc>
              <w:tc>
                <w:tcPr>
                  <w:tcW w:w="1176" w:type="dxa"/>
                  <w:tcBorders>
                    <w:tl2br w:val="nil"/>
                    <w:tr2bl w:val="nil"/>
                  </w:tcBorders>
                  <w:vAlign w:val="center"/>
                </w:tcPr>
                <w:p w14:paraId="58D275B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31.391039</w:t>
                  </w:r>
                </w:p>
              </w:tc>
              <w:tc>
                <w:tcPr>
                  <w:tcW w:w="668" w:type="dxa"/>
                  <w:tcBorders>
                    <w:tl2br w:val="nil"/>
                    <w:tr2bl w:val="nil"/>
                  </w:tcBorders>
                  <w:vAlign w:val="center"/>
                </w:tcPr>
                <w:p w14:paraId="3305748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2A531E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约14人</w:t>
                  </w:r>
                </w:p>
              </w:tc>
              <w:tc>
                <w:tcPr>
                  <w:tcW w:w="894" w:type="dxa"/>
                  <w:tcBorders>
                    <w:tl2br w:val="nil"/>
                    <w:tr2bl w:val="nil"/>
                  </w:tcBorders>
                  <w:vAlign w:val="center"/>
                </w:tcPr>
                <w:p w14:paraId="4325018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E，22m</w:t>
                  </w:r>
                </w:p>
              </w:tc>
              <w:tc>
                <w:tcPr>
                  <w:tcW w:w="796" w:type="dxa"/>
                  <w:vMerge w:val="continue"/>
                  <w:tcBorders>
                    <w:tl2br w:val="nil"/>
                    <w:tr2bl w:val="nil"/>
                  </w:tcBorders>
                  <w:vAlign w:val="center"/>
                </w:tcPr>
                <w:p w14:paraId="7BAEDA2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8DDD7E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07D35E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7228AFB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top"/>
                </w:tcPr>
                <w:p w14:paraId="5F44042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散户12</w:t>
                  </w:r>
                </w:p>
              </w:tc>
              <w:tc>
                <w:tcPr>
                  <w:tcW w:w="1146" w:type="dxa"/>
                  <w:tcBorders>
                    <w:tl2br w:val="nil"/>
                    <w:tr2bl w:val="nil"/>
                  </w:tcBorders>
                  <w:vAlign w:val="center"/>
                </w:tcPr>
                <w:p w14:paraId="5A503E6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116.343397</w:t>
                  </w:r>
                </w:p>
              </w:tc>
              <w:tc>
                <w:tcPr>
                  <w:tcW w:w="1176" w:type="dxa"/>
                  <w:tcBorders>
                    <w:tl2br w:val="nil"/>
                    <w:tr2bl w:val="nil"/>
                  </w:tcBorders>
                  <w:vAlign w:val="center"/>
                </w:tcPr>
                <w:p w14:paraId="1B0288B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31.389794</w:t>
                  </w:r>
                </w:p>
              </w:tc>
              <w:tc>
                <w:tcPr>
                  <w:tcW w:w="668" w:type="dxa"/>
                  <w:tcBorders>
                    <w:tl2br w:val="nil"/>
                    <w:tr2bl w:val="nil"/>
                  </w:tcBorders>
                  <w:vAlign w:val="center"/>
                </w:tcPr>
                <w:p w14:paraId="67957F1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60CC86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约40人</w:t>
                  </w:r>
                </w:p>
              </w:tc>
              <w:tc>
                <w:tcPr>
                  <w:tcW w:w="894" w:type="dxa"/>
                  <w:tcBorders>
                    <w:tl2br w:val="nil"/>
                    <w:tr2bl w:val="nil"/>
                  </w:tcBorders>
                  <w:vAlign w:val="center"/>
                </w:tcPr>
                <w:p w14:paraId="53E9E81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E，16m</w:t>
                  </w:r>
                </w:p>
              </w:tc>
              <w:tc>
                <w:tcPr>
                  <w:tcW w:w="796" w:type="dxa"/>
                  <w:vMerge w:val="continue"/>
                  <w:tcBorders>
                    <w:tl2br w:val="nil"/>
                    <w:tr2bl w:val="nil"/>
                  </w:tcBorders>
                  <w:vAlign w:val="center"/>
                </w:tcPr>
                <w:p w14:paraId="46ACFB3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5E8C0D1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CE9778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5D95397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05A3D92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柳树店</w:t>
                  </w:r>
                </w:p>
              </w:tc>
              <w:tc>
                <w:tcPr>
                  <w:tcW w:w="1146" w:type="dxa"/>
                  <w:tcBorders>
                    <w:tl2br w:val="nil"/>
                    <w:tr2bl w:val="nil"/>
                  </w:tcBorders>
                  <w:vAlign w:val="center"/>
                </w:tcPr>
                <w:p w14:paraId="7BC5FAC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116.351542</w:t>
                  </w:r>
                </w:p>
              </w:tc>
              <w:tc>
                <w:tcPr>
                  <w:tcW w:w="1176" w:type="dxa"/>
                  <w:tcBorders>
                    <w:tl2br w:val="nil"/>
                    <w:tr2bl w:val="nil"/>
                  </w:tcBorders>
                  <w:vAlign w:val="center"/>
                </w:tcPr>
                <w:p w14:paraId="52574A5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31.382507</w:t>
                  </w:r>
                </w:p>
              </w:tc>
              <w:tc>
                <w:tcPr>
                  <w:tcW w:w="668" w:type="dxa"/>
                  <w:tcBorders>
                    <w:tl2br w:val="nil"/>
                    <w:tr2bl w:val="nil"/>
                  </w:tcBorders>
                  <w:vAlign w:val="center"/>
                </w:tcPr>
                <w:p w14:paraId="7F79236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5F8A71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约40人</w:t>
                  </w:r>
                </w:p>
              </w:tc>
              <w:tc>
                <w:tcPr>
                  <w:tcW w:w="894" w:type="dxa"/>
                  <w:tcBorders>
                    <w:tl2br w:val="nil"/>
                    <w:tr2bl w:val="nil"/>
                  </w:tcBorders>
                  <w:vAlign w:val="center"/>
                </w:tcPr>
                <w:p w14:paraId="03FFC7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W，31m</w:t>
                  </w:r>
                </w:p>
              </w:tc>
              <w:tc>
                <w:tcPr>
                  <w:tcW w:w="796" w:type="dxa"/>
                  <w:vMerge w:val="continue"/>
                  <w:tcBorders>
                    <w:tl2br w:val="nil"/>
                    <w:tr2bl w:val="nil"/>
                  </w:tcBorders>
                  <w:vAlign w:val="center"/>
                </w:tcPr>
                <w:p w14:paraId="5E1876B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A772CF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1717B5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DCC6ED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top"/>
                </w:tcPr>
                <w:p w14:paraId="7A32CD1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散户13</w:t>
                  </w:r>
                </w:p>
              </w:tc>
              <w:tc>
                <w:tcPr>
                  <w:tcW w:w="1146" w:type="dxa"/>
                  <w:tcBorders>
                    <w:tl2br w:val="nil"/>
                    <w:tr2bl w:val="nil"/>
                  </w:tcBorders>
                  <w:vAlign w:val="center"/>
                </w:tcPr>
                <w:p w14:paraId="4C7F383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116.348708</w:t>
                  </w:r>
                </w:p>
              </w:tc>
              <w:tc>
                <w:tcPr>
                  <w:tcW w:w="1176" w:type="dxa"/>
                  <w:tcBorders>
                    <w:tl2br w:val="nil"/>
                    <w:tr2bl w:val="nil"/>
                  </w:tcBorders>
                  <w:vAlign w:val="center"/>
                </w:tcPr>
                <w:p w14:paraId="67B636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31.382826</w:t>
                  </w:r>
                </w:p>
              </w:tc>
              <w:tc>
                <w:tcPr>
                  <w:tcW w:w="668" w:type="dxa"/>
                  <w:tcBorders>
                    <w:tl2br w:val="nil"/>
                    <w:tr2bl w:val="nil"/>
                  </w:tcBorders>
                  <w:vAlign w:val="center"/>
                </w:tcPr>
                <w:p w14:paraId="15B282A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A490FD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约42人</w:t>
                  </w:r>
                </w:p>
              </w:tc>
              <w:tc>
                <w:tcPr>
                  <w:tcW w:w="894" w:type="dxa"/>
                  <w:tcBorders>
                    <w:tl2br w:val="nil"/>
                    <w:tr2bl w:val="nil"/>
                  </w:tcBorders>
                  <w:vAlign w:val="center"/>
                </w:tcPr>
                <w:p w14:paraId="1E04668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W，12m</w:t>
                  </w:r>
                </w:p>
              </w:tc>
              <w:tc>
                <w:tcPr>
                  <w:tcW w:w="796" w:type="dxa"/>
                  <w:vMerge w:val="continue"/>
                  <w:tcBorders>
                    <w:tl2br w:val="nil"/>
                    <w:tr2bl w:val="nil"/>
                  </w:tcBorders>
                  <w:vAlign w:val="center"/>
                </w:tcPr>
                <w:p w14:paraId="230BCEC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2FE4D3B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5912CF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513E9E7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top"/>
                </w:tcPr>
                <w:p w14:paraId="4A81B50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散户14</w:t>
                  </w:r>
                </w:p>
              </w:tc>
              <w:tc>
                <w:tcPr>
                  <w:tcW w:w="1146" w:type="dxa"/>
                  <w:tcBorders>
                    <w:tl2br w:val="nil"/>
                    <w:tr2bl w:val="nil"/>
                  </w:tcBorders>
                  <w:vAlign w:val="center"/>
                </w:tcPr>
                <w:p w14:paraId="3781778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116.349555</w:t>
                  </w:r>
                </w:p>
              </w:tc>
              <w:tc>
                <w:tcPr>
                  <w:tcW w:w="1176" w:type="dxa"/>
                  <w:tcBorders>
                    <w:tl2br w:val="nil"/>
                    <w:tr2bl w:val="nil"/>
                  </w:tcBorders>
                  <w:vAlign w:val="center"/>
                </w:tcPr>
                <w:p w14:paraId="0A59381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31.380230</w:t>
                  </w:r>
                </w:p>
              </w:tc>
              <w:tc>
                <w:tcPr>
                  <w:tcW w:w="668" w:type="dxa"/>
                  <w:tcBorders>
                    <w:tl2br w:val="nil"/>
                    <w:tr2bl w:val="nil"/>
                  </w:tcBorders>
                  <w:vAlign w:val="center"/>
                </w:tcPr>
                <w:p w14:paraId="0D22845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25F2D3C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约35人</w:t>
                  </w:r>
                </w:p>
              </w:tc>
              <w:tc>
                <w:tcPr>
                  <w:tcW w:w="894" w:type="dxa"/>
                  <w:tcBorders>
                    <w:tl2br w:val="nil"/>
                    <w:tr2bl w:val="nil"/>
                  </w:tcBorders>
                  <w:vAlign w:val="center"/>
                </w:tcPr>
                <w:p w14:paraId="5B91420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W，18m</w:t>
                  </w:r>
                </w:p>
              </w:tc>
              <w:tc>
                <w:tcPr>
                  <w:tcW w:w="796" w:type="dxa"/>
                  <w:vMerge w:val="continue"/>
                  <w:tcBorders>
                    <w:tl2br w:val="nil"/>
                    <w:tr2bl w:val="nil"/>
                  </w:tcBorders>
                  <w:vAlign w:val="center"/>
                </w:tcPr>
                <w:p w14:paraId="633FF14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EFCBC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545721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5AF50B5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top"/>
                </w:tcPr>
                <w:p w14:paraId="45FF79B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散户15</w:t>
                  </w:r>
                </w:p>
              </w:tc>
              <w:tc>
                <w:tcPr>
                  <w:tcW w:w="1146" w:type="dxa"/>
                  <w:tcBorders>
                    <w:tl2br w:val="nil"/>
                    <w:tr2bl w:val="nil"/>
                  </w:tcBorders>
                  <w:vAlign w:val="center"/>
                </w:tcPr>
                <w:p w14:paraId="4D0C4C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116.348579</w:t>
                  </w:r>
                </w:p>
              </w:tc>
              <w:tc>
                <w:tcPr>
                  <w:tcW w:w="1176" w:type="dxa"/>
                  <w:tcBorders>
                    <w:tl2br w:val="nil"/>
                    <w:tr2bl w:val="nil"/>
                  </w:tcBorders>
                  <w:vAlign w:val="center"/>
                </w:tcPr>
                <w:p w14:paraId="6AD058A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31.376619</w:t>
                  </w:r>
                </w:p>
              </w:tc>
              <w:tc>
                <w:tcPr>
                  <w:tcW w:w="668" w:type="dxa"/>
                  <w:tcBorders>
                    <w:tl2br w:val="nil"/>
                    <w:tr2bl w:val="nil"/>
                  </w:tcBorders>
                  <w:vAlign w:val="center"/>
                </w:tcPr>
                <w:p w14:paraId="3F3D341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C42A07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约16人</w:t>
                  </w:r>
                </w:p>
              </w:tc>
              <w:tc>
                <w:tcPr>
                  <w:tcW w:w="894" w:type="dxa"/>
                  <w:tcBorders>
                    <w:tl2br w:val="nil"/>
                    <w:tr2bl w:val="nil"/>
                  </w:tcBorders>
                  <w:vAlign w:val="center"/>
                </w:tcPr>
                <w:p w14:paraId="7EDF34B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E，15m</w:t>
                  </w:r>
                </w:p>
              </w:tc>
              <w:tc>
                <w:tcPr>
                  <w:tcW w:w="796" w:type="dxa"/>
                  <w:vMerge w:val="continue"/>
                  <w:tcBorders>
                    <w:tl2br w:val="nil"/>
                    <w:tr2bl w:val="nil"/>
                  </w:tcBorders>
                  <w:vAlign w:val="center"/>
                </w:tcPr>
                <w:p w14:paraId="51BECEE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3044BBD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68790A3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E800F4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top"/>
                </w:tcPr>
                <w:p w14:paraId="71BBA28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散户16</w:t>
                  </w:r>
                </w:p>
              </w:tc>
              <w:tc>
                <w:tcPr>
                  <w:tcW w:w="1146" w:type="dxa"/>
                  <w:tcBorders>
                    <w:tl2br w:val="nil"/>
                    <w:tr2bl w:val="nil"/>
                  </w:tcBorders>
                  <w:vAlign w:val="center"/>
                </w:tcPr>
                <w:p w14:paraId="5F999C0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116.345430</w:t>
                  </w:r>
                </w:p>
              </w:tc>
              <w:tc>
                <w:tcPr>
                  <w:tcW w:w="1176" w:type="dxa"/>
                  <w:tcBorders>
                    <w:tl2br w:val="nil"/>
                    <w:tr2bl w:val="nil"/>
                  </w:tcBorders>
                  <w:vAlign w:val="center"/>
                </w:tcPr>
                <w:p w14:paraId="0010C88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31.373132</w:t>
                  </w:r>
                </w:p>
              </w:tc>
              <w:tc>
                <w:tcPr>
                  <w:tcW w:w="668" w:type="dxa"/>
                  <w:tcBorders>
                    <w:tl2br w:val="nil"/>
                    <w:tr2bl w:val="nil"/>
                  </w:tcBorders>
                  <w:vAlign w:val="center"/>
                </w:tcPr>
                <w:p w14:paraId="77C4A3E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3A01BF4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约10人</w:t>
                  </w:r>
                </w:p>
              </w:tc>
              <w:tc>
                <w:tcPr>
                  <w:tcW w:w="894" w:type="dxa"/>
                  <w:tcBorders>
                    <w:tl2br w:val="nil"/>
                    <w:tr2bl w:val="nil"/>
                  </w:tcBorders>
                  <w:vAlign w:val="center"/>
                </w:tcPr>
                <w:p w14:paraId="0D1861E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W，24m</w:t>
                  </w:r>
                </w:p>
              </w:tc>
              <w:tc>
                <w:tcPr>
                  <w:tcW w:w="796" w:type="dxa"/>
                  <w:vMerge w:val="continue"/>
                  <w:tcBorders>
                    <w:tl2br w:val="nil"/>
                    <w:tr2bl w:val="nil"/>
                  </w:tcBorders>
                  <w:vAlign w:val="center"/>
                </w:tcPr>
                <w:p w14:paraId="649E0AE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4FAB456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D1AB26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6246FF3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7BBD6C1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张家塝</w:t>
                  </w:r>
                </w:p>
              </w:tc>
              <w:tc>
                <w:tcPr>
                  <w:tcW w:w="1146" w:type="dxa"/>
                  <w:tcBorders>
                    <w:tl2br w:val="nil"/>
                    <w:tr2bl w:val="nil"/>
                  </w:tcBorders>
                  <w:vAlign w:val="center"/>
                </w:tcPr>
                <w:p w14:paraId="4838242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116.349444</w:t>
                  </w:r>
                </w:p>
              </w:tc>
              <w:tc>
                <w:tcPr>
                  <w:tcW w:w="1176" w:type="dxa"/>
                  <w:tcBorders>
                    <w:tl2br w:val="nil"/>
                    <w:tr2bl w:val="nil"/>
                  </w:tcBorders>
                  <w:vAlign w:val="center"/>
                </w:tcPr>
                <w:p w14:paraId="261F4A9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31.366909</w:t>
                  </w:r>
                </w:p>
              </w:tc>
              <w:tc>
                <w:tcPr>
                  <w:tcW w:w="668" w:type="dxa"/>
                  <w:tcBorders>
                    <w:tl2br w:val="nil"/>
                    <w:tr2bl w:val="nil"/>
                  </w:tcBorders>
                  <w:vAlign w:val="center"/>
                </w:tcPr>
                <w:p w14:paraId="42A8FE8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4A6FE46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约26人</w:t>
                  </w:r>
                </w:p>
              </w:tc>
              <w:tc>
                <w:tcPr>
                  <w:tcW w:w="894" w:type="dxa"/>
                  <w:tcBorders>
                    <w:tl2br w:val="nil"/>
                    <w:tr2bl w:val="nil"/>
                  </w:tcBorders>
                  <w:vAlign w:val="center"/>
                </w:tcPr>
                <w:p w14:paraId="140947F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E，13m</w:t>
                  </w:r>
                </w:p>
              </w:tc>
              <w:tc>
                <w:tcPr>
                  <w:tcW w:w="796" w:type="dxa"/>
                  <w:vMerge w:val="continue"/>
                  <w:tcBorders>
                    <w:tl2br w:val="nil"/>
                    <w:tr2bl w:val="nil"/>
                  </w:tcBorders>
                  <w:vAlign w:val="center"/>
                </w:tcPr>
                <w:p w14:paraId="7FEF74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D79C7F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F51335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11EC167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1004" w:type="dxa"/>
                  <w:tcBorders>
                    <w:tl2br w:val="nil"/>
                    <w:tr2bl w:val="nil"/>
                  </w:tcBorders>
                  <w:vAlign w:val="center"/>
                </w:tcPr>
                <w:p w14:paraId="443A786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散户17</w:t>
                  </w:r>
                </w:p>
              </w:tc>
              <w:tc>
                <w:tcPr>
                  <w:tcW w:w="1146" w:type="dxa"/>
                  <w:tcBorders>
                    <w:tl2br w:val="nil"/>
                    <w:tr2bl w:val="nil"/>
                  </w:tcBorders>
                  <w:vAlign w:val="center"/>
                </w:tcPr>
                <w:p w14:paraId="1DC4EB1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116.345537</w:t>
                  </w:r>
                </w:p>
              </w:tc>
              <w:tc>
                <w:tcPr>
                  <w:tcW w:w="1176" w:type="dxa"/>
                  <w:tcBorders>
                    <w:tl2br w:val="nil"/>
                    <w:tr2bl w:val="nil"/>
                  </w:tcBorders>
                  <w:vAlign w:val="center"/>
                </w:tcPr>
                <w:p w14:paraId="22CD1D6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31.364726</w:t>
                  </w:r>
                </w:p>
              </w:tc>
              <w:tc>
                <w:tcPr>
                  <w:tcW w:w="668" w:type="dxa"/>
                  <w:tcBorders>
                    <w:tl2br w:val="nil"/>
                    <w:tr2bl w:val="nil"/>
                  </w:tcBorders>
                  <w:vAlign w:val="center"/>
                </w:tcPr>
                <w:p w14:paraId="44374F4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55C8619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约12人</w:t>
                  </w:r>
                </w:p>
              </w:tc>
              <w:tc>
                <w:tcPr>
                  <w:tcW w:w="894" w:type="dxa"/>
                  <w:tcBorders>
                    <w:tl2br w:val="nil"/>
                    <w:tr2bl w:val="nil"/>
                  </w:tcBorders>
                  <w:vAlign w:val="center"/>
                </w:tcPr>
                <w:p w14:paraId="08322E6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E，26m</w:t>
                  </w:r>
                </w:p>
              </w:tc>
              <w:tc>
                <w:tcPr>
                  <w:tcW w:w="796" w:type="dxa"/>
                  <w:vMerge w:val="continue"/>
                  <w:tcBorders>
                    <w:tl2br w:val="nil"/>
                    <w:tr2bl w:val="nil"/>
                  </w:tcBorders>
                  <w:vAlign w:val="center"/>
                </w:tcPr>
                <w:p w14:paraId="752CC9C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16AACEC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769B919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06EACE5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p>
              </w:tc>
              <w:tc>
                <w:tcPr>
                  <w:tcW w:w="3326" w:type="dxa"/>
                  <w:gridSpan w:val="3"/>
                  <w:tcBorders>
                    <w:tl2br w:val="nil"/>
                    <w:tr2bl w:val="nil"/>
                  </w:tcBorders>
                  <w:vAlign w:val="center"/>
                </w:tcPr>
                <w:p w14:paraId="58DCAB2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沿线两侧200m范围内敏感点</w:t>
                  </w:r>
                </w:p>
              </w:tc>
              <w:tc>
                <w:tcPr>
                  <w:tcW w:w="668" w:type="dxa"/>
                  <w:tcBorders>
                    <w:tl2br w:val="nil"/>
                    <w:tr2bl w:val="nil"/>
                  </w:tcBorders>
                  <w:vAlign w:val="center"/>
                </w:tcPr>
                <w:p w14:paraId="50308A2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小区、散户</w:t>
                  </w:r>
                </w:p>
              </w:tc>
              <w:tc>
                <w:tcPr>
                  <w:tcW w:w="1042" w:type="dxa"/>
                  <w:tcBorders>
                    <w:tl2br w:val="nil"/>
                    <w:tr2bl w:val="nil"/>
                  </w:tcBorders>
                  <w:vAlign w:val="center"/>
                </w:tcPr>
                <w:p w14:paraId="3B71080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t>
                  </w:r>
                </w:p>
              </w:tc>
              <w:tc>
                <w:tcPr>
                  <w:tcW w:w="894" w:type="dxa"/>
                  <w:tcBorders>
                    <w:tl2br w:val="nil"/>
                    <w:tr2bl w:val="nil"/>
                  </w:tcBorders>
                  <w:vAlign w:val="center"/>
                </w:tcPr>
                <w:p w14:paraId="18063F6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t>
                  </w:r>
                </w:p>
              </w:tc>
              <w:tc>
                <w:tcPr>
                  <w:tcW w:w="796" w:type="dxa"/>
                  <w:vMerge w:val="continue"/>
                  <w:tcBorders>
                    <w:tl2br w:val="nil"/>
                    <w:tr2bl w:val="nil"/>
                  </w:tcBorders>
                  <w:vAlign w:val="center"/>
                </w:tcPr>
                <w:p w14:paraId="4B33C61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72FFDC6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16E73B8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restart"/>
                  <w:tcBorders>
                    <w:tl2br w:val="nil"/>
                    <w:tr2bl w:val="nil"/>
                  </w:tcBorders>
                  <w:vAlign w:val="center"/>
                </w:tcPr>
                <w:p w14:paraId="6F66DF9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高庙河</w:t>
                  </w:r>
                </w:p>
              </w:tc>
              <w:tc>
                <w:tcPr>
                  <w:tcW w:w="1004" w:type="dxa"/>
                  <w:tcBorders>
                    <w:tl2br w:val="nil"/>
                    <w:tr2bl w:val="nil"/>
                  </w:tcBorders>
                  <w:vAlign w:val="top"/>
                </w:tcPr>
                <w:p w14:paraId="4FF21D1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散户18</w:t>
                  </w:r>
                </w:p>
              </w:tc>
              <w:tc>
                <w:tcPr>
                  <w:tcW w:w="1146" w:type="dxa"/>
                  <w:tcBorders>
                    <w:tl2br w:val="nil"/>
                    <w:tr2bl w:val="nil"/>
                  </w:tcBorders>
                  <w:vAlign w:val="center"/>
                </w:tcPr>
                <w:p w14:paraId="1C9BD58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116.3621454</w:t>
                  </w:r>
                </w:p>
              </w:tc>
              <w:tc>
                <w:tcPr>
                  <w:tcW w:w="1176" w:type="dxa"/>
                  <w:tcBorders>
                    <w:tl2br w:val="nil"/>
                    <w:tr2bl w:val="nil"/>
                  </w:tcBorders>
                  <w:vAlign w:val="center"/>
                </w:tcPr>
                <w:p w14:paraId="13382C0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31.3907920</w:t>
                  </w:r>
                </w:p>
              </w:tc>
              <w:tc>
                <w:tcPr>
                  <w:tcW w:w="668" w:type="dxa"/>
                  <w:tcBorders>
                    <w:tl2br w:val="nil"/>
                    <w:tr2bl w:val="nil"/>
                  </w:tcBorders>
                  <w:vAlign w:val="center"/>
                </w:tcPr>
                <w:p w14:paraId="146869F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13A29D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约20人</w:t>
                  </w:r>
                </w:p>
              </w:tc>
              <w:tc>
                <w:tcPr>
                  <w:tcW w:w="894" w:type="dxa"/>
                  <w:tcBorders>
                    <w:tl2br w:val="nil"/>
                    <w:tr2bl w:val="nil"/>
                  </w:tcBorders>
                  <w:vAlign w:val="center"/>
                </w:tcPr>
                <w:p w14:paraId="0A6C97B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E，42m</w:t>
                  </w:r>
                </w:p>
              </w:tc>
              <w:tc>
                <w:tcPr>
                  <w:tcW w:w="796" w:type="dxa"/>
                  <w:vMerge w:val="continue"/>
                  <w:tcBorders>
                    <w:tl2br w:val="nil"/>
                    <w:tr2bl w:val="nil"/>
                  </w:tcBorders>
                  <w:vAlign w:val="center"/>
                </w:tcPr>
                <w:p w14:paraId="5447FE3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65E3252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97B9A9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4B3DBC0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pPr>
                </w:p>
              </w:tc>
              <w:tc>
                <w:tcPr>
                  <w:tcW w:w="1004" w:type="dxa"/>
                  <w:tcBorders>
                    <w:tl2br w:val="nil"/>
                    <w:tr2bl w:val="nil"/>
                  </w:tcBorders>
                  <w:vAlign w:val="top"/>
                </w:tcPr>
                <w:p w14:paraId="0325D7D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散户19</w:t>
                  </w:r>
                </w:p>
              </w:tc>
              <w:tc>
                <w:tcPr>
                  <w:tcW w:w="1146" w:type="dxa"/>
                  <w:tcBorders>
                    <w:tl2br w:val="nil"/>
                    <w:tr2bl w:val="nil"/>
                  </w:tcBorders>
                  <w:vAlign w:val="center"/>
                </w:tcPr>
                <w:p w14:paraId="67C6E7A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116.3610725</w:t>
                  </w:r>
                </w:p>
              </w:tc>
              <w:tc>
                <w:tcPr>
                  <w:tcW w:w="1176" w:type="dxa"/>
                  <w:tcBorders>
                    <w:tl2br w:val="nil"/>
                    <w:tr2bl w:val="nil"/>
                  </w:tcBorders>
                  <w:vAlign w:val="center"/>
                </w:tcPr>
                <w:p w14:paraId="1A20C3F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31.3851165</w:t>
                  </w:r>
                </w:p>
              </w:tc>
              <w:tc>
                <w:tcPr>
                  <w:tcW w:w="668" w:type="dxa"/>
                  <w:tcBorders>
                    <w:tl2br w:val="nil"/>
                    <w:tr2bl w:val="nil"/>
                  </w:tcBorders>
                  <w:vAlign w:val="center"/>
                </w:tcPr>
                <w:p w14:paraId="43D688B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7E3A252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约18人</w:t>
                  </w:r>
                </w:p>
              </w:tc>
              <w:tc>
                <w:tcPr>
                  <w:tcW w:w="894" w:type="dxa"/>
                  <w:tcBorders>
                    <w:tl2br w:val="nil"/>
                    <w:tr2bl w:val="nil"/>
                  </w:tcBorders>
                  <w:vAlign w:val="center"/>
                </w:tcPr>
                <w:p w14:paraId="2A2B00C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W，41m</w:t>
                  </w:r>
                </w:p>
              </w:tc>
              <w:tc>
                <w:tcPr>
                  <w:tcW w:w="796" w:type="dxa"/>
                  <w:vMerge w:val="continue"/>
                  <w:tcBorders>
                    <w:tl2br w:val="nil"/>
                    <w:tr2bl w:val="nil"/>
                  </w:tcBorders>
                  <w:vAlign w:val="center"/>
                </w:tcPr>
                <w:p w14:paraId="47BA2E1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050019C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BD389F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FFFFFF" w:fill="D9D9D9"/>
                      <w:lang w:eastAsia="zh-CN"/>
                      <w14:textFill>
                        <w14:solidFill>
                          <w14:schemeClr w14:val="tx1"/>
                        </w14:solidFill>
                      </w14:textFill>
                    </w:rPr>
                  </w:pPr>
                </w:p>
              </w:tc>
              <w:tc>
                <w:tcPr>
                  <w:tcW w:w="590" w:type="dxa"/>
                  <w:vMerge w:val="continue"/>
                  <w:tcBorders>
                    <w:tl2br w:val="nil"/>
                    <w:tr2bl w:val="nil"/>
                  </w:tcBorders>
                  <w:vAlign w:val="center"/>
                </w:tcPr>
                <w:p w14:paraId="5614F85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pPr>
                </w:p>
              </w:tc>
              <w:tc>
                <w:tcPr>
                  <w:tcW w:w="1004" w:type="dxa"/>
                  <w:tcBorders>
                    <w:tl2br w:val="nil"/>
                    <w:tr2bl w:val="nil"/>
                  </w:tcBorders>
                  <w:vAlign w:val="top"/>
                </w:tcPr>
                <w:p w14:paraId="11A4929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散户20</w:t>
                  </w:r>
                </w:p>
              </w:tc>
              <w:tc>
                <w:tcPr>
                  <w:tcW w:w="1146" w:type="dxa"/>
                  <w:tcBorders>
                    <w:tl2br w:val="nil"/>
                    <w:tr2bl w:val="nil"/>
                  </w:tcBorders>
                  <w:vAlign w:val="center"/>
                </w:tcPr>
                <w:p w14:paraId="453C35B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116.3633149</w:t>
                  </w:r>
                </w:p>
              </w:tc>
              <w:tc>
                <w:tcPr>
                  <w:tcW w:w="1176" w:type="dxa"/>
                  <w:tcBorders>
                    <w:tl2br w:val="nil"/>
                    <w:tr2bl w:val="nil"/>
                  </w:tcBorders>
                  <w:vAlign w:val="center"/>
                </w:tcPr>
                <w:p w14:paraId="742E07A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31.3786148</w:t>
                  </w:r>
                </w:p>
              </w:tc>
              <w:tc>
                <w:tcPr>
                  <w:tcW w:w="668" w:type="dxa"/>
                  <w:tcBorders>
                    <w:tl2br w:val="nil"/>
                    <w:tr2bl w:val="nil"/>
                  </w:tcBorders>
                  <w:vAlign w:val="center"/>
                </w:tcPr>
                <w:p w14:paraId="15984DB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0537099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约5人</w:t>
                  </w:r>
                </w:p>
              </w:tc>
              <w:tc>
                <w:tcPr>
                  <w:tcW w:w="894" w:type="dxa"/>
                  <w:tcBorders>
                    <w:tl2br w:val="nil"/>
                    <w:tr2bl w:val="nil"/>
                  </w:tcBorders>
                  <w:vAlign w:val="center"/>
                </w:tcPr>
                <w:p w14:paraId="4301FC2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E，49m</w:t>
                  </w:r>
                </w:p>
              </w:tc>
              <w:tc>
                <w:tcPr>
                  <w:tcW w:w="796" w:type="dxa"/>
                  <w:vMerge w:val="continue"/>
                  <w:tcBorders>
                    <w:tl2br w:val="nil"/>
                    <w:tr2bl w:val="nil"/>
                  </w:tcBorders>
                  <w:vAlign w:val="center"/>
                </w:tcPr>
                <w:p w14:paraId="529D47F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r>
            <w:tr w14:paraId="34DA3BB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038E1B1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639A6FA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1004" w:type="dxa"/>
                  <w:tcBorders>
                    <w:tl2br w:val="nil"/>
                    <w:tr2bl w:val="nil"/>
                  </w:tcBorders>
                  <w:vAlign w:val="top"/>
                </w:tcPr>
                <w:p w14:paraId="3A93577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散户21</w:t>
                  </w:r>
                </w:p>
              </w:tc>
              <w:tc>
                <w:tcPr>
                  <w:tcW w:w="1146" w:type="dxa"/>
                  <w:tcBorders>
                    <w:tl2br w:val="nil"/>
                    <w:tr2bl w:val="nil"/>
                  </w:tcBorders>
                  <w:vAlign w:val="center"/>
                </w:tcPr>
                <w:p w14:paraId="6A49EFB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116.35709559</w:t>
                  </w:r>
                </w:p>
              </w:tc>
              <w:tc>
                <w:tcPr>
                  <w:tcW w:w="1176" w:type="dxa"/>
                  <w:tcBorders>
                    <w:tl2br w:val="nil"/>
                    <w:tr2bl w:val="nil"/>
                  </w:tcBorders>
                  <w:vAlign w:val="center"/>
                </w:tcPr>
                <w:p w14:paraId="19EE246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t>31.40321096</w:t>
                  </w:r>
                </w:p>
              </w:tc>
              <w:tc>
                <w:tcPr>
                  <w:tcW w:w="668" w:type="dxa"/>
                  <w:tcBorders>
                    <w:tl2br w:val="nil"/>
                    <w:tr2bl w:val="nil"/>
                  </w:tcBorders>
                  <w:vAlign w:val="center"/>
                </w:tcPr>
                <w:p w14:paraId="0473191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居民</w:t>
                  </w:r>
                </w:p>
              </w:tc>
              <w:tc>
                <w:tcPr>
                  <w:tcW w:w="1042" w:type="dxa"/>
                  <w:tcBorders>
                    <w:tl2br w:val="nil"/>
                    <w:tr2bl w:val="nil"/>
                  </w:tcBorders>
                  <w:vAlign w:val="center"/>
                </w:tcPr>
                <w:p w14:paraId="11F5A7D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约300人</w:t>
                  </w:r>
                </w:p>
              </w:tc>
              <w:tc>
                <w:tcPr>
                  <w:tcW w:w="894" w:type="dxa"/>
                  <w:tcBorders>
                    <w:tl2br w:val="nil"/>
                    <w:tr2bl w:val="nil"/>
                  </w:tcBorders>
                  <w:vAlign w:val="center"/>
                </w:tcPr>
                <w:p w14:paraId="079EFD1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E，22m</w:t>
                  </w:r>
                </w:p>
              </w:tc>
              <w:tc>
                <w:tcPr>
                  <w:tcW w:w="796" w:type="dxa"/>
                  <w:vMerge w:val="continue"/>
                  <w:tcBorders>
                    <w:tl2br w:val="nil"/>
                    <w:tr2bl w:val="nil"/>
                  </w:tcBorders>
                  <w:vAlign w:val="center"/>
                </w:tcPr>
                <w:p w14:paraId="62F8F52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p>
              </w:tc>
            </w:tr>
            <w:tr w14:paraId="0771CB2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A4130F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vMerge w:val="continue"/>
                  <w:tcBorders>
                    <w:tl2br w:val="nil"/>
                    <w:tr2bl w:val="nil"/>
                  </w:tcBorders>
                  <w:vAlign w:val="center"/>
                </w:tcPr>
                <w:p w14:paraId="2EF28BE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p>
              </w:tc>
              <w:tc>
                <w:tcPr>
                  <w:tcW w:w="3326" w:type="dxa"/>
                  <w:gridSpan w:val="3"/>
                  <w:tcBorders>
                    <w:tl2br w:val="nil"/>
                    <w:tr2bl w:val="nil"/>
                  </w:tcBorders>
                  <w:vAlign w:val="center"/>
                </w:tcPr>
                <w:p w14:paraId="6F04CD4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沿线两侧200m范围内敏感点</w:t>
                  </w:r>
                </w:p>
              </w:tc>
              <w:tc>
                <w:tcPr>
                  <w:tcW w:w="668" w:type="dxa"/>
                  <w:tcBorders>
                    <w:tl2br w:val="nil"/>
                    <w:tr2bl w:val="nil"/>
                  </w:tcBorders>
                  <w:vAlign w:val="center"/>
                </w:tcPr>
                <w:p w14:paraId="459A944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小区、散户</w:t>
                  </w:r>
                </w:p>
              </w:tc>
              <w:tc>
                <w:tcPr>
                  <w:tcW w:w="1042" w:type="dxa"/>
                  <w:tcBorders>
                    <w:tl2br w:val="nil"/>
                    <w:tr2bl w:val="nil"/>
                  </w:tcBorders>
                  <w:vAlign w:val="center"/>
                </w:tcPr>
                <w:p w14:paraId="76D9B91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t>
                  </w:r>
                </w:p>
              </w:tc>
              <w:tc>
                <w:tcPr>
                  <w:tcW w:w="894" w:type="dxa"/>
                  <w:tcBorders>
                    <w:tl2br w:val="nil"/>
                    <w:tr2bl w:val="nil"/>
                  </w:tcBorders>
                  <w:vAlign w:val="center"/>
                </w:tcPr>
                <w:p w14:paraId="72B071B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color w:val="000000" w:themeColor="text1"/>
                      <w:kern w:val="0"/>
                      <w:sz w:val="21"/>
                      <w:szCs w:val="21"/>
                      <w:highlight w:val="none"/>
                      <w:shd w:val="clear" w:color="auto" w:fill="auto"/>
                      <w:lang w:val="en-US" w:eastAsia="zh-CN" w:bidi="ar-SA"/>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bidi="ar-SA"/>
                      <w14:textFill>
                        <w14:solidFill>
                          <w14:schemeClr w14:val="tx1"/>
                        </w14:solidFill>
                      </w14:textFill>
                    </w:rPr>
                    <w:t>/</w:t>
                  </w:r>
                </w:p>
              </w:tc>
              <w:tc>
                <w:tcPr>
                  <w:tcW w:w="796" w:type="dxa"/>
                  <w:vMerge w:val="continue"/>
                  <w:tcBorders>
                    <w:tl2br w:val="nil"/>
                    <w:tr2bl w:val="nil"/>
                  </w:tcBorders>
                  <w:vAlign w:val="center"/>
                </w:tcPr>
                <w:p w14:paraId="3353211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p>
              </w:tc>
            </w:tr>
            <w:tr w14:paraId="30D7A24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tcBorders>
                    <w:tl2br w:val="nil"/>
                    <w:tr2bl w:val="nil"/>
                  </w:tcBorders>
                  <w:vAlign w:val="center"/>
                </w:tcPr>
                <w:p w14:paraId="70976B4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p>
              </w:tc>
              <w:tc>
                <w:tcPr>
                  <w:tcW w:w="590" w:type="dxa"/>
                  <w:tcBorders>
                    <w:tl2br w:val="nil"/>
                    <w:tr2bl w:val="nil"/>
                  </w:tcBorders>
                  <w:vAlign w:val="center"/>
                </w:tcPr>
                <w:p w14:paraId="12C6877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eastAsia="zh-CN"/>
                      <w14:textFill>
                        <w14:solidFill>
                          <w14:schemeClr w14:val="tx1"/>
                        </w14:solidFill>
                      </w14:textFill>
                    </w:rPr>
                    <w:t>泵站</w:t>
                  </w:r>
                </w:p>
              </w:tc>
              <w:tc>
                <w:tcPr>
                  <w:tcW w:w="3326" w:type="dxa"/>
                  <w:gridSpan w:val="3"/>
                  <w:tcBorders>
                    <w:tl2br w:val="nil"/>
                    <w:tr2bl w:val="nil"/>
                  </w:tcBorders>
                  <w:vAlign w:val="center"/>
                </w:tcPr>
                <w:p w14:paraId="13593DF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olor w:val="000000" w:themeColor="text1"/>
                      <w:sz w:val="21"/>
                      <w:szCs w:val="21"/>
                      <w:highlight w:val="none"/>
                      <w:shd w:val="clear" w:color="auto" w:fill="auto"/>
                      <w:lang w:val="en-US" w:eastAsia="zh-CN"/>
                      <w14:textFill>
                        <w14:solidFill>
                          <w14:schemeClr w14:val="tx1"/>
                        </w14:solidFill>
                      </w14:textFill>
                    </w:rPr>
                  </w:pPr>
                </w:p>
              </w:tc>
              <w:tc>
                <w:tcPr>
                  <w:tcW w:w="668" w:type="dxa"/>
                  <w:tcBorders>
                    <w:tl2br w:val="nil"/>
                    <w:tr2bl w:val="nil"/>
                  </w:tcBorders>
                  <w:vAlign w:val="center"/>
                </w:tcPr>
                <w:p w14:paraId="6869F62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olor w:val="000000" w:themeColor="text1"/>
                      <w:sz w:val="21"/>
                      <w:szCs w:val="21"/>
                      <w:highlight w:val="none"/>
                      <w:shd w:val="clear" w:color="auto" w:fill="auto"/>
                      <w:lang w:eastAsia="zh-CN"/>
                      <w14:textFill>
                        <w14:solidFill>
                          <w14:schemeClr w14:val="tx1"/>
                        </w14:solidFill>
                      </w14:textFill>
                    </w:rPr>
                  </w:pPr>
                </w:p>
              </w:tc>
              <w:tc>
                <w:tcPr>
                  <w:tcW w:w="1042" w:type="dxa"/>
                  <w:tcBorders>
                    <w:tl2br w:val="nil"/>
                    <w:tr2bl w:val="nil"/>
                  </w:tcBorders>
                  <w:vAlign w:val="center"/>
                </w:tcPr>
                <w:p w14:paraId="3B4207C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pPr>
                </w:p>
              </w:tc>
              <w:tc>
                <w:tcPr>
                  <w:tcW w:w="894" w:type="dxa"/>
                  <w:tcBorders>
                    <w:tl2br w:val="nil"/>
                    <w:tr2bl w:val="nil"/>
                  </w:tcBorders>
                  <w:vAlign w:val="center"/>
                </w:tcPr>
                <w:p w14:paraId="715F9B4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pPr>
                </w:p>
              </w:tc>
              <w:tc>
                <w:tcPr>
                  <w:tcW w:w="796" w:type="dxa"/>
                  <w:tcBorders>
                    <w:tl2br w:val="nil"/>
                    <w:tr2bl w:val="nil"/>
                  </w:tcBorders>
                  <w:vAlign w:val="center"/>
                </w:tcPr>
                <w:p w14:paraId="0985612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p>
              </w:tc>
            </w:tr>
            <w:tr w14:paraId="58114A1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tcBorders>
                    <w:tl2br w:val="nil"/>
                    <w:tr2bl w:val="nil"/>
                  </w:tcBorders>
                  <w:vAlign w:val="center"/>
                </w:tcPr>
                <w:p w14:paraId="152F002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声环境</w:t>
                  </w:r>
                </w:p>
              </w:tc>
              <w:tc>
                <w:tcPr>
                  <w:tcW w:w="3916" w:type="dxa"/>
                  <w:gridSpan w:val="4"/>
                  <w:tcBorders>
                    <w:tl2br w:val="nil"/>
                    <w:tr2bl w:val="nil"/>
                  </w:tcBorders>
                  <w:vAlign w:val="center"/>
                </w:tcPr>
                <w:p w14:paraId="775AB5A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shd w:val="clear" w:color="auto" w:fill="auto"/>
                      <w14:textFill>
                        <w14:solidFill>
                          <w14:schemeClr w14:val="tx1"/>
                        </w14:solidFill>
                      </w14:textFill>
                    </w:rPr>
                  </w:pPr>
                  <w:r>
                    <w:rPr>
                      <w:rFonts w:hint="eastAsia"/>
                      <w:color w:val="000000" w:themeColor="text1"/>
                      <w:sz w:val="21"/>
                      <w:szCs w:val="21"/>
                      <w:highlight w:val="none"/>
                      <w:shd w:val="clear" w:color="auto" w:fill="auto"/>
                      <w:lang w:val="en-US" w:eastAsia="zh-CN"/>
                      <w14:textFill>
                        <w14:solidFill>
                          <w14:schemeClr w14:val="tx1"/>
                        </w14:solidFill>
                      </w14:textFill>
                    </w:rPr>
                    <w:t>沿线两侧200m范围内敏感点</w:t>
                  </w:r>
                </w:p>
              </w:tc>
              <w:tc>
                <w:tcPr>
                  <w:tcW w:w="668" w:type="dxa"/>
                  <w:tcBorders>
                    <w:tl2br w:val="nil"/>
                    <w:tr2bl w:val="nil"/>
                  </w:tcBorders>
                  <w:vAlign w:val="center"/>
                </w:tcPr>
                <w:p w14:paraId="0EC4010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r>
                    <w:rPr>
                      <w:rFonts w:hint="eastAsia"/>
                      <w:color w:val="000000" w:themeColor="text1"/>
                      <w:sz w:val="21"/>
                      <w:szCs w:val="21"/>
                      <w:highlight w:val="none"/>
                      <w:shd w:val="clear" w:color="auto" w:fill="auto"/>
                      <w14:textFill>
                        <w14:solidFill>
                          <w14:schemeClr w14:val="tx1"/>
                        </w14:solidFill>
                      </w14:textFill>
                    </w:rPr>
                    <w:t>居民</w:t>
                  </w:r>
                  <w:r>
                    <w:rPr>
                      <w:rFonts w:hint="eastAsia"/>
                      <w:color w:val="000000" w:themeColor="text1"/>
                      <w:sz w:val="21"/>
                      <w:szCs w:val="21"/>
                      <w:highlight w:val="none"/>
                      <w:shd w:val="clear" w:color="auto" w:fill="auto"/>
                      <w:lang w:eastAsia="zh-CN"/>
                      <w14:textFill>
                        <w14:solidFill>
                          <w14:schemeClr w14:val="tx1"/>
                        </w14:solidFill>
                      </w14:textFill>
                    </w:rPr>
                    <w:t>、</w:t>
                  </w:r>
                  <w:r>
                    <w:rPr>
                      <w:rFonts w:hint="eastAsia"/>
                      <w:color w:val="000000" w:themeColor="text1"/>
                      <w:sz w:val="21"/>
                      <w:szCs w:val="21"/>
                      <w:highlight w:val="none"/>
                      <w:shd w:val="clear" w:color="auto" w:fill="auto"/>
                      <w:lang w:val="en-US" w:eastAsia="zh-CN"/>
                      <w14:textFill>
                        <w14:solidFill>
                          <w14:schemeClr w14:val="tx1"/>
                        </w14:solidFill>
                      </w14:textFill>
                    </w:rPr>
                    <w:t>师生</w:t>
                  </w:r>
                </w:p>
              </w:tc>
              <w:tc>
                <w:tcPr>
                  <w:tcW w:w="1042" w:type="dxa"/>
                  <w:tcBorders>
                    <w:tl2br w:val="nil"/>
                    <w:tr2bl w:val="nil"/>
                  </w:tcBorders>
                  <w:vAlign w:val="center"/>
                </w:tcPr>
                <w:p w14:paraId="4DA983B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w:t>
                  </w:r>
                </w:p>
              </w:tc>
              <w:tc>
                <w:tcPr>
                  <w:tcW w:w="894" w:type="dxa"/>
                  <w:tcBorders>
                    <w:tl2br w:val="nil"/>
                    <w:tr2bl w:val="nil"/>
                  </w:tcBorders>
                  <w:vAlign w:val="center"/>
                </w:tcPr>
                <w:p w14:paraId="74240DA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pPr>
                  <w:r>
                    <w:rPr>
                      <w:rFonts w:hint="eastAsia" w:cs="Times New Roman"/>
                      <w:color w:val="000000" w:themeColor="text1"/>
                      <w:kern w:val="0"/>
                      <w:sz w:val="21"/>
                      <w:szCs w:val="21"/>
                      <w:highlight w:val="none"/>
                      <w:shd w:val="clear" w:color="auto" w:fill="auto"/>
                      <w:lang w:val="en-US" w:eastAsia="zh-CN"/>
                      <w14:textFill>
                        <w14:solidFill>
                          <w14:schemeClr w14:val="tx1"/>
                        </w14:solidFill>
                      </w14:textFill>
                    </w:rPr>
                    <w:t>/</w:t>
                  </w:r>
                </w:p>
              </w:tc>
              <w:tc>
                <w:tcPr>
                  <w:tcW w:w="796" w:type="dxa"/>
                  <w:tcBorders>
                    <w:tl2br w:val="nil"/>
                    <w:tr2bl w:val="nil"/>
                  </w:tcBorders>
                  <w:vAlign w:val="center"/>
                </w:tcPr>
                <w:p w14:paraId="1CB7E0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《声环境质量标准》（GB30192-2008）中的</w:t>
                  </w:r>
                  <w:r>
                    <w:rPr>
                      <w:rFonts w:hint="default" w:ascii="Times New Roman" w:hAnsi="Times New Roman" w:eastAsia="宋体" w:cs="Times New Roman"/>
                      <w:color w:val="000000" w:themeColor="text1"/>
                      <w:kern w:val="0"/>
                      <w:sz w:val="21"/>
                      <w:szCs w:val="21"/>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1"/>
                      <w:szCs w:val="21"/>
                      <w:highlight w:val="none"/>
                      <w:shd w:val="clear" w:color="auto" w:fill="auto"/>
                      <w14:textFill>
                        <w14:solidFill>
                          <w14:schemeClr w14:val="tx1"/>
                        </w14:solidFill>
                      </w14:textFill>
                    </w:rPr>
                    <w:t>类</w:t>
                  </w:r>
                  <w:r>
                    <w:rPr>
                      <w:rFonts w:hint="eastAsia"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t>和2类区</w:t>
                  </w:r>
                  <w:r>
                    <w:rPr>
                      <w:rFonts w:hint="default" w:ascii="Times New Roman" w:hAnsi="Times New Roman" w:cs="Times New Roman"/>
                      <w:color w:val="000000" w:themeColor="text1"/>
                      <w:sz w:val="21"/>
                      <w:szCs w:val="21"/>
                      <w:highlight w:val="none"/>
                      <w:shd w:val="clear" w:color="auto" w:fill="auto"/>
                      <w14:textFill>
                        <w14:solidFill>
                          <w14:schemeClr w14:val="tx1"/>
                        </w14:solidFill>
                      </w14:textFill>
                    </w:rPr>
                    <w:t>标准</w:t>
                  </w:r>
                </w:p>
              </w:tc>
            </w:tr>
            <w:tr w14:paraId="6389A63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tcBorders>
                    <w:tl2br w:val="nil"/>
                    <w:tr2bl w:val="nil"/>
                  </w:tcBorders>
                  <w:vAlign w:val="center"/>
                </w:tcPr>
                <w:p w14:paraId="4EEBCF4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地表水环境</w:t>
                  </w:r>
                </w:p>
              </w:tc>
              <w:tc>
                <w:tcPr>
                  <w:tcW w:w="1594" w:type="dxa"/>
                  <w:gridSpan w:val="2"/>
                  <w:tcBorders>
                    <w:tl2br w:val="nil"/>
                    <w:tr2bl w:val="nil"/>
                  </w:tcBorders>
                  <w:vAlign w:val="center"/>
                </w:tcPr>
                <w:p w14:paraId="2996F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黑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kern w:val="2"/>
                      <w:sz w:val="21"/>
                      <w:szCs w:val="21"/>
                      <w:lang w:val="en-US" w:eastAsia="zh-CN" w:bidi="ar-SA"/>
                      <w14:textFill>
                        <w14:solidFill>
                          <w14:schemeClr w14:val="tx1"/>
                        </w14:solidFill>
                      </w14:textFill>
                    </w:rPr>
                    <w:t>东淠河</w:t>
                  </w:r>
                </w:p>
              </w:tc>
              <w:tc>
                <w:tcPr>
                  <w:tcW w:w="1146" w:type="dxa"/>
                  <w:tcBorders>
                    <w:tl2br w:val="nil"/>
                    <w:tr2bl w:val="nil"/>
                  </w:tcBorders>
                  <w:vAlign w:val="center"/>
                </w:tcPr>
                <w:p w14:paraId="54F8E8E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tcBorders>
                    <w:tl2br w:val="nil"/>
                    <w:tr2bl w:val="nil"/>
                  </w:tcBorders>
                  <w:vAlign w:val="center"/>
                </w:tcPr>
                <w:p w14:paraId="01969061">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tcBorders>
                    <w:tl2br w:val="nil"/>
                    <w:tr2bl w:val="nil"/>
                  </w:tcBorders>
                  <w:vAlign w:val="center"/>
                </w:tcPr>
                <w:p w14:paraId="52A5F29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tcBorders>
                    <w:tl2br w:val="nil"/>
                    <w:tr2bl w:val="nil"/>
                  </w:tcBorders>
                  <w:vAlign w:val="center"/>
                </w:tcPr>
                <w:p w14:paraId="0A62A14A">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14:textFill>
                        <w14:solidFill>
                          <w14:schemeClr w14:val="tx1"/>
                        </w14:solidFill>
                      </w14:textFill>
                    </w:rPr>
                    <w:t>中型</w:t>
                  </w:r>
                  <w:r>
                    <w:rPr>
                      <w:rFonts w:hint="default"/>
                      <w:color w:val="000000" w:themeColor="text1"/>
                      <w:sz w:val="21"/>
                      <w:szCs w:val="21"/>
                      <w14:textFill>
                        <w14:solidFill>
                          <w14:schemeClr w14:val="tx1"/>
                        </w14:solidFill>
                      </w14:textFill>
                    </w:rPr>
                    <w:t>河流</w:t>
                  </w:r>
                </w:p>
              </w:tc>
              <w:tc>
                <w:tcPr>
                  <w:tcW w:w="894" w:type="dxa"/>
                  <w:tcBorders>
                    <w:tl2br w:val="nil"/>
                    <w:tr2bl w:val="nil"/>
                  </w:tcBorders>
                  <w:vAlign w:val="center"/>
                </w:tcPr>
                <w:p w14:paraId="33B1F6B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96" w:type="dxa"/>
                  <w:vMerge w:val="restart"/>
                  <w:tcBorders>
                    <w:tl2br w:val="nil"/>
                    <w:tr2bl w:val="nil"/>
                  </w:tcBorders>
                  <w:vAlign w:val="center"/>
                </w:tcPr>
                <w:p w14:paraId="5A994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《地表水环境质量标准》(GB3838-2002)</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Ⅲ</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类标准</w:t>
                  </w:r>
                </w:p>
              </w:tc>
            </w:tr>
            <w:tr w14:paraId="639041A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5D72022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olor w:val="000000" w:themeColor="text1"/>
                      <w14:textFill>
                        <w14:solidFill>
                          <w14:schemeClr w14:val="tx1"/>
                        </w14:solidFill>
                      </w14:textFill>
                    </w:rPr>
                  </w:pPr>
                </w:p>
              </w:tc>
              <w:tc>
                <w:tcPr>
                  <w:tcW w:w="1594" w:type="dxa"/>
                  <w:gridSpan w:val="2"/>
                  <w:tcBorders>
                    <w:tl2br w:val="nil"/>
                    <w:tr2bl w:val="nil"/>
                  </w:tcBorders>
                  <w:vAlign w:val="center"/>
                </w:tcPr>
                <w:p w14:paraId="17BDE63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黑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kern w:val="2"/>
                      <w:sz w:val="21"/>
                      <w:szCs w:val="21"/>
                      <w:lang w:val="en-US" w:eastAsia="zh-CN" w:bidi="ar-SA"/>
                      <w14:textFill>
                        <w14:solidFill>
                          <w14:schemeClr w14:val="tx1"/>
                        </w14:solidFill>
                      </w14:textFill>
                    </w:rPr>
                    <w:t>幽芳河</w:t>
                  </w:r>
                </w:p>
              </w:tc>
              <w:tc>
                <w:tcPr>
                  <w:tcW w:w="1146" w:type="dxa"/>
                  <w:tcBorders>
                    <w:tl2br w:val="nil"/>
                    <w:tr2bl w:val="nil"/>
                  </w:tcBorders>
                  <w:vAlign w:val="center"/>
                </w:tcPr>
                <w:p w14:paraId="345DD86E">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tcBorders>
                    <w:tl2br w:val="nil"/>
                    <w:tr2bl w:val="nil"/>
                  </w:tcBorders>
                  <w:vAlign w:val="center"/>
                </w:tcPr>
                <w:p w14:paraId="02B80686">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tcBorders>
                    <w:tl2br w:val="nil"/>
                    <w:tr2bl w:val="nil"/>
                  </w:tcBorders>
                  <w:vAlign w:val="center"/>
                </w:tcPr>
                <w:p w14:paraId="5660FA60">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tcBorders>
                    <w:tl2br w:val="nil"/>
                    <w:tr2bl w:val="nil"/>
                  </w:tcBorders>
                  <w:vAlign w:val="center"/>
                </w:tcPr>
                <w:p w14:paraId="316219F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tcBorders>
                    <w:tl2br w:val="nil"/>
                    <w:tr2bl w:val="nil"/>
                  </w:tcBorders>
                  <w:vAlign w:val="center"/>
                </w:tcPr>
                <w:p w14:paraId="008B86A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96" w:type="dxa"/>
                  <w:vMerge w:val="continue"/>
                  <w:tcBorders>
                    <w:tl2br w:val="nil"/>
                    <w:tr2bl w:val="nil"/>
                  </w:tcBorders>
                  <w:vAlign w:val="center"/>
                </w:tcPr>
                <w:p w14:paraId="5216AF1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6E6C379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3EE37C7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594" w:type="dxa"/>
                  <w:gridSpan w:val="2"/>
                  <w:tcBorders>
                    <w:tl2br w:val="nil"/>
                    <w:tr2bl w:val="nil"/>
                  </w:tcBorders>
                  <w:vAlign w:val="center"/>
                </w:tcPr>
                <w:p w14:paraId="3B3BDDB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黑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kern w:val="2"/>
                      <w:sz w:val="21"/>
                      <w:szCs w:val="21"/>
                      <w:lang w:val="en-US" w:eastAsia="zh-CN" w:bidi="ar-SA"/>
                      <w14:textFill>
                        <w14:solidFill>
                          <w14:schemeClr w14:val="tx1"/>
                        </w14:solidFill>
                      </w14:textFill>
                    </w:rPr>
                    <w:t>高庙河</w:t>
                  </w:r>
                </w:p>
              </w:tc>
              <w:tc>
                <w:tcPr>
                  <w:tcW w:w="1146" w:type="dxa"/>
                  <w:tcBorders>
                    <w:tl2br w:val="nil"/>
                    <w:tr2bl w:val="nil"/>
                  </w:tcBorders>
                  <w:vAlign w:val="center"/>
                </w:tcPr>
                <w:p w14:paraId="6B53127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tcBorders>
                    <w:tl2br w:val="nil"/>
                    <w:tr2bl w:val="nil"/>
                  </w:tcBorders>
                  <w:vAlign w:val="center"/>
                </w:tcPr>
                <w:p w14:paraId="4E12386F">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tcBorders>
                    <w:tl2br w:val="nil"/>
                    <w:tr2bl w:val="nil"/>
                  </w:tcBorders>
                  <w:vAlign w:val="center"/>
                </w:tcPr>
                <w:p w14:paraId="65B2A052">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tcBorders>
                    <w:tl2br w:val="nil"/>
                    <w:tr2bl w:val="nil"/>
                  </w:tcBorders>
                  <w:vAlign w:val="center"/>
                </w:tcPr>
                <w:p w14:paraId="6AAE83F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tcBorders>
                    <w:tl2br w:val="nil"/>
                    <w:tr2bl w:val="nil"/>
                  </w:tcBorders>
                  <w:vAlign w:val="center"/>
                </w:tcPr>
                <w:p w14:paraId="1D753C9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96" w:type="dxa"/>
                  <w:vMerge w:val="continue"/>
                  <w:tcBorders>
                    <w:tl2br w:val="nil"/>
                    <w:tr2bl w:val="nil"/>
                  </w:tcBorders>
                  <w:vAlign w:val="center"/>
                </w:tcPr>
                <w:p w14:paraId="1624C42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5CAA6D4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2D9F794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594" w:type="dxa"/>
                  <w:gridSpan w:val="2"/>
                  <w:tcBorders>
                    <w:tl2br w:val="nil"/>
                    <w:tr2bl w:val="nil"/>
                  </w:tcBorders>
                  <w:vAlign w:val="center"/>
                </w:tcPr>
                <w:p w14:paraId="6E161C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黑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kern w:val="2"/>
                      <w:sz w:val="21"/>
                      <w:szCs w:val="21"/>
                      <w:lang w:val="en-US" w:eastAsia="zh-CN" w:bidi="ar-SA"/>
                      <w14:textFill>
                        <w14:solidFill>
                          <w14:schemeClr w14:val="tx1"/>
                        </w14:solidFill>
                      </w14:textFill>
                    </w:rPr>
                    <w:t>柳林河</w:t>
                  </w:r>
                </w:p>
              </w:tc>
              <w:tc>
                <w:tcPr>
                  <w:tcW w:w="1146" w:type="dxa"/>
                  <w:tcBorders>
                    <w:tl2br w:val="nil"/>
                    <w:tr2bl w:val="nil"/>
                  </w:tcBorders>
                  <w:vAlign w:val="center"/>
                </w:tcPr>
                <w:p w14:paraId="191B9E9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tcBorders>
                    <w:tl2br w:val="nil"/>
                    <w:tr2bl w:val="nil"/>
                  </w:tcBorders>
                  <w:vAlign w:val="center"/>
                </w:tcPr>
                <w:p w14:paraId="4FA32F8D">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tcBorders>
                    <w:tl2br w:val="nil"/>
                    <w:tr2bl w:val="nil"/>
                  </w:tcBorders>
                  <w:vAlign w:val="center"/>
                </w:tcPr>
                <w:p w14:paraId="25F443C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tcBorders>
                    <w:tl2br w:val="nil"/>
                    <w:tr2bl w:val="nil"/>
                  </w:tcBorders>
                  <w:vAlign w:val="center"/>
                </w:tcPr>
                <w:p w14:paraId="11A4957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tcBorders>
                    <w:tl2br w:val="nil"/>
                    <w:tr2bl w:val="nil"/>
                  </w:tcBorders>
                  <w:vAlign w:val="center"/>
                </w:tcPr>
                <w:p w14:paraId="3C69E1A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96" w:type="dxa"/>
                  <w:vMerge w:val="continue"/>
                  <w:tcBorders>
                    <w:tl2br w:val="nil"/>
                    <w:tr2bl w:val="nil"/>
                  </w:tcBorders>
                  <w:vAlign w:val="center"/>
                </w:tcPr>
                <w:p w14:paraId="5621044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04E4A8A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6C461EE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594" w:type="dxa"/>
                  <w:gridSpan w:val="2"/>
                  <w:tcBorders>
                    <w:tl2br w:val="nil"/>
                    <w:tr2bl w:val="nil"/>
                  </w:tcBorders>
                  <w:vAlign w:val="center"/>
                </w:tcPr>
                <w:p w14:paraId="5CA7A024">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黑体"/>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黑体"/>
                      <w:color w:val="000000" w:themeColor="text1"/>
                      <w:kern w:val="2"/>
                      <w:sz w:val="21"/>
                      <w:szCs w:val="21"/>
                      <w:lang w:val="en-US" w:eastAsia="zh-CN" w:bidi="ar-SA"/>
                      <w14:textFill>
                        <w14:solidFill>
                          <w14:schemeClr w14:val="tx1"/>
                        </w14:solidFill>
                      </w14:textFill>
                    </w:rPr>
                    <w:t>新店河</w:t>
                  </w:r>
                </w:p>
              </w:tc>
              <w:tc>
                <w:tcPr>
                  <w:tcW w:w="1146" w:type="dxa"/>
                  <w:tcBorders>
                    <w:tl2br w:val="nil"/>
                    <w:tr2bl w:val="nil"/>
                  </w:tcBorders>
                  <w:vAlign w:val="center"/>
                </w:tcPr>
                <w:p w14:paraId="2D911C5B">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176" w:type="dxa"/>
                  <w:tcBorders>
                    <w:tl2br w:val="nil"/>
                    <w:tr2bl w:val="nil"/>
                  </w:tcBorders>
                  <w:vAlign w:val="center"/>
                </w:tcPr>
                <w:p w14:paraId="753E9C7C">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668" w:type="dxa"/>
                  <w:tcBorders>
                    <w:tl2br w:val="nil"/>
                    <w:tr2bl w:val="nil"/>
                  </w:tcBorders>
                  <w:vAlign w:val="center"/>
                </w:tcPr>
                <w:p w14:paraId="355A5059">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color w:val="000000" w:themeColor="text1"/>
                      <w:sz w:val="21"/>
                      <w:szCs w:val="21"/>
                      <w14:textFill>
                        <w14:solidFill>
                          <w14:schemeClr w14:val="tx1"/>
                        </w14:solidFill>
                      </w14:textFill>
                    </w:rPr>
                    <w:t>--</w:t>
                  </w:r>
                </w:p>
              </w:tc>
              <w:tc>
                <w:tcPr>
                  <w:tcW w:w="1042" w:type="dxa"/>
                  <w:tcBorders>
                    <w:tl2br w:val="nil"/>
                    <w:tr2bl w:val="nil"/>
                  </w:tcBorders>
                  <w:vAlign w:val="center"/>
                </w:tcPr>
                <w:p w14:paraId="5237876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w:t>
                  </w:r>
                  <w:r>
                    <w:rPr>
                      <w:rFonts w:hint="eastAsia"/>
                      <w:color w:val="000000" w:themeColor="text1"/>
                      <w:sz w:val="21"/>
                      <w:szCs w:val="21"/>
                      <w14:textFill>
                        <w14:solidFill>
                          <w14:schemeClr w14:val="tx1"/>
                        </w14:solidFill>
                      </w14:textFill>
                    </w:rPr>
                    <w:t>型</w:t>
                  </w:r>
                  <w:r>
                    <w:rPr>
                      <w:rFonts w:hint="default"/>
                      <w:color w:val="000000" w:themeColor="text1"/>
                      <w:sz w:val="21"/>
                      <w:szCs w:val="21"/>
                      <w14:textFill>
                        <w14:solidFill>
                          <w14:schemeClr w14:val="tx1"/>
                        </w14:solidFill>
                      </w14:textFill>
                    </w:rPr>
                    <w:t>河流</w:t>
                  </w:r>
                </w:p>
              </w:tc>
              <w:tc>
                <w:tcPr>
                  <w:tcW w:w="894" w:type="dxa"/>
                  <w:tcBorders>
                    <w:tl2br w:val="nil"/>
                    <w:tr2bl w:val="nil"/>
                  </w:tcBorders>
                  <w:vAlign w:val="center"/>
                </w:tcPr>
                <w:p w14:paraId="3FBCAE8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796" w:type="dxa"/>
                  <w:vMerge w:val="continue"/>
                  <w:tcBorders>
                    <w:tl2br w:val="nil"/>
                    <w:tr2bl w:val="nil"/>
                  </w:tcBorders>
                  <w:vAlign w:val="center"/>
                </w:tcPr>
                <w:p w14:paraId="718CCC2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14:paraId="7FDF4A0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restart"/>
                  <w:tcBorders>
                    <w:tl2br w:val="nil"/>
                    <w:tr2bl w:val="nil"/>
                  </w:tcBorders>
                  <w:vAlign w:val="center"/>
                </w:tcPr>
                <w:p w14:paraId="50E0E2F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t>生态环境</w:t>
                  </w:r>
                </w:p>
              </w:tc>
              <w:tc>
                <w:tcPr>
                  <w:tcW w:w="1594" w:type="dxa"/>
                  <w:gridSpan w:val="2"/>
                  <w:tcBorders>
                    <w:tl2br w:val="nil"/>
                    <w:tr2bl w:val="nil"/>
                  </w:tcBorders>
                  <w:vAlign w:val="center"/>
                </w:tcPr>
                <w:p w14:paraId="14467C0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陆域生态</w:t>
                  </w:r>
                </w:p>
              </w:tc>
              <w:tc>
                <w:tcPr>
                  <w:tcW w:w="5722" w:type="dxa"/>
                  <w:gridSpan w:val="6"/>
                  <w:tcBorders>
                    <w:tl2br w:val="nil"/>
                    <w:tr2bl w:val="nil"/>
                  </w:tcBorders>
                  <w:vAlign w:val="center"/>
                </w:tcPr>
                <w:p w14:paraId="06ABA9F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项目评价范围内无自然保护区、风景名胜区、文物古迹等特殊生态保护区，生态环境保护</w:t>
                  </w:r>
                  <w:r>
                    <w:rPr>
                      <w:rFonts w:hint="eastAsia" w:cs="Times New Roman"/>
                      <w:color w:val="000000" w:themeColor="text1"/>
                      <w:kern w:val="0"/>
                      <w:sz w:val="21"/>
                      <w:szCs w:val="21"/>
                      <w:highlight w:val="none"/>
                      <w:lang w:val="en-US" w:eastAsia="zh-CN"/>
                      <w14:textFill>
                        <w14:solidFill>
                          <w14:schemeClr w14:val="tx1"/>
                        </w14:solidFill>
                      </w14:textFill>
                    </w:rPr>
                    <w:t>目标为</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可能受项目施工活动影响及运输路线周边的植被</w:t>
                  </w:r>
                  <w:r>
                    <w:rPr>
                      <w:rFonts w:hint="eastAsia" w:cs="Times New Roman"/>
                      <w:color w:val="000000" w:themeColor="text1"/>
                      <w:kern w:val="0"/>
                      <w:sz w:val="21"/>
                      <w:szCs w:val="21"/>
                      <w:highlight w:val="none"/>
                      <w:lang w:val="en-US" w:eastAsia="zh-CN"/>
                      <w14:textFill>
                        <w14:solidFill>
                          <w14:schemeClr w14:val="tx1"/>
                        </w14:solidFill>
                      </w14:textFill>
                    </w:rPr>
                    <w:t>、动物</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及区域内的鸟类。施工过程中，为防止水土流失，不随意开挖，减少地表扰动，对临时占地区域，采取临时拦挡，排水措施，减少冲刷。施工结束后除采取水土保持措施外，还应从恢复和提高其生态、景观角度出发，选择该地区地带性植被类型植被群落的优势种类作为恢复植被的主要物种。加强对施工人员进行生态保护教育。在施工边界竖立防火、随意开挖，预防和杜绝森林火灾发生。</w:t>
                  </w:r>
                </w:p>
              </w:tc>
            </w:tr>
            <w:tr w14:paraId="61C50D73">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84" w:type="dxa"/>
                  <w:vMerge w:val="continue"/>
                  <w:tcBorders>
                    <w:tl2br w:val="nil"/>
                    <w:tr2bl w:val="nil"/>
                  </w:tcBorders>
                  <w:vAlign w:val="center"/>
                </w:tcPr>
                <w:p w14:paraId="405E9D9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kern w:val="0"/>
                      <w:sz w:val="21"/>
                      <w:szCs w:val="21"/>
                      <w:highlight w:val="none"/>
                      <w:lang w:eastAsia="zh-CN"/>
                      <w14:textFill>
                        <w14:solidFill>
                          <w14:schemeClr w14:val="tx1"/>
                        </w14:solidFill>
                      </w14:textFill>
                    </w:rPr>
                  </w:pPr>
                </w:p>
              </w:tc>
              <w:tc>
                <w:tcPr>
                  <w:tcW w:w="1594" w:type="dxa"/>
                  <w:gridSpan w:val="2"/>
                  <w:tcBorders>
                    <w:tl2br w:val="nil"/>
                    <w:tr2bl w:val="nil"/>
                  </w:tcBorders>
                  <w:vAlign w:val="center"/>
                </w:tcPr>
                <w:p w14:paraId="078898A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水生生态</w:t>
                  </w:r>
                </w:p>
              </w:tc>
              <w:tc>
                <w:tcPr>
                  <w:tcW w:w="5722" w:type="dxa"/>
                  <w:gridSpan w:val="6"/>
                  <w:tcBorders>
                    <w:tl2br w:val="nil"/>
                    <w:tr2bl w:val="nil"/>
                  </w:tcBorders>
                  <w:vAlign w:val="center"/>
                </w:tcPr>
                <w:p w14:paraId="1DEC5A5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0"/>
                      <w:sz w:val="21"/>
                      <w:szCs w:val="21"/>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河道内的水生生物。对施工人员加强宣传，增强施工人员的环保意识。加强监管，严禁捕鱼，按环保要求施工，施工废水进行达标处理，不得随意排放，防止污染河道水质</w:t>
                  </w:r>
                </w:p>
              </w:tc>
            </w:tr>
          </w:tbl>
          <w:p w14:paraId="2085CEC7">
            <w:pPr>
              <w:keepNext w:val="0"/>
              <w:keepLines w:val="0"/>
              <w:suppressLineNumbers w:val="0"/>
              <w:bidi w:val="0"/>
              <w:spacing w:before="0" w:beforeAutospacing="0" w:after="0" w:afterAutospacing="0"/>
              <w:ind w:left="0" w:leftChars="0" w:right="0" w:firstLine="0" w:firstLineChars="0"/>
              <w:rPr>
                <w:rFonts w:hint="default"/>
                <w:color w:val="000000" w:themeColor="text1"/>
                <w:lang w:val="en-US" w:eastAsia="zh-CN"/>
                <w14:textFill>
                  <w14:solidFill>
                    <w14:schemeClr w14:val="tx1"/>
                  </w14:solidFill>
                </w14:textFill>
              </w:rPr>
            </w:pPr>
          </w:p>
        </w:tc>
      </w:tr>
      <w:tr w14:paraId="5634F6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l2br w:val="nil"/>
              <w:tr2bl w:val="nil"/>
            </w:tcBorders>
            <w:vAlign w:val="center"/>
          </w:tcPr>
          <w:p w14:paraId="40EF4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评价标准</w:t>
            </w:r>
          </w:p>
        </w:tc>
        <w:tc>
          <w:tcPr>
            <w:tcW w:w="8026" w:type="dxa"/>
            <w:vAlign w:val="center"/>
          </w:tcPr>
          <w:p w14:paraId="4B283F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themeColor="text1"/>
                <w:kern w:val="0"/>
                <w:highlight w:val="none"/>
                <w14:textFill>
                  <w14:solidFill>
                    <w14:schemeClr w14:val="tx1"/>
                  </w14:solidFill>
                </w14:textFill>
              </w:rPr>
            </w:pPr>
            <w:r>
              <w:rPr>
                <w:rFonts w:hint="default" w:ascii="Times New Roman" w:hAnsi="Times New Roman" w:eastAsia="宋体" w:cs="Times New Roman"/>
                <w:b/>
                <w:color w:val="000000" w:themeColor="text1"/>
                <w:kern w:val="0"/>
                <w:highlight w:val="none"/>
                <w14:textFill>
                  <w14:solidFill>
                    <w14:schemeClr w14:val="tx1"/>
                  </w14:solidFill>
                </w14:textFill>
              </w:rPr>
              <w:t>1、环境质量标准</w:t>
            </w:r>
          </w:p>
          <w:p w14:paraId="14B3A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）环境空气</w:t>
            </w:r>
          </w:p>
          <w:p w14:paraId="44C6E6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本项目环境空气质量标准遵循</w:t>
            </w:r>
            <w:r>
              <w:rPr>
                <w:rFonts w:hint="default" w:ascii="Times New Roman" w:hAnsi="Times New Roman" w:eastAsia="宋体" w:cs="Times New Roman"/>
                <w:color w:val="000000" w:themeColor="text1"/>
                <w:kern w:val="0"/>
                <w:sz w:val="24"/>
                <w:highlight w:val="none"/>
                <w14:textFill>
                  <w14:solidFill>
                    <w14:schemeClr w14:val="tx1"/>
                  </w14:solidFill>
                </w14:textFill>
              </w:rPr>
              <w:t>《环境空气质量标准》（GB3095-2012）及修改单中二级标准</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，见下表。</w:t>
            </w:r>
          </w:p>
          <w:p w14:paraId="169E9C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eastAsia" w:cs="Times New Roman"/>
                <w:b/>
                <w:bCs/>
                <w:color w:val="000000" w:themeColor="text1"/>
                <w:kern w:val="0"/>
                <w:highlight w:val="none"/>
                <w:lang w:val="en-US" w:eastAsia="zh-CN"/>
                <w14:textFill>
                  <w14:solidFill>
                    <w14:schemeClr w14:val="tx1"/>
                  </w14:solidFill>
                </w14:textFill>
              </w:rPr>
              <w:t xml:space="preserve">3  </w:t>
            </w:r>
            <w:r>
              <w:rPr>
                <w:rFonts w:hint="default" w:ascii="Times New Roman" w:hAnsi="Times New Roman" w:eastAsia="宋体" w:cs="Times New Roman"/>
                <w:b/>
                <w:bCs/>
                <w:color w:val="000000" w:themeColor="text1"/>
                <w:kern w:val="0"/>
                <w:highlight w:val="none"/>
                <w14:textFill>
                  <w14:solidFill>
                    <w14:schemeClr w14:val="tx1"/>
                  </w14:solidFill>
                </w14:textFill>
              </w:rPr>
              <w:t>《环境空气质量标准》（GB3095-2012）及修改单中二级标准</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750"/>
              <w:gridCol w:w="995"/>
              <w:gridCol w:w="788"/>
              <w:gridCol w:w="1217"/>
              <w:gridCol w:w="745"/>
              <w:gridCol w:w="2073"/>
            </w:tblGrid>
            <w:tr w14:paraId="10673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40260D05">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污染物</w:t>
                  </w:r>
                </w:p>
              </w:tc>
              <w:tc>
                <w:tcPr>
                  <w:tcW w:w="750" w:type="dxa"/>
                  <w:tcBorders>
                    <w:tl2br w:val="nil"/>
                    <w:tr2bl w:val="nil"/>
                  </w:tcBorders>
                  <w:vAlign w:val="center"/>
                </w:tcPr>
                <w:p w14:paraId="6E6FB0F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年平均</w:t>
                  </w:r>
                </w:p>
              </w:tc>
              <w:tc>
                <w:tcPr>
                  <w:tcW w:w="995" w:type="dxa"/>
                  <w:tcBorders>
                    <w:tl2br w:val="nil"/>
                    <w:tr2bl w:val="nil"/>
                  </w:tcBorders>
                  <w:vAlign w:val="center"/>
                </w:tcPr>
                <w:p w14:paraId="2A850E1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24小时平均</w:t>
                  </w:r>
                </w:p>
              </w:tc>
              <w:tc>
                <w:tcPr>
                  <w:tcW w:w="788" w:type="dxa"/>
                  <w:tcBorders>
                    <w:tl2br w:val="nil"/>
                    <w:tr2bl w:val="nil"/>
                  </w:tcBorders>
                  <w:vAlign w:val="center"/>
                </w:tcPr>
                <w:p w14:paraId="49B66FF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1小时平均</w:t>
                  </w:r>
                </w:p>
              </w:tc>
              <w:tc>
                <w:tcPr>
                  <w:tcW w:w="1217" w:type="dxa"/>
                  <w:tcBorders>
                    <w:tl2br w:val="nil"/>
                    <w:tr2bl w:val="nil"/>
                  </w:tcBorders>
                  <w:vAlign w:val="center"/>
                </w:tcPr>
                <w:p w14:paraId="00AE103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highlight w:val="none"/>
                      <w:lang w:eastAsia="zh-CN"/>
                      <w14:textFill>
                        <w14:solidFill>
                          <w14:schemeClr w14:val="tx1"/>
                        </w14:solidFill>
                      </w14:textFill>
                    </w:rPr>
                    <w:t>日最大</w:t>
                  </w:r>
                  <w:r>
                    <w:rPr>
                      <w:rFonts w:hint="default" w:ascii="Times New Roman" w:hAnsi="Times New Roman" w:eastAsia="宋体" w:cs="Times New Roman"/>
                      <w:b/>
                      <w:color w:val="000000" w:themeColor="text1"/>
                      <w:sz w:val="21"/>
                      <w:szCs w:val="21"/>
                      <w:highlight w:val="none"/>
                      <w:lang w:val="en-US" w:eastAsia="zh-CN"/>
                      <w14:textFill>
                        <w14:solidFill>
                          <w14:schemeClr w14:val="tx1"/>
                        </w14:solidFill>
                      </w14:textFill>
                    </w:rPr>
                    <w:t>8小时平均</w:t>
                  </w:r>
                </w:p>
              </w:tc>
              <w:tc>
                <w:tcPr>
                  <w:tcW w:w="745" w:type="dxa"/>
                  <w:tcBorders>
                    <w:tl2br w:val="nil"/>
                    <w:tr2bl w:val="nil"/>
                  </w:tcBorders>
                  <w:vAlign w:val="center"/>
                </w:tcPr>
                <w:p w14:paraId="0000ED7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单位</w:t>
                  </w:r>
                </w:p>
              </w:tc>
              <w:tc>
                <w:tcPr>
                  <w:tcW w:w="2073" w:type="dxa"/>
                  <w:tcBorders>
                    <w:tl2br w:val="nil"/>
                    <w:tr2bl w:val="nil"/>
                  </w:tcBorders>
                  <w:vAlign w:val="center"/>
                </w:tcPr>
                <w:p w14:paraId="0FC6D71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标准来源</w:t>
                  </w:r>
                </w:p>
              </w:tc>
            </w:tr>
            <w:tr w14:paraId="24D5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33D4768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750" w:type="dxa"/>
                  <w:tcBorders>
                    <w:tl2br w:val="nil"/>
                    <w:tr2bl w:val="nil"/>
                  </w:tcBorders>
                  <w:vAlign w:val="center"/>
                </w:tcPr>
                <w:p w14:paraId="6E28715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95" w:type="dxa"/>
                  <w:tcBorders>
                    <w:tl2br w:val="nil"/>
                    <w:tr2bl w:val="nil"/>
                  </w:tcBorders>
                  <w:vAlign w:val="center"/>
                </w:tcPr>
                <w:p w14:paraId="3DA09B8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788" w:type="dxa"/>
                  <w:tcBorders>
                    <w:tl2br w:val="nil"/>
                    <w:tr2bl w:val="nil"/>
                  </w:tcBorders>
                  <w:vAlign w:val="center"/>
                </w:tcPr>
                <w:p w14:paraId="3A96F19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p>
              </w:tc>
              <w:tc>
                <w:tcPr>
                  <w:tcW w:w="1217" w:type="dxa"/>
                  <w:tcBorders>
                    <w:tl2br w:val="nil"/>
                    <w:tr2bl w:val="nil"/>
                  </w:tcBorders>
                  <w:vAlign w:val="center"/>
                </w:tcPr>
                <w:p w14:paraId="144483D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restart"/>
                  <w:tcBorders>
                    <w:tl2br w:val="nil"/>
                    <w:tr2bl w:val="nil"/>
                  </w:tcBorders>
                  <w:vAlign w:val="center"/>
                </w:tcPr>
                <w:p w14:paraId="62D8FAF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2073" w:type="dxa"/>
                  <w:vMerge w:val="restart"/>
                  <w:tcBorders>
                    <w:tl2br w:val="nil"/>
                    <w:tr2bl w:val="nil"/>
                  </w:tcBorders>
                  <w:vAlign w:val="center"/>
                </w:tcPr>
                <w:p w14:paraId="09B3FDA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《环境空气质量标准》（GB3095-2012）中二级标准</w:t>
                  </w:r>
                </w:p>
              </w:tc>
            </w:tr>
            <w:tr w14:paraId="61AB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0B47DDE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750" w:type="dxa"/>
                  <w:tcBorders>
                    <w:tl2br w:val="nil"/>
                    <w:tr2bl w:val="nil"/>
                  </w:tcBorders>
                  <w:vAlign w:val="center"/>
                </w:tcPr>
                <w:p w14:paraId="4ED24FB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95" w:type="dxa"/>
                  <w:tcBorders>
                    <w:tl2br w:val="nil"/>
                    <w:tr2bl w:val="nil"/>
                  </w:tcBorders>
                  <w:vAlign w:val="center"/>
                </w:tcPr>
                <w:p w14:paraId="27C941A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788" w:type="dxa"/>
                  <w:tcBorders>
                    <w:tl2br w:val="nil"/>
                    <w:tr2bl w:val="nil"/>
                  </w:tcBorders>
                  <w:vAlign w:val="center"/>
                </w:tcPr>
                <w:p w14:paraId="41C268A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1217" w:type="dxa"/>
                  <w:tcBorders>
                    <w:tl2br w:val="nil"/>
                    <w:tr2bl w:val="nil"/>
                  </w:tcBorders>
                  <w:vAlign w:val="center"/>
                </w:tcPr>
                <w:p w14:paraId="03E3848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tcBorders>
                    <w:tl2br w:val="nil"/>
                    <w:tr2bl w:val="nil"/>
                  </w:tcBorders>
                  <w:vAlign w:val="center"/>
                </w:tcPr>
                <w:p w14:paraId="379869ED">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tcBorders>
                    <w:tl2br w:val="nil"/>
                    <w:tr2bl w:val="nil"/>
                  </w:tcBorders>
                  <w:vAlign w:val="center"/>
                </w:tcPr>
                <w:p w14:paraId="5C96B1C9">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7B0F1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02C2805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750" w:type="dxa"/>
                  <w:tcBorders>
                    <w:tl2br w:val="nil"/>
                    <w:tr2bl w:val="nil"/>
                  </w:tcBorders>
                  <w:vAlign w:val="center"/>
                </w:tcPr>
                <w:p w14:paraId="6657CCCE">
                  <w:pPr>
                    <w:keepNext w:val="0"/>
                    <w:keepLines w:val="0"/>
                    <w:pageBreakBefore w:val="0"/>
                    <w:suppressLineNumbers w:val="0"/>
                    <w:tabs>
                      <w:tab w:val="left" w:pos="720"/>
                    </w:tabs>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95" w:type="dxa"/>
                  <w:tcBorders>
                    <w:tl2br w:val="nil"/>
                    <w:tr2bl w:val="nil"/>
                  </w:tcBorders>
                  <w:vAlign w:val="center"/>
                </w:tcPr>
                <w:p w14:paraId="02A05F8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788" w:type="dxa"/>
                  <w:tcBorders>
                    <w:tl2br w:val="nil"/>
                    <w:tr2bl w:val="nil"/>
                  </w:tcBorders>
                  <w:vAlign w:val="center"/>
                </w:tcPr>
                <w:p w14:paraId="6959114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w:t>
                  </w:r>
                </w:p>
              </w:tc>
              <w:tc>
                <w:tcPr>
                  <w:tcW w:w="1217" w:type="dxa"/>
                  <w:tcBorders>
                    <w:tl2br w:val="nil"/>
                    <w:tr2bl w:val="nil"/>
                  </w:tcBorders>
                  <w:vAlign w:val="center"/>
                </w:tcPr>
                <w:p w14:paraId="2F17A69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tcBorders>
                    <w:tl2br w:val="nil"/>
                    <w:tr2bl w:val="nil"/>
                  </w:tcBorders>
                  <w:vAlign w:val="center"/>
                </w:tcPr>
                <w:p w14:paraId="21F75C9F">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tcBorders>
                    <w:tl2br w:val="nil"/>
                    <w:tr2bl w:val="nil"/>
                  </w:tcBorders>
                  <w:vAlign w:val="center"/>
                </w:tcPr>
                <w:p w14:paraId="1263BAFF">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CF7A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230F884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750" w:type="dxa"/>
                  <w:tcBorders>
                    <w:tl2br w:val="nil"/>
                    <w:tr2bl w:val="nil"/>
                  </w:tcBorders>
                  <w:vAlign w:val="center"/>
                </w:tcPr>
                <w:p w14:paraId="5662410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995" w:type="dxa"/>
                  <w:tcBorders>
                    <w:tl2br w:val="nil"/>
                    <w:tr2bl w:val="nil"/>
                  </w:tcBorders>
                  <w:vAlign w:val="center"/>
                </w:tcPr>
                <w:p w14:paraId="44E52A1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88" w:type="dxa"/>
                  <w:tcBorders>
                    <w:tl2br w:val="nil"/>
                    <w:tr2bl w:val="nil"/>
                  </w:tcBorders>
                  <w:vAlign w:val="center"/>
                </w:tcPr>
                <w:p w14:paraId="18361313">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1217" w:type="dxa"/>
                  <w:tcBorders>
                    <w:tl2br w:val="nil"/>
                    <w:tr2bl w:val="nil"/>
                  </w:tcBorders>
                  <w:vAlign w:val="center"/>
                </w:tcPr>
                <w:p w14:paraId="710E58A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745" w:type="dxa"/>
                  <w:vMerge w:val="continue"/>
                  <w:tcBorders>
                    <w:tl2br w:val="nil"/>
                    <w:tr2bl w:val="nil"/>
                  </w:tcBorders>
                  <w:vAlign w:val="center"/>
                </w:tcPr>
                <w:p w14:paraId="385DFE74">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tcBorders>
                    <w:tl2br w:val="nil"/>
                    <w:tr2bl w:val="nil"/>
                  </w:tcBorders>
                  <w:vAlign w:val="center"/>
                </w:tcPr>
                <w:p w14:paraId="05C2297C">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1435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752B823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750" w:type="dxa"/>
                  <w:tcBorders>
                    <w:tl2br w:val="nil"/>
                    <w:tr2bl w:val="nil"/>
                  </w:tcBorders>
                  <w:vAlign w:val="center"/>
                </w:tcPr>
                <w:p w14:paraId="41F83F9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995" w:type="dxa"/>
                  <w:tcBorders>
                    <w:tl2br w:val="nil"/>
                    <w:tr2bl w:val="nil"/>
                  </w:tcBorders>
                  <w:vAlign w:val="center"/>
                </w:tcPr>
                <w:p w14:paraId="73C37CF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788" w:type="dxa"/>
                  <w:tcBorders>
                    <w:tl2br w:val="nil"/>
                    <w:tr2bl w:val="nil"/>
                  </w:tcBorders>
                  <w:vAlign w:val="center"/>
                </w:tcPr>
                <w:p w14:paraId="06E2D384">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17" w:type="dxa"/>
                  <w:tcBorders>
                    <w:tl2br w:val="nil"/>
                    <w:tr2bl w:val="nil"/>
                  </w:tcBorders>
                  <w:vAlign w:val="center"/>
                </w:tcPr>
                <w:p w14:paraId="46DCE6F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tcBorders>
                    <w:tl2br w:val="nil"/>
                    <w:tr2bl w:val="nil"/>
                  </w:tcBorders>
                  <w:vAlign w:val="center"/>
                </w:tcPr>
                <w:p w14:paraId="1DCBA2E2">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tcBorders>
                    <w:tl2br w:val="nil"/>
                    <w:tr2bl w:val="nil"/>
                  </w:tcBorders>
                  <w:vAlign w:val="center"/>
                </w:tcPr>
                <w:p w14:paraId="63A89BCE">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14:paraId="0BE2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2" w:type="dxa"/>
                  <w:tcBorders>
                    <w:tl2br w:val="nil"/>
                    <w:tr2bl w:val="nil"/>
                  </w:tcBorders>
                  <w:vAlign w:val="center"/>
                </w:tcPr>
                <w:p w14:paraId="6E77228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750" w:type="dxa"/>
                  <w:tcBorders>
                    <w:tl2br w:val="nil"/>
                    <w:tr2bl w:val="nil"/>
                  </w:tcBorders>
                  <w:vAlign w:val="center"/>
                </w:tcPr>
                <w:p w14:paraId="1526AF6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95" w:type="dxa"/>
                  <w:tcBorders>
                    <w:tl2br w:val="nil"/>
                    <w:tr2bl w:val="nil"/>
                  </w:tcBorders>
                  <w:vAlign w:val="center"/>
                </w:tcPr>
                <w:p w14:paraId="054DABF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788" w:type="dxa"/>
                  <w:tcBorders>
                    <w:tl2br w:val="nil"/>
                    <w:tr2bl w:val="nil"/>
                  </w:tcBorders>
                  <w:vAlign w:val="center"/>
                </w:tcPr>
                <w:p w14:paraId="5B30142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17" w:type="dxa"/>
                  <w:tcBorders>
                    <w:tl2br w:val="nil"/>
                    <w:tr2bl w:val="nil"/>
                  </w:tcBorders>
                  <w:vAlign w:val="center"/>
                </w:tcPr>
                <w:p w14:paraId="4E16D408">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45" w:type="dxa"/>
                  <w:vMerge w:val="continue"/>
                  <w:tcBorders>
                    <w:tl2br w:val="nil"/>
                    <w:tr2bl w:val="nil"/>
                  </w:tcBorders>
                  <w:vAlign w:val="center"/>
                </w:tcPr>
                <w:p w14:paraId="67ED9A20">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3" w:type="dxa"/>
                  <w:vMerge w:val="continue"/>
                  <w:tcBorders>
                    <w:tl2br w:val="nil"/>
                    <w:tr2bl w:val="nil"/>
                  </w:tcBorders>
                  <w:vAlign w:val="center"/>
                </w:tcPr>
                <w:p w14:paraId="51C0994E">
                  <w:pPr>
                    <w:keepNext w:val="0"/>
                    <w:keepLines w:val="0"/>
                    <w:pageBreakBefore w:val="0"/>
                    <w:widowControl/>
                    <w:suppressLineNumbers w:val="0"/>
                    <w:kinsoku/>
                    <w:bidi w:val="0"/>
                    <w:adjustRightInd/>
                    <w:snapToGrid/>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14:paraId="1472B7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）地表水环境</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 xml:space="preserve"> </w:t>
            </w:r>
          </w:p>
          <w:p w14:paraId="6354CEA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color w:val="000000" w:themeColor="text1"/>
                <w:kern w:val="0"/>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项目评价区域内地表水幽芳河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高庙河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柳林河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新店河</w:t>
            </w:r>
            <w:r>
              <w:rPr>
                <w:rFonts w:hint="eastAsia" w:cs="Times New Roman"/>
                <w:b w:val="0"/>
                <w:bCs/>
                <w:color w:val="000000" w:themeColor="text1"/>
                <w:kern w:val="0"/>
                <w:highlight w:val="none"/>
                <w:lang w:val="en-US" w:eastAsia="zh-CN"/>
                <w14:textFill>
                  <w14:solidFill>
                    <w14:schemeClr w14:val="tx1"/>
                  </w14:solidFill>
                </w14:textFill>
              </w:rPr>
              <w:t>最终汇入至东淠河，</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幽芳河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高庙河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柳林河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新店河</w:t>
            </w:r>
            <w:r>
              <w:rPr>
                <w:rFonts w:hint="eastAsia" w:cs="Times New Roman"/>
                <w:b w:val="0"/>
                <w:bCs/>
                <w:color w:val="000000" w:themeColor="text1"/>
                <w:kern w:val="0"/>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东淠河环境质量执行《地表水环境质量标准》（GB3838-2002）中Ⅲ类水质标准。其标准限值见下表：</w:t>
            </w:r>
          </w:p>
          <w:p w14:paraId="5D6A3E2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eastAsia" w:cs="Times New Roman"/>
                <w:b/>
                <w:bCs/>
                <w:color w:val="000000" w:themeColor="text1"/>
                <w:kern w:val="0"/>
                <w:highlight w:val="none"/>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t xml:space="preserve"> 《地表水环境质量标准》   单位：</w:t>
            </w:r>
            <w:r>
              <w:rPr>
                <w:rFonts w:hint="eastAsia" w:cs="Times New Roman"/>
                <w:b/>
                <w:bCs/>
                <w:color w:val="000000" w:themeColor="text1"/>
                <w:kern w:val="0"/>
                <w:highlight w:val="none"/>
                <w:lang w:val="zh-CN" w:eastAsia="zh-CN"/>
                <w14:textFill>
                  <w14:solidFill>
                    <w14:schemeClr w14:val="tx1"/>
                  </w14:solidFill>
                </w14:textFill>
              </w:rPr>
              <w:t>m</w:t>
            </w:r>
            <w:r>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t>g/L，pH除外</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2653"/>
              <w:gridCol w:w="3475"/>
            </w:tblGrid>
            <w:tr w14:paraId="6DEE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1C02B2A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序号</w:t>
                  </w:r>
                </w:p>
              </w:tc>
              <w:tc>
                <w:tcPr>
                  <w:tcW w:w="1700" w:type="pct"/>
                  <w:noWrap w:val="0"/>
                  <w:vAlign w:val="center"/>
                </w:tcPr>
                <w:p w14:paraId="18900DE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项目</w:t>
                  </w:r>
                </w:p>
              </w:tc>
              <w:tc>
                <w:tcPr>
                  <w:tcW w:w="2227" w:type="pct"/>
                  <w:noWrap w:val="0"/>
                  <w:vAlign w:val="center"/>
                </w:tcPr>
                <w:p w14:paraId="078D766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2"/>
                      <w:u w:val="none"/>
                      <w14:textFill>
                        <w14:solidFill>
                          <w14:schemeClr w14:val="tx1"/>
                        </w14:solidFill>
                      </w14:textFill>
                    </w:rPr>
                  </w:pPr>
                  <w:r>
                    <w:rPr>
                      <w:rFonts w:hint="default" w:ascii="Times New Roman" w:hAnsi="Times New Roman" w:eastAsia="宋体" w:cs="Times New Roman"/>
                      <w:b w:val="0"/>
                      <w:bCs/>
                      <w:color w:val="000000" w:themeColor="text1"/>
                      <w:kern w:val="0"/>
                      <w:highlight w:val="none"/>
                      <w:lang w:val="en-US" w:eastAsia="zh-CN"/>
                      <w14:textFill>
                        <w14:solidFill>
                          <w14:schemeClr w14:val="tx1"/>
                        </w14:solidFill>
                      </w14:textFill>
                    </w:rPr>
                    <w:t>Ⅲ类</w:t>
                  </w:r>
                </w:p>
              </w:tc>
            </w:tr>
            <w:tr w14:paraId="1227E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79EB659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700" w:type="pct"/>
                  <w:noWrap w:val="0"/>
                  <w:vAlign w:val="center"/>
                </w:tcPr>
                <w:p w14:paraId="2FFA0FA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w:t>
                  </w:r>
                </w:p>
              </w:tc>
              <w:tc>
                <w:tcPr>
                  <w:tcW w:w="2227" w:type="pct"/>
                  <w:noWrap w:val="0"/>
                  <w:vAlign w:val="center"/>
                </w:tcPr>
                <w:p w14:paraId="2803CC2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2"/>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6-9（无量纲）</w:t>
                  </w:r>
                </w:p>
              </w:tc>
            </w:tr>
            <w:tr w14:paraId="2DEC3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22B624A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700" w:type="pct"/>
                  <w:noWrap w:val="0"/>
                  <w:vAlign w:val="center"/>
                </w:tcPr>
                <w:p w14:paraId="788E9197">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2227" w:type="pct"/>
                  <w:noWrap w:val="0"/>
                  <w:vAlign w:val="center"/>
                </w:tcPr>
                <w:p w14:paraId="7AF2D8AB">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w:t>
                  </w:r>
                </w:p>
              </w:tc>
            </w:tr>
            <w:tr w14:paraId="7C67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6370411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700" w:type="pct"/>
                  <w:noWrap w:val="0"/>
                  <w:vAlign w:val="center"/>
                </w:tcPr>
                <w:p w14:paraId="44F5A4D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BODs</w:t>
                  </w:r>
                </w:p>
              </w:tc>
              <w:tc>
                <w:tcPr>
                  <w:tcW w:w="2227" w:type="pct"/>
                  <w:noWrap w:val="0"/>
                  <w:vAlign w:val="center"/>
                </w:tcPr>
                <w:p w14:paraId="55772F1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r>
            <w:tr w14:paraId="57C2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3154A01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700" w:type="pct"/>
                  <w:noWrap w:val="0"/>
                  <w:vAlign w:val="center"/>
                </w:tcPr>
                <w:p w14:paraId="2BDC90E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NH3-N</w:t>
                  </w:r>
                </w:p>
              </w:tc>
              <w:tc>
                <w:tcPr>
                  <w:tcW w:w="2227" w:type="pct"/>
                  <w:noWrap w:val="0"/>
                  <w:vAlign w:val="center"/>
                </w:tcPr>
                <w:p w14:paraId="54B8DA10">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t>1</w:t>
                  </w:r>
                </w:p>
              </w:tc>
            </w:tr>
            <w:tr w14:paraId="33D6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52EB9C9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700" w:type="pct"/>
                  <w:noWrap w:val="0"/>
                  <w:vAlign w:val="center"/>
                </w:tcPr>
                <w:p w14:paraId="52FA115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TP</w:t>
                  </w:r>
                </w:p>
              </w:tc>
              <w:tc>
                <w:tcPr>
                  <w:tcW w:w="2227" w:type="pct"/>
                  <w:noWrap w:val="0"/>
                  <w:vAlign w:val="center"/>
                </w:tcPr>
                <w:p w14:paraId="549814D6">
                  <w:pPr>
                    <w:keepNext w:val="0"/>
                    <w:keepLines w:val="0"/>
                    <w:widowControl/>
                    <w:suppressLineNumbers w:val="0"/>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0.2</w:t>
                  </w:r>
                </w:p>
              </w:tc>
            </w:tr>
            <w:tr w14:paraId="68FA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pct"/>
                  <w:noWrap w:val="0"/>
                  <w:vAlign w:val="center"/>
                </w:tcPr>
                <w:p w14:paraId="596B9DB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700" w:type="pct"/>
                  <w:noWrap w:val="0"/>
                  <w:vAlign w:val="center"/>
                </w:tcPr>
                <w:p w14:paraId="47D242A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TN</w:t>
                  </w:r>
                </w:p>
              </w:tc>
              <w:tc>
                <w:tcPr>
                  <w:tcW w:w="2227" w:type="pct"/>
                  <w:noWrap w:val="0"/>
                  <w:vAlign w:val="center"/>
                </w:tcPr>
                <w:p w14:paraId="51CC15D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r>
          </w:tbl>
          <w:p w14:paraId="446F8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p>
          <w:p w14:paraId="1FADD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（3）声环境质量标准</w:t>
            </w:r>
          </w:p>
          <w:p w14:paraId="67ED1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color w:val="000000" w:themeColor="text1"/>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本工程涉及区域主要包括集镇和农村，拟建项目所在区域包括1类区、2类区，</w:t>
            </w:r>
            <w:r>
              <w:rPr>
                <w:rFonts w:hint="eastAsia" w:cs="Times New Roman"/>
                <w:color w:val="000000" w:themeColor="text1"/>
                <w:kern w:val="0"/>
                <w:sz w:val="24"/>
                <w:highlight w:val="none"/>
                <w:lang w:val="en-US" w:eastAsia="zh-CN"/>
                <w14:textFill>
                  <w14:solidFill>
                    <w14:schemeClr w14:val="tx1"/>
                  </w14:solidFill>
                </w14:textFill>
              </w:rPr>
              <w:t>城市主干道道路</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35</w:t>
            </w:r>
            <w:r>
              <w:rPr>
                <w:rFonts w:hint="eastAsia" w:cs="Times New Roman"/>
                <w:color w:val="000000" w:themeColor="text1"/>
                <w:kern w:val="0"/>
                <w:sz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区域执行《声环境质量标准》（GB3096-2008）4a类声环境质量标准，</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本项目声环境质量标准遵循</w:t>
            </w:r>
            <w:r>
              <w:rPr>
                <w:rFonts w:hint="default" w:ascii="Times New Roman" w:hAnsi="Times New Roman" w:eastAsia="宋体" w:cs="Times New Roman"/>
                <w:color w:val="000000" w:themeColor="text1"/>
                <w:kern w:val="0"/>
                <w:sz w:val="24"/>
                <w:highlight w:val="none"/>
                <w14:textFill>
                  <w14:solidFill>
                    <w14:schemeClr w14:val="tx1"/>
                  </w14:solidFill>
                </w14:textFill>
              </w:rPr>
              <w:t>《声环境质量标准》（GB30192-2008）中的</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14:textFill>
                  <w14:solidFill>
                    <w14:schemeClr w14:val="tx1"/>
                  </w14:solidFill>
                </w14:textFill>
              </w:rPr>
              <w:t>类</w:t>
            </w:r>
            <w:r>
              <w:rPr>
                <w:rFonts w:hint="eastAsia" w:cs="Times New Roman"/>
                <w:color w:val="000000" w:themeColor="text1"/>
                <w:kern w:val="0"/>
                <w:sz w:val="24"/>
                <w:highlight w:val="none"/>
                <w:lang w:eastAsia="zh-CN"/>
                <w14:textFill>
                  <w14:solidFill>
                    <w14:schemeClr w14:val="tx1"/>
                  </w14:solidFill>
                </w14:textFill>
              </w:rPr>
              <w:t>、</w:t>
            </w:r>
            <w:r>
              <w:rPr>
                <w:rFonts w:hint="eastAsia" w:cs="Times New Roman"/>
                <w:color w:val="000000" w:themeColor="text1"/>
                <w:kern w:val="0"/>
                <w:sz w:val="24"/>
                <w:highlight w:val="none"/>
                <w:lang w:val="en-US" w:eastAsia="zh-CN"/>
                <w14:textFill>
                  <w14:solidFill>
                    <w14:schemeClr w14:val="tx1"/>
                  </w14:solidFill>
                </w14:textFill>
              </w:rPr>
              <w:t>2类</w:t>
            </w:r>
            <w:r>
              <w:rPr>
                <w:rFonts w:hint="default" w:ascii="Times New Roman" w:hAnsi="Times New Roman" w:eastAsia="宋体" w:cs="Times New Roman"/>
                <w:color w:val="000000" w:themeColor="text1"/>
                <w:kern w:val="0"/>
                <w:sz w:val="24"/>
                <w:highlight w:val="none"/>
                <w14:textFill>
                  <w14:solidFill>
                    <w14:schemeClr w14:val="tx1"/>
                  </w14:solidFill>
                </w14:textFill>
              </w:rPr>
              <w:t>标准</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，见下表。</w:t>
            </w:r>
          </w:p>
          <w:p w14:paraId="347CA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eastAsia" w:cs="Times New Roman"/>
                <w:b/>
                <w:bCs/>
                <w:color w:val="000000" w:themeColor="text1"/>
                <w:kern w:val="0"/>
                <w:highlight w:val="none"/>
                <w:lang w:val="en-US" w:eastAsia="zh-CN"/>
                <w14:textFill>
                  <w14:solidFill>
                    <w14:schemeClr w14:val="tx1"/>
                  </w14:solidFill>
                </w14:textFill>
              </w:rPr>
              <w:t xml:space="preserve">5  </w:t>
            </w:r>
            <w:r>
              <w:rPr>
                <w:rFonts w:hint="default" w:ascii="Times New Roman" w:hAnsi="Times New Roman" w:eastAsia="宋体" w:cs="Times New Roman"/>
                <w:b/>
                <w:bCs/>
                <w:color w:val="000000" w:themeColor="text1"/>
                <w:kern w:val="0"/>
                <w:highlight w:val="none"/>
                <w14:textFill>
                  <w14:solidFill>
                    <w14:schemeClr w14:val="tx1"/>
                  </w14:solidFill>
                </w14:textFill>
              </w:rPr>
              <w:t>《声环境质量标准》（GB30192-2008）中的</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kern w:val="0"/>
                <w:highlight w:val="none"/>
                <w14:textFill>
                  <w14:solidFill>
                    <w14:schemeClr w14:val="tx1"/>
                  </w14:solidFill>
                </w14:textFill>
              </w:rPr>
              <w:t>类标准</w:t>
            </w:r>
          </w:p>
          <w:tbl>
            <w:tblPr>
              <w:tblStyle w:val="2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7"/>
              <w:gridCol w:w="3167"/>
              <w:gridCol w:w="3213"/>
            </w:tblGrid>
            <w:tr w14:paraId="459C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tcBorders>
                    <w:tl2br w:val="nil"/>
                    <w:tr2bl w:val="nil"/>
                  </w:tcBorders>
                  <w:vAlign w:val="center"/>
                </w:tcPr>
                <w:p w14:paraId="464B4AC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类别</w:t>
                  </w:r>
                </w:p>
              </w:tc>
              <w:tc>
                <w:tcPr>
                  <w:tcW w:w="3167" w:type="dxa"/>
                  <w:tcBorders>
                    <w:tl2br w:val="nil"/>
                    <w:tr2bl w:val="nil"/>
                  </w:tcBorders>
                  <w:vAlign w:val="center"/>
                </w:tcPr>
                <w:p w14:paraId="2B508FCF">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昼间</w:t>
                  </w:r>
                  <w:r>
                    <w:rPr>
                      <w:rFonts w:hint="default" w:ascii="Times New Roman" w:hAnsi="Times New Roman" w:eastAsia="宋体" w:cs="Times New Roman"/>
                      <w:bCs/>
                      <w:color w:val="000000" w:themeColor="text1"/>
                      <w:sz w:val="21"/>
                      <w:szCs w:val="21"/>
                      <w:highlight w:val="none"/>
                      <w14:textFill>
                        <w14:solidFill>
                          <w14:schemeClr w14:val="tx1"/>
                        </w14:solidFill>
                      </w14:textFill>
                    </w:rPr>
                    <w:t>dB(A)</w:t>
                  </w:r>
                </w:p>
              </w:tc>
              <w:tc>
                <w:tcPr>
                  <w:tcW w:w="3213" w:type="dxa"/>
                  <w:tcBorders>
                    <w:tl2br w:val="nil"/>
                    <w:tr2bl w:val="nil"/>
                  </w:tcBorders>
                  <w:vAlign w:val="center"/>
                </w:tcPr>
                <w:p w14:paraId="30A05AD9">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夜间</w:t>
                  </w:r>
                  <w:r>
                    <w:rPr>
                      <w:rFonts w:hint="default" w:ascii="Times New Roman" w:hAnsi="Times New Roman" w:eastAsia="宋体" w:cs="Times New Roman"/>
                      <w:bCs/>
                      <w:color w:val="000000" w:themeColor="text1"/>
                      <w:sz w:val="21"/>
                      <w:szCs w:val="21"/>
                      <w:highlight w:val="none"/>
                      <w14:textFill>
                        <w14:solidFill>
                          <w14:schemeClr w14:val="tx1"/>
                        </w14:solidFill>
                      </w14:textFill>
                    </w:rPr>
                    <w:t>dB(A)</w:t>
                  </w:r>
                </w:p>
              </w:tc>
            </w:tr>
            <w:tr w14:paraId="623A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tcBorders>
                    <w:tl2br w:val="nil"/>
                    <w:tr2bl w:val="nil"/>
                  </w:tcBorders>
                  <w:vAlign w:val="center"/>
                </w:tcPr>
                <w:p w14:paraId="4B98F0DB">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14:textFill>
                        <w14:solidFill>
                          <w14:schemeClr w14:val="tx1"/>
                        </w14:solidFill>
                      </w14:textFill>
                    </w:rPr>
                    <w:t>类</w:t>
                  </w:r>
                </w:p>
              </w:tc>
              <w:tc>
                <w:tcPr>
                  <w:tcW w:w="3167" w:type="dxa"/>
                  <w:tcBorders>
                    <w:tl2br w:val="nil"/>
                    <w:tr2bl w:val="nil"/>
                  </w:tcBorders>
                  <w:vAlign w:val="center"/>
                </w:tcPr>
                <w:p w14:paraId="3A2D9396">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55</w:t>
                  </w:r>
                </w:p>
              </w:tc>
              <w:tc>
                <w:tcPr>
                  <w:tcW w:w="3213" w:type="dxa"/>
                  <w:tcBorders>
                    <w:tl2br w:val="nil"/>
                    <w:tr2bl w:val="nil"/>
                  </w:tcBorders>
                  <w:vAlign w:val="center"/>
                </w:tcPr>
                <w:p w14:paraId="5C82AE2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45</w:t>
                  </w:r>
                </w:p>
              </w:tc>
            </w:tr>
            <w:tr w14:paraId="5BD8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tcBorders>
                    <w:tl2br w:val="nil"/>
                    <w:tr2bl w:val="nil"/>
                  </w:tcBorders>
                  <w:vAlign w:val="center"/>
                </w:tcPr>
                <w:p w14:paraId="0F44BD8C">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2类</w:t>
                  </w:r>
                </w:p>
              </w:tc>
              <w:tc>
                <w:tcPr>
                  <w:tcW w:w="3167" w:type="dxa"/>
                  <w:tcBorders>
                    <w:tl2br w:val="nil"/>
                    <w:tr2bl w:val="nil"/>
                  </w:tcBorders>
                  <w:vAlign w:val="center"/>
                </w:tcPr>
                <w:p w14:paraId="1B1BF06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60</w:t>
                  </w:r>
                </w:p>
              </w:tc>
              <w:tc>
                <w:tcPr>
                  <w:tcW w:w="3213" w:type="dxa"/>
                  <w:tcBorders>
                    <w:tl2br w:val="nil"/>
                    <w:tr2bl w:val="nil"/>
                  </w:tcBorders>
                  <w:vAlign w:val="center"/>
                </w:tcPr>
                <w:p w14:paraId="45BE27B7">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55</w:t>
                  </w:r>
                </w:p>
              </w:tc>
            </w:tr>
            <w:tr w14:paraId="6525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7" w:type="dxa"/>
                  <w:tcBorders>
                    <w:tl2br w:val="nil"/>
                    <w:tr2bl w:val="nil"/>
                  </w:tcBorders>
                  <w:vAlign w:val="center"/>
                </w:tcPr>
                <w:p w14:paraId="50788350">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4a类</w:t>
                  </w:r>
                </w:p>
              </w:tc>
              <w:tc>
                <w:tcPr>
                  <w:tcW w:w="3167" w:type="dxa"/>
                  <w:tcBorders>
                    <w:tl2br w:val="nil"/>
                    <w:tr2bl w:val="nil"/>
                  </w:tcBorders>
                  <w:vAlign w:val="center"/>
                </w:tcPr>
                <w:p w14:paraId="0D0AA6FA">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70</w:t>
                  </w:r>
                </w:p>
              </w:tc>
              <w:tc>
                <w:tcPr>
                  <w:tcW w:w="3213" w:type="dxa"/>
                  <w:tcBorders>
                    <w:tl2br w:val="nil"/>
                    <w:tr2bl w:val="nil"/>
                  </w:tcBorders>
                  <w:vAlign w:val="center"/>
                </w:tcPr>
                <w:p w14:paraId="372A8422">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cs="Times New Roman"/>
                      <w:bCs/>
                      <w:color w:val="000000" w:themeColor="text1"/>
                      <w:sz w:val="21"/>
                      <w:szCs w:val="21"/>
                      <w:highlight w:val="none"/>
                      <w:lang w:val="en-US" w:eastAsia="zh-CN"/>
                      <w14:textFill>
                        <w14:solidFill>
                          <w14:schemeClr w14:val="tx1"/>
                        </w14:solidFill>
                      </w14:textFill>
                    </w:rPr>
                  </w:pPr>
                  <w:r>
                    <w:rPr>
                      <w:rFonts w:hint="eastAsia" w:cs="Times New Roman"/>
                      <w:bCs/>
                      <w:color w:val="000000" w:themeColor="text1"/>
                      <w:sz w:val="21"/>
                      <w:szCs w:val="21"/>
                      <w:highlight w:val="none"/>
                      <w:lang w:val="en-US" w:eastAsia="zh-CN"/>
                      <w14:textFill>
                        <w14:solidFill>
                          <w14:schemeClr w14:val="tx1"/>
                        </w14:solidFill>
                      </w14:textFill>
                    </w:rPr>
                    <w:t>55</w:t>
                  </w:r>
                </w:p>
              </w:tc>
            </w:tr>
          </w:tbl>
          <w:p w14:paraId="3AF74B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b/>
                <w:bCs/>
                <w:color w:val="000000" w:themeColor="text1"/>
                <w:kern w:val="0"/>
                <w:sz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kern w:val="0"/>
                <w:sz w:val="24"/>
                <w:highlight w:val="none"/>
                <w:lang w:eastAsia="zh-CN"/>
                <w14:textFill>
                  <w14:solidFill>
                    <w14:schemeClr w14:val="tx1"/>
                  </w14:solidFill>
                </w14:textFill>
              </w:rPr>
              <w:t>、污染物排放标准</w:t>
            </w:r>
          </w:p>
          <w:p w14:paraId="3CF5C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大气污染物排放标准</w:t>
            </w:r>
          </w:p>
          <w:p w14:paraId="453D74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本项目施工期大气污染物排放标准执行</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《施工场地颗粒物排放标准》（DB34/4811-2024）表1中监测点颗粒物排放要求</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营运期无废气排放</w:t>
            </w:r>
            <w:r>
              <w:rPr>
                <w:rFonts w:hint="eastAsia" w:cs="Times New Roman"/>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见下表。</w:t>
            </w:r>
          </w:p>
          <w:p w14:paraId="4250E8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表3-</w:t>
            </w:r>
            <w:r>
              <w:rPr>
                <w:rFonts w:hint="eastAsia" w:cs="Times New Roman"/>
                <w:b/>
                <w:bCs/>
                <w:color w:val="000000" w:themeColor="text1"/>
                <w:kern w:val="0"/>
                <w:highlight w:val="none"/>
                <w:lang w:val="en-US" w:eastAsia="zh-CN"/>
                <w14:textFill>
                  <w14:solidFill>
                    <w14:schemeClr w14:val="tx1"/>
                  </w14:solidFill>
                </w14:textFill>
              </w:rPr>
              <w:t xml:space="preserve">6  </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 xml:space="preserve"> 施工期监测点</w:t>
            </w:r>
            <w:r>
              <w:rPr>
                <w:rFonts w:hint="default" w:ascii="Times New Roman" w:hAnsi="Times New Roman" w:eastAsia="宋体" w:cs="Times New Roman"/>
                <w:b/>
                <w:bCs/>
                <w:color w:val="000000" w:themeColor="text1"/>
                <w:kern w:val="0"/>
                <w:highlight w:val="none"/>
                <w14:textFill>
                  <w14:solidFill>
                    <w14:schemeClr w14:val="tx1"/>
                  </w14:solidFill>
                </w14:textFill>
              </w:rPr>
              <w:t>排放限值</w:t>
            </w:r>
          </w:p>
          <w:tbl>
            <w:tblPr>
              <w:tblStyle w:val="26"/>
              <w:tblW w:w="78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7"/>
              <w:gridCol w:w="1230"/>
              <w:gridCol w:w="2145"/>
              <w:gridCol w:w="2948"/>
            </w:tblGrid>
            <w:tr w14:paraId="5A650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dxa"/>
                  <w:vAlign w:val="center"/>
                </w:tcPr>
                <w:p w14:paraId="034D2C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t>控制项目</w:t>
                  </w:r>
                </w:p>
              </w:tc>
              <w:tc>
                <w:tcPr>
                  <w:tcW w:w="1230" w:type="dxa"/>
                  <w:vAlign w:val="center"/>
                </w:tcPr>
                <w:p w14:paraId="3074F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t>单位</w:t>
                  </w:r>
                </w:p>
              </w:tc>
              <w:tc>
                <w:tcPr>
                  <w:tcW w:w="2145" w:type="dxa"/>
                  <w:vAlign w:val="center"/>
                </w:tcPr>
                <w:p w14:paraId="678DA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t>监测点浓度限值</w:t>
                  </w:r>
                </w:p>
              </w:tc>
              <w:tc>
                <w:tcPr>
                  <w:tcW w:w="2948" w:type="dxa"/>
                  <w:vAlign w:val="center"/>
                </w:tcPr>
                <w:p w14:paraId="6EF16F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vertAlign w:val="baseline"/>
                      <w:lang w:eastAsia="zh-CN"/>
                      <w14:textFill>
                        <w14:solidFill>
                          <w14:schemeClr w14:val="tx1"/>
                        </w14:solidFill>
                      </w14:textFill>
                    </w:rPr>
                    <w:t>达标判定依据</w:t>
                  </w:r>
                </w:p>
              </w:tc>
            </w:tr>
            <w:tr w14:paraId="3F5C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dxa"/>
                  <w:vMerge w:val="restart"/>
                  <w:vAlign w:val="center"/>
                </w:tcPr>
                <w:p w14:paraId="4DF73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TSP</w:t>
                  </w:r>
                </w:p>
              </w:tc>
              <w:tc>
                <w:tcPr>
                  <w:tcW w:w="1230" w:type="dxa"/>
                  <w:vMerge w:val="restart"/>
                  <w:vAlign w:val="center"/>
                </w:tcPr>
                <w:p w14:paraId="74A01E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w:t>
                  </w:r>
                  <w:r>
                    <w:rPr>
                      <w:rFonts w:hint="eastAsia" w:cs="Times New Roman"/>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2145" w:type="dxa"/>
                  <w:vAlign w:val="center"/>
                </w:tcPr>
                <w:p w14:paraId="450B82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1000</w:t>
                  </w:r>
                </w:p>
              </w:tc>
              <w:tc>
                <w:tcPr>
                  <w:tcW w:w="2948" w:type="dxa"/>
                  <w:vAlign w:val="center"/>
                </w:tcPr>
                <w:p w14:paraId="7ADF7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超标次数≤1次/日</w:t>
                  </w:r>
                </w:p>
              </w:tc>
            </w:tr>
            <w:tr w14:paraId="2CB86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87" w:type="dxa"/>
                  <w:vMerge w:val="continue"/>
                  <w:vAlign w:val="center"/>
                </w:tcPr>
                <w:p w14:paraId="23A3E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14:textFill>
                        <w14:solidFill>
                          <w14:schemeClr w14:val="tx1"/>
                        </w14:solidFill>
                      </w14:textFill>
                    </w:rPr>
                  </w:pPr>
                </w:p>
              </w:tc>
              <w:tc>
                <w:tcPr>
                  <w:tcW w:w="1230" w:type="dxa"/>
                  <w:vMerge w:val="continue"/>
                  <w:vAlign w:val="center"/>
                </w:tcPr>
                <w:p w14:paraId="6EE45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14:textFill>
                        <w14:solidFill>
                          <w14:schemeClr w14:val="tx1"/>
                        </w14:solidFill>
                      </w14:textFill>
                    </w:rPr>
                  </w:pPr>
                </w:p>
              </w:tc>
              <w:tc>
                <w:tcPr>
                  <w:tcW w:w="2145" w:type="dxa"/>
                  <w:vAlign w:val="center"/>
                </w:tcPr>
                <w:p w14:paraId="70C94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500</w:t>
                  </w:r>
                </w:p>
              </w:tc>
              <w:tc>
                <w:tcPr>
                  <w:tcW w:w="2948" w:type="dxa"/>
                  <w:vAlign w:val="center"/>
                </w:tcPr>
                <w:p w14:paraId="311766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themeColor="text1"/>
                      <w:kern w:val="0"/>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14:textFill>
                        <w14:solidFill>
                          <w14:schemeClr w14:val="tx1"/>
                        </w14:solidFill>
                      </w14:textFill>
                    </w:rPr>
                    <w:t>超标次数≤1次/日</w:t>
                  </w:r>
                </w:p>
              </w:tc>
            </w:tr>
          </w:tbl>
          <w:p w14:paraId="48725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噪声排放标准</w:t>
            </w:r>
          </w:p>
          <w:p w14:paraId="5CAAD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bCs/>
                <w:color w:val="000000" w:themeColor="text1"/>
                <w:kern w:val="0"/>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本项目施工期厂界噪声排放标准执行《建筑施工场界环境噪声排放标准》（GB12523-20</w:t>
            </w:r>
            <w:r>
              <w:rPr>
                <w:rFonts w:hint="eastAsia" w:cs="Times New Roman"/>
                <w:color w:val="000000" w:themeColor="text1"/>
                <w:kern w:val="0"/>
                <w:sz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），见下表。</w:t>
            </w:r>
          </w:p>
          <w:p w14:paraId="3AB905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themeColor="text1"/>
                <w:kern w:val="0"/>
                <w:highlight w:val="none"/>
                <w14:textFill>
                  <w14:solidFill>
                    <w14:schemeClr w14:val="tx1"/>
                  </w14:solidFill>
                </w14:textFill>
              </w:rPr>
            </w:pPr>
            <w:r>
              <w:rPr>
                <w:rFonts w:hint="default" w:ascii="Times New Roman" w:hAnsi="Times New Roman" w:eastAsia="宋体" w:cs="Times New Roman"/>
                <w:b/>
                <w:bCs/>
                <w:color w:val="000000" w:themeColor="text1"/>
                <w:kern w:val="0"/>
                <w:highlight w:val="none"/>
                <w:lang w:eastAsia="zh-CN"/>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eastAsia" w:cs="Times New Roman"/>
                <w:b/>
                <w:bCs/>
                <w:color w:val="000000" w:themeColor="text1"/>
                <w:kern w:val="0"/>
                <w:highlight w:val="none"/>
                <w:lang w:val="en-US" w:eastAsia="zh-CN"/>
                <w14:textFill>
                  <w14:solidFill>
                    <w14:schemeClr w14:val="tx1"/>
                  </w14:solidFill>
                </w14:textFill>
              </w:rPr>
              <w:t xml:space="preserve">7  </w:t>
            </w:r>
            <w:r>
              <w:rPr>
                <w:rFonts w:hint="default" w:ascii="Times New Roman" w:hAnsi="Times New Roman" w:eastAsia="宋体" w:cs="Times New Roman"/>
                <w:b/>
                <w:bCs/>
                <w:color w:val="000000" w:themeColor="text1"/>
                <w:kern w:val="0"/>
                <w:highlight w:val="none"/>
                <w14:textFill>
                  <w14:solidFill>
                    <w14:schemeClr w14:val="tx1"/>
                  </w14:solidFill>
                </w14:textFill>
              </w:rPr>
              <w:t>《建筑施工场界环境噪声排放标准》（GB12523-20</w:t>
            </w:r>
            <w:r>
              <w:rPr>
                <w:rFonts w:hint="eastAsia" w:cs="Times New Roman"/>
                <w:b/>
                <w:bCs/>
                <w:color w:val="000000" w:themeColor="text1"/>
                <w:kern w:val="0"/>
                <w:highlight w:val="none"/>
                <w:lang w:val="en-US" w:eastAsia="zh-CN"/>
                <w14:textFill>
                  <w14:solidFill>
                    <w14:schemeClr w14:val="tx1"/>
                  </w14:solidFill>
                </w14:textFill>
              </w:rPr>
              <w:t>25</w:t>
            </w:r>
            <w:r>
              <w:rPr>
                <w:rFonts w:hint="default" w:ascii="Times New Roman" w:hAnsi="Times New Roman" w:eastAsia="宋体" w:cs="Times New Roman"/>
                <w:b/>
                <w:bCs/>
                <w:color w:val="000000" w:themeColor="text1"/>
                <w:kern w:val="0"/>
                <w:highlight w:val="none"/>
                <w14:textFill>
                  <w14:solidFill>
                    <w14:schemeClr w14:val="tx1"/>
                  </w14:solidFill>
                </w14:textFill>
              </w:rPr>
              <w:t>）</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7"/>
              <w:gridCol w:w="3987"/>
              <w:gridCol w:w="2016"/>
            </w:tblGrid>
            <w:tr w14:paraId="31D10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865" w:type="dxa"/>
                  <w:vMerge w:val="restart"/>
                  <w:tcBorders>
                    <w:tl2br w:val="nil"/>
                    <w:tr2bl w:val="nil"/>
                  </w:tcBorders>
                  <w:vAlign w:val="center"/>
                </w:tcPr>
                <w:p w14:paraId="28D60EBC">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施工阶段</w:t>
                  </w:r>
                </w:p>
              </w:tc>
              <w:tc>
                <w:tcPr>
                  <w:tcW w:w="6242" w:type="dxa"/>
                  <w:gridSpan w:val="2"/>
                  <w:tcBorders>
                    <w:tl2br w:val="nil"/>
                    <w:tr2bl w:val="nil"/>
                  </w:tcBorders>
                  <w:vAlign w:val="center"/>
                </w:tcPr>
                <w:p w14:paraId="5BFB05AF">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噪声限值〔dB(A)〕</w:t>
                  </w:r>
                </w:p>
              </w:tc>
            </w:tr>
            <w:tr w14:paraId="14CF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65" w:type="dxa"/>
                  <w:vMerge w:val="continue"/>
                  <w:tcBorders>
                    <w:tl2br w:val="nil"/>
                    <w:tr2bl w:val="nil"/>
                  </w:tcBorders>
                  <w:vAlign w:val="center"/>
                </w:tcPr>
                <w:p w14:paraId="417893E4">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149" w:type="dxa"/>
                  <w:tcBorders>
                    <w:tl2br w:val="nil"/>
                    <w:tr2bl w:val="nil"/>
                  </w:tcBorders>
                  <w:vAlign w:val="center"/>
                </w:tcPr>
                <w:p w14:paraId="65C460D0">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昼间70</w:t>
                  </w:r>
                </w:p>
              </w:tc>
              <w:tc>
                <w:tcPr>
                  <w:tcW w:w="2093" w:type="dxa"/>
                  <w:tcBorders>
                    <w:tl2br w:val="nil"/>
                    <w:tr2bl w:val="nil"/>
                  </w:tcBorders>
                  <w:vAlign w:val="center"/>
                </w:tcPr>
                <w:p w14:paraId="030CBCF4">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夜间55</w:t>
                  </w:r>
                </w:p>
              </w:tc>
            </w:tr>
          </w:tbl>
          <w:p w14:paraId="7C1636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废水污染物排放标准</w:t>
            </w:r>
          </w:p>
          <w:p w14:paraId="4775D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项目施工废水经隔油、沉淀后回用，不外排；施工生活区租赁周边民房，生活污水经化粪池预处理后厌氧沤肥后农用或接管市政污水管网；</w:t>
            </w:r>
            <w:r>
              <w:rPr>
                <w:rFonts w:hint="default" w:ascii="Times New Roman" w:hAnsi="Times New Roman" w:cs="Times New Roman"/>
                <w:color w:val="000000" w:themeColor="text1"/>
                <w:lang w:val="en-US" w:eastAsia="zh-CN"/>
                <w14:textFill>
                  <w14:solidFill>
                    <w14:schemeClr w14:val="tx1"/>
                  </w14:solidFill>
                </w14:textFill>
              </w:rPr>
              <w:t>运营期废水主要为收集的收集的沿河居民生活污水，除纳管的部分村庄外，较为集中的村庄采用集中污水处理，集中污水处理设施选用净化槽工艺，对于村庄较为分散的采用资源化利用工艺，出水达到安徽省地方标准《农村生活污水处理设施水污染物排放标准》(DB34/3527-2019)一级标准B标准。</w:t>
            </w:r>
          </w:p>
          <w:p w14:paraId="36616A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结合周边情况，可排入农灌沟进行农用回灌，或者进行林地漫灌</w:t>
            </w:r>
            <w:r>
              <w:rPr>
                <w:rFonts w:hint="eastAsia"/>
                <w:color w:val="000000" w:themeColor="text1"/>
                <w:lang w:val="en-US" w:eastAsia="zh-CN"/>
                <w14:textFill>
                  <w14:solidFill>
                    <w14:schemeClr w14:val="tx1"/>
                  </w14:solidFill>
                </w14:textFill>
              </w:rPr>
              <w:t>，不直接排放至地表水环境。</w:t>
            </w:r>
          </w:p>
          <w:p w14:paraId="416681F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t>表</w:t>
            </w:r>
            <w:r>
              <w:rPr>
                <w:rFonts w:hint="default" w:ascii="Times New Roman" w:hAnsi="Times New Roman" w:eastAsia="宋体" w:cs="Times New Roman"/>
                <w:b/>
                <w:bCs/>
                <w:color w:val="000000" w:themeColor="text1"/>
                <w:kern w:val="0"/>
                <w:highlight w:val="none"/>
                <w:lang w:val="en-US" w:eastAsia="zh-CN"/>
                <w14:textFill>
                  <w14:solidFill>
                    <w14:schemeClr w14:val="tx1"/>
                  </w14:solidFill>
                </w14:textFill>
              </w:rPr>
              <w:t>3-</w:t>
            </w:r>
            <w:r>
              <w:rPr>
                <w:rFonts w:hint="eastAsia" w:cs="Times New Roman"/>
                <w:b/>
                <w:bCs/>
                <w:color w:val="000000" w:themeColor="text1"/>
                <w:kern w:val="0"/>
                <w:highlight w:val="none"/>
                <w:lang w:val="en-US" w:eastAsia="zh-CN"/>
                <w14:textFill>
                  <w14:solidFill>
                    <w14:schemeClr w14:val="tx1"/>
                  </w14:solidFill>
                </w14:textFill>
              </w:rPr>
              <w:t xml:space="preserve">4 </w:t>
            </w:r>
            <w:r>
              <w:rPr>
                <w:rFonts w:hint="default" w:ascii="Times New Roman" w:hAnsi="Times New Roman" w:eastAsia="宋体" w:cs="Times New Roman"/>
                <w:b/>
                <w:bCs/>
                <w:color w:val="000000" w:themeColor="text1"/>
                <w:kern w:val="0"/>
                <w:highlight w:val="none"/>
                <w:lang w:val="zh-CN" w:eastAsia="zh-CN"/>
                <w14:textFill>
                  <w14:solidFill>
                    <w14:schemeClr w14:val="tx1"/>
                  </w14:solidFill>
                </w14:textFill>
              </w:rPr>
              <w:t xml:space="preserve"> 《农村生活污水处理设施水污染物排放标准》(DB34/3527-2019)</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731"/>
              <w:gridCol w:w="1731"/>
              <w:gridCol w:w="2666"/>
            </w:tblGrid>
            <w:tr w14:paraId="7056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5C03BBB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序号</w:t>
                  </w:r>
                </w:p>
              </w:tc>
              <w:tc>
                <w:tcPr>
                  <w:tcW w:w="1109" w:type="pct"/>
                  <w:noWrap w:val="0"/>
                  <w:vAlign w:val="center"/>
                </w:tcPr>
                <w:p w14:paraId="04B00E1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i w:val="0"/>
                      <w:iCs w:val="0"/>
                      <w:color w:val="000000" w:themeColor="text1"/>
                      <w:kern w:val="0"/>
                      <w:sz w:val="21"/>
                      <w:szCs w:val="21"/>
                      <w:u w:val="none"/>
                      <w:lang w:val="en-US" w:eastAsia="zh-CN" w:bidi="ar"/>
                      <w14:textFill>
                        <w14:solidFill>
                          <w14:schemeClr w14:val="tx1"/>
                        </w14:solidFill>
                      </w14:textFill>
                    </w:rPr>
                    <w:t>项目</w:t>
                  </w:r>
                </w:p>
              </w:tc>
              <w:tc>
                <w:tcPr>
                  <w:tcW w:w="1109" w:type="pct"/>
                  <w:noWrap w:val="0"/>
                  <w:vAlign w:val="center"/>
                </w:tcPr>
                <w:p w14:paraId="4215AFC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default" w:cs="Times New Roman"/>
                      <w:b/>
                      <w:bCs/>
                      <w:i w:val="0"/>
                      <w:iCs w:val="0"/>
                      <w:color w:val="000000" w:themeColor="text1"/>
                      <w:sz w:val="21"/>
                      <w:szCs w:val="21"/>
                      <w:u w:val="none"/>
                      <w:lang w:val="en-US" w:eastAsia="zh-CN"/>
                      <w14:textFill>
                        <w14:solidFill>
                          <w14:schemeClr w14:val="tx1"/>
                        </w14:solidFill>
                      </w14:textFill>
                    </w:rPr>
                    <w:t>单位</w:t>
                  </w:r>
                </w:p>
              </w:tc>
              <w:tc>
                <w:tcPr>
                  <w:tcW w:w="1708" w:type="pct"/>
                  <w:noWrap w:val="0"/>
                  <w:vAlign w:val="center"/>
                </w:tcPr>
                <w:p w14:paraId="64369FB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
                      <w:bCs/>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val="zh-CN" w:eastAsia="zh-CN"/>
                      <w14:textFill>
                        <w14:solidFill>
                          <w14:schemeClr w14:val="tx1"/>
                        </w14:solidFill>
                      </w14:textFill>
                    </w:rPr>
                    <w:t>一级标准B标准</w:t>
                  </w:r>
                </w:p>
              </w:tc>
            </w:tr>
            <w:tr w14:paraId="1E67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03B92C4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p>
              </w:tc>
              <w:tc>
                <w:tcPr>
                  <w:tcW w:w="1109" w:type="pct"/>
                  <w:noWrap w:val="0"/>
                  <w:vAlign w:val="center"/>
                </w:tcPr>
                <w:p w14:paraId="71E88B9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pH</w:t>
                  </w:r>
                  <w:r>
                    <w:rPr>
                      <w:rFonts w:hint="eastAsia" w:cs="Times New Roman"/>
                      <w:i w:val="0"/>
                      <w:iCs w:val="0"/>
                      <w:color w:val="000000" w:themeColor="text1"/>
                      <w:kern w:val="0"/>
                      <w:sz w:val="21"/>
                      <w:szCs w:val="21"/>
                      <w:u w:val="none"/>
                      <w:lang w:val="en-US" w:eastAsia="zh-CN" w:bidi="ar"/>
                      <w14:textFill>
                        <w14:solidFill>
                          <w14:schemeClr w14:val="tx1"/>
                        </w14:solidFill>
                      </w14:textFill>
                    </w:rPr>
                    <w:t>值</w:t>
                  </w:r>
                </w:p>
              </w:tc>
              <w:tc>
                <w:tcPr>
                  <w:tcW w:w="1109" w:type="pct"/>
                  <w:noWrap w:val="0"/>
                  <w:vAlign w:val="center"/>
                </w:tcPr>
                <w:p w14:paraId="749F880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无量纲</w:t>
                  </w:r>
                </w:p>
              </w:tc>
              <w:tc>
                <w:tcPr>
                  <w:tcW w:w="1708" w:type="pct"/>
                  <w:noWrap w:val="0"/>
                  <w:vAlign w:val="center"/>
                </w:tcPr>
                <w:p w14:paraId="5495A8E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2"/>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6-9（无量纲）</w:t>
                  </w:r>
                </w:p>
              </w:tc>
            </w:tr>
            <w:tr w14:paraId="2073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69B95F0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w:t>
                  </w:r>
                </w:p>
              </w:tc>
              <w:tc>
                <w:tcPr>
                  <w:tcW w:w="1109" w:type="pct"/>
                  <w:noWrap w:val="0"/>
                  <w:vAlign w:val="center"/>
                </w:tcPr>
                <w:p w14:paraId="297200A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COD</w:t>
                  </w:r>
                </w:p>
              </w:tc>
              <w:tc>
                <w:tcPr>
                  <w:tcW w:w="1109" w:type="pct"/>
                  <w:noWrap w:val="0"/>
                  <w:vAlign w:val="center"/>
                </w:tcPr>
                <w:p w14:paraId="235A0C7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3AEB624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60</w:t>
                  </w:r>
                </w:p>
              </w:tc>
            </w:tr>
            <w:tr w14:paraId="3411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2D92996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w:t>
                  </w:r>
                </w:p>
              </w:tc>
              <w:tc>
                <w:tcPr>
                  <w:tcW w:w="1109" w:type="pct"/>
                  <w:noWrap w:val="0"/>
                  <w:vAlign w:val="center"/>
                </w:tcPr>
                <w:p w14:paraId="30172E1E">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SS</w:t>
                  </w:r>
                </w:p>
              </w:tc>
              <w:tc>
                <w:tcPr>
                  <w:tcW w:w="1109" w:type="pct"/>
                  <w:noWrap w:val="0"/>
                  <w:vAlign w:val="center"/>
                </w:tcPr>
                <w:p w14:paraId="020E7494">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30613A2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30</w:t>
                  </w:r>
                </w:p>
              </w:tc>
            </w:tr>
            <w:tr w14:paraId="7B54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6E3DCE44">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w:t>
                  </w:r>
                </w:p>
              </w:tc>
              <w:tc>
                <w:tcPr>
                  <w:tcW w:w="1109" w:type="pct"/>
                  <w:noWrap w:val="0"/>
                  <w:vAlign w:val="center"/>
                </w:tcPr>
                <w:p w14:paraId="2D79203D">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NH</w:t>
                  </w:r>
                  <w:r>
                    <w:rPr>
                      <w:rFonts w:hint="default" w:ascii="Times New Roman" w:hAnsi="Times New Roman" w:eastAsia="宋体" w:cs="Times New Roman"/>
                      <w:i w:val="0"/>
                      <w:iCs w:val="0"/>
                      <w:color w:val="000000" w:themeColor="text1"/>
                      <w:kern w:val="0"/>
                      <w:sz w:val="21"/>
                      <w:szCs w:val="21"/>
                      <w:u w:val="none"/>
                      <w:vertAlign w:val="subscript"/>
                      <w:lang w:val="en-US" w:eastAsia="zh-CN" w:bidi="ar"/>
                      <w14:textFill>
                        <w14:solidFill>
                          <w14:schemeClr w14:val="tx1"/>
                        </w14:solidFill>
                      </w14:textFill>
                    </w:rPr>
                    <w:t>3</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-N</w:t>
                  </w:r>
                </w:p>
              </w:tc>
              <w:tc>
                <w:tcPr>
                  <w:tcW w:w="1109" w:type="pct"/>
                  <w:noWrap w:val="0"/>
                  <w:vAlign w:val="center"/>
                </w:tcPr>
                <w:p w14:paraId="1047250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32DBA93F">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sz w:val="21"/>
                      <w:szCs w:val="21"/>
                      <w:u w:val="none"/>
                      <w:lang w:val="en-US" w:eastAsia="zh-CN"/>
                      <w14:textFill>
                        <w14:solidFill>
                          <w14:schemeClr w14:val="tx1"/>
                        </w14:solidFill>
                      </w14:textFill>
                    </w:rPr>
                    <w:t>15(25)</w:t>
                  </w:r>
                </w:p>
              </w:tc>
            </w:tr>
            <w:tr w14:paraId="10E3C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3C928225">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w:t>
                  </w:r>
                </w:p>
              </w:tc>
              <w:tc>
                <w:tcPr>
                  <w:tcW w:w="1109" w:type="pct"/>
                  <w:noWrap w:val="0"/>
                  <w:vAlign w:val="center"/>
                </w:tcPr>
                <w:p w14:paraId="4CF0B6F1">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TP</w:t>
                  </w:r>
                </w:p>
              </w:tc>
              <w:tc>
                <w:tcPr>
                  <w:tcW w:w="1109" w:type="pct"/>
                  <w:noWrap w:val="0"/>
                  <w:vAlign w:val="center"/>
                </w:tcPr>
                <w:p w14:paraId="397198D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542BC7AF">
                  <w:pPr>
                    <w:keepNext w:val="0"/>
                    <w:keepLines w:val="0"/>
                    <w:widowControl/>
                    <w:suppressLineNumbers w:val="0"/>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w:t>
                  </w:r>
                </w:p>
              </w:tc>
            </w:tr>
            <w:tr w14:paraId="1236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446E637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w:t>
                  </w:r>
                </w:p>
              </w:tc>
              <w:tc>
                <w:tcPr>
                  <w:tcW w:w="1109" w:type="pct"/>
                  <w:noWrap w:val="0"/>
                  <w:vAlign w:val="center"/>
                </w:tcPr>
                <w:p w14:paraId="5985B926">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TN</w:t>
                  </w:r>
                </w:p>
              </w:tc>
              <w:tc>
                <w:tcPr>
                  <w:tcW w:w="1109" w:type="pct"/>
                  <w:noWrap w:val="0"/>
                  <w:vAlign w:val="center"/>
                </w:tcPr>
                <w:p w14:paraId="4399F5EA">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6BB5E6A9">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sz w:val="21"/>
                      <w:szCs w:val="21"/>
                      <w:u w:val="none"/>
                      <w:lang w:val="en-US"/>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30</w:t>
                  </w:r>
                </w:p>
              </w:tc>
            </w:tr>
            <w:tr w14:paraId="6CAB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1" w:type="pct"/>
                  <w:noWrap w:val="0"/>
                  <w:vAlign w:val="center"/>
                </w:tcPr>
                <w:p w14:paraId="2DA336D8">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7</w:t>
                  </w:r>
                </w:p>
              </w:tc>
              <w:tc>
                <w:tcPr>
                  <w:tcW w:w="1109" w:type="pct"/>
                  <w:noWrap w:val="0"/>
                  <w:vAlign w:val="center"/>
                </w:tcPr>
                <w:p w14:paraId="5B46BDDC">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动植物油</w:t>
                  </w:r>
                </w:p>
              </w:tc>
              <w:tc>
                <w:tcPr>
                  <w:tcW w:w="1109" w:type="pct"/>
                  <w:noWrap w:val="0"/>
                  <w:vAlign w:val="center"/>
                </w:tcPr>
                <w:p w14:paraId="7D60041A">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cs="Times New Roman"/>
                      <w:i w:val="0"/>
                      <w:iCs w:val="0"/>
                      <w:color w:val="000000" w:themeColor="text1"/>
                      <w:sz w:val="21"/>
                      <w:szCs w:val="21"/>
                      <w:u w:val="none"/>
                      <w:lang w:val="en-US" w:eastAsia="zh-CN"/>
                      <w14:textFill>
                        <w14:solidFill>
                          <w14:schemeClr w14:val="tx1"/>
                        </w14:solidFill>
                      </w14:textFill>
                    </w:rPr>
                  </w:pPr>
                  <w:r>
                    <w:rPr>
                      <w:rFonts w:hint="eastAsia" w:cs="Times New Roman"/>
                      <w:i w:val="0"/>
                      <w:iCs w:val="0"/>
                      <w:color w:val="000000" w:themeColor="text1"/>
                      <w:sz w:val="21"/>
                      <w:szCs w:val="21"/>
                      <w:u w:val="none"/>
                      <w:lang w:val="zh-CN" w:eastAsia="zh-CN"/>
                      <w14:textFill>
                        <w14:solidFill>
                          <w14:schemeClr w14:val="tx1"/>
                        </w14:solidFill>
                      </w14:textFill>
                    </w:rPr>
                    <w:t>m</w:t>
                  </w:r>
                  <w:r>
                    <w:rPr>
                      <w:rFonts w:hint="default" w:cs="Times New Roman"/>
                      <w:i w:val="0"/>
                      <w:iCs w:val="0"/>
                      <w:color w:val="000000" w:themeColor="text1"/>
                      <w:sz w:val="21"/>
                      <w:szCs w:val="21"/>
                      <w:u w:val="none"/>
                      <w:lang w:val="zh-CN" w:eastAsia="zh-CN"/>
                      <w14:textFill>
                        <w14:solidFill>
                          <w14:schemeClr w14:val="tx1"/>
                        </w14:solidFill>
                      </w14:textFill>
                    </w:rPr>
                    <w:t>g/L</w:t>
                  </w:r>
                </w:p>
              </w:tc>
              <w:tc>
                <w:tcPr>
                  <w:tcW w:w="1708" w:type="pct"/>
                  <w:noWrap w:val="0"/>
                  <w:vAlign w:val="center"/>
                </w:tcPr>
                <w:p w14:paraId="20386132">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w:t>
                  </w:r>
                </w:p>
              </w:tc>
            </w:tr>
            <w:tr w14:paraId="29FB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14:paraId="51E79092">
                  <w:pPr>
                    <w:keepNext w:val="0"/>
                    <w:keepLines w:val="0"/>
                    <w:widowControl/>
                    <w:suppressLineNumbers w:val="0"/>
                    <w:spacing w:before="0" w:beforeAutospacing="0" w:after="0" w:afterAutospacing="0" w:line="240" w:lineRule="auto"/>
                    <w:ind w:left="0" w:right="0" w:firstLine="0" w:firstLineChars="0"/>
                    <w:jc w:val="left"/>
                    <w:textAlignment w:val="center"/>
                    <w:rPr>
                      <w:rFonts w:hint="eastAsia"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注1:氨氮指标括号外的数值为水温&gt;12°C的控制指标，括号内的数值为水温≤12°C的控制指标。</w:t>
                  </w:r>
                </w:p>
              </w:tc>
            </w:tr>
          </w:tbl>
          <w:p w14:paraId="2C076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eastAsia" w:cs="Times New Roman"/>
                <w:color w:val="000000" w:themeColor="text1"/>
                <w:kern w:val="0"/>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固体废弃物执行标准</w:t>
            </w:r>
          </w:p>
          <w:p w14:paraId="60D77C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一般固废执行《一般工业固体废物储存和填埋污染控制标准》（</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GB18599</w:t>
            </w:r>
            <w:r>
              <w:rPr>
                <w:rFonts w:hint="eastAsia" w:cs="Times New Roman"/>
                <w:color w:val="000000" w:themeColor="text1"/>
                <w:kern w:val="0"/>
                <w:sz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）中的相关规定</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w:t>
            </w:r>
          </w:p>
          <w:p w14:paraId="3BDCA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根据《中华人民共和国固体废物污染环境防治法》第十六条规定：收集、贮存、运输、利用、处置固体废物的单位和个人，必须采取防扬散、防流失、防渗漏或者其他防止污染环境的措施。</w:t>
            </w:r>
          </w:p>
        </w:tc>
      </w:tr>
      <w:tr w14:paraId="0E047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tcBorders>
              <w:tl2br w:val="nil"/>
              <w:tr2bl w:val="nil"/>
            </w:tcBorders>
            <w:vAlign w:val="center"/>
          </w:tcPr>
          <w:p w14:paraId="3F5A038F">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highlight w:val="none"/>
                <w14:textFill>
                  <w14:solidFill>
                    <w14:schemeClr w14:val="tx1"/>
                  </w14:solidFill>
                </w14:textFill>
              </w:rPr>
              <w:t>其他</w:t>
            </w:r>
          </w:p>
        </w:tc>
        <w:tc>
          <w:tcPr>
            <w:tcW w:w="8026" w:type="dxa"/>
            <w:tcBorders>
              <w:tl2br w:val="nil"/>
              <w:tr2bl w:val="nil"/>
            </w:tcBorders>
            <w:vAlign w:val="center"/>
          </w:tcPr>
          <w:p w14:paraId="49897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p>
          <w:p w14:paraId="78867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p>
          <w:p w14:paraId="536AB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t>本项目为生态环境影响类建设项目，</w:t>
            </w:r>
            <w:r>
              <w:rPr>
                <w:rFonts w:hint="default" w:ascii="Times New Roman" w:hAnsi="Times New Roman" w:cs="Times New Roman"/>
                <w:color w:val="000000" w:themeColor="text1"/>
                <w14:textFill>
                  <w14:solidFill>
                    <w14:schemeClr w14:val="tx1"/>
                  </w14:solidFill>
                </w14:textFill>
              </w:rPr>
              <w:t>运营期废</w:t>
            </w:r>
            <w:r>
              <w:rPr>
                <w:rFonts w:hint="default" w:ascii="Times New Roman" w:hAnsi="Times New Roman" w:cs="Times New Roman"/>
                <w:color w:val="000000" w:themeColor="text1"/>
                <w:lang w:val="en-US" w:eastAsia="zh-CN"/>
                <w14:textFill>
                  <w14:solidFill>
                    <w14:schemeClr w14:val="tx1"/>
                  </w14:solidFill>
                </w14:textFill>
              </w:rPr>
              <w:t>不设定点管理人员，运营期废水主要为收集的收集的沿河居民生活污水，除纳管的部分村庄外，较为集中的村庄采用集中污水处理，集中污水处理设施选用净化槽工艺，对于村庄较为分散的采用资源化利用工艺，结合周边情况，可排入农灌沟进行农用回灌，或者进行林地漫灌</w:t>
            </w:r>
            <w:r>
              <w:rPr>
                <w:rFonts w:hint="default" w:ascii="Times New Roman" w:hAnsi="Times New Roman" w:cs="Times New Roman"/>
                <w:color w:val="000000" w:themeColor="text1"/>
                <w14:textFill>
                  <w14:solidFill>
                    <w14:schemeClr w14:val="tx1"/>
                  </w14:solidFill>
                </w14:textFill>
              </w:rPr>
              <w:t>；废气无有组织排放源，故不需要申请总量指标。</w:t>
            </w:r>
          </w:p>
          <w:p w14:paraId="4B4B2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cs="Times New Roman"/>
                <w:color w:val="000000" w:themeColor="text1"/>
                <w14:textFill>
                  <w14:solidFill>
                    <w14:schemeClr w14:val="tx1"/>
                  </w14:solidFill>
                </w14:textFill>
              </w:rPr>
            </w:pPr>
          </w:p>
          <w:p w14:paraId="6F79E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eastAsia="宋体" w:cs="Times New Roman"/>
                <w:color w:val="000000" w:themeColor="text1"/>
                <w:kern w:val="0"/>
                <w:sz w:val="24"/>
                <w:highlight w:val="none"/>
                <w:lang w:eastAsia="zh-CN"/>
                <w14:textFill>
                  <w14:solidFill>
                    <w14:schemeClr w14:val="tx1"/>
                  </w14:solidFill>
                </w14:textFill>
              </w:rPr>
            </w:pPr>
          </w:p>
          <w:p w14:paraId="42CE1CAF">
            <w:pPr>
              <w:pStyle w:val="2"/>
              <w:keepNext w:val="0"/>
              <w:keepLines w:val="0"/>
              <w:suppressLineNumbers w:val="0"/>
              <w:spacing w:before="0" w:beforeAutospacing="0" w:after="0" w:afterAutospacing="0"/>
              <w:ind w:left="0" w:right="0"/>
              <w:rPr>
                <w:rFonts w:hint="default"/>
                <w:color w:val="000000" w:themeColor="text1"/>
                <w:lang w:eastAsia="zh-CN"/>
                <w14:textFill>
                  <w14:solidFill>
                    <w14:schemeClr w14:val="tx1"/>
                  </w14:solidFill>
                </w14:textFill>
              </w:rPr>
            </w:pPr>
          </w:p>
        </w:tc>
      </w:tr>
    </w:tbl>
    <w:p w14:paraId="3152DF8C">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420" w:firstLineChars="200"/>
        <w:jc w:val="center"/>
        <w:textAlignment w:val="auto"/>
        <w:outlineLvl w:val="0"/>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SA"/>
          <w14:textFill>
            <w14:solidFill>
              <w14:schemeClr w14:val="tx1"/>
            </w14:solidFill>
          </w14:textFill>
        </w:rPr>
        <w:br w:type="page"/>
      </w:r>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四、生态环境影响分析</w:t>
      </w:r>
    </w:p>
    <w:tbl>
      <w:tblPr>
        <w:tblStyle w:val="25"/>
        <w:tblW w:w="901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0"/>
        <w:gridCol w:w="8104"/>
      </w:tblGrid>
      <w:tr w14:paraId="0AE345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2" w:type="dxa"/>
            <w:tcBorders>
              <w:tl2br w:val="nil"/>
              <w:tr2bl w:val="nil"/>
            </w:tcBorders>
            <w:tcMar>
              <w:left w:w="28" w:type="dxa"/>
              <w:right w:w="28" w:type="dxa"/>
            </w:tcMar>
            <w:vAlign w:val="center"/>
          </w:tcPr>
          <w:p w14:paraId="75D09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kern w:val="2"/>
                <w:sz w:val="24"/>
                <w:szCs w:val="24"/>
                <w:lang w:val="en-US" w:eastAsia="zh-CN" w:bidi="ar-SA"/>
                <w14:textFill>
                  <w14:solidFill>
                    <w14:schemeClr w14:val="tx1"/>
                  </w14:solidFill>
                </w14:textFill>
              </w:rPr>
            </w:pPr>
            <w:bookmarkStart w:id="32" w:name="_Hlk49796138"/>
            <w:r>
              <w:rPr>
                <w:rFonts w:hint="default" w:ascii="Times New Roman" w:hAnsi="Times New Roman" w:cs="Times New Roman" w:eastAsiaTheme="minorEastAsia"/>
                <w:b/>
                <w:bCs w:val="0"/>
                <w:color w:val="000000" w:themeColor="text1"/>
                <w:spacing w:val="10"/>
                <w:kern w:val="2"/>
                <w:sz w:val="24"/>
                <w:szCs w:val="24"/>
                <w:lang w:val="en-US" w:eastAsia="zh-CN" w:bidi="ar-SA"/>
                <w14:textFill>
                  <w14:solidFill>
                    <w14:schemeClr w14:val="tx1"/>
                  </w14:solidFill>
                </w14:textFill>
              </w:rPr>
              <w:t>施工期生态环境影响分析</w:t>
            </w:r>
            <w:bookmarkEnd w:id="32"/>
          </w:p>
        </w:tc>
        <w:tc>
          <w:tcPr>
            <w:tcW w:w="8696" w:type="dxa"/>
            <w:tcBorders>
              <w:tl2br w:val="nil"/>
              <w:tr2bl w:val="nil"/>
            </w:tcBorders>
            <w:vAlign w:val="top"/>
          </w:tcPr>
          <w:p w14:paraId="004994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241" w:firstLineChars="1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lang w:val="en-US" w:eastAsia="zh-CN"/>
                <w14:textFill>
                  <w14:solidFill>
                    <w14:schemeClr w14:val="tx1"/>
                  </w14:solidFill>
                </w14:textFill>
              </w:rPr>
              <w:t>工程施工期各工序产生的环境影响如下：</w:t>
            </w:r>
          </w:p>
          <w:p w14:paraId="6A85D2A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drawing>
                <wp:inline distT="0" distB="0" distL="114300" distR="114300">
                  <wp:extent cx="4905375" cy="1409700"/>
                  <wp:effectExtent l="0" t="0" r="9525" b="0"/>
                  <wp:docPr id="25" name="图片 25" descr="27f24f0d-227a-4bef-80c5-d8def39fb7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7f24f0d-227a-4bef-80c5-d8def39fb77a"/>
                          <pic:cNvPicPr>
                            <a:picLocks noChangeAspect="1"/>
                          </pic:cNvPicPr>
                        </pic:nvPicPr>
                        <pic:blipFill>
                          <a:blip r:embed="rId43"/>
                          <a:stretch>
                            <a:fillRect/>
                          </a:stretch>
                        </pic:blipFill>
                        <pic:spPr>
                          <a:xfrm>
                            <a:off x="0" y="0"/>
                            <a:ext cx="4905375" cy="1409700"/>
                          </a:xfrm>
                          <a:prstGeom prst="rect">
                            <a:avLst/>
                          </a:prstGeom>
                        </pic:spPr>
                      </pic:pic>
                    </a:graphicData>
                  </a:graphic>
                </wp:inline>
              </w:drawing>
            </w:r>
          </w:p>
          <w:p w14:paraId="320A4633">
            <w:pPr>
              <w:keepNext w:val="0"/>
              <w:keepLines w:val="0"/>
              <w:widowControl/>
              <w:suppressLineNumbers w:val="0"/>
              <w:spacing w:before="0" w:beforeAutospacing="0" w:after="0" w:afterAutospacing="0" w:line="240" w:lineRule="auto"/>
              <w:ind w:left="0" w:leftChars="0" w:right="0" w:firstLine="0" w:firstLineChars="0"/>
              <w:jc w:val="center"/>
              <w:rPr>
                <w:rFonts w:hint="default"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图4</w:t>
            </w:r>
            <w:r>
              <w:rPr>
                <w:rFonts w:hint="default" w:ascii="宋体" w:hAnsi="宋体" w:eastAsia="宋体" w:cs="宋体"/>
                <w:b/>
                <w:bCs/>
                <w:color w:val="000000" w:themeColor="text1"/>
                <w:kern w:val="0"/>
                <w:sz w:val="24"/>
                <w:szCs w:val="24"/>
                <w:lang w:val="en-US" w:eastAsia="zh-CN" w:bidi="ar"/>
                <w14:textFill>
                  <w14:solidFill>
                    <w14:schemeClr w14:val="tx1"/>
                  </w14:solidFill>
                </w14:textFill>
              </w:rPr>
              <w:t xml:space="preserve">-1 </w:t>
            </w:r>
            <w:r>
              <w:rPr>
                <w:rFonts w:hint="eastAsia" w:ascii="宋体" w:hAnsi="宋体" w:cs="宋体"/>
                <w:b/>
                <w:bCs/>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建筑物工程施工过程和产污节点图</w:t>
            </w:r>
          </w:p>
          <w:p w14:paraId="0A54C12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drawing>
                <wp:inline distT="0" distB="0" distL="114300" distR="114300">
                  <wp:extent cx="5007610" cy="1598295"/>
                  <wp:effectExtent l="0" t="0" r="2540" b="1905"/>
                  <wp:docPr id="19" name="图片 19" descr="63ac6ffa-58ad-40e2-9794-ceff499d9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3ac6ffa-58ad-40e2-9794-ceff499d9499"/>
                          <pic:cNvPicPr>
                            <a:picLocks noChangeAspect="1"/>
                          </pic:cNvPicPr>
                        </pic:nvPicPr>
                        <pic:blipFill>
                          <a:blip r:embed="rId44"/>
                          <a:stretch>
                            <a:fillRect/>
                          </a:stretch>
                        </pic:blipFill>
                        <pic:spPr>
                          <a:xfrm>
                            <a:off x="0" y="0"/>
                            <a:ext cx="5007610" cy="1598295"/>
                          </a:xfrm>
                          <a:prstGeom prst="rect">
                            <a:avLst/>
                          </a:prstGeom>
                        </pic:spPr>
                      </pic:pic>
                    </a:graphicData>
                  </a:graphic>
                </wp:inline>
              </w:drawing>
            </w:r>
          </w:p>
          <w:p w14:paraId="34F1C61D">
            <w:pPr>
              <w:keepNext w:val="0"/>
              <w:keepLines w:val="0"/>
              <w:widowControl/>
              <w:suppressLineNumbers w:val="0"/>
              <w:spacing w:before="0" w:beforeAutospacing="0" w:after="0" w:afterAutospacing="0" w:line="240" w:lineRule="auto"/>
              <w:ind w:left="0" w:leftChars="0" w:right="0" w:firstLine="0" w:firstLineChars="0"/>
              <w:jc w:val="cente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图</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 xml:space="preserve"> </w:t>
            </w:r>
            <w:r>
              <w:rPr>
                <w:rFonts w:hint="eastAsia" w:cs="Times New Roman"/>
                <w:b/>
                <w:bCs/>
                <w:color w:val="000000" w:themeColor="text1"/>
                <w:kern w:val="0"/>
                <w:sz w:val="24"/>
                <w:szCs w:val="24"/>
                <w:lang w:val="en-US" w:eastAsia="zh-CN" w:bidi="ar"/>
                <w14:textFill>
                  <w14:solidFill>
                    <w14:schemeClr w14:val="tx1"/>
                  </w14:solidFill>
                </w14:textFill>
              </w:rPr>
              <w:t xml:space="preserve"> </w:t>
            </w: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临时道路工程产污环节图</w:t>
            </w:r>
          </w:p>
          <w:p w14:paraId="56E5D5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1）施工噪声：主要由施工机械噪声和运输车辆交通噪声，其中施工机械噪声主要是由施工时物件碰撞产生的，噪声排放具有瞬间性和不定性；运输车辆交通噪声主要是车辆发动机及车辆鸣笛产生的噪声，具有短暂性特点。</w:t>
            </w:r>
          </w:p>
          <w:p w14:paraId="3E2D49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（2）施工废气：施工开挖、土石方回填、施工现场的清理平整，以及施工车辆行驶产生的二次扬尘和对环境空气质量造成的暂时性的和局部的影响；清淤过程产生的淤泥恶臭废气。</w:t>
            </w:r>
          </w:p>
          <w:p w14:paraId="1DE957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（3）施工废污水：施工废水及施工人员的生活污水。</w:t>
            </w:r>
          </w:p>
          <w:p w14:paraId="4C9191B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（4）固体废弃物：施工过程中可能产生的余方及淤泥、弃渣、施工人员产生的生活垃圾等。</w:t>
            </w:r>
          </w:p>
          <w:p w14:paraId="620C2E7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（5）生态环境：施工期对生态环境的影响主要为工程建设导致水土流失的影响。施工开挖、平整、土方临时堆放等将造成植被面积减少，对原地貌的扰动、损坏有可能引起水土流失。</w:t>
            </w:r>
          </w:p>
          <w:p w14:paraId="6A816CA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1、生态环境影响分析</w:t>
            </w:r>
          </w:p>
          <w:p w14:paraId="71751BDD">
            <w:pPr>
              <w:keepNext w:val="0"/>
              <w:keepLines w:val="0"/>
              <w:widowControl/>
              <w:suppressLineNumbers w:val="0"/>
              <w:spacing w:before="0" w:beforeAutospacing="0" w:after="0" w:afterAutospacing="0" w:line="360" w:lineRule="auto"/>
              <w:ind w:left="0" w:right="0"/>
              <w:jc w:val="left"/>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详见生态环境影响专项评价。</w:t>
            </w:r>
          </w:p>
          <w:p w14:paraId="68DBD2D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2、大气环境影响分析</w:t>
            </w:r>
          </w:p>
          <w:p w14:paraId="58C4D8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本项目施工废气主要为施工扬尘</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机械运行产生的机械尾气</w:t>
            </w:r>
            <w:r>
              <w:rPr>
                <w:rFonts w:hint="eastAsia" w:cs="Times New Roman" w:eastAsiaTheme="minorEastAsia"/>
                <w:color w:val="000000" w:themeColor="text1"/>
                <w:kern w:val="0"/>
                <w:sz w:val="24"/>
                <w:lang w:eastAsia="zh-CN"/>
                <w14:textFill>
                  <w14:solidFill>
                    <w14:schemeClr w14:val="tx1"/>
                  </w14:solidFill>
                </w14:textFill>
              </w:rPr>
              <w:t>、</w:t>
            </w:r>
            <w:r>
              <w:rPr>
                <w:rFonts w:hint="eastAsia" w:cs="Times New Roman" w:eastAsiaTheme="minorEastAsia"/>
                <w:color w:val="000000" w:themeColor="text1"/>
                <w:kern w:val="0"/>
                <w:sz w:val="24"/>
                <w:lang w:val="en-US" w:eastAsia="zh-CN"/>
                <w14:textFill>
                  <w14:solidFill>
                    <w14:schemeClr w14:val="tx1"/>
                  </w14:solidFill>
                </w14:textFill>
              </w:rPr>
              <w:t>疏浚、</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清淤恶臭等。</w:t>
            </w:r>
          </w:p>
          <w:p w14:paraId="162E8A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（1）</w:t>
            </w:r>
            <w:r>
              <w:rPr>
                <w:rFonts w:hint="default" w:ascii="Times New Roman" w:hAnsi="Times New Roman" w:cs="Times New Roman" w:eastAsiaTheme="minorEastAsia"/>
                <w:color w:val="000000" w:themeColor="text1"/>
                <w:kern w:val="0"/>
                <w:sz w:val="24"/>
                <w14:textFill>
                  <w14:solidFill>
                    <w14:schemeClr w14:val="tx1"/>
                  </w14:solidFill>
                </w14:textFill>
              </w:rPr>
              <w:t>施工扬尘</w:t>
            </w:r>
          </w:p>
          <w:p w14:paraId="232D4AA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施工作业面扬尘：施工作业面的裸露地面，在干燥天气，尤其是在大风时容易产生扬尘；开挖面、开挖场、推整点和利用料堆放场等施工作业面均会产生扬尘；扬尘产生量与作业面大小、施工机械、施工方法、天气状况及洒水频率等都有关系。工程区主要是土方开挖、临时料堆放等施工过程会产生粉尘。根据施工工程的调查资料，工程施工期间施工现场近地面粉尘浓度可达1.5～30</w:t>
            </w:r>
            <w:r>
              <w:rPr>
                <w:rFonts w:hint="eastAsia" w:cs="Times New Roman" w:eastAsiaTheme="minorEastAsia"/>
                <w:color w:val="000000" w:themeColor="text1"/>
                <w:kern w:val="0"/>
                <w:sz w:val="24"/>
                <w:lang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14:textFill>
                  <w14:solidFill>
                    <w14:schemeClr w14:val="tx1"/>
                  </w14:solidFill>
                </w14:textFill>
              </w:rPr>
              <w:t>g/</w:t>
            </w:r>
            <w:r>
              <w:rPr>
                <w:rFonts w:hint="eastAsia" w:cs="Times New Roman" w:eastAsiaTheme="minorEastAsia"/>
                <w:color w:val="000000" w:themeColor="text1"/>
                <w:kern w:val="0"/>
                <w:sz w:val="24"/>
                <w:lang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vertAlign w:val="superscript"/>
                <w14:textFill>
                  <w14:solidFill>
                    <w14:schemeClr w14:val="tx1"/>
                  </w14:solidFill>
                </w14:textFill>
              </w:rPr>
              <w:t>3</w:t>
            </w:r>
            <w:r>
              <w:rPr>
                <w:rFonts w:hint="default" w:ascii="Times New Roman" w:hAnsi="Times New Roman" w:cs="Times New Roman" w:eastAsiaTheme="minorEastAsia"/>
                <w:color w:val="000000" w:themeColor="text1"/>
                <w:kern w:val="0"/>
                <w:sz w:val="24"/>
                <w14:textFill>
                  <w14:solidFill>
                    <w14:schemeClr w14:val="tx1"/>
                  </w14:solidFill>
                </w14:textFill>
              </w:rPr>
              <w:t>。施工中土石方开挖等产生的扬尘，基本上都是间歇式排放。一般只要定时洒水，施工作业面扬尘即可得到有效控制，对环境影响较小。</w:t>
            </w:r>
          </w:p>
          <w:p w14:paraId="47C5D7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14:paraId="07FF60F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14:textFill>
                  <w14:solidFill>
                    <w14:schemeClr w14:val="tx1"/>
                  </w14:solidFill>
                </w14:textFill>
              </w:rPr>
              <w:t>机械尾气</w:t>
            </w:r>
          </w:p>
          <w:p w14:paraId="7CD95BEC">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项目施工期间，使用液体燃料的施工机械及运输车辆排放的尾气中含有CO、NOx以及未完全燃烧的THC等，</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一般来说，这部分废气产生量较小，属间断性、分散性排放。由于这部分污染物排放强度很小，加之施工区域开阔，空气流动条件好，有利于废气稀释、扩散。此外，项目施工过程中，施工方案采用分段施工，施工场地为线状分布，同一施工区域中不同工程内容施工时间不同，施工扬尘和尾气排放源密度不大，因此，施工机械和运输车辆所产生污染在空气中经自然扩散和稀释后，对评价区域的空气环境质量影响不大。</w:t>
            </w:r>
          </w:p>
          <w:p w14:paraId="1014A284">
            <w:pPr>
              <w:pStyle w:val="2"/>
              <w:keepNext w:val="0"/>
              <w:keepLines w:val="0"/>
              <w:suppressLineNumbers w:val="0"/>
              <w:spacing w:before="0" w:beforeAutospacing="0" w:after="0" w:afterAutospacing="0"/>
              <w:ind w:left="0" w:right="0"/>
              <w:rPr>
                <w:rFonts w:hint="default"/>
                <w:color w:val="000000" w:themeColor="text1"/>
                <w14:textFill>
                  <w14:solidFill>
                    <w14:schemeClr w14:val="tx1"/>
                  </w14:solidFill>
                </w14:textFill>
              </w:rPr>
            </w:pPr>
          </w:p>
          <w:p w14:paraId="35C3E085">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（3）</w:t>
            </w:r>
            <w:r>
              <w:rPr>
                <w:rFonts w:hint="eastAsia" w:cs="Times New Roman" w:eastAsiaTheme="minorEastAsia"/>
                <w:b w:val="0"/>
                <w:bCs/>
                <w:color w:val="000000" w:themeColor="text1"/>
                <w:kern w:val="0"/>
                <w:sz w:val="24"/>
                <w:lang w:val="en-US" w:eastAsia="zh-CN"/>
                <w14:textFill>
                  <w14:solidFill>
                    <w14:schemeClr w14:val="tx1"/>
                  </w14:solidFill>
                </w14:textFill>
              </w:rPr>
              <w:t>疏浚、</w:t>
            </w: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清淤恶臭</w:t>
            </w:r>
          </w:p>
          <w:p w14:paraId="39190A0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河道</w:t>
            </w:r>
            <w:r>
              <w:rPr>
                <w:rFonts w:hint="eastAsia" w:cs="Times New Roman" w:eastAsiaTheme="minorEastAsia"/>
                <w:b w:val="0"/>
                <w:bCs/>
                <w:color w:val="000000" w:themeColor="text1"/>
                <w:kern w:val="0"/>
                <w:sz w:val="24"/>
                <w:lang w:val="en-US" w:eastAsia="zh-CN"/>
                <w14:textFill>
                  <w14:solidFill>
                    <w14:schemeClr w14:val="tx1"/>
                  </w14:solidFill>
                </w14:textFill>
              </w:rPr>
              <w:t>疏浚、</w:t>
            </w: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清淤时底泥散发的恶臭气体是多种低浓度混合气体，其主要成分有氨、硫化氢和甲硫醇，它们的性质如下：氨：无色气体，有强烈刺激气味；硫化氢：无色气体，有强烈刺激气味；甲硫醇：有特殊臭味的气体。河道底泥疏挖的各恶臭源的恶臭散发多以无组织的自然扩散为主，散发到大气环境后又以气体、气溶胶和雾三种形式存在，故对其进行采样分析和定量预测相对而言是较困难的，加之施工时是完全敞开式，其排放量和影响程度及范围受气象条件、水温、水质、pH值及操作与管理水平等多种因素的影响。</w:t>
            </w:r>
          </w:p>
          <w:p w14:paraId="03E20FB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cs="Times New Roman" w:eastAsiaTheme="minorEastAsia"/>
                <w:b w:val="0"/>
                <w:bCs/>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本项目清淤工程在枯水期进行，底泥的气味不易扩散。同时，清淤的淤泥及时清运，在岸边停留的时间很短，清淤过程中在岸边将不会有较为明显的臭味</w:t>
            </w:r>
            <w:r>
              <w:rPr>
                <w:rFonts w:hint="eastAsia" w:cs="Times New Roman" w:eastAsiaTheme="minorEastAsia"/>
                <w:b w:val="0"/>
                <w:bCs/>
                <w:color w:val="000000" w:themeColor="text1"/>
                <w:kern w:val="0"/>
                <w:sz w:val="24"/>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据现场调查，河道周边有少量居民点与项目区距离小于50m，清淤过程产生的淤泥臭味对周围居民有一定的影响，但恶臭对周边居民影响只是暂时的，随着施工期的结束影响也随之消失。因此，清淤过程散发的恶臭气体对环境和周围居民生活环境影响不大。</w:t>
            </w:r>
          </w:p>
          <w:p w14:paraId="7E34AAB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val="0"/>
                <w:bCs/>
                <w:color w:val="000000" w:themeColor="text1"/>
                <w:kern w:val="0"/>
                <w:sz w:val="24"/>
                <w:lang w:val="en-US" w:eastAsia="zh-CN"/>
                <w14:textFill>
                  <w14:solidFill>
                    <w14:schemeClr w14:val="tx1"/>
                  </w14:solidFill>
                </w14:textFill>
              </w:rPr>
              <w:t>为避免底泥臭气对周围环境的影响，通过强化作业管理，保证设备运行稳定，可减少疏浚过程臭气的产生。如发现部分清淤点有明显臭气产生时，采取建挡板、加强对施工工人的保护、把受影响人群降至最少。此外，淤泥产生恶臭主要是对施工人员有一定的影响，但是施工期较短，影响是短期的，在施工过程中应注意施工人员的防护措施。</w:t>
            </w:r>
          </w:p>
          <w:p w14:paraId="2430015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3、水环境影响分析</w:t>
            </w:r>
          </w:p>
          <w:p w14:paraId="43634D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施工期废水主要包括施工废水和施工人员的生活污水。</w:t>
            </w:r>
          </w:p>
          <w:p w14:paraId="6AF7D51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w:t>
            </w:r>
            <w:r>
              <w:rPr>
                <w:rFonts w:hint="eastAsia" w:cs="Times New Roman" w:eastAsiaTheme="minorEastAsia"/>
                <w:color w:val="000000" w:themeColor="text1"/>
                <w:kern w:val="0"/>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0"/>
                <w:sz w:val="24"/>
                <w14:textFill>
                  <w14:solidFill>
                    <w14:schemeClr w14:val="tx1"/>
                  </w14:solidFill>
                </w14:textFill>
              </w:rPr>
              <w:t>施工废水环境影响</w:t>
            </w:r>
          </w:p>
          <w:p w14:paraId="511388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①机械冲洗废水</w:t>
            </w:r>
          </w:p>
          <w:p w14:paraId="0CAEDD3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施工现场严禁进行机械、设备的维修工作。因此不产生含油机修废水。施工期间产生的废水主要为施工机械冲洗产生的废水等，主要污染物是SS。施工现场设置临时沉淀池，对施工废水进行沉淀处理。经沉淀处理后，回用于施工场地洒水降尘等，不外排</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，对水环境影响很小。</w:t>
            </w:r>
          </w:p>
          <w:p w14:paraId="0707CD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②</w:t>
            </w:r>
            <w:r>
              <w:rPr>
                <w:rFonts w:hint="default" w:ascii="Times New Roman" w:hAnsi="Times New Roman" w:cs="Times New Roman" w:eastAsiaTheme="minorEastAsia"/>
                <w:color w:val="000000" w:themeColor="text1"/>
                <w:kern w:val="0"/>
                <w14:textFill>
                  <w14:solidFill>
                    <w14:schemeClr w14:val="tx1"/>
                  </w14:solidFill>
                </w14:textFill>
              </w:rPr>
              <w:t>围堰及基坑排水</w:t>
            </w:r>
          </w:p>
          <w:p w14:paraId="2937326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14:textFill>
                  <w14:solidFill>
                    <w14:schemeClr w14:val="tx1"/>
                  </w14:solidFill>
                </w14:textFill>
              </w:rPr>
              <w:t>根据施工组织设计，施工时需要进行施工围堰导流，会产生基坑排水，基坑排水主要为地下渗水和降雨，污染物单一，且较易沉降。</w:t>
            </w:r>
          </w:p>
          <w:p w14:paraId="5299090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根据建设单位提供的资料可知，围堰采用袋装土围堰，围堰最大高度为1.5m，放坡波比均为1：1.5。袋装土进行人工抛投，抛填时根据设计围堰断面尺寸进行均匀抛填，待围堰出水后人工叠实袋装土。</w:t>
            </w:r>
          </w:p>
          <w:p w14:paraId="644387C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围堰拆除采用挖掘机进行。先用挖掘机拆除至河水位高程，再用挖掘机退挖。自卸汽车运输至弃土场。围堰修建过程中仅造成围堰附近河道水体中SS浓度增高，一旦围堰修建结束，其对水环境的不利影响也将随之结束；挖掘机进行围堰拆除作业施工时，其造成的水体SS浓度增高仅限于施工作业期间的局部区域，随着围堰拆除作业的结束这一不利影响也将随之消失。</w:t>
            </w:r>
          </w:p>
          <w:p w14:paraId="155475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14:textFill>
                  <w14:solidFill>
                    <w14:schemeClr w14:val="tx1"/>
                  </w14:solidFill>
                </w14:textFill>
              </w:rPr>
              <w:t>基坑排水分初期排水和经常性排水，初期排水主要对象是原来的河水、地下渗水和降水，SS浓度相对较低；基坑经常性排水主要来自围堰渗水及雨水等，主要污染物为SS。</w:t>
            </w:r>
          </w:p>
          <w:p w14:paraId="7A3E6D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14:textFill>
                  <w14:solidFill>
                    <w14:schemeClr w14:val="tx1"/>
                  </w14:solidFill>
                </w14:textFill>
              </w:rPr>
              <w:t>根据水利工程经验，基坑初期排水水量相对较大、水质与河流水质基本相同，不会增加对所在</w:t>
            </w:r>
            <w:r>
              <w:rPr>
                <w:rFonts w:hint="eastAsia" w:cs="Times New Roman" w:eastAsiaTheme="minorEastAsia"/>
                <w:color w:val="000000" w:themeColor="text1"/>
                <w:kern w:val="0"/>
                <w:lang w:eastAsia="zh-CN"/>
                <w14:textFill>
                  <w14:solidFill>
                    <w14:schemeClr w14:val="tx1"/>
                  </w14:solidFill>
                </w14:textFill>
              </w:rPr>
              <w:t>河流</w:t>
            </w:r>
            <w:r>
              <w:rPr>
                <w:rFonts w:hint="default" w:ascii="Times New Roman" w:hAnsi="Times New Roman" w:cs="Times New Roman" w:eastAsiaTheme="minorEastAsia"/>
                <w:color w:val="000000" w:themeColor="text1"/>
                <w:kern w:val="0"/>
                <w14:textFill>
                  <w14:solidFill>
                    <w14:schemeClr w14:val="tx1"/>
                  </w14:solidFill>
                </w14:textFill>
              </w:rPr>
              <w:t>水质的污染。</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根据施工进度安排，施工时段选择11~3月完成，基坑经常性排水为间歇排放，每次水量较小，根据工程经验，基坑水经沉淀2个小时后，悬浮物浓度可降到200mg/L以下，可回用作运输道路洒水和施工场地洒水，不外排。另外，禁止在雨季开挖施工。基坑排水回用于洒水降尘、施工生产，不得直接排入渠道，对水环境影响很小。</w:t>
            </w:r>
          </w:p>
          <w:p w14:paraId="5AE7DC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14:textFill>
                  <w14:solidFill>
                    <w14:schemeClr w14:val="tx1"/>
                  </w14:solidFill>
                </w14:textFill>
              </w:rPr>
              <w:t>③</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清淤作业对水质的影响</w:t>
            </w:r>
          </w:p>
          <w:p w14:paraId="3BA0303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施工</w:t>
            </w:r>
            <w:r>
              <w:rPr>
                <w:rFonts w:hint="default" w:ascii="Times New Roman" w:hAnsi="Times New Roman" w:cs="Times New Roman" w:eastAsiaTheme="minorEastAsia"/>
                <w:color w:val="000000" w:themeColor="text1"/>
                <w:kern w:val="0"/>
                <w:sz w:val="24"/>
                <w14:textFill>
                  <w14:solidFill>
                    <w14:schemeClr w14:val="tx1"/>
                  </w14:solidFill>
                </w14:textFill>
              </w:rPr>
              <w:t>过程主要</w:t>
            </w:r>
            <w:r>
              <w:rPr>
                <w:rFonts w:hint="eastAsia" w:cs="Times New Roman" w:eastAsiaTheme="minorEastAsia"/>
                <w:color w:val="000000" w:themeColor="text1"/>
                <w:kern w:val="0"/>
                <w:sz w:val="24"/>
                <w:lang w:eastAsia="zh-CN"/>
                <w14:textFill>
                  <w14:solidFill>
                    <w14:schemeClr w14:val="tx1"/>
                  </w14:solidFill>
                </w14:textFill>
              </w:rPr>
              <w:t>对</w:t>
            </w:r>
            <w:r>
              <w:rPr>
                <w:rFonts w:hint="default" w:ascii="Times New Roman" w:hAnsi="Times New Roman" w:cs="Times New Roman" w:eastAsiaTheme="minorEastAsia"/>
                <w:color w:val="000000" w:themeColor="text1"/>
                <w14:textFill>
                  <w14:solidFill>
                    <w14:schemeClr w14:val="tx1"/>
                  </w14:solidFill>
                </w14:textFill>
              </w:rPr>
              <w:t>城区幽芳河、高庙河、柳林河、新店河等4条排涝通道</w:t>
            </w:r>
            <w:r>
              <w:rPr>
                <w:rFonts w:hint="eastAsia" w:ascii="Times New Roman" w:hAnsi="Times New Roman" w:cs="Times New Roman" w:eastAsiaTheme="minorEastAsia"/>
                <w:color w:val="000000" w:themeColor="text1"/>
                <w:lang w:eastAsia="zh-CN"/>
                <w14:textFill>
                  <w14:solidFill>
                    <w14:schemeClr w14:val="tx1"/>
                  </w14:solidFill>
                </w14:textFill>
              </w:rPr>
              <w:t>进行疏浚、</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清淤过程中，挖掘和抽水过程中会搅动河道中的部分淤泥，使其中的污染物散发，</w:t>
            </w:r>
            <w:r>
              <w:rPr>
                <w:rFonts w:hint="default" w:ascii="Times New Roman" w:hAnsi="Times New Roman" w:cs="Times New Roman" w:eastAsiaTheme="minorEastAsia"/>
                <w:color w:val="000000" w:themeColor="text1"/>
                <w:kern w:val="0"/>
                <w:sz w:val="24"/>
                <w14:textFill>
                  <w14:solidFill>
                    <w14:schemeClr w14:val="tx1"/>
                  </w14:solidFill>
                </w14:textFill>
              </w:rPr>
              <w:t>施工引起的悬浮物均会在短时间内造成水质超标，对工程位置附近的水环境造成一定影响</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根据类似清淤工程监测资料可知，在作业点附近，底层水体中悬浮物含量在300～400mg/L之间，表层水体中悬浮物含量在100～180mg/L之间，悬浮物含量升高，对项目范围内的水质影响较明显，但悬浮物质为颗粒态，它随着河水运动的同时在河水中沉降，并最终淤积于河底，这一特性决定了它的影响范围和影响时间是有限的，清淤引起的悬浮物扩散的影响将随施工结束而消失。</w:t>
            </w:r>
            <w:r>
              <w:rPr>
                <w:rFonts w:hint="eastAsia" w:cs="Times New Roman" w:eastAsiaTheme="minorEastAsia"/>
                <w:color w:val="000000" w:themeColor="text1"/>
                <w:kern w:val="0"/>
                <w:sz w:val="24"/>
                <w:lang w:eastAsia="zh-CN"/>
                <w14:textFill>
                  <w14:solidFill>
                    <w14:schemeClr w14:val="tx1"/>
                  </w14:solidFill>
                </w14:textFill>
              </w:rPr>
              <w:t>且</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施工主</w:t>
            </w:r>
            <w:r>
              <w:rPr>
                <w:rFonts w:hint="eastAsia" w:cs="Times New Roman" w:eastAsiaTheme="minorEastAsia"/>
                <w:color w:val="000000" w:themeColor="text1"/>
                <w:kern w:val="2"/>
                <w:sz w:val="24"/>
                <w:szCs w:val="24"/>
                <w:highlight w:val="none"/>
                <w:lang w:val="en-US" w:eastAsia="zh-CN" w:bidi="ar-SA"/>
                <w14:textFill>
                  <w14:solidFill>
                    <w14:schemeClr w14:val="tx1"/>
                  </w14:solidFill>
                </w14:textFill>
              </w:rPr>
              <w:t>要</w:t>
            </w:r>
            <w:r>
              <w:rPr>
                <w:rFonts w:hint="default" w:ascii="Times New Roman" w:hAnsi="Times New Roman" w:cs="Times New Roman" w:eastAsiaTheme="minorEastAsia"/>
                <w:color w:val="000000" w:themeColor="text1"/>
                <w:kern w:val="2"/>
                <w:sz w:val="24"/>
                <w:szCs w:val="24"/>
                <w:highlight w:val="none"/>
                <w:lang w:val="en-US" w:eastAsia="zh-CN" w:bidi="ar-SA"/>
                <w14:textFill>
                  <w14:solidFill>
                    <w14:schemeClr w14:val="tx1"/>
                  </w14:solidFill>
                </w14:textFill>
              </w:rPr>
              <w:t>安排在非汛期</w:t>
            </w:r>
            <w:r>
              <w:rPr>
                <w:rFonts w:hint="default" w:ascii="Times New Roman" w:hAnsi="Times New Roman" w:cs="Times New Roman" w:eastAsiaTheme="minorEastAsia"/>
                <w:color w:val="000000" w:themeColor="text1"/>
                <w:kern w:val="0"/>
                <w:lang w:val="en-US" w:eastAsia="zh-CN"/>
                <w14:textFill>
                  <w14:solidFill>
                    <w14:schemeClr w14:val="tx1"/>
                  </w14:solidFill>
                </w14:textFill>
              </w:rPr>
              <w:t>，对河道水质影响较小，仅仅是在围堰的初期和拆除围堰时会产生暂时性的影响。</w:t>
            </w:r>
          </w:p>
          <w:p w14:paraId="7BF69AF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ascii="Times New Roman" w:hAnsi="Times New Roman" w:cs="Times New Roman" w:eastAsiaTheme="minorEastAsia"/>
                <w:color w:val="000000" w:themeColor="text1"/>
                <w:kern w:val="0"/>
                <w:sz w:val="24"/>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4"/>
                <w:lang w:val="en-US" w:eastAsia="zh-CN"/>
                <w14:textFill>
                  <w14:solidFill>
                    <w14:schemeClr w14:val="tx1"/>
                  </w14:solidFill>
                </w14:textFill>
              </w:rPr>
              <w:t>2</w:t>
            </w:r>
            <w:r>
              <w:rPr>
                <w:rFonts w:hint="eastAsia"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生活污水</w:t>
            </w:r>
          </w:p>
          <w:p w14:paraId="1D703A5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14:textFill>
                  <w14:solidFill>
                    <w14:schemeClr w14:val="tx1"/>
                  </w14:solidFill>
                </w14:textFill>
              </w:rPr>
            </w:pPr>
            <w:r>
              <w:rPr>
                <w:rFonts w:hint="default" w:ascii="Times New Roman" w:hAnsi="Times New Roman" w:cs="Times New Roman" w:eastAsiaTheme="minorEastAsia"/>
                <w:color w:val="000000" w:themeColor="text1"/>
                <w:kern w:val="0"/>
                <w14:textFill>
                  <w14:solidFill>
                    <w14:schemeClr w14:val="tx1"/>
                  </w14:solidFill>
                </w14:textFill>
              </w:rPr>
              <w:t>本项目施工人员为附近居民，</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施工生活区租赁周边民房，</w:t>
            </w:r>
            <w:r>
              <w:rPr>
                <w:rFonts w:hint="default" w:ascii="Times New Roman" w:hAnsi="Times New Roman" w:cs="Times New Roman" w:eastAsiaTheme="minorEastAsia"/>
                <w:color w:val="000000" w:themeColor="text1"/>
                <w:kern w:val="0"/>
                <w14:textFill>
                  <w14:solidFill>
                    <w14:schemeClr w14:val="tx1"/>
                  </w14:solidFill>
                </w14:textFill>
              </w:rPr>
              <w:t>生活污水主要污染物为BOD</w:t>
            </w:r>
            <w:r>
              <w:rPr>
                <w:rFonts w:hint="default" w:ascii="Times New Roman" w:hAnsi="Times New Roman" w:cs="Times New Roman" w:eastAsiaTheme="minorEastAsia"/>
                <w:color w:val="000000" w:themeColor="text1"/>
                <w:kern w:val="0"/>
                <w:vertAlign w:val="subscript"/>
                <w14:textFill>
                  <w14:solidFill>
                    <w14:schemeClr w14:val="tx1"/>
                  </w14:solidFill>
                </w14:textFill>
              </w:rPr>
              <w:t>5</w:t>
            </w:r>
            <w:r>
              <w:rPr>
                <w:rFonts w:hint="default" w:ascii="Times New Roman" w:hAnsi="Times New Roman" w:cs="Times New Roman" w:eastAsiaTheme="minorEastAsia"/>
                <w:color w:val="000000" w:themeColor="text1"/>
                <w:kern w:val="0"/>
                <w14:textFill>
                  <w14:solidFill>
                    <w14:schemeClr w14:val="tx1"/>
                  </w14:solidFill>
                </w14:textFill>
              </w:rPr>
              <w:t>、COD、氨氮和SS。</w:t>
            </w:r>
            <w:r>
              <w:rPr>
                <w:rFonts w:hint="default" w:ascii="Times New Roman" w:hAnsi="Times New Roman" w:eastAsia="宋体" w:cs="Times New Roman"/>
                <w:color w:val="000000" w:themeColor="text1"/>
                <w:kern w:val="0"/>
                <w:sz w:val="24"/>
                <w:highlight w:val="none"/>
                <w:lang w:val="en-US" w:eastAsia="zh-CN"/>
                <w14:textFill>
                  <w14:solidFill>
                    <w14:schemeClr w14:val="tx1"/>
                  </w14:solidFill>
                </w14:textFill>
              </w:rPr>
              <w:t>生活污水经化粪池预处理后厌氧沤肥后农用或接管市政污水管网</w:t>
            </w:r>
            <w:r>
              <w:rPr>
                <w:rFonts w:hint="eastAsia" w:ascii="Times New Roman" w:hAnsi="Times New Roman" w:cs="Times New Roman" w:eastAsiaTheme="minorEastAsia"/>
                <w:color w:val="000000" w:themeColor="text1"/>
                <w:kern w:val="0"/>
                <w:lang w:eastAsia="zh-CN"/>
                <w14:textFill>
                  <w14:solidFill>
                    <w14:schemeClr w14:val="tx1"/>
                  </w14:solidFill>
                </w14:textFill>
              </w:rPr>
              <w:t>。</w:t>
            </w:r>
            <w:r>
              <w:rPr>
                <w:rFonts w:hint="default" w:ascii="Times New Roman" w:hAnsi="Times New Roman" w:cs="Times New Roman" w:eastAsiaTheme="minorEastAsia"/>
                <w:color w:val="000000" w:themeColor="text1"/>
                <w:kern w:val="0"/>
                <w14:textFill>
                  <w14:solidFill>
                    <w14:schemeClr w14:val="tx1"/>
                  </w14:solidFill>
                </w14:textFill>
              </w:rPr>
              <w:t>施工期应加强施工管理，加强施工人员的环保意识，禁止随意在街道倾倒废水及残渣废物。</w:t>
            </w:r>
          </w:p>
          <w:p w14:paraId="76A8B1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14:textFill>
                  <w14:solidFill>
                    <w14:schemeClr w14:val="tx1"/>
                  </w14:solidFill>
                </w14:textFill>
              </w:rPr>
              <w:t>综上，项目施工期产生的</w:t>
            </w:r>
            <w:r>
              <w:rPr>
                <w:rFonts w:hint="eastAsia" w:ascii="Times New Roman" w:hAnsi="Times New Roman" w:cs="Times New Roman" w:eastAsiaTheme="minorEastAsia"/>
                <w:color w:val="000000" w:themeColor="text1"/>
                <w:kern w:val="0"/>
                <w:lang w:eastAsia="zh-CN"/>
                <w14:textFill>
                  <w14:solidFill>
                    <w14:schemeClr w14:val="tx1"/>
                  </w14:solidFill>
                </w14:textFill>
              </w:rPr>
              <w:t>废水</w:t>
            </w:r>
            <w:r>
              <w:rPr>
                <w:rFonts w:hint="default" w:ascii="Times New Roman" w:hAnsi="Times New Roman" w:cs="Times New Roman" w:eastAsiaTheme="minorEastAsia"/>
                <w:color w:val="000000" w:themeColor="text1"/>
                <w:kern w:val="0"/>
                <w14:textFill>
                  <w14:solidFill>
                    <w14:schemeClr w14:val="tx1"/>
                  </w14:solidFill>
                </w14:textFill>
              </w:rPr>
              <w:t>和生活</w:t>
            </w:r>
            <w:r>
              <w:rPr>
                <w:rFonts w:hint="eastAsia" w:ascii="Times New Roman" w:hAnsi="Times New Roman" w:cs="Times New Roman" w:eastAsiaTheme="minorEastAsia"/>
                <w:color w:val="000000" w:themeColor="text1"/>
                <w:kern w:val="0"/>
                <w:lang w:eastAsia="zh-CN"/>
                <w14:textFill>
                  <w14:solidFill>
                    <w14:schemeClr w14:val="tx1"/>
                  </w14:solidFill>
                </w14:textFill>
              </w:rPr>
              <w:t>污</w:t>
            </w:r>
            <w:r>
              <w:rPr>
                <w:rFonts w:hint="default" w:ascii="Times New Roman" w:hAnsi="Times New Roman" w:cs="Times New Roman" w:eastAsiaTheme="minorEastAsia"/>
                <w:color w:val="000000" w:themeColor="text1"/>
                <w:kern w:val="0"/>
                <w14:textFill>
                  <w14:solidFill>
                    <w14:schemeClr w14:val="tx1"/>
                  </w14:solidFill>
                </w14:textFill>
              </w:rPr>
              <w:t>水均能得到合理处置时，将不会对区域地表水体产生明显不利影响。</w:t>
            </w:r>
          </w:p>
          <w:p w14:paraId="2BF2D76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4、声环境影响分析</w:t>
            </w:r>
          </w:p>
          <w:p w14:paraId="43918FA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施工期噪声主要为施工机械产生噪声。施工期噪声包括各建筑机械和运输车辆噪声，声级值一般在85~100dB(A)。施工过程采用的钻机、振捣棒等机械设备以及运输车辆在运行时会产生一定量的噪声施工期噪声影响来源于施工机械作业噪声、运输车辆噪声等，均为间歇性噪声源。根据同类型施工的噪声监测数据，施工器械的噪声源强大多处于70~105dB</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A</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14:textFill>
                  <w14:solidFill>
                    <w14:schemeClr w14:val="tx1"/>
                  </w14:solidFill>
                </w14:textFill>
              </w:rPr>
              <w:t>之间，噪声较高的噪声源分布在土方开挖施工区和施工道路交通运输，噪声影响随施工结束而结束。</w:t>
            </w:r>
          </w:p>
          <w:p w14:paraId="6E0E3F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5、固体废物环境影响分析及防治措施</w:t>
            </w:r>
          </w:p>
          <w:p w14:paraId="738ABE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本项目施工期产生的固体废物主要为施工场所产生施工人员活动产生的生活垃圾</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多余土方及排洪渠清理产生的垃圾及沟道清淤等</w:t>
            </w:r>
            <w:r>
              <w:rPr>
                <w:rFonts w:hint="default" w:ascii="Times New Roman" w:hAnsi="Times New Roman" w:cs="Times New Roman" w:eastAsiaTheme="minorEastAsia"/>
                <w:color w:val="000000" w:themeColor="text1"/>
                <w:kern w:val="0"/>
                <w:sz w:val="24"/>
                <w14:textFill>
                  <w14:solidFill>
                    <w14:schemeClr w14:val="tx1"/>
                  </w14:solidFill>
                </w14:textFill>
              </w:rPr>
              <w:t>。</w:t>
            </w:r>
          </w:p>
          <w:p w14:paraId="729495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w:t>
            </w:r>
            <w:r>
              <w:rPr>
                <w:rFonts w:hint="eastAsia" w:cs="Times New Roman" w:eastAsiaTheme="minorEastAsia"/>
                <w:color w:val="000000" w:themeColor="text1"/>
                <w:kern w:val="0"/>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0"/>
                <w:sz w:val="24"/>
                <w14:textFill>
                  <w14:solidFill>
                    <w14:schemeClr w14:val="tx1"/>
                  </w14:solidFill>
                </w14:textFill>
              </w:rPr>
              <w:t>生活垃圾</w:t>
            </w:r>
          </w:p>
          <w:p w14:paraId="0ED363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生活垃圾：施工期高峰人数为</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4"/>
                <w14:textFill>
                  <w14:solidFill>
                    <w14:schemeClr w14:val="tx1"/>
                  </w14:solidFill>
                </w14:textFill>
              </w:rPr>
              <w:t>0人，按每人每天产生生活垃圾量</w:t>
            </w:r>
            <w:r>
              <w:rPr>
                <w:rFonts w:hint="eastAsia" w:cs="Times New Roman" w:eastAsiaTheme="minorEastAsia"/>
                <w:color w:val="000000" w:themeColor="text1"/>
                <w:kern w:val="0"/>
                <w:sz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kern w:val="0"/>
                <w:sz w:val="24"/>
                <w14:textFill>
                  <w14:solidFill>
                    <w14:schemeClr w14:val="tx1"/>
                  </w14:solidFill>
                </w14:textFill>
              </w:rPr>
              <w:t>kg计算，则生活垃圾产生量为0.0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kern w:val="0"/>
                <w:sz w:val="24"/>
                <w14:textFill>
                  <w14:solidFill>
                    <w14:schemeClr w14:val="tx1"/>
                  </w14:solidFill>
                </w14:textFill>
              </w:rPr>
              <w:t>t/d，整个施工期约</w:t>
            </w:r>
            <w:r>
              <w:rPr>
                <w:rFonts w:hint="eastAsia" w:cs="Times New Roman" w:eastAsiaTheme="minorEastAsia"/>
                <w:color w:val="000000" w:themeColor="text1"/>
                <w:kern w:val="0"/>
                <w:sz w:val="24"/>
                <w:lang w:val="en-US" w:eastAsia="zh-CN"/>
                <w14:textFill>
                  <w14:solidFill>
                    <w14:schemeClr w14:val="tx1"/>
                  </w14:solidFill>
                </w14:textFill>
              </w:rPr>
              <w:t>14个月</w:t>
            </w:r>
            <w:r>
              <w:rPr>
                <w:rFonts w:hint="default" w:ascii="Times New Roman" w:hAnsi="Times New Roman" w:cs="Times New Roman" w:eastAsiaTheme="minorEastAsia"/>
                <w:color w:val="000000" w:themeColor="text1"/>
                <w:kern w:val="0"/>
                <w:sz w:val="24"/>
                <w14:textFill>
                  <w14:solidFill>
                    <w14:schemeClr w14:val="tx1"/>
                  </w14:solidFill>
                </w14:textFill>
              </w:rPr>
              <w:t>，产生生活垃圾</w:t>
            </w:r>
            <w:r>
              <w:rPr>
                <w:rFonts w:hint="eastAsia" w:cs="Times New Roman" w:eastAsiaTheme="minorEastAsia"/>
                <w:color w:val="000000" w:themeColor="text1"/>
                <w:kern w:val="0"/>
                <w:sz w:val="24"/>
                <w:lang w:val="en-US" w:eastAsia="zh-CN"/>
                <w14:textFill>
                  <w14:solidFill>
                    <w14:schemeClr w14:val="tx1"/>
                  </w14:solidFill>
                </w14:textFill>
              </w:rPr>
              <w:t>21</w:t>
            </w:r>
            <w:r>
              <w:rPr>
                <w:rFonts w:hint="default" w:ascii="Times New Roman" w:hAnsi="Times New Roman" w:cs="Times New Roman" w:eastAsiaTheme="minorEastAsia"/>
                <w:color w:val="000000" w:themeColor="text1"/>
                <w:kern w:val="0"/>
                <w:sz w:val="24"/>
                <w14:textFill>
                  <w14:solidFill>
                    <w14:schemeClr w14:val="tx1"/>
                  </w14:solidFill>
                </w14:textFill>
              </w:rPr>
              <w:t>t。主要污染物为垃圾袋、果核、矿泉水瓶等，集中收集后由施工单位清运至垃圾中转站，由环卫部门统一处理。</w:t>
            </w:r>
          </w:p>
          <w:p w14:paraId="7F0D867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w:t>
            </w:r>
            <w:r>
              <w:rPr>
                <w:rFonts w:hint="eastAsia" w:cs="Times New Roman" w:eastAsiaTheme="minorEastAsia"/>
                <w:color w:val="000000" w:themeColor="text1"/>
                <w:kern w:val="0"/>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14:textFill>
                  <w14:solidFill>
                    <w14:schemeClr w14:val="tx1"/>
                  </w14:solidFill>
                </w14:textFill>
              </w:rPr>
              <w:t>土石方弃土</w:t>
            </w:r>
          </w:p>
          <w:p w14:paraId="31FDA36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本项目建设期土石方开挖总量为</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；土方填筑总量</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w:t>
            </w:r>
            <w:r>
              <w:rPr>
                <w:rFonts w:hint="eastAsia" w:cs="Times New Roman" w:eastAsiaTheme="minorEastAsia"/>
                <w:color w:val="000000" w:themeColor="text1"/>
                <w:kern w:val="0"/>
                <w:sz w:val="24"/>
                <w:szCs w:val="24"/>
                <w:highlight w:val="none"/>
                <w:lang w:val="en-US" w:eastAsia="zh-CN" w:bidi="ar"/>
                <w14:textFill>
                  <w14:solidFill>
                    <w14:schemeClr w14:val="tx1"/>
                  </w14:solidFill>
                </w14:textFill>
              </w:rPr>
              <w:t>不产生</w:t>
            </w:r>
            <w:r>
              <w:rPr>
                <w:rFonts w:hint="default" w:ascii="Times New Roman" w:hAnsi="Times New Roman" w:cs="Times New Roman" w:eastAsiaTheme="minorEastAsia"/>
                <w:color w:val="000000" w:themeColor="text1"/>
                <w:kern w:val="0"/>
                <w:sz w:val="24"/>
                <w14:textFill>
                  <w14:solidFill>
                    <w14:schemeClr w14:val="tx1"/>
                  </w14:solidFill>
                </w14:textFill>
              </w:rPr>
              <w:t>废弃土方</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p>
          <w:p w14:paraId="49F0CAFF">
            <w:pPr>
              <w:keepNext w:val="0"/>
              <w:keepLines w:val="0"/>
              <w:pageBreakBefore w:val="0"/>
              <w:widowControl w:val="0"/>
              <w:numPr>
                <w:ilvl w:val="0"/>
                <w:numId w:val="3"/>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cs="Times New Roman" w:eastAsiaTheme="minorEastAsia"/>
                <w:color w:val="000000" w:themeColor="text1"/>
                <w:kern w:val="0"/>
                <w:sz w:val="24"/>
                <w:lang w:val="en-US" w:eastAsia="zh-CN"/>
                <w14:textFill>
                  <w14:solidFill>
                    <w14:schemeClr w14:val="tx1"/>
                  </w14:solidFill>
                </w14:textFill>
              </w:rPr>
            </w:pPr>
            <w:r>
              <w:rPr>
                <w:rFonts w:hint="eastAsia" w:cs="Times New Roman" w:eastAsiaTheme="minorEastAsia"/>
                <w:color w:val="000000" w:themeColor="text1"/>
                <w:kern w:val="0"/>
                <w:sz w:val="24"/>
                <w:lang w:val="en-US" w:eastAsia="zh-CN"/>
                <w14:textFill>
                  <w14:solidFill>
                    <w14:schemeClr w14:val="tx1"/>
                  </w14:solidFill>
                </w14:textFill>
              </w:rPr>
              <w:t>河道疏浚、清淤</w:t>
            </w:r>
          </w:p>
          <w:p w14:paraId="1417D8A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本</w:t>
            </w:r>
            <w:r>
              <w:rPr>
                <w:rFonts w:hint="eastAsia" w:cs="Times New Roman" w:eastAsiaTheme="minorEastAsia"/>
                <w:color w:val="000000" w:themeColor="text1"/>
                <w:kern w:val="0"/>
                <w:sz w:val="24"/>
                <w:lang w:val="en-US" w:eastAsia="zh-CN" w:bidi="ar"/>
                <w14:textFill>
                  <w14:solidFill>
                    <w14:schemeClr w14:val="tx1"/>
                  </w14:solidFill>
                </w14:textFill>
              </w:rPr>
              <w:t>项目河道疏浚、清淤</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采用挖掘机干式</w:t>
            </w:r>
            <w:r>
              <w:rPr>
                <w:rFonts w:hint="eastAsia" w:cs="Times New Roman" w:eastAsiaTheme="minorEastAsia"/>
                <w:color w:val="000000" w:themeColor="text1"/>
                <w:kern w:val="0"/>
                <w:sz w:val="24"/>
                <w:lang w:val="en-US" w:eastAsia="zh-CN" w:bidi="ar"/>
                <w14:textFill>
                  <w14:solidFill>
                    <w14:schemeClr w14:val="tx1"/>
                  </w14:solidFill>
                </w14:textFill>
              </w:rPr>
              <w:t>挖掘</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随挖随运，不在项目区堆放。运输将严格按照六安市有关渣土运输的有关规定，选用性能良好、车厢封闭较好、证件齐全的车辆，严格按照指定的线路行驶。做到运输车辆不超载，车厢上部全部用篷布覆盖，避免运输过程中渣土散落污染周边道路及环境。同时需在运输的区间段内安排清洁人员，随时对车辆散落下来的土块、泥块进行清扫，并安排专人进行巡视、值班、组织路口交通。</w:t>
            </w:r>
          </w:p>
          <w:p w14:paraId="703AF01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t>根据项目实地考察，</w:t>
            </w:r>
            <w:r>
              <w:rPr>
                <w:rFonts w:hint="eastAsia" w:cs="Times New Roman" w:eastAsiaTheme="minorEastAsia"/>
                <w:color w:val="000000" w:themeColor="text1"/>
                <w:kern w:val="0"/>
                <w:sz w:val="24"/>
                <w:lang w:eastAsia="zh-CN" w:bidi="ar"/>
                <w14:textFill>
                  <w14:solidFill>
                    <w14:schemeClr w14:val="tx1"/>
                  </w14:solidFill>
                </w14:textFill>
              </w:rPr>
              <w:t>河道</w:t>
            </w:r>
            <w:r>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t>产生的固体废弃物为雨水冲刷山体产生的植物枯叶和沙土，对环境无影响，由建设单位</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清理。</w:t>
            </w:r>
          </w:p>
          <w:p w14:paraId="2124D0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（4）建筑垃圾</w:t>
            </w:r>
          </w:p>
          <w:p w14:paraId="43D804FE">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项目在建设过程中产生的建筑垃圾主要为建材损耗产生的垃圾，主要产生在施工场地修建过程中。在施工过程中产生的建筑垃圾包括砂土、石块、水泥、碎木料、锯木屑、废金属、钢筋、铁丝、土石方等杂物。工程施工过程中产生的各类建渣，</w:t>
            </w:r>
            <w:r>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t>由建设单位</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清理至建筑垃圾填埋场处理。</w:t>
            </w:r>
          </w:p>
          <w:p w14:paraId="4C21C924">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建设单位应要求施工单位规范处理，首先将建筑垃圾分类，尽量回收其中尚可利用的部分建筑材料，对没有利用价值以及不能回填的废弃物应妥善堆放、及时处理，委托外运至城市指定建筑垃圾填埋场。施工产生的各类垃圾废弃物应堆置在规定的地点，在对其进行清运和回收处理前要进行围挡、遮盖，防止被雨水冲刷或大风刮起，进入水体，影响水质。在施工期间，施工车辆要按照指定路线行驶，不允许车辆进入水体，污染水体，严禁向水体中倾倒建筑废料，施工中不得随意抛弃建筑材料、残土、旧料和其他杂物。</w:t>
            </w:r>
          </w:p>
          <w:p w14:paraId="7D9DB2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lang w:val="en-US" w:eastAsia="zh-CN"/>
                <w14:textFill>
                  <w14:solidFill>
                    <w14:schemeClr w14:val="tx1"/>
                  </w14:solidFill>
                </w14:textFill>
              </w:rPr>
            </w:pPr>
            <w:r>
              <w:rPr>
                <w:rFonts w:hint="eastAsia" w:ascii="Times New Roman" w:hAnsi="Times New Roman" w:cs="Times New Roman" w:eastAsiaTheme="minorEastAsia"/>
                <w:b/>
                <w:color w:val="000000" w:themeColor="text1"/>
                <w:kern w:val="0"/>
                <w:sz w:val="24"/>
                <w:lang w:val="en-US" w:eastAsia="zh-CN"/>
                <w14:textFill>
                  <w14:solidFill>
                    <w14:schemeClr w14:val="tx1"/>
                  </w14:solidFill>
                </w14:textFill>
              </w:rPr>
              <w:t>6、</w:t>
            </w:r>
            <w:r>
              <w:rPr>
                <w:rFonts w:hint="default" w:ascii="Times New Roman" w:hAnsi="Times New Roman" w:cs="Times New Roman" w:eastAsiaTheme="minorEastAsia"/>
                <w:b/>
                <w:color w:val="000000" w:themeColor="text1"/>
                <w:kern w:val="0"/>
                <w:sz w:val="24"/>
                <w:lang w:val="en-US" w:eastAsia="zh-CN"/>
                <w14:textFill>
                  <w14:solidFill>
                    <w14:schemeClr w14:val="tx1"/>
                  </w14:solidFill>
                </w14:textFill>
              </w:rPr>
              <w:t>水文情势影响分析</w:t>
            </w:r>
          </w:p>
          <w:p w14:paraId="20610588">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本工程施工选择在枯水期，河道水量较小，工程施工不会影响水流的宣泄，故不会对河道上、下游水域的水文情势形成明显的影响。随着项目建设投入运行后，原河道水文情势的变化将得以恢复</w:t>
            </w:r>
            <w:r>
              <w:rPr>
                <w:rFonts w:hint="eastAsia" w:cs="Times New Roman" w:eastAsiaTheme="minorEastAsia"/>
                <w:color w:val="000000" w:themeColor="text1"/>
                <w:kern w:val="0"/>
                <w:sz w:val="24"/>
                <w:szCs w:val="24"/>
                <w:lang w:val="en-US" w:eastAsia="zh-CN" w:bidi="ar"/>
                <w14:textFill>
                  <w14:solidFill>
                    <w14:schemeClr w14:val="tx1"/>
                  </w14:solidFill>
                </w14:textFill>
              </w:rPr>
              <w:t>。</w:t>
            </w:r>
          </w:p>
        </w:tc>
      </w:tr>
      <w:tr w14:paraId="17569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2" w:type="dxa"/>
            <w:tcBorders>
              <w:tl2br w:val="nil"/>
              <w:tr2bl w:val="nil"/>
            </w:tcBorders>
            <w:tcMar>
              <w:left w:w="28" w:type="dxa"/>
              <w:right w:w="28" w:type="dxa"/>
            </w:tcMar>
            <w:vAlign w:val="center"/>
          </w:tcPr>
          <w:p w14:paraId="609CF0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spacing w:val="10"/>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spacing w:val="10"/>
                <w:kern w:val="2"/>
                <w:sz w:val="24"/>
                <w:szCs w:val="24"/>
                <w:lang w:val="en-US" w:eastAsia="zh-CN" w:bidi="ar-SA"/>
                <w14:textFill>
                  <w14:solidFill>
                    <w14:schemeClr w14:val="tx1"/>
                  </w14:solidFill>
                </w14:textFill>
              </w:rPr>
              <w:t>运营期生态环境影响分析</w:t>
            </w:r>
          </w:p>
        </w:tc>
        <w:tc>
          <w:tcPr>
            <w:tcW w:w="8696" w:type="dxa"/>
            <w:tcBorders>
              <w:tl2br w:val="nil"/>
              <w:tr2bl w:val="nil"/>
            </w:tcBorders>
            <w:vAlign w:val="top"/>
          </w:tcPr>
          <w:p w14:paraId="65931D99">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本项目主要是排水防涝能力提升项目，通过</w:t>
            </w:r>
            <w:r>
              <w:rPr>
                <w:rFonts w:hint="default"/>
                <w:color w:val="000000" w:themeColor="text1"/>
                <w14:textFill>
                  <w14:solidFill>
                    <w14:schemeClr w14:val="tx1"/>
                  </w14:solidFill>
                </w14:textFill>
              </w:rPr>
              <w:t>新建排水管网</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增设西部新城排涝泵站</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改造排涝沟</w:t>
            </w:r>
            <w:r>
              <w:rPr>
                <w:rFonts w:hint="eastAsia"/>
                <w:color w:val="000000" w:themeColor="text1"/>
                <w:lang w:eastAsia="zh-CN"/>
                <w14:textFill>
                  <w14:solidFill>
                    <w14:schemeClr w14:val="tx1"/>
                  </w14:solidFill>
                </w14:textFill>
              </w:rPr>
              <w:t>，</w:t>
            </w:r>
            <w:r>
              <w:rPr>
                <w:rFonts w:hint="default"/>
                <w:color w:val="000000" w:themeColor="text1"/>
                <w14:textFill>
                  <w14:solidFill>
                    <w14:schemeClr w14:val="tx1"/>
                  </w14:solidFill>
                </w14:textFill>
              </w:rPr>
              <w:t>整治城区柳林河、幽芳河、高庙河、新店河四条排涝通道</w:t>
            </w:r>
            <w:r>
              <w:rPr>
                <w:rFonts w:hint="eastAsia"/>
                <w:color w:val="000000" w:themeColor="text1"/>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完善必要的排水防涝能力，增加项目区抵抗自然灾害的能力，改善项目区生态环境。</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工程建成之后，将解决管网服务范围内的路面积水问题，减少了城市内涝的问题，并改善区域内居民生活环境，对</w:t>
            </w:r>
            <w:r>
              <w:rPr>
                <w:rFonts w:hint="eastAsia" w:cs="Times New Roman" w:eastAsiaTheme="minorEastAsia"/>
                <w:color w:val="000000" w:themeColor="text1"/>
                <w:kern w:val="0"/>
                <w:sz w:val="24"/>
                <w:lang w:val="en-US" w:eastAsia="zh-CN"/>
                <w14:textFill>
                  <w14:solidFill>
                    <w14:schemeClr w14:val="tx1"/>
                  </w14:solidFill>
                </w14:textFill>
              </w:rPr>
              <w:t>霍山县</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城市建设的建设有着积极的意义。</w:t>
            </w:r>
          </w:p>
          <w:p w14:paraId="5A66E5A4">
            <w:pPr>
              <w:keepNext w:val="0"/>
              <w:keepLines w:val="0"/>
              <w:pageBreakBefore w:val="0"/>
              <w:widowControl/>
              <w:numPr>
                <w:ilvl w:val="0"/>
                <w:numId w:val="4"/>
              </w:numPr>
              <w:suppressLineNumbers w:val="0"/>
              <w:kinsoku/>
              <w:bidi w:val="0"/>
              <w:adjustRightInd/>
              <w:snapToGrid/>
              <w:spacing w:before="0" w:beforeAutospacing="0" w:after="0" w:afterAutospacing="0" w:line="360" w:lineRule="auto"/>
              <w:ind w:left="0" w:leftChars="0" w:right="0" w:rightChars="0" w:firstLine="482" w:firstLineChars="200"/>
              <w:jc w:val="left"/>
              <w:rPr>
                <w:rFonts w:hint="eastAsia"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运营期大气影响分析</w:t>
            </w:r>
          </w:p>
          <w:p w14:paraId="29B5B0B9">
            <w:pPr>
              <w:keepNext w:val="0"/>
              <w:keepLines w:val="0"/>
              <w:pageBreakBefore w:val="0"/>
              <w:widowControl/>
              <w:numPr>
                <w:ilvl w:val="0"/>
                <w:numId w:val="0"/>
              </w:numPr>
              <w:suppressLineNumbers w:val="0"/>
              <w:kinsoku/>
              <w:bidi w:val="0"/>
              <w:adjustRightInd/>
              <w:snapToGrid/>
              <w:spacing w:before="0" w:beforeAutospacing="0" w:after="0" w:afterAutospacing="0" w:line="360" w:lineRule="auto"/>
              <w:ind w:left="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本工程为排水防涝工程，运营期无废气污染源，工程实施后，对施工后的场地进行覆土绿化，可有效减少扬尘，从而减轻了扬尘对大气环境的影响。</w:t>
            </w:r>
          </w:p>
          <w:p w14:paraId="0421A8E0">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2、运营期对水环境影响分析</w:t>
            </w:r>
          </w:p>
          <w:p w14:paraId="4A8D5AD3">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本工程为排水防涝工程，运行期废水</w:t>
            </w:r>
            <w:r>
              <w:rPr>
                <w:rFonts w:hint="eastAsia" w:cs="Times New Roman" w:eastAsiaTheme="minorEastAsia"/>
                <w:color w:val="000000" w:themeColor="text1"/>
                <w:kern w:val="0"/>
                <w:sz w:val="24"/>
                <w:szCs w:val="24"/>
                <w:lang w:val="en-US" w:eastAsia="zh-CN" w:bidi="ar"/>
                <w14:textFill>
                  <w14:solidFill>
                    <w14:schemeClr w14:val="tx1"/>
                  </w14:solidFill>
                </w14:textFill>
              </w:rPr>
              <w:t>主要为收集的</w:t>
            </w:r>
            <w:r>
              <w:rPr>
                <w:rFonts w:hint="eastAsia"/>
                <w:color w:val="000000" w:themeColor="text1"/>
                <w:lang w:val="en-US" w:eastAsia="zh-CN"/>
                <w14:textFill>
                  <w14:solidFill>
                    <w14:schemeClr w14:val="tx1"/>
                  </w14:solidFill>
                </w14:textFill>
              </w:rPr>
              <w:t>沿河居民生活污水</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w:t>
            </w:r>
          </w:p>
          <w:p w14:paraId="04E896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运营期污水管网布置方案如下：</w:t>
            </w:r>
          </w:p>
          <w:p w14:paraId="637A3E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沿柳林河西侧布置De315主管，接沿河居民住宅污水，由南向北接入现状市政管道至污水厂；沿幽芳河西侧布置De315主管，接沿河居民住宅污水，由南向北接入现状市政管道至污水厂，幽芳河上游段因地形起伏及河道隔断，采用一体化设施集中处理及资源化利用分散处理方式，收集东土路、三斑路两岸居民生活污水。</w:t>
            </w:r>
          </w:p>
          <w:p w14:paraId="5DB48F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除纳管的部分村庄外，较为集中的村庄采用集中污水处理，集中污水处理设施选用净化槽工艺，对于村庄较为分散的采用资源化利用工艺，出水达到安徽省地方标准《农村生活污水处理设施水污染物排放标准》(DB34/3527 -2019)一级标准B标准。</w:t>
            </w:r>
          </w:p>
          <w:p w14:paraId="41247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集中收集模式是针对生活污水无法纳入城镇污水处理厂的居民区，将单个或多个居民的生活污水进行统一收集，再排至村级污水独立处理设施进行处理的污水收集模式。这种方式主要适用于居民较为集中，在</w:t>
            </w:r>
            <w:r>
              <w:rPr>
                <w:rFonts w:hint="default" w:ascii="Times New Roman" w:hAnsi="Times New Roman" w:eastAsia="宋体" w:cs="宋体"/>
                <w:color w:val="000000" w:themeColor="text1"/>
                <w:lang w:val="en-US" w:eastAsia="zh-CN"/>
                <w14:textFill>
                  <w14:solidFill>
                    <w14:schemeClr w14:val="tx1"/>
                  </w14:solidFill>
                </w14:textFill>
              </w:rPr>
              <w:t>15</w:t>
            </w:r>
            <w:r>
              <w:rPr>
                <w:rFonts w:hint="eastAsia" w:ascii="Times New Roman" w:hAnsi="Times New Roman" w:eastAsia="宋体" w:cs="宋体"/>
                <w:color w:val="000000" w:themeColor="text1"/>
                <w:lang w:val="en-US" w:eastAsia="zh-CN"/>
                <w14:textFill>
                  <w14:solidFill>
                    <w14:schemeClr w14:val="tx1"/>
                  </w14:solidFill>
                </w14:textFill>
              </w:rPr>
              <w:t>户以上的，地形条件有利于生活污水依靠重力统一流入污水处理设施的居民区。处理后废水排至人工</w:t>
            </w:r>
            <w:r>
              <w:rPr>
                <w:rFonts w:hint="eastAsia" w:cs="宋体"/>
                <w:color w:val="000000" w:themeColor="text1"/>
                <w:lang w:val="en-US" w:eastAsia="zh-CN"/>
                <w14:textFill>
                  <w14:solidFill>
                    <w14:schemeClr w14:val="tx1"/>
                  </w14:solidFill>
                </w14:textFill>
              </w:rPr>
              <w:t>塘</w:t>
            </w:r>
            <w:r>
              <w:rPr>
                <w:rFonts w:hint="eastAsia" w:ascii="Times New Roman" w:hAnsi="Times New Roman" w:eastAsia="宋体" w:cs="宋体"/>
                <w:color w:val="000000" w:themeColor="text1"/>
                <w:lang w:val="en-US" w:eastAsia="zh-CN"/>
                <w14:textFill>
                  <w14:solidFill>
                    <w14:schemeClr w14:val="tx1"/>
                  </w14:solidFill>
                </w14:textFill>
              </w:rPr>
              <w:t>。</w:t>
            </w:r>
          </w:p>
          <w:p w14:paraId="2180A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资源化利用模式指对单户或多户居民住户产生的生活污水就近处理，一般日处理能力小于</w:t>
            </w:r>
            <w:r>
              <w:rPr>
                <w:rFonts w:hint="default" w:ascii="Times New Roman" w:hAnsi="Times New Roman" w:eastAsia="宋体" w:cs="宋体"/>
                <w:color w:val="000000" w:themeColor="text1"/>
                <w:lang w:val="en-US" w:eastAsia="zh-CN"/>
                <w14:textFill>
                  <w14:solidFill>
                    <w14:schemeClr w14:val="tx1"/>
                  </w14:solidFill>
                </w14:textFill>
              </w:rPr>
              <w:t>2</w:t>
            </w:r>
            <w:r>
              <w:rPr>
                <w:rFonts w:hint="eastAsia" w:cs="宋体"/>
                <w:color w:val="000000" w:themeColor="text1"/>
                <w:lang w:val="en-US" w:eastAsia="zh-CN"/>
                <w14:textFill>
                  <w14:solidFill>
                    <w14:schemeClr w14:val="tx1"/>
                  </w14:solidFill>
                </w14:textFill>
              </w:rPr>
              <w:t>m</w:t>
            </w:r>
            <w:r>
              <w:rPr>
                <w:rFonts w:hint="default" w:ascii="Times New Roman" w:hAnsi="Times New Roman" w:eastAsia="宋体" w:cs="宋体"/>
                <w:color w:val="000000" w:themeColor="text1"/>
                <w:vertAlign w:val="superscript"/>
                <w:lang w:val="en-US" w:eastAsia="zh-CN"/>
                <w14:textFill>
                  <w14:solidFill>
                    <w14:schemeClr w14:val="tx1"/>
                  </w14:solidFill>
                </w14:textFill>
              </w:rPr>
              <w:t>3</w:t>
            </w:r>
            <w:r>
              <w:rPr>
                <w:rFonts w:hint="eastAsia" w:ascii="Times New Roman" w:hAnsi="Times New Roman" w:eastAsia="宋体" w:cs="宋体"/>
                <w:color w:val="000000" w:themeColor="text1"/>
                <w:lang w:val="en-US" w:eastAsia="zh-CN"/>
                <w14:textFill>
                  <w14:solidFill>
                    <w14:schemeClr w14:val="tx1"/>
                  </w14:solidFill>
                </w14:textFill>
              </w:rPr>
              <w:t>。这种方式主要适用于无法集中铺设管网或集中收集处理的居民区，住户较为分散、小于</w:t>
            </w:r>
            <w:r>
              <w:rPr>
                <w:rFonts w:hint="default" w:ascii="Times New Roman" w:hAnsi="Times New Roman" w:eastAsia="宋体" w:cs="宋体"/>
                <w:color w:val="000000" w:themeColor="text1"/>
                <w:lang w:val="en-US" w:eastAsia="zh-CN"/>
                <w14:textFill>
                  <w14:solidFill>
                    <w14:schemeClr w14:val="tx1"/>
                  </w14:solidFill>
                </w14:textFill>
              </w:rPr>
              <w:t>15</w:t>
            </w:r>
            <w:r>
              <w:rPr>
                <w:rFonts w:hint="eastAsia" w:ascii="Times New Roman" w:hAnsi="Times New Roman" w:eastAsia="宋体" w:cs="宋体"/>
                <w:color w:val="000000" w:themeColor="text1"/>
                <w:lang w:val="en-US" w:eastAsia="zh-CN"/>
                <w14:textFill>
                  <w14:solidFill>
                    <w14:schemeClr w14:val="tx1"/>
                  </w14:solidFill>
                </w14:textFill>
              </w:rPr>
              <w:t>户的，地形条件限制等因素难以统一收集、统一处理的乡镇地区特别是居住较为分散的山区、丘陵地带。收集污水经过处理后进行资源化利用，结合周边情况，可排入农灌沟进行农用回灌，或者进行林地漫灌。</w:t>
            </w:r>
            <w:r>
              <w:rPr>
                <w:rFonts w:hint="eastAsia"/>
                <w:color w:val="000000" w:themeColor="text1"/>
                <w:lang w:val="en-US" w:eastAsia="zh-CN"/>
                <w14:textFill>
                  <w14:solidFill>
                    <w14:schemeClr w14:val="tx1"/>
                  </w14:solidFill>
                </w14:textFill>
              </w:rPr>
              <w:t>运营期收集的生活污水处理后不直接排放入地表水体，对地表水影响较小。</w:t>
            </w:r>
          </w:p>
          <w:p w14:paraId="6AA93191">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3、运营期声环境影响分析</w:t>
            </w:r>
          </w:p>
          <w:p w14:paraId="04B871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项目运营后，主要噪声设备有排涝泵站设备，根据国内类比调查分析，本项目配套的水泵等动力设备，噪声源强约75~80dB。考虑到区域整体的协调性和降噪要求，泵房均设置在地下层内，经过墙体隔声和距离衰减后，噪声级可降至50dB。因此，地下层配套的水泵房运行噪声不会对周围环境造成明显的不利影响。并以灌木绿化屏蔽，可确保其运行噪声对周边居民无影响。</w:t>
            </w:r>
          </w:p>
          <w:p w14:paraId="0E13281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综上所述，项目营运期产生的噪声经过隔声、距离衰减及绿化带降噪后，噪声排放可以满足《工业企业厂界环境噪声排放标准》（GB12348-2008）</w:t>
            </w:r>
            <w:r>
              <w:rPr>
                <w:rFonts w:hint="eastAsia" w:cs="Times New Roman" w:eastAsiaTheme="minorEastAsia"/>
                <w:color w:val="000000" w:themeColor="text1"/>
                <w:kern w:val="0"/>
                <w:sz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类标准</w:t>
            </w:r>
            <w:r>
              <w:rPr>
                <w:rFonts w:hint="eastAsia" w:cs="Times New Roman" w:eastAsiaTheme="minorEastAsia"/>
                <w:color w:val="000000" w:themeColor="text1"/>
                <w:kern w:val="0"/>
                <w:sz w:val="24"/>
                <w:lang w:val="en-US" w:eastAsia="zh-CN"/>
                <w14:textFill>
                  <w14:solidFill>
                    <w14:schemeClr w14:val="tx1"/>
                  </w14:solidFill>
                </w14:textFill>
              </w:rPr>
              <w:t>。</w:t>
            </w:r>
          </w:p>
          <w:p w14:paraId="5E7B26E1">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pPr>
            <w:r>
              <w:rPr>
                <w:rFonts w:hint="eastAsia" w:cs="Times New Roman" w:eastAsiaTheme="minorEastAsia"/>
                <w:b/>
                <w:bCs/>
                <w:color w:val="000000" w:themeColor="text1"/>
                <w:kern w:val="0"/>
                <w:sz w:val="24"/>
                <w:lang w:val="en-US" w:eastAsia="zh-CN"/>
                <w14:textFill>
                  <w14:solidFill>
                    <w14:schemeClr w14:val="tx1"/>
                  </w14:solidFill>
                </w14:textFill>
              </w:rPr>
              <w:t>4、</w:t>
            </w:r>
            <w:r>
              <w:rPr>
                <w:rFonts w:hint="eastAsia"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运营期固废影响分析</w:t>
            </w:r>
          </w:p>
          <w:p w14:paraId="17A87C20">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本项目运营期产生的固废主要为一般固废和危废。</w:t>
            </w:r>
          </w:p>
          <w:p w14:paraId="3724ED23">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一般固废主要为截留杂物，其产生量受其排涝片区环境质量影响，加强片区城市环境卫生，可减少该部分垃圾量。拦截的垃圾量应打捞后由环卫部门运至垃圾填埋场处理。</w:t>
            </w:r>
          </w:p>
          <w:p w14:paraId="3101C554">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本项目运营期产生的危废主要为泵站、闸门检修产生的废矿物油及沾染物，按危险废物管理要求进行集中回收处理，不会对环境造成影响。</w:t>
            </w:r>
          </w:p>
          <w:p w14:paraId="4206F4B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kern w:val="0"/>
                <w:sz w:val="24"/>
                <w:lang w:val="en-US" w:eastAsia="zh-CN"/>
                <w14:textFill>
                  <w14:solidFill>
                    <w14:schemeClr w14:val="tx1"/>
                  </w14:solidFill>
                </w14:textFill>
              </w:rPr>
              <w:t>5、运营期生态环境影响分析</w:t>
            </w:r>
          </w:p>
          <w:p w14:paraId="16353D19">
            <w:pPr>
              <w:keepNext w:val="0"/>
              <w:keepLines w:val="0"/>
              <w:widowControl/>
              <w:suppressLineNumbers w:val="0"/>
              <w:spacing w:before="0" w:beforeAutospacing="0" w:after="0" w:afterAutospacing="0" w:line="360" w:lineRule="auto"/>
              <w:ind w:left="0" w:right="0"/>
              <w:jc w:val="left"/>
              <w:rPr>
                <w:rFonts w:hint="default"/>
                <w:color w:val="000000" w:themeColor="text1"/>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详见生态环境影响专项评价。</w:t>
            </w:r>
          </w:p>
          <w:p w14:paraId="448926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p>
        </w:tc>
      </w:tr>
      <w:tr w14:paraId="3754E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2" w:type="dxa"/>
            <w:tcBorders>
              <w:tl2br w:val="nil"/>
              <w:tr2bl w:val="nil"/>
            </w:tcBorders>
            <w:vAlign w:val="center"/>
          </w:tcPr>
          <w:p w14:paraId="5CD2D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bCs w:val="0"/>
                <w:color w:val="000000" w:themeColor="text1"/>
                <w:kern w:val="2"/>
                <w:sz w:val="24"/>
                <w:szCs w:val="24"/>
                <w:lang w:val="en-US" w:eastAsia="zh-CN" w:bidi="ar-SA"/>
                <w14:textFill>
                  <w14:solidFill>
                    <w14:schemeClr w14:val="tx1"/>
                  </w14:solidFill>
                </w14:textFill>
              </w:rPr>
              <w:t>选址选线环境合理性分析</w:t>
            </w:r>
          </w:p>
        </w:tc>
        <w:tc>
          <w:tcPr>
            <w:tcW w:w="8696" w:type="dxa"/>
            <w:tcBorders>
              <w:tl2br w:val="nil"/>
              <w:tr2bl w:val="nil"/>
            </w:tcBorders>
            <w:vAlign w:val="top"/>
          </w:tcPr>
          <w:p w14:paraId="51E6D717">
            <w:pPr>
              <w:keepNext w:val="0"/>
              <w:keepLines w:val="0"/>
              <w:pageBreakBefore w:val="0"/>
              <w:widowControl w:val="0"/>
              <w:suppressLineNumbers w:val="0"/>
              <w:kinsoku/>
              <w:wordWrap/>
              <w:overflowPunct w:val="0"/>
              <w:topLinePunct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1、项目选址合理性分析</w:t>
            </w:r>
          </w:p>
          <w:p w14:paraId="24AD5942">
            <w:pPr>
              <w:keepNext w:val="0"/>
              <w:keepLines w:val="0"/>
              <w:pageBreakBefore w:val="0"/>
              <w:widowControl w:val="0"/>
              <w:suppressLineNumbers w:val="0"/>
              <w:kinsoku/>
              <w:wordWrap/>
              <w:overflowPunct w:val="0"/>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lang w:eastAsia="zh-CN"/>
                <w14:textFill>
                  <w14:solidFill>
                    <w14:schemeClr w14:val="tx1"/>
                  </w14:solidFill>
                </w14:textFill>
              </w:rPr>
              <w:t>①环境制约因素</w:t>
            </w:r>
          </w:p>
          <w:p w14:paraId="6C410641">
            <w:pPr>
              <w:keepNext w:val="0"/>
              <w:keepLines w:val="0"/>
              <w:pageBreakBefore w:val="0"/>
              <w:widowControl w:val="0"/>
              <w:suppressLineNumbers w:val="0"/>
              <w:kinsoku/>
              <w:wordWrap/>
              <w:overflowPunct w:val="0"/>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本次</w:t>
            </w:r>
            <w:r>
              <w:rPr>
                <w:rFonts w:hint="default" w:ascii="Times New Roman" w:hAnsi="Times New Roman" w:cs="Times New Roman" w:eastAsiaTheme="minorEastAsia"/>
                <w:color w:val="000000" w:themeColor="text1"/>
                <w:kern w:val="0"/>
                <w:sz w:val="24"/>
                <w14:textFill>
                  <w14:solidFill>
                    <w14:schemeClr w14:val="tx1"/>
                  </w14:solidFill>
                </w14:textFill>
              </w:rPr>
              <w:t>工程</w:t>
            </w:r>
            <w:r>
              <w:rPr>
                <w:rFonts w:hint="default" w:ascii="Times New Roman" w:hAnsi="Times New Roman" w:cs="Times New Roman" w:eastAsiaTheme="minorEastAsia"/>
                <w:bCs/>
                <w:color w:val="000000" w:themeColor="text1"/>
                <w14:textFill>
                  <w14:solidFill>
                    <w14:schemeClr w14:val="tx1"/>
                  </w14:solidFill>
                </w14:textFill>
              </w:rPr>
              <w:t>通过项目实施可以加强</w:t>
            </w:r>
            <w:r>
              <w:rPr>
                <w:rFonts w:hint="eastAsia" w:ascii="Times New Roman" w:hAnsi="Times New Roman" w:cs="Times New Roman" w:eastAsiaTheme="minorEastAsia"/>
                <w:bCs/>
                <w:color w:val="000000" w:themeColor="text1"/>
                <w:lang w:eastAsia="zh-CN"/>
                <w14:textFill>
                  <w14:solidFill>
                    <w14:schemeClr w14:val="tx1"/>
                  </w14:solidFill>
                </w14:textFill>
              </w:rPr>
              <w:t>霍山</w:t>
            </w:r>
            <w:r>
              <w:rPr>
                <w:rFonts w:hint="default" w:ascii="Times New Roman" w:hAnsi="Times New Roman" w:cs="Times New Roman" w:eastAsiaTheme="minorEastAsia"/>
                <w:bCs/>
                <w:color w:val="000000" w:themeColor="text1"/>
                <w14:textFill>
                  <w14:solidFill>
                    <w14:schemeClr w14:val="tx1"/>
                  </w14:solidFill>
                </w14:textFill>
              </w:rPr>
              <w:t>县的生态建设，减缓地表径流、减少冲刷、防止水土流失、保持和恢复土地肥力；绿化工程的实施以恢复并扩大林地面积，涵养水源、调节气候、维护碳循环和保护生物多样性、增强</w:t>
            </w:r>
            <w:r>
              <w:rPr>
                <w:rFonts w:hint="eastAsia" w:ascii="Times New Roman" w:hAnsi="Times New Roman" w:cs="Times New Roman" w:eastAsiaTheme="minorEastAsia"/>
                <w:bCs/>
                <w:color w:val="000000" w:themeColor="text1"/>
                <w:lang w:eastAsia="zh-CN"/>
                <w14:textFill>
                  <w14:solidFill>
                    <w14:schemeClr w14:val="tx1"/>
                  </w14:solidFill>
                </w14:textFill>
              </w:rPr>
              <w:t>霍山</w:t>
            </w:r>
            <w:r>
              <w:rPr>
                <w:rFonts w:hint="default" w:ascii="Times New Roman" w:hAnsi="Times New Roman" w:cs="Times New Roman" w:eastAsiaTheme="minorEastAsia"/>
                <w:bCs/>
                <w:color w:val="000000" w:themeColor="text1"/>
                <w14:textFill>
                  <w14:solidFill>
                    <w14:schemeClr w14:val="tx1"/>
                  </w14:solidFill>
                </w14:textFill>
              </w:rPr>
              <w:t>县生态系统的自然性、完整性、稳定性，全面提升生态保护管理与合理利用水平。</w:t>
            </w:r>
          </w:p>
          <w:p w14:paraId="4E526108">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eastAsia="宋体" w:cs="Times New Roman"/>
                <w:color w:val="000000" w:themeColor="text1"/>
                <w:kern w:val="0"/>
                <w:highlight w:val="none"/>
                <w14:textFill>
                  <w14:solidFill>
                    <w14:schemeClr w14:val="tx1"/>
                  </w14:solidFill>
                </w14:textFill>
              </w:rPr>
              <w:t>项目红线范围及施工作业带不涉及国家及安徽省、六安市、霍山县划定的生态保护红线范围</w:t>
            </w:r>
            <w:r>
              <w:rPr>
                <w:rFonts w:hint="eastAsia" w:ascii="Times New Roman" w:hAnsi="Times New Roman" w:eastAsia="宋体" w:cs="Times New Roman"/>
                <w:color w:val="000000" w:themeColor="text1"/>
                <w:kern w:val="0"/>
                <w:highlight w:val="none"/>
                <w:lang w:eastAsia="zh-CN"/>
                <w14:textFill>
                  <w14:solidFill>
                    <w14:schemeClr w14:val="tx1"/>
                  </w14:solidFill>
                </w14:textFill>
              </w:rPr>
              <w:t>。</w:t>
            </w:r>
            <w:r>
              <w:rPr>
                <w:rFonts w:hint="default" w:ascii="Times New Roman" w:hAnsi="Times New Roman" w:cs="Times New Roman" w:eastAsiaTheme="minorEastAsia"/>
                <w:bCs/>
                <w:color w:val="000000" w:themeColor="text1"/>
                <w:lang w:eastAsia="zh-CN"/>
                <w14:textFill>
                  <w14:solidFill>
                    <w14:schemeClr w14:val="tx1"/>
                  </w14:solidFill>
                </w14:textFill>
              </w:rPr>
              <w:t>项目区</w:t>
            </w:r>
            <w:r>
              <w:rPr>
                <w:rFonts w:hint="default" w:ascii="Times New Roman" w:hAnsi="Times New Roman" w:eastAsia="宋体" w:cs="Times New Roman"/>
                <w:bCs/>
                <w:color w:val="000000" w:themeColor="text1"/>
                <w:highlight w:val="none"/>
                <w:lang w:val="en-US" w:eastAsia="zh-CN"/>
                <w14:textFill>
                  <w14:solidFill>
                    <w14:schemeClr w14:val="tx1"/>
                  </w14:solidFill>
                </w14:textFill>
              </w:rPr>
              <w:t>涉及国家和安徽省重点保护哺乳动物</w:t>
            </w:r>
            <w:r>
              <w:rPr>
                <w:rFonts w:hint="eastAsia" w:cs="Times New Roman"/>
                <w:bCs/>
                <w:color w:val="000000" w:themeColor="text1"/>
                <w:highlight w:val="none"/>
                <w:lang w:val="en-US" w:eastAsia="zh-CN"/>
                <w14:textFill>
                  <w14:solidFill>
                    <w14:schemeClr w14:val="tx1"/>
                  </w14:solidFill>
                </w14:textFill>
              </w:rPr>
              <w:t>主要为小灵猫，</w:t>
            </w:r>
            <w:r>
              <w:rPr>
                <w:rFonts w:hint="default" w:ascii="Times New Roman" w:hAnsi="Times New Roman" w:cs="Times New Roman" w:eastAsiaTheme="minorEastAsia"/>
                <w:bCs/>
                <w:color w:val="000000" w:themeColor="text1"/>
                <w14:textFill>
                  <w14:solidFill>
                    <w14:schemeClr w14:val="tx1"/>
                  </w14:solidFill>
                </w14:textFill>
              </w:rPr>
              <w:t>未发现</w:t>
            </w:r>
            <w:r>
              <w:rPr>
                <w:rFonts w:hint="eastAsia" w:cs="Times New Roman" w:eastAsiaTheme="minorEastAsia"/>
                <w:bCs/>
                <w:color w:val="000000" w:themeColor="text1"/>
                <w:lang w:eastAsia="zh-CN"/>
                <w14:textFill>
                  <w14:solidFill>
                    <w14:schemeClr w14:val="tx1"/>
                  </w14:solidFill>
                </w14:textFill>
              </w:rPr>
              <w:t>其他</w:t>
            </w:r>
            <w:r>
              <w:rPr>
                <w:rFonts w:hint="default" w:ascii="Times New Roman" w:hAnsi="Times New Roman" w:cs="Times New Roman" w:eastAsiaTheme="minorEastAsia"/>
                <w:bCs/>
                <w:color w:val="000000" w:themeColor="text1"/>
                <w14:textFill>
                  <w14:solidFill>
                    <w14:schemeClr w14:val="tx1"/>
                  </w14:solidFill>
                </w14:textFill>
              </w:rPr>
              <w:t>珍稀野生动植物和古树名木分布</w:t>
            </w:r>
            <w:r>
              <w:rPr>
                <w:rFonts w:hint="eastAsia" w:cs="Times New Roman" w:eastAsiaTheme="minorEastAsia"/>
                <w:bCs/>
                <w:color w:val="000000" w:themeColor="text1"/>
                <w:lang w:eastAsia="zh-CN"/>
                <w14:textFill>
                  <w14:solidFill>
                    <w14:schemeClr w14:val="tx1"/>
                  </w14:solidFill>
                </w14:textFill>
              </w:rPr>
              <w:t>。</w:t>
            </w:r>
            <w:r>
              <w:rPr>
                <w:rFonts w:hint="eastAsia" w:cs="Times New Roman"/>
                <w:bCs/>
                <w:color w:val="000000" w:themeColor="text1"/>
                <w:highlight w:val="none"/>
                <w:lang w:val="en-US" w:eastAsia="zh-CN"/>
                <w14:textFill>
                  <w14:solidFill>
                    <w14:schemeClr w14:val="tx1"/>
                  </w14:solidFill>
                </w14:textFill>
              </w:rPr>
              <w:t>小灵猫发现点位于西门畈村，西门畈村位于柳林河东侧位置约60m。</w:t>
            </w:r>
            <w:r>
              <w:rPr>
                <w:rFonts w:hint="eastAsia"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本项目为霍山县排水防涝能力提升项目，建设内容包括柳林河排涝通道整治，</w:t>
            </w:r>
            <w:r>
              <w:rPr>
                <w:rFonts w:hint="eastAsia"/>
                <w:color w:val="000000" w:themeColor="text1"/>
                <w:lang w:val="en-US" w:eastAsia="zh-CN"/>
                <w14:textFill>
                  <w14:solidFill>
                    <w14:schemeClr w14:val="tx1"/>
                  </w14:solidFill>
                </w14:textFill>
              </w:rPr>
              <w:t>选址唯一性，不可调整。</w:t>
            </w:r>
            <w:r>
              <w:rPr>
                <w:rFonts w:hint="eastAsia" w:cs="Times New Roman" w:eastAsiaTheme="minorEastAsia"/>
                <w:bCs/>
                <w:color w:val="000000" w:themeColor="text1"/>
                <w:lang w:eastAsia="zh-CN"/>
                <w14:textFill>
                  <w14:solidFill>
                    <w14:schemeClr w14:val="tx1"/>
                  </w14:solidFill>
                </w14:textFill>
              </w:rPr>
              <w:t>且施工期较短，</w:t>
            </w:r>
            <w:r>
              <w:rPr>
                <w:rFonts w:hint="default" w:ascii="Times New Roman" w:hAnsi="Times New Roman" w:cs="Times New Roman" w:eastAsiaTheme="minorEastAsia"/>
                <w:bCs/>
                <w:color w:val="000000" w:themeColor="text1"/>
                <w14:textFill>
                  <w14:solidFill>
                    <w14:schemeClr w14:val="tx1"/>
                  </w14:solidFill>
                </w14:textFill>
              </w:rPr>
              <w:t>施工活动对周围环境的影响也较小</w:t>
            </w:r>
            <w:r>
              <w:rPr>
                <w:rFonts w:hint="default" w:ascii="Times New Roman" w:hAnsi="Times New Roman" w:cs="Times New Roman" w:eastAsiaTheme="minorEastAsia"/>
                <w:bCs/>
                <w:color w:val="000000" w:themeColor="text1"/>
                <w:lang w:eastAsia="zh-CN"/>
                <w14:textFill>
                  <w14:solidFill>
                    <w14:schemeClr w14:val="tx1"/>
                  </w14:solidFill>
                </w14:textFill>
              </w:rPr>
              <w:t>，</w:t>
            </w:r>
            <w:r>
              <w:rPr>
                <w:rFonts w:hint="default" w:ascii="Times New Roman" w:hAnsi="Times New Roman" w:cs="Times New Roman" w:eastAsiaTheme="minorEastAsia"/>
                <w:bCs/>
                <w:color w:val="000000" w:themeColor="text1"/>
                <w14:textFill>
                  <w14:solidFill>
                    <w14:schemeClr w14:val="tx1"/>
                  </w14:solidFill>
                </w14:textFill>
              </w:rPr>
              <w:t>项目建设对地表</w:t>
            </w:r>
            <w:r>
              <w:rPr>
                <w:rFonts w:hint="eastAsia" w:cs="Times New Roman" w:eastAsiaTheme="minorEastAsia"/>
                <w:bCs/>
                <w:color w:val="000000" w:themeColor="text1"/>
                <w:lang w:eastAsia="zh-CN"/>
                <w14:textFill>
                  <w14:solidFill>
                    <w14:schemeClr w14:val="tx1"/>
                  </w14:solidFill>
                </w14:textFill>
              </w:rPr>
              <w:t>动物、</w:t>
            </w:r>
            <w:r>
              <w:rPr>
                <w:rFonts w:hint="default" w:ascii="Times New Roman" w:hAnsi="Times New Roman" w:cs="Times New Roman" w:eastAsiaTheme="minorEastAsia"/>
                <w:bCs/>
                <w:color w:val="000000" w:themeColor="text1"/>
                <w14:textFill>
                  <w14:solidFill>
                    <w14:schemeClr w14:val="tx1"/>
                  </w14:solidFill>
                </w14:textFill>
              </w:rPr>
              <w:t>植被的破坏较小</w:t>
            </w:r>
            <w:r>
              <w:rPr>
                <w:rFonts w:hint="default" w:ascii="Times New Roman" w:hAnsi="Times New Roman" w:cs="Times New Roman" w:eastAsiaTheme="minorEastAsia"/>
                <w:bCs/>
                <w:color w:val="000000" w:themeColor="text1"/>
                <w:lang w:eastAsia="zh-CN"/>
                <w14:textFill>
                  <w14:solidFill>
                    <w14:schemeClr w14:val="tx1"/>
                  </w14:solidFill>
                </w14:textFill>
              </w:rPr>
              <w:t>。</w:t>
            </w:r>
          </w:p>
          <w:p w14:paraId="23409C41">
            <w:pPr>
              <w:keepNext w:val="0"/>
              <w:keepLines w:val="0"/>
              <w:pageBreakBefore w:val="0"/>
              <w:widowControl w:val="0"/>
              <w:suppressLineNumbers w:val="0"/>
              <w:kinsoku/>
              <w:wordWrap/>
              <w:overflowPunct w:val="0"/>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szCs w:val="32"/>
                <w14:textFill>
                  <w14:solidFill>
                    <w14:schemeClr w14:val="tx1"/>
                  </w14:solidFill>
                </w14:textFill>
              </w:rPr>
              <w:t>综上所述，从环境保护角度分析</w:t>
            </w:r>
            <w:r>
              <w:rPr>
                <w:rFonts w:hint="default" w:ascii="Times New Roman" w:hAnsi="Times New Roman" w:cs="Times New Roman" w:eastAsiaTheme="minorEastAsia"/>
                <w:color w:val="000000" w:themeColor="text1"/>
                <w:sz w:val="24"/>
                <w:szCs w:val="32"/>
                <w:lang w:eastAsia="zh-CN"/>
                <w14:textFill>
                  <w14:solidFill>
                    <w14:schemeClr w14:val="tx1"/>
                  </w14:solidFill>
                </w14:textFill>
              </w:rPr>
              <w:t>，</w:t>
            </w:r>
            <w:r>
              <w:rPr>
                <w:rFonts w:hint="default" w:ascii="Times New Roman" w:hAnsi="Times New Roman" w:cs="Times New Roman" w:eastAsiaTheme="minorEastAsia"/>
                <w:bCs/>
                <w:color w:val="000000" w:themeColor="text1"/>
                <w14:textFill>
                  <w14:solidFill>
                    <w14:schemeClr w14:val="tx1"/>
                  </w14:solidFill>
                </w14:textFill>
              </w:rPr>
              <w:t>选址唯一。</w:t>
            </w:r>
          </w:p>
          <w:p w14:paraId="3D9F6507">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lang w:eastAsia="zh-CN"/>
                <w14:textFill>
                  <w14:solidFill>
                    <w14:schemeClr w14:val="tx1"/>
                  </w14:solidFill>
                </w14:textFill>
              </w:rPr>
              <w:t>②环境影响程度</w:t>
            </w:r>
          </w:p>
          <w:p w14:paraId="7A4C7C5F">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bCs/>
                <w:color w:val="000000" w:themeColor="text1"/>
                <w14:textFill>
                  <w14:solidFill>
                    <w14:schemeClr w14:val="tx1"/>
                  </w14:solidFill>
                </w14:textFill>
              </w:rPr>
              <w:t>本项目施工过程中产生一定的污染物，其主要表现在施工期</w:t>
            </w:r>
            <w:r>
              <w:rPr>
                <w:rFonts w:hint="eastAsia"/>
                <w:color w:val="000000" w:themeColor="text1"/>
                <w:lang w:val="en-US" w:eastAsia="zh-CN"/>
                <w14:textFill>
                  <w14:solidFill>
                    <w14:schemeClr w14:val="tx1"/>
                  </w14:solidFill>
                </w14:textFill>
              </w:rPr>
              <w:t>开挖、疏浚等行为</w:t>
            </w:r>
            <w:r>
              <w:rPr>
                <w:rFonts w:hint="default" w:ascii="Times New Roman" w:hAnsi="Times New Roman" w:cs="Times New Roman" w:eastAsiaTheme="minorEastAsia"/>
                <w:bCs/>
                <w:color w:val="000000" w:themeColor="text1"/>
                <w14:textFill>
                  <w14:solidFill>
                    <w14:schemeClr w14:val="tx1"/>
                  </w14:solidFill>
                </w14:textFill>
              </w:rPr>
              <w:t>。施工期</w:t>
            </w:r>
            <w:r>
              <w:rPr>
                <w:rFonts w:hint="eastAsia" w:ascii="Times New Roman" w:hAnsi="Times New Roman" w:cs="Times New Roman" w:eastAsiaTheme="minorEastAsia"/>
                <w:bCs/>
                <w:color w:val="000000" w:themeColor="text1"/>
                <w:lang w:eastAsia="zh-CN"/>
                <w14:textFill>
                  <w14:solidFill>
                    <w14:schemeClr w14:val="tx1"/>
                  </w14:solidFill>
                </w14:textFill>
              </w:rPr>
              <w:t>通过减少</w:t>
            </w:r>
            <w:r>
              <w:rPr>
                <w:rFonts w:hint="eastAsia"/>
                <w:color w:val="000000" w:themeColor="text1"/>
                <w:lang w:val="en-US" w:eastAsia="zh-CN"/>
                <w14:textFill>
                  <w14:solidFill>
                    <w14:schemeClr w14:val="tx1"/>
                  </w14:solidFill>
                </w14:textFill>
              </w:rPr>
              <w:t>开挖面积、合理安排疏浚工期，减少扬尘产生；</w:t>
            </w:r>
            <w:r>
              <w:rPr>
                <w:rFonts w:hint="default" w:ascii="Times New Roman" w:hAnsi="Times New Roman" w:cs="Times New Roman" w:eastAsiaTheme="minorEastAsia"/>
                <w:bCs/>
                <w:color w:val="000000" w:themeColor="text1"/>
                <w14:textFill>
                  <w14:solidFill>
                    <w14:schemeClr w14:val="tx1"/>
                  </w14:solidFill>
                </w14:textFill>
              </w:rPr>
              <w:t>施工扬尘采取对施工现场采取洒水、铺装防尘网、竣工后要及时清理施工场地；加强施工机械的使用管理和保养维修，合理降低使用次数，提高机械使用效率，以降低运输车辆及作业机械尾气排放。机械设备及汽车轮胎冲洗废水</w:t>
            </w:r>
            <w:r>
              <w:rPr>
                <w:rFonts w:hint="default" w:ascii="Times New Roman" w:hAnsi="Times New Roman" w:cs="Times New Roman" w:eastAsiaTheme="minorEastAsia"/>
                <w:bCs/>
                <w:color w:val="000000" w:themeColor="text1"/>
                <w:lang w:eastAsia="zh-CN"/>
                <w14:textFill>
                  <w14:solidFill>
                    <w14:schemeClr w14:val="tx1"/>
                  </w14:solidFill>
                </w14:textFill>
              </w:rPr>
              <w:t>沉淀池</w:t>
            </w:r>
            <w:r>
              <w:rPr>
                <w:rFonts w:hint="default" w:ascii="Times New Roman" w:hAnsi="Times New Roman" w:cs="Times New Roman" w:eastAsiaTheme="minorEastAsia"/>
                <w:bCs/>
                <w:color w:val="000000" w:themeColor="text1"/>
                <w14:textFill>
                  <w14:solidFill>
                    <w14:schemeClr w14:val="tx1"/>
                  </w14:solidFill>
                </w14:textFill>
              </w:rPr>
              <w:t>1座5</w:t>
            </w:r>
            <w:r>
              <w:rPr>
                <w:rFonts w:hint="eastAsia" w:cs="Times New Roman" w:eastAsiaTheme="minorEastAsia"/>
                <w:bCs/>
                <w:color w:val="000000" w:themeColor="text1"/>
                <w:lang w:eastAsia="zh-CN"/>
                <w14:textFill>
                  <w14:solidFill>
                    <w14:schemeClr w14:val="tx1"/>
                  </w14:solidFill>
                </w14:textFill>
              </w:rPr>
              <w:t>m</w:t>
            </w:r>
            <w:r>
              <w:rPr>
                <w:rFonts w:hint="default" w:ascii="Times New Roman" w:hAnsi="Times New Roman" w:cs="Times New Roman" w:eastAsiaTheme="minorEastAsia"/>
                <w:bCs/>
                <w:color w:val="000000" w:themeColor="text1"/>
                <w:vertAlign w:val="superscript"/>
                <w14:textFill>
                  <w14:solidFill>
                    <w14:schemeClr w14:val="tx1"/>
                  </w14:solidFill>
                </w14:textFill>
              </w:rPr>
              <w:t>3</w:t>
            </w:r>
            <w:r>
              <w:rPr>
                <w:rFonts w:hint="default" w:ascii="Times New Roman" w:hAnsi="Times New Roman" w:cs="Times New Roman" w:eastAsiaTheme="minorEastAsia"/>
                <w:bCs/>
                <w:color w:val="000000" w:themeColor="text1"/>
                <w14:textFill>
                  <w14:solidFill>
                    <w14:schemeClr w14:val="tx1"/>
                  </w14:solidFill>
                </w14:textFill>
              </w:rPr>
              <w:t>临时沉淀处理后回用或泼洒抑尘</w:t>
            </w:r>
            <w:r>
              <w:rPr>
                <w:rFonts w:hint="default" w:ascii="Times New Roman" w:hAnsi="Times New Roman" w:cs="Times New Roman" w:eastAsiaTheme="minorEastAsia"/>
                <w:color w:val="000000" w:themeColor="text1"/>
                <w14:textFill>
                  <w14:solidFill>
                    <w14:schemeClr w14:val="tx1"/>
                  </w14:solidFill>
                </w14:textFill>
              </w:rPr>
              <w:t>；施工人员生活污水</w:t>
            </w:r>
            <w:r>
              <w:rPr>
                <w:rFonts w:hint="default" w:ascii="Times New Roman" w:hAnsi="Times New Roman" w:cs="Times New Roman" w:eastAsiaTheme="minorEastAsia"/>
                <w:color w:val="000000" w:themeColor="text1"/>
                <w:lang w:eastAsia="zh-CN"/>
                <w14:textFill>
                  <w14:solidFill>
                    <w14:schemeClr w14:val="tx1"/>
                  </w14:solidFill>
                </w14:textFill>
              </w:rPr>
              <w:t>依托</w:t>
            </w:r>
            <w:r>
              <w:rPr>
                <w:rFonts w:hint="default" w:ascii="Times New Roman" w:hAnsi="Times New Roman" w:cs="Times New Roman" w:eastAsiaTheme="minorEastAsia"/>
                <w:color w:val="000000" w:themeColor="text1"/>
                <w:sz w:val="24"/>
                <w:highlight w:val="none"/>
                <w14:textFill>
                  <w14:solidFill>
                    <w14:schemeClr w14:val="tx1"/>
                  </w14:solidFill>
                </w14:textFill>
              </w:rPr>
              <w:t>附近村民设施</w:t>
            </w:r>
            <w:r>
              <w:rPr>
                <w:rFonts w:hint="default" w:ascii="Times New Roman" w:hAnsi="Times New Roman" w:cs="Times New Roman" w:eastAsiaTheme="minorEastAsia"/>
                <w:bCs/>
                <w:color w:val="000000" w:themeColor="text1"/>
                <w14:textFill>
                  <w14:solidFill>
                    <w14:schemeClr w14:val="tx1"/>
                  </w14:solidFill>
                </w14:textFill>
              </w:rPr>
              <w:t>；采用低噪声设备、对机械、设备加强定期检修、养护，加强施工管理等措施降低噪声对周围环境的影响；施工期固废合理处置。因此，项目建设对周围环境影响较小</w:t>
            </w:r>
            <w:r>
              <w:rPr>
                <w:rFonts w:hint="default" w:ascii="Times New Roman" w:hAnsi="Times New Roman" w:cs="Times New Roman" w:eastAsiaTheme="minorEastAsia"/>
                <w:bCs/>
                <w:color w:val="000000" w:themeColor="text1"/>
                <w:kern w:val="0"/>
                <w14:textFill>
                  <w14:solidFill>
                    <w14:schemeClr w14:val="tx1"/>
                  </w14:solidFill>
                </w14:textFill>
              </w:rPr>
              <w:t>。</w:t>
            </w:r>
          </w:p>
          <w:p w14:paraId="2F305258">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kern w:val="0"/>
                <w:sz w:val="24"/>
                <w14:textFill>
                  <w14:solidFill>
                    <w14:schemeClr w14:val="tx1"/>
                  </w14:solidFill>
                </w14:textFill>
              </w:rPr>
              <w:t>综上所述，本项目选址合理、可行。</w:t>
            </w:r>
          </w:p>
          <w:p w14:paraId="166B8D5E">
            <w:pPr>
              <w:keepNext w:val="0"/>
              <w:keepLines w:val="0"/>
              <w:pageBreakBefore w:val="0"/>
              <w:widowControl w:val="0"/>
              <w:suppressLineNumbers w:val="0"/>
              <w:kinsoku/>
              <w:wordWrap/>
              <w:overflowPunct w:val="0"/>
              <w:topLinePunct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2、施工</w:t>
            </w:r>
            <w:r>
              <w:rPr>
                <w:rFonts w:hint="default" w:ascii="Times New Roman" w:hAnsi="Times New Roman" w:cs="Times New Roman" w:eastAsiaTheme="minorEastAsia"/>
                <w:b/>
                <w:color w:val="000000" w:themeColor="text1"/>
                <w:kern w:val="0"/>
                <w:sz w:val="24"/>
                <w:lang w:eastAsia="zh-CN"/>
                <w14:textFill>
                  <w14:solidFill>
                    <w14:schemeClr w14:val="tx1"/>
                  </w14:solidFill>
                </w14:textFill>
              </w:rPr>
              <w:t>区</w:t>
            </w:r>
            <w:r>
              <w:rPr>
                <w:rFonts w:hint="default" w:ascii="Times New Roman" w:hAnsi="Times New Roman" w:cs="Times New Roman" w:eastAsiaTheme="minorEastAsia"/>
                <w:b/>
                <w:color w:val="000000" w:themeColor="text1"/>
                <w:kern w:val="0"/>
                <w:sz w:val="24"/>
                <w14:textFill>
                  <w14:solidFill>
                    <w14:schemeClr w14:val="tx1"/>
                  </w14:solidFill>
                </w14:textFill>
              </w:rPr>
              <w:t>选址合理性分析</w:t>
            </w:r>
          </w:p>
          <w:p w14:paraId="1BDB5E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sz w:val="24"/>
                <w14:textFill>
                  <w14:solidFill>
                    <w14:schemeClr w14:val="tx1"/>
                  </w14:solidFill>
                </w14:textFill>
              </w:rPr>
            </w:pPr>
            <w:r>
              <w:rPr>
                <w:rFonts w:hint="default" w:ascii="Times New Roman" w:hAnsi="Times New Roman" w:cs="Times New Roman" w:eastAsiaTheme="minorEastAsia"/>
                <w:bCs/>
                <w:color w:val="000000" w:themeColor="text1"/>
                <w:sz w:val="24"/>
                <w14:textFill>
                  <w14:solidFill>
                    <w14:schemeClr w14:val="tx1"/>
                  </w14:solidFill>
                </w14:textFill>
              </w:rPr>
              <w:t>根据实施方案本项目无需设置取土场，弃土、弃渣场</w:t>
            </w:r>
            <w:r>
              <w:rPr>
                <w:rFonts w:hint="eastAsia" w:cs="Times New Roman" w:eastAsiaTheme="minorEastAsia"/>
                <w:bCs/>
                <w:color w:val="000000" w:themeColor="text1"/>
                <w:sz w:val="24"/>
                <w:lang w:eastAsia="zh-CN"/>
                <w14:textFill>
                  <w14:solidFill>
                    <w14:schemeClr w14:val="tx1"/>
                  </w14:solidFill>
                </w14:textFill>
              </w:rPr>
              <w:t>，</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余方土由县矿产公司统一运输安置。</w:t>
            </w:r>
            <w:r>
              <w:rPr>
                <w:rFonts w:hint="default" w:ascii="Times New Roman" w:hAnsi="Times New Roman" w:cs="Times New Roman" w:eastAsiaTheme="minorEastAsia"/>
                <w:color w:val="000000" w:themeColor="text1"/>
                <w:kern w:val="0"/>
                <w:sz w:val="24"/>
                <w:lang w:bidi="ar"/>
                <w14:textFill>
                  <w14:solidFill>
                    <w14:schemeClr w14:val="tx1"/>
                  </w14:solidFill>
                </w14:textFill>
              </w:rPr>
              <w:t>本工程</w:t>
            </w:r>
            <w:r>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t>排洪</w:t>
            </w:r>
            <w:r>
              <w:rPr>
                <w:rFonts w:hint="default" w:ascii="Times New Roman" w:hAnsi="Times New Roman" w:cs="Times New Roman" w:eastAsiaTheme="minorEastAsia"/>
                <w:color w:val="000000" w:themeColor="text1"/>
                <w:kern w:val="0"/>
                <w:sz w:val="24"/>
                <w:lang w:bidi="ar"/>
                <w14:textFill>
                  <w14:solidFill>
                    <w14:schemeClr w14:val="tx1"/>
                  </w14:solidFill>
                </w14:textFill>
              </w:rPr>
              <w:t>沟为原址翻建，无新增永久征地。施工</w:t>
            </w:r>
            <w:r>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t>区</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租用沟道附近闲置房屋</w:t>
            </w:r>
            <w:r>
              <w:rPr>
                <w:rFonts w:hint="default" w:ascii="Times New Roman" w:hAnsi="Times New Roman" w:cs="Times New Roman" w:eastAsiaTheme="minorEastAsia"/>
                <w:color w:val="000000" w:themeColor="text1"/>
                <w:kern w:val="0"/>
                <w:sz w:val="24"/>
                <w:lang w:bidi="ar"/>
                <w14:textFill>
                  <w14:solidFill>
                    <w14:schemeClr w14:val="tx1"/>
                  </w14:solidFill>
                </w14:textFill>
              </w:rPr>
              <w:t>，施工</w:t>
            </w:r>
            <w:r>
              <w:rPr>
                <w:rFonts w:hint="default" w:ascii="Times New Roman" w:hAnsi="Times New Roman" w:cs="Times New Roman" w:eastAsiaTheme="minorEastAsia"/>
                <w:color w:val="000000" w:themeColor="text1"/>
                <w:kern w:val="0"/>
                <w:sz w:val="24"/>
                <w:lang w:eastAsia="zh-CN" w:bidi="ar"/>
                <w14:textFill>
                  <w14:solidFill>
                    <w14:schemeClr w14:val="tx1"/>
                  </w14:solidFill>
                </w14:textFill>
              </w:rPr>
              <w:t>区</w:t>
            </w:r>
            <w:r>
              <w:rPr>
                <w:rFonts w:hint="default" w:ascii="Times New Roman" w:hAnsi="Times New Roman" w:cs="Times New Roman" w:eastAsiaTheme="minorEastAsia"/>
                <w:color w:val="000000" w:themeColor="text1"/>
                <w:kern w:val="0"/>
                <w:sz w:val="24"/>
                <w:lang w:bidi="ar"/>
                <w14:textFill>
                  <w14:solidFill>
                    <w14:schemeClr w14:val="tx1"/>
                  </w14:solidFill>
                </w14:textFill>
              </w:rPr>
              <w:t>主要</w:t>
            </w:r>
            <w:r>
              <w:rPr>
                <w:rFonts w:hint="default" w:ascii="Times New Roman" w:hAnsi="Times New Roman" w:cs="Times New Roman" w:eastAsiaTheme="minorEastAsia"/>
                <w:color w:val="000000" w:themeColor="text1"/>
                <w:kern w:val="0"/>
                <w:sz w:val="24"/>
                <w:lang w:val="en-US" w:eastAsia="zh-CN" w:bidi="ar"/>
                <w14:textFill>
                  <w14:solidFill>
                    <w14:schemeClr w14:val="tx1"/>
                  </w14:solidFill>
                </w14:textFill>
              </w:rPr>
              <w:t>用于</w:t>
            </w:r>
            <w:r>
              <w:rPr>
                <w:rFonts w:hint="default" w:ascii="Times New Roman" w:hAnsi="Times New Roman" w:cs="Times New Roman" w:eastAsiaTheme="minorEastAsia"/>
                <w:color w:val="000000" w:themeColor="text1"/>
                <w:kern w:val="0"/>
                <w:sz w:val="24"/>
                <w:lang w:bidi="ar"/>
                <w14:textFill>
                  <w14:solidFill>
                    <w14:schemeClr w14:val="tx1"/>
                  </w14:solidFill>
                </w14:textFill>
              </w:rPr>
              <w:t>机械设备停放、块石等建</w:t>
            </w:r>
            <w:r>
              <w:rPr>
                <w:rFonts w:hint="default" w:ascii="Times New Roman" w:hAnsi="Times New Roman" w:cs="Times New Roman" w:eastAsiaTheme="minorEastAsia"/>
                <w:bCs/>
                <w:color w:val="000000" w:themeColor="text1"/>
                <w:sz w:val="24"/>
                <w14:textFill>
                  <w14:solidFill>
                    <w14:schemeClr w14:val="tx1"/>
                  </w14:solidFill>
                </w14:textFill>
              </w:rPr>
              <w:t>筑材料堆放。施工营地不涉及地表开挖等活动，仅为简单的材料堆放，不会对施工营地内土壤结构产生影响</w:t>
            </w:r>
            <w:r>
              <w:rPr>
                <w:rFonts w:hint="default" w:ascii="Times New Roman" w:hAnsi="Times New Roman" w:cs="Times New Roman" w:eastAsiaTheme="minorEastAsia"/>
                <w:bCs/>
                <w:color w:val="000000" w:themeColor="text1"/>
                <w:sz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14:textFill>
                  <w14:solidFill>
                    <w14:schemeClr w14:val="tx1"/>
                  </w14:solidFill>
                </w14:textFill>
              </w:rPr>
              <w:t>本项目施工布置基本合理</w:t>
            </w:r>
            <w:r>
              <w:rPr>
                <w:rFonts w:hint="default" w:ascii="Times New Roman" w:hAnsi="Times New Roman" w:cs="Times New Roman" w:eastAsiaTheme="minorEastAsia"/>
                <w:bCs/>
                <w:color w:val="000000" w:themeColor="text1"/>
                <w:sz w:val="24"/>
                <w14:textFill>
                  <w14:solidFill>
                    <w14:schemeClr w14:val="tx1"/>
                  </w14:solidFill>
                </w14:textFill>
              </w:rPr>
              <w:t>。</w:t>
            </w:r>
          </w:p>
          <w:p w14:paraId="01C5BF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bCs/>
                <w:color w:val="000000" w:themeColor="text1"/>
                <w:sz w:val="24"/>
                <w:lang w:val="en-US" w:eastAsia="zh-CN"/>
                <w14:textFill>
                  <w14:solidFill>
                    <w14:schemeClr w14:val="tx1"/>
                  </w14:solidFill>
                </w14:textFill>
              </w:rPr>
              <w:t>本项目大临工程选址选线、施工布置等不占用自然保护区、风景名胜区、世界文化和自然遗产地、生态保护红线以及其他法律法规禁止占用的区域。本项目施工期落实相关环境保护措施条件下，周边环境影响。项目建成运行后经济效益、环保效益和社会效益显著。</w:t>
            </w:r>
          </w:p>
          <w:p w14:paraId="5EB8DD17">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7B2ACBAF">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06F8E13A">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4BF5D42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4C37EDE9">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p w14:paraId="53AAC4CA">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bCs/>
                <w:color w:val="000000" w:themeColor="text1"/>
                <w:sz w:val="24"/>
                <w:lang w:val="en-US" w:eastAsia="zh-CN"/>
                <w14:textFill>
                  <w14:solidFill>
                    <w14:schemeClr w14:val="tx1"/>
                  </w14:solidFill>
                </w14:textFill>
              </w:rPr>
            </w:pPr>
          </w:p>
        </w:tc>
      </w:tr>
    </w:tbl>
    <w:p w14:paraId="38F5819B">
      <w:pPr>
        <w:pageBreakBefore w:val="0"/>
        <w:kinsoku/>
        <w:bidi w:val="0"/>
        <w:adjustRightInd/>
        <w:snapToGrid/>
        <w:spacing w:beforeAutospacing="0" w:afterAutospacing="0" w:line="360" w:lineRule="auto"/>
        <w:ind w:left="0" w:leftChars="0" w:right="0" w:rightChars="0"/>
        <w:jc w:val="center"/>
        <w:outlineLvl w:val="0"/>
        <w:rPr>
          <w:rFonts w:hint="default" w:ascii="Times New Roman" w:hAnsi="Times New Roman" w:cs="Times New Roman" w:eastAsiaTheme="minorEastAsia"/>
          <w:snapToGrid w:val="0"/>
          <w:color w:val="000000" w:themeColor="text1"/>
          <w:sz w:val="30"/>
          <w:szCs w:val="30"/>
          <w14:textFill>
            <w14:solidFill>
              <w14:schemeClr w14:val="tx1"/>
            </w14:solidFill>
          </w14:textFill>
        </w:rPr>
        <w:sectPr>
          <w:pgSz w:w="11907" w:h="16840"/>
          <w:pgMar w:top="1440" w:right="1800" w:bottom="1440" w:left="1800" w:header="851" w:footer="107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14766B78">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02" w:firstLineChars="200"/>
        <w:jc w:val="center"/>
        <w:textAlignment w:val="auto"/>
        <w:outlineLvl w:val="0"/>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五、主要生态环境保护措施</w:t>
      </w:r>
    </w:p>
    <w:tbl>
      <w:tblPr>
        <w:tblStyle w:val="25"/>
        <w:tblW w:w="909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8371"/>
      </w:tblGrid>
      <w:tr w14:paraId="23549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tcBorders>
              <w:tl2br w:val="nil"/>
              <w:tr2bl w:val="nil"/>
            </w:tcBorders>
            <w:tcMar>
              <w:left w:w="28" w:type="dxa"/>
              <w:right w:w="28" w:type="dxa"/>
            </w:tcMar>
            <w:vAlign w:val="center"/>
          </w:tcPr>
          <w:p w14:paraId="13093F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sz w:val="24"/>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14:textFill>
                  <w14:solidFill>
                    <w14:schemeClr w14:val="tx1"/>
                  </w14:solidFill>
                </w14:textFill>
              </w:rPr>
              <w:t>施工期生态环境保护措施</w:t>
            </w:r>
          </w:p>
        </w:tc>
        <w:tc>
          <w:tcPr>
            <w:tcW w:w="8371" w:type="dxa"/>
            <w:tcBorders>
              <w:tl2br w:val="nil"/>
              <w:tr2bl w:val="nil"/>
            </w:tcBorders>
            <w:vAlign w:val="top"/>
          </w:tcPr>
          <w:p w14:paraId="15A80CBC">
            <w:pPr>
              <w:keepNext w:val="0"/>
              <w:keepLines w:val="0"/>
              <w:pageBreakBefore w:val="0"/>
              <w:widowControl w:val="0"/>
              <w:numPr>
                <w:ilvl w:val="0"/>
                <w:numId w:val="5"/>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522" w:firstLineChars="200"/>
              <w:textAlignment w:val="auto"/>
              <w:rPr>
                <w:rFonts w:hint="default" w:ascii="Times New Roman" w:hAnsi="Times New Roman" w:cs="Times New Roman" w:eastAsiaTheme="minorEastAsia"/>
                <w:b/>
                <w:bCs/>
                <w:color w:val="000000" w:themeColor="text1"/>
                <w:spacing w:val="10"/>
                <w:sz w:val="24"/>
                <w14:textFill>
                  <w14:solidFill>
                    <w14:schemeClr w14:val="tx1"/>
                  </w14:solidFill>
                </w14:textFill>
              </w:rPr>
            </w:pPr>
            <w:r>
              <w:rPr>
                <w:rFonts w:hint="default" w:ascii="Times New Roman" w:hAnsi="Times New Roman" w:cs="Times New Roman" w:eastAsiaTheme="minorEastAsia"/>
                <w:b/>
                <w:bCs/>
                <w:color w:val="000000" w:themeColor="text1"/>
                <w:spacing w:val="10"/>
                <w:sz w:val="24"/>
                <w14:textFill>
                  <w14:solidFill>
                    <w14:schemeClr w14:val="tx1"/>
                  </w14:solidFill>
                </w14:textFill>
              </w:rPr>
              <w:t>生态环境</w:t>
            </w:r>
            <w:r>
              <w:rPr>
                <w:rFonts w:hint="default" w:ascii="Times New Roman" w:hAnsi="Times New Roman" w:cs="Times New Roman" w:eastAsiaTheme="minorEastAsia"/>
                <w:b/>
                <w:bCs/>
                <w:color w:val="000000" w:themeColor="text1"/>
                <w:spacing w:val="10"/>
                <w:sz w:val="24"/>
                <w:lang w:val="en-US" w:eastAsia="zh-CN"/>
                <w14:textFill>
                  <w14:solidFill>
                    <w14:schemeClr w14:val="tx1"/>
                  </w14:solidFill>
                </w14:textFill>
              </w:rPr>
              <w:t>保护</w:t>
            </w:r>
            <w:r>
              <w:rPr>
                <w:rFonts w:hint="default" w:ascii="Times New Roman" w:hAnsi="Times New Roman" w:cs="Times New Roman" w:eastAsiaTheme="minorEastAsia"/>
                <w:b/>
                <w:bCs/>
                <w:color w:val="000000" w:themeColor="text1"/>
                <w:spacing w:val="10"/>
                <w:sz w:val="24"/>
                <w14:textFill>
                  <w14:solidFill>
                    <w14:schemeClr w14:val="tx1"/>
                  </w14:solidFill>
                </w14:textFill>
              </w:rPr>
              <w:t>措施</w:t>
            </w:r>
          </w:p>
          <w:p w14:paraId="02D2D3A4">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snapToGrid w:val="0"/>
                <w:color w:val="000000" w:themeColor="text1"/>
                <w:kern w:val="0"/>
                <w:sz w:val="24"/>
                <w:szCs w:val="24"/>
                <w:highlight w:val="none"/>
                <w:vertAlign w:val="baseline"/>
                <w:lang w:val="en-US" w:eastAsia="zh-CN" w:bidi="ar-SA"/>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详见生态环境影响专项评价。</w:t>
            </w:r>
          </w:p>
          <w:p w14:paraId="63ADB7F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2、大气环境保护措施</w:t>
            </w:r>
          </w:p>
          <w:p w14:paraId="70DB95C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施工期的大气污染物主要为施工扬尘、施工机械和车辆尾气</w:t>
            </w:r>
            <w:r>
              <w:rPr>
                <w:rFonts w:hint="default" w:ascii="Times New Roman" w:hAnsi="Times New Roman" w:cs="Times New Roman" w:eastAsiaTheme="minorEastAsia"/>
                <w:color w:val="000000" w:themeColor="text1"/>
                <w:kern w:val="0"/>
                <w:sz w:val="24"/>
                <w:lang w:eastAsia="zh-CN"/>
                <w14:textFill>
                  <w14:solidFill>
                    <w14:schemeClr w14:val="tx1"/>
                  </w14:solidFill>
                </w14:textFill>
              </w:rPr>
              <w:t>。</w:t>
            </w:r>
          </w:p>
          <w:p w14:paraId="0B6CA74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（1）</w:t>
            </w:r>
            <w:r>
              <w:rPr>
                <w:rFonts w:hint="default" w:ascii="Times New Roman" w:hAnsi="Times New Roman" w:cs="Times New Roman" w:eastAsiaTheme="minorEastAsia"/>
                <w:color w:val="000000" w:themeColor="text1"/>
                <w:kern w:val="0"/>
                <w:sz w:val="24"/>
                <w14:textFill>
                  <w14:solidFill>
                    <w14:schemeClr w14:val="tx1"/>
                  </w14:solidFill>
                </w14:textFill>
              </w:rPr>
              <w:t>扬尘</w:t>
            </w:r>
          </w:p>
          <w:p w14:paraId="3131FFC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为减少施工扬尘，施工时须满足《关于进一步加强施工工地和道路扬尘管控工作的通知》（建办质[2019]23号）相关要求：出入口100%设置冲洗设施，驶出车辆100%冲洗，沙石渣土车辆100%遮盖，施工区域裸露堆场100%遮盖防尘网或喷洒水。在采取上述措施后，施工作业现场产生的扬尘对周围环境影响较小。</w:t>
            </w:r>
          </w:p>
          <w:p w14:paraId="3CC5CFE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针对本项目的施工特点，主要采取如下防治措施：</w:t>
            </w:r>
          </w:p>
          <w:p w14:paraId="36DFDE5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①施工现场扬尘防治：</w:t>
            </w:r>
          </w:p>
          <w:p w14:paraId="4D09FF8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a.施工区设置标志牌。施工期间，施工单位根据《建设工程施工现场管理规定》等规定设置现场平面布置图、工程概况牌、安全生产牌、消防保卫牌、文明施工牌、环境保护牌、管理人员名单及监督电话牌等。</w:t>
            </w:r>
          </w:p>
          <w:p w14:paraId="46C5C6D3">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b.施工场界设置围挡，围挡高度不低于2.5m，一般路段不低于1.8m。</w:t>
            </w:r>
          </w:p>
          <w:p w14:paraId="18BFABD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c.施工现场的道路、营地实施硬化并配备车辆冲洗设施及配套的排水、沉淀设施，裸露场地应当采取覆盖或绿化措施。</w:t>
            </w:r>
          </w:p>
          <w:p w14:paraId="386FB2F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d.施工现场的道路、营地等易产生扬尘的区域，根据不同季节、气温、湿度等综合因素，安排洒水抑尘，施工生产区配备洒水设备，每天洒水应不少于5次，距离居民点较近的工程增加洒水次数，减小扬尘污染范围。</w:t>
            </w:r>
          </w:p>
          <w:p w14:paraId="65496FD9">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当敏感点处于下风向、施工扬尘对敏感点影响较大时，应增加洒水次数或停止施工。</w:t>
            </w:r>
          </w:p>
          <w:p w14:paraId="5623E97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e.建筑垃圾、土方、砂石等材料应分类堆放，严密覆盖。</w:t>
            </w:r>
          </w:p>
          <w:p w14:paraId="389325C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f.施工现场土方开挖后尽快完成回填，不能及时回填的场地，应采取覆盖等防尘措施。遇到5级及以上大风天气，应停止土方作业，同时作业处覆以防尘网。</w:t>
            </w:r>
          </w:p>
          <w:p w14:paraId="4C3AA39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eastAsia" w:cs="Times New Roman" w:eastAsiaTheme="minorEastAsia"/>
                <w:color w:val="000000" w:themeColor="text1"/>
                <w:kern w:val="0"/>
                <w:sz w:val="24"/>
                <w:lang w:val="en-US" w:eastAsia="zh-CN"/>
                <w14:textFill>
                  <w14:solidFill>
                    <w14:schemeClr w14:val="tx1"/>
                  </w14:solidFill>
                </w14:textFill>
              </w:rPr>
              <w:t>g.</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不在大风天气下施工，风速超过四级时停止施工作业；本项目沟道施工过程中采取分段施工方法进行，所以施工扬尘对沿线周围环境影响周期较短，影响程度较小。</w:t>
            </w:r>
          </w:p>
          <w:p w14:paraId="6A5553C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②交通运输扬尘防治：</w:t>
            </w:r>
          </w:p>
          <w:p w14:paraId="0783E93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a.运输车辆在出入施工场地时，对车辆轮胎进行冲洗，避免运输扬尘；对运输物料的车辆不装载过满，对运输车辆采取遮盖、密闭措施，避免沿途物料抛洒。散装车辆装运货物的高度不超过马槽的高度，文明装卸和驾驶，在装卸点对散落在车顶、篷布外部等处的物料进行清扫；</w:t>
            </w:r>
          </w:p>
          <w:p w14:paraId="11E86CB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b.运输车辆进出选择合适的运输路线，尽量避开居民区等环境敏感点；运输车辆靠近或穿过村庄等环境敏感点时，采用封闭性车辆或采取覆盖防尘网等措施，尽可能减少运输扬尘对附近居民的影响。</w:t>
            </w:r>
          </w:p>
          <w:p w14:paraId="45A3EDD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c.加强大型车辆和施工机械的管理和维护，保持设备的完好运行，既节约能源又可减少污染物的产生；加强运输车辆的合理调配，尽量压缩施工区汽车数量与行车密度，以减少汽车尾气的排放。</w:t>
            </w:r>
          </w:p>
          <w:p w14:paraId="32943E0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bCs/>
                <w:color w:val="000000" w:themeColor="text1"/>
                <w:kern w:val="0"/>
                <w:sz w:val="24"/>
                <w14:textFill>
                  <w14:solidFill>
                    <w14:schemeClr w14:val="tx1"/>
                  </w14:solidFill>
                </w14:textFill>
              </w:rPr>
            </w:pPr>
            <w:r>
              <w:rPr>
                <w:rFonts w:hint="default" w:ascii="Times New Roman" w:hAnsi="Times New Roman" w:cs="Times New Roman" w:eastAsiaTheme="minorEastAsia"/>
                <w:bCs/>
                <w:color w:val="000000" w:themeColor="text1"/>
                <w:kern w:val="0"/>
                <w:sz w:val="24"/>
                <w14:textFill>
                  <w14:solidFill>
                    <w14:schemeClr w14:val="tx1"/>
                  </w14:solidFill>
                </w14:textFill>
              </w:rPr>
              <w:t>在项目施工期，采取上述防治措施后，扬尘对周围环境的影响可得到有效控制，对周围大气环境影响较小。</w:t>
            </w:r>
          </w:p>
          <w:p w14:paraId="057F99E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eastAsia" w:cs="Times New Roman" w:eastAsiaTheme="minorEastAsia"/>
                <w:color w:val="000000" w:themeColor="text1"/>
                <w:kern w:val="0"/>
                <w:sz w:val="24"/>
                <w:lang w:eastAsia="zh-CN"/>
                <w14:textFill>
                  <w14:solidFill>
                    <w14:schemeClr w14:val="tx1"/>
                  </w14:solidFill>
                </w14:textFill>
              </w:rPr>
              <w:t>（2）</w:t>
            </w:r>
            <w:r>
              <w:rPr>
                <w:rFonts w:hint="default" w:ascii="Times New Roman" w:hAnsi="Times New Roman" w:cs="Times New Roman" w:eastAsiaTheme="minorEastAsia"/>
                <w:color w:val="000000" w:themeColor="text1"/>
                <w:kern w:val="0"/>
                <w:sz w:val="24"/>
                <w14:textFill>
                  <w14:solidFill>
                    <w14:schemeClr w14:val="tx1"/>
                  </w14:solidFill>
                </w14:textFill>
              </w:rPr>
              <w:t>施工机械和车辆尾气</w:t>
            </w:r>
          </w:p>
          <w:p w14:paraId="5B05B13D">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施工机械和车辆尾气主要含有HC、NOx、CO等，根据本项目初步设计，尾气排放量较小，属于间歇性排放，经扩散稀释后对周围环境影响较小。</w:t>
            </w:r>
          </w:p>
          <w:p w14:paraId="0A521AE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为使施工期尾气对周围环境的影响降至最低，应采取如下措施：</w:t>
            </w:r>
          </w:p>
          <w:p w14:paraId="442D043C">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①加强对施工机械及车辆使用管理和保养维修，合理降低使用次数，提高使用效率，禁止施工机械超负荷工作和运输车辆超载；不得使用劣质燃料。</w:t>
            </w:r>
          </w:p>
          <w:p w14:paraId="2C31DF3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②施工现场应合理布置运输车辆行驶路线，配合有关部门搞好施工期周围道路的交通组织，保证行驶速度，减少怠速时间，以及车辆尾气的排放。</w:t>
            </w:r>
          </w:p>
          <w:p w14:paraId="68A70277">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（3）淤恶恶臭防治措施</w:t>
            </w:r>
          </w:p>
          <w:p w14:paraId="43163CCC">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本项目</w:t>
            </w:r>
            <w:r>
              <w:rPr>
                <w:rFonts w:hint="eastAsia" w:cs="Times New Roman" w:eastAsiaTheme="minorEastAsia"/>
                <w:color w:val="000000" w:themeColor="text1"/>
                <w:kern w:val="0"/>
                <w:sz w:val="24"/>
                <w:lang w:val="en-US" w:eastAsia="zh-CN"/>
                <w14:textFill>
                  <w14:solidFill>
                    <w14:schemeClr w14:val="tx1"/>
                  </w14:solidFill>
                </w14:textFill>
              </w:rPr>
              <w:t>河道治理</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涉及少量清淤，清淤过程中会造成恶臭污染，因此需要进行妥善处置。</w:t>
            </w:r>
          </w:p>
          <w:p w14:paraId="187A08C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①应在非汛期进行</w:t>
            </w:r>
            <w:r>
              <w:rPr>
                <w:rFonts w:hint="eastAsia" w:cs="Times New Roman" w:eastAsiaTheme="minorEastAsia"/>
                <w:color w:val="000000" w:themeColor="text1"/>
                <w:kern w:val="0"/>
                <w:sz w:val="24"/>
                <w:lang w:val="en-US" w:eastAsia="zh-CN"/>
                <w14:textFill>
                  <w14:solidFill>
                    <w14:schemeClr w14:val="tx1"/>
                  </w14:solidFill>
                </w14:textFill>
              </w:rPr>
              <w:t>河</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道清淤疏浚工作，</w:t>
            </w:r>
            <w:r>
              <w:rPr>
                <w:rFonts w:hint="eastAsia" w:cs="Times New Roman" w:eastAsiaTheme="minorEastAsia"/>
                <w:color w:val="000000" w:themeColor="text1"/>
                <w:kern w:val="0"/>
                <w:sz w:val="24"/>
                <w:lang w:val="en-US" w:eastAsia="zh-CN"/>
                <w14:textFill>
                  <w14:solidFill>
                    <w14:schemeClr w14:val="tx1"/>
                  </w14:solidFill>
                </w14:textFill>
              </w:rPr>
              <w:t>尽量安排在低温季节进行，</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由于温度较低，污泥中恶臭挥发影响范围较小。</w:t>
            </w:r>
          </w:p>
          <w:p w14:paraId="0F22652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②河道清淤和除臭工作应同时开展，减少底泥在空气中的暴露时间，减少对周边环境的影响。</w:t>
            </w:r>
          </w:p>
          <w:p w14:paraId="5526094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③清淤淤泥及时清运，随挖随运，不在项目区堆放。</w:t>
            </w:r>
          </w:p>
          <w:p w14:paraId="0C133AF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综上所述，施工期大气影响是暂时的，随着施工期的结束，影响也随之结束。建设单位应加强施工管理，采取相应措施，尽可能减少对周围环境的影响。</w:t>
            </w:r>
          </w:p>
          <w:p w14:paraId="40EA5EC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3、水环境保护措施</w:t>
            </w:r>
          </w:p>
          <w:p w14:paraId="3DAD239F">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项目生产废水产生及排放量均不大。经过沉淀池沉淀后循环使用，不排放（沉淀池数量根据各施工阶段情况分别配置），该部分废水对环境影响不大。</w:t>
            </w:r>
          </w:p>
          <w:p w14:paraId="13769F6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422" w:firstLineChars="200"/>
              <w:jc w:val="center"/>
              <w:textAlignment w:val="auto"/>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pP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表</w:t>
            </w: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5-</w:t>
            </w:r>
            <w:r>
              <w:rPr>
                <w:rFonts w:hint="eastAsia" w:cs="Times New Roman" w:eastAsiaTheme="minorEastAsia"/>
                <w:b/>
                <w:bCs/>
                <w:color w:val="000000" w:themeColor="text1"/>
                <w:kern w:val="0"/>
                <w:sz w:val="21"/>
                <w:szCs w:val="21"/>
                <w:lang w:val="en-US" w:eastAsia="zh-CN"/>
                <w14:textFill>
                  <w14:solidFill>
                    <w14:schemeClr w14:val="tx1"/>
                  </w14:solidFill>
                </w14:textFill>
              </w:rPr>
              <w:t xml:space="preserve">1  </w:t>
            </w:r>
            <w:r>
              <w:rPr>
                <w:rFonts w:hint="default"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沉淀池</w:t>
            </w:r>
            <w:r>
              <w:rPr>
                <w:rFonts w:hint="eastAsia" w:ascii="Times New Roman" w:hAnsi="Times New Roman" w:cs="Times New Roman" w:eastAsiaTheme="minorEastAsia"/>
                <w:b/>
                <w:bCs/>
                <w:color w:val="000000" w:themeColor="text1"/>
                <w:kern w:val="0"/>
                <w:sz w:val="21"/>
                <w:szCs w:val="21"/>
                <w:lang w:val="en-US" w:eastAsia="zh-CN"/>
                <w14:textFill>
                  <w14:solidFill>
                    <w14:schemeClr w14:val="tx1"/>
                  </w14:solidFill>
                </w14:textFill>
              </w:rPr>
              <w:t>设计参数</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574"/>
              <w:gridCol w:w="2117"/>
              <w:gridCol w:w="3448"/>
            </w:tblGrid>
            <w:tr w14:paraId="5B4D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Align w:val="top"/>
                </w:tcPr>
                <w:p w14:paraId="4155595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kern w:val="0"/>
                      <w:sz w:val="21"/>
                      <w:szCs w:val="21"/>
                      <w:vertAlign w:val="baseline"/>
                      <w:lang w:val="en-US" w:eastAsia="zh-CN"/>
                      <w14:textFill>
                        <w14:solidFill>
                          <w14:schemeClr w14:val="tx1"/>
                        </w14:solidFill>
                      </w14:textFill>
                    </w:rPr>
                    <w:t>序号</w:t>
                  </w:r>
                </w:p>
              </w:tc>
              <w:tc>
                <w:tcPr>
                  <w:tcW w:w="1574" w:type="dxa"/>
                  <w:vAlign w:val="top"/>
                </w:tcPr>
                <w:p w14:paraId="437905D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kern w:val="0"/>
                      <w:sz w:val="21"/>
                      <w:szCs w:val="21"/>
                      <w:vertAlign w:val="baseline"/>
                      <w:lang w:val="en-US" w:eastAsia="zh-CN"/>
                      <w14:textFill>
                        <w14:solidFill>
                          <w14:schemeClr w14:val="tx1"/>
                        </w14:solidFill>
                      </w14:textFill>
                    </w:rPr>
                    <w:t>名称</w:t>
                  </w:r>
                </w:p>
              </w:tc>
              <w:tc>
                <w:tcPr>
                  <w:tcW w:w="2117" w:type="dxa"/>
                  <w:vAlign w:val="top"/>
                </w:tcPr>
                <w:p w14:paraId="725B83B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kern w:val="0"/>
                      <w:sz w:val="21"/>
                      <w:szCs w:val="21"/>
                      <w:vertAlign w:val="baseline"/>
                      <w:lang w:val="en-US" w:eastAsia="zh-CN"/>
                      <w14:textFill>
                        <w14:solidFill>
                          <w14:schemeClr w14:val="tx1"/>
                        </w14:solidFill>
                      </w14:textFill>
                    </w:rPr>
                    <w:t>规格</w:t>
                  </w:r>
                </w:p>
              </w:tc>
              <w:tc>
                <w:tcPr>
                  <w:tcW w:w="3448" w:type="dxa"/>
                  <w:vAlign w:val="top"/>
                </w:tcPr>
                <w:p w14:paraId="20ADDE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b/>
                      <w:bCs/>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b/>
                      <w:bCs/>
                      <w:color w:val="000000" w:themeColor="text1"/>
                      <w:kern w:val="0"/>
                      <w:sz w:val="21"/>
                      <w:szCs w:val="21"/>
                      <w:vertAlign w:val="baseline"/>
                      <w:lang w:val="en-US" w:eastAsia="zh-CN"/>
                      <w14:textFill>
                        <w14:solidFill>
                          <w14:schemeClr w14:val="tx1"/>
                        </w14:solidFill>
                      </w14:textFill>
                    </w:rPr>
                    <w:t>工艺参数</w:t>
                  </w:r>
                </w:p>
              </w:tc>
            </w:tr>
            <w:tr w14:paraId="33DBB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6" w:type="dxa"/>
                  <w:vAlign w:val="top"/>
                </w:tcPr>
                <w:p w14:paraId="0F91CD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0"/>
                      <w:sz w:val="21"/>
                      <w:szCs w:val="21"/>
                      <w:vertAlign w:val="baseline"/>
                      <w:lang w:val="en-US" w:eastAsia="zh-CN"/>
                      <w14:textFill>
                        <w14:solidFill>
                          <w14:schemeClr w14:val="tx1"/>
                        </w14:solidFill>
                      </w14:textFill>
                    </w:rPr>
                    <w:t>1</w:t>
                  </w:r>
                </w:p>
              </w:tc>
              <w:tc>
                <w:tcPr>
                  <w:tcW w:w="1574" w:type="dxa"/>
                  <w:vAlign w:val="top"/>
                </w:tcPr>
                <w:p w14:paraId="179FCB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0"/>
                      <w:sz w:val="21"/>
                      <w:szCs w:val="21"/>
                      <w:vertAlign w:val="baseline"/>
                      <w:lang w:val="en-US" w:eastAsia="zh-CN"/>
                      <w14:textFill>
                        <w14:solidFill>
                          <w14:schemeClr w14:val="tx1"/>
                        </w14:solidFill>
                      </w14:textFill>
                    </w:rPr>
                    <w:t>沉淀池</w:t>
                  </w:r>
                </w:p>
              </w:tc>
              <w:tc>
                <w:tcPr>
                  <w:tcW w:w="2117" w:type="dxa"/>
                  <w:vAlign w:val="top"/>
                </w:tcPr>
                <w:p w14:paraId="0845A4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eastAsia" w:cs="Times New Roman" w:eastAsiaTheme="minorEastAsia"/>
                      <w:color w:val="000000" w:themeColor="text1"/>
                      <w:kern w:val="0"/>
                      <w:sz w:val="21"/>
                      <w:szCs w:val="21"/>
                      <w:vertAlign w:val="baseline"/>
                      <w:lang w:val="en-US" w:eastAsia="zh-CN"/>
                      <w14:textFill>
                        <w14:solidFill>
                          <w14:schemeClr w14:val="tx1"/>
                        </w14:solidFill>
                      </w14:textFill>
                    </w:rPr>
                    <w:t>5m</w:t>
                  </w:r>
                  <w:r>
                    <w:rPr>
                      <w:rFonts w:hint="eastAsia" w:cs="Times New Roman" w:eastAsiaTheme="minorEastAsia"/>
                      <w:color w:val="000000" w:themeColor="text1"/>
                      <w:kern w:val="0"/>
                      <w:sz w:val="21"/>
                      <w:szCs w:val="21"/>
                      <w:vertAlign w:val="superscript"/>
                      <w:lang w:val="en-US" w:eastAsia="zh-CN"/>
                      <w14:textFill>
                        <w14:solidFill>
                          <w14:schemeClr w14:val="tx1"/>
                        </w14:solidFill>
                      </w14:textFill>
                    </w:rPr>
                    <w:t>3</w:t>
                  </w:r>
                </w:p>
              </w:tc>
              <w:tc>
                <w:tcPr>
                  <w:tcW w:w="3448" w:type="dxa"/>
                  <w:vAlign w:val="top"/>
                </w:tcPr>
                <w:p w14:paraId="1417BA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vertAlign w:val="baseline"/>
                      <w:lang w:val="en-US" w:eastAsia="zh-CN"/>
                      <w14:textFill>
                        <w14:solidFill>
                          <w14:schemeClr w14:val="tx1"/>
                        </w14:solidFill>
                      </w14:textFill>
                    </w:rPr>
                    <w:t>停留时间1d</w:t>
                  </w:r>
                </w:p>
              </w:tc>
            </w:tr>
          </w:tbl>
          <w:p w14:paraId="51A56DB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项目不设置施工营地，租用沿线民房进行办公生活，施工人员产生的生活废水经化粪池预处理后厌氧沤肥后农用或接管市政污水管网。</w:t>
            </w:r>
          </w:p>
          <w:p w14:paraId="56AD87F8">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城区排涝整治工程施工主要安排在非汛期，</w:t>
            </w:r>
            <w:r>
              <w:rPr>
                <w:rFonts w:hint="eastAsia" w:cs="Times New Roman" w:eastAsiaTheme="minorEastAsia"/>
                <w:color w:val="000000" w:themeColor="text1"/>
                <w:kern w:val="0"/>
                <w:sz w:val="24"/>
                <w:lang w:val="en-US" w:eastAsia="zh-CN"/>
                <w14:textFill>
                  <w14:solidFill>
                    <w14:schemeClr w14:val="tx1"/>
                  </w14:solidFill>
                </w14:textFill>
              </w:rPr>
              <w:t>减少</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河道来水较少，同时利用上游水库溢洪道控泄，区域少量降雨临时架机抽排</w:t>
            </w:r>
            <w:r>
              <w:rPr>
                <w:rFonts w:hint="eastAsia" w:cs="Times New Roman" w:eastAsiaTheme="minorEastAsia"/>
                <w:color w:val="000000" w:themeColor="text1"/>
                <w:kern w:val="0"/>
                <w:sz w:val="24"/>
                <w:lang w:val="en-US" w:eastAsia="zh-CN"/>
                <w14:textFill>
                  <w14:solidFill>
                    <w14:schemeClr w14:val="tx1"/>
                  </w14:solidFill>
                </w14:textFill>
              </w:rPr>
              <w:t>，减少</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对</w:t>
            </w:r>
            <w:r>
              <w:rPr>
                <w:rFonts w:hint="eastAsia" w:ascii="Times New Roman" w:hAnsi="Times New Roman" w:cs="Times New Roman" w:eastAsiaTheme="minorEastAsia"/>
                <w:color w:val="000000" w:themeColor="text1"/>
                <w:kern w:val="0"/>
                <w:sz w:val="24"/>
                <w:lang w:val="en-US" w:eastAsia="zh-CN"/>
                <w14:textFill>
                  <w14:solidFill>
                    <w14:schemeClr w14:val="tx1"/>
                  </w14:solidFill>
                </w14:textFill>
              </w:rPr>
              <w:t>水生态</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环境影响。</w:t>
            </w:r>
          </w:p>
          <w:p w14:paraId="1086B87C">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施工时要求施工人员加强环保意识，严禁向渠道内抛洒固废及废水。沉淀池、原料堆场等场地不得在防洪渠范围内设置，生活垃圾不得在防洪渠周边堆放，采取以上措施后，本项目施工期对周边水环境影响较小</w:t>
            </w:r>
            <w:r>
              <w:rPr>
                <w:rFonts w:hint="eastAsia" w:cs="Times New Roman" w:eastAsiaTheme="minorEastAsia"/>
                <w:color w:val="000000" w:themeColor="text1"/>
                <w:kern w:val="0"/>
                <w:sz w:val="24"/>
                <w:lang w:val="en-US" w:eastAsia="zh-CN"/>
                <w14:textFill>
                  <w14:solidFill>
                    <w14:schemeClr w14:val="tx1"/>
                  </w14:solidFill>
                </w14:textFill>
              </w:rPr>
              <w:t>。</w:t>
            </w:r>
          </w:p>
          <w:p w14:paraId="5509834D">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为了降低施工期对项目区水环境的影响，本次环评提出以下措施：</w:t>
            </w:r>
          </w:p>
          <w:p w14:paraId="1A0BC55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1）施工过程中应严格加强对机械设备的检修和维护力度与频次，发现问题，及时解决，严禁运输车辆和施工机械满身油污进行施工，杜绝施工机械和运输车辆在施工过程中的跑、冒、滴、漏现象的发生。施工机械和车辆一旦出现漏油现象，应立即停止施工并进行机械维修或更换设备。</w:t>
            </w:r>
          </w:p>
          <w:p w14:paraId="26E4DE74">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（2）在施工中应根据不同筑路材料的特点，有针对性的加强保护管理措施，尽可能减少物料的流失量，通过加强管理，可有效地减轻对水环境的影响。</w:t>
            </w:r>
          </w:p>
          <w:p w14:paraId="72F6DC30">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（3）施工过程材料如不妥善放置，遇大风、暴雨冲刷会造成水土流失，因此各类堆放场、挖方、填方四周应挖截留沟，以尽可能减少水土流失，截留沟废水汇入沉淀池。</w:t>
            </w:r>
          </w:p>
          <w:p w14:paraId="07F80A5E">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废水治理责任主体为建设单位，施工期及时足额支付废水治理费用；施工单位应建立健全施工废水治理责任制，设专职管理人员负责落实废水治理措施，建立建设单位、项目部、专职管理人员“三级检查制度”。</w:t>
            </w:r>
          </w:p>
          <w:p w14:paraId="4595A732">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综上所述，施工期废水妥善处理，对本项目</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沟</w:t>
            </w:r>
            <w:r>
              <w:rPr>
                <w:rFonts w:hint="default" w:ascii="Times New Roman" w:hAnsi="Times New Roman" w:cs="Times New Roman" w:eastAsiaTheme="minorEastAsia"/>
                <w:color w:val="000000" w:themeColor="text1"/>
                <w:kern w:val="0"/>
                <w:sz w:val="24"/>
                <w14:textFill>
                  <w14:solidFill>
                    <w14:schemeClr w14:val="tx1"/>
                  </w14:solidFill>
                </w14:textFill>
              </w:rPr>
              <w:t>道及周围水环境影响较小，防治措施合理可行。</w:t>
            </w:r>
          </w:p>
          <w:p w14:paraId="0868777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14:textFill>
                  <w14:solidFill>
                    <w14:schemeClr w14:val="tx1"/>
                  </w14:solidFill>
                </w14:textFill>
              </w:rPr>
            </w:pPr>
            <w:r>
              <w:rPr>
                <w:rFonts w:hint="default" w:ascii="Times New Roman" w:hAnsi="Times New Roman" w:cs="Times New Roman" w:eastAsiaTheme="minorEastAsia"/>
                <w:b/>
                <w:color w:val="000000" w:themeColor="text1"/>
                <w:kern w:val="0"/>
                <w:sz w:val="24"/>
                <w14:textFill>
                  <w14:solidFill>
                    <w14:schemeClr w14:val="tx1"/>
                  </w14:solidFill>
                </w14:textFill>
              </w:rPr>
              <w:t>4、声环境影响分析及防治措施</w:t>
            </w:r>
          </w:p>
          <w:p w14:paraId="4D441805">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本项目施工期的噪声主要来源于施工现场的各类机械设备噪声和运输车辆噪声。对施工期产生的噪声应采取以下措施，减轻影响。</w:t>
            </w:r>
          </w:p>
          <w:p w14:paraId="30E6148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kern w:val="0"/>
                <w:sz w:val="24"/>
                <w14:textFill>
                  <w14:solidFill>
                    <w14:schemeClr w14:val="tx1"/>
                  </w14:solidFill>
                </w14:textFill>
              </w:rPr>
            </w:pPr>
            <w:r>
              <w:rPr>
                <w:rFonts w:hint="default" w:ascii="Times New Roman" w:hAnsi="Times New Roman" w:cs="Times New Roman" w:eastAsiaTheme="minorEastAsia"/>
                <w:b/>
                <w:bCs/>
                <w:color w:val="000000" w:themeColor="text1"/>
                <w:kern w:val="0"/>
                <w:sz w:val="24"/>
                <w:lang w:val="en-US" w:eastAsia="zh-CN"/>
                <w14:textFill>
                  <w14:solidFill>
                    <w14:schemeClr w14:val="tx1"/>
                  </w14:solidFill>
                </w14:textFill>
              </w:rPr>
              <w:t>（1）一般保护措施</w:t>
            </w:r>
          </w:p>
          <w:p w14:paraId="72F548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1）在施工过程中，施工单位应严格执行《建筑施工场界环境噪声排放标准》（GB12523-20</w:t>
            </w:r>
            <w:r>
              <w:rPr>
                <w:rFonts w:hint="eastAsia" w:cs="Times New Roman" w:eastAsiaTheme="minorEastAsia"/>
                <w:color w:val="000000" w:themeColor="text1"/>
                <w:kern w:val="0"/>
                <w:sz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）中有关规定，加强管理，文明施工，避免施工扰民事件的发生。</w:t>
            </w:r>
          </w:p>
          <w:p w14:paraId="6D164EE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2）施工单位要合理安排施工作业时间，施工尽量安排在白天，尽量减小施工噪声的影响，原则</w:t>
            </w:r>
            <w:r>
              <w:rPr>
                <w:rFonts w:hint="eastAsia" w:cs="Times New Roman" w:eastAsiaTheme="minorEastAsia"/>
                <w:color w:val="000000" w:themeColor="text1"/>
                <w:kern w:val="0"/>
                <w:sz w:val="24"/>
                <w:lang w:val="en-US" w:eastAsia="zh-CN"/>
                <w14:textFill>
                  <w14:solidFill>
                    <w14:schemeClr w14:val="tx1"/>
                  </w14:solidFill>
                </w14:textFill>
              </w:rPr>
              <w:t>上</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12:00—14:00与夜间不允许施工，若午间和夜间需要施工，需向当地生态环境主管部门申请取得许可后方可施工。</w:t>
            </w:r>
          </w:p>
          <w:p w14:paraId="20FCDEB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3）通过施工布置、选择环保材料、减振设备、设置隔声间等从源头控制噪声。施工布置时高噪声设备尽量远离居民点和施工人员生活营地等布置；选用低噪声机械设备和工艺，对振动大的机械设备使用减振机座或减振垫，可从根本上降低噪声源强。运用吸声、消声、隔声等技术措施降低施工噪声，对使用中的一些噪声较高的机械，在施工过程中要合理布局其位置；加强施工设备的维护和保养，保持机械润滑，减少运行噪声；封闭施工应在施工场界设置简易围墙。</w:t>
            </w:r>
          </w:p>
          <w:p w14:paraId="6FC8C0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4）设备选型上应采用低噪声设备，如混凝土振捣机采用高频振捣器；采用消音、隔音手段降低噪声；对动力机械设备进行定期维修和养护；闲置的设备及时关闭。</w:t>
            </w:r>
          </w:p>
          <w:p w14:paraId="69966C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5）对于施工期间的材料运输、敲击、人的喊叫等噪声源，要求施工单位文明施工，进出运输建材车辆禁止鸣笛，加强有效管理以缓解其对周围环境敏感点的影响。</w:t>
            </w:r>
          </w:p>
          <w:p w14:paraId="2C918FB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6）在施工阶段，对固定设备的外部采用围挡，以减轻设备噪声对周围环境影响。</w:t>
            </w:r>
          </w:p>
          <w:p w14:paraId="7C32B6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7）对施工运输车辆行驶时间、行驶路线进行严格控制和管理，途经沿线各村庄时减速慢行并禁止鸣笛。</w:t>
            </w:r>
          </w:p>
          <w:p w14:paraId="66A3A3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8）加强交通噪声的管理和控制，进入施工营地和其他非施工作业的车辆，不使用高音喇叭和低音喇叭，尽量减少鸣笛次数，在居民区和营地附近路段设置限速、禁鸣标牌及减速带等。预计每个施工区在进入居民区和驶出居民区处分别设置1块警示牌。</w:t>
            </w:r>
          </w:p>
          <w:p w14:paraId="31488C7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9）对淤泥等运输车辆加强管理，途经敏感点时限速禁鸣，减小运输车辆对敏感点的影响。</w:t>
            </w:r>
          </w:p>
          <w:p w14:paraId="7086C6A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kern w:val="0"/>
                <w:sz w:val="24"/>
                <w14:textFill>
                  <w14:solidFill>
                    <w14:schemeClr w14:val="tx1"/>
                  </w14:solidFill>
                </w14:textFill>
              </w:rPr>
            </w:pPr>
            <w:r>
              <w:rPr>
                <w:rFonts w:hint="default" w:ascii="Times New Roman" w:hAnsi="Times New Roman" w:cs="Times New Roman" w:eastAsiaTheme="minorEastAsia"/>
                <w:b/>
                <w:bCs/>
                <w:color w:val="000000" w:themeColor="text1"/>
                <w:kern w:val="0"/>
                <w:sz w:val="24"/>
                <w:lang w:val="en-US" w:eastAsia="zh-CN"/>
                <w14:textFill>
                  <w14:solidFill>
                    <w14:schemeClr w14:val="tx1"/>
                  </w14:solidFill>
                </w14:textFill>
              </w:rPr>
              <w:t>（2）受体保护措施</w:t>
            </w:r>
          </w:p>
          <w:p w14:paraId="432A1F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1）居民敏感点保护措施</w:t>
            </w:r>
          </w:p>
          <w:p w14:paraId="48B1F40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I、交通运行噪声影响居民点保护措施：施工运输道路经过村庄及集中居民点时，在居民区前50m处设置限速标志，控制车速，并禁止鸣笛，同时尽量避免在居民午休时间及夜间进行运输活动。</w:t>
            </w:r>
          </w:p>
          <w:p w14:paraId="0DF6108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Ⅱ、施工影响居民点保护措施：对施工位于小区旁的，应在靠近居民点的一侧设置移动隔声屏障。隔声屏障选用当地常用的金属或者合成材料结构，根据各工程施工进度安排，隔声屏障可采用可拆卸式结构以便重复利用，高度应不小于2m。</w:t>
            </w:r>
          </w:p>
          <w:p w14:paraId="1F94FC4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Ⅲ、本环评要求建筑物工程施工时必须设置施工围挡，郊区围挡高度不低于1.8m，城市围挡高度不低于2.5m。同时在建筑物附近的敏感点设置移动隔声屏障，以进一步消减噪声。移动声屏障考虑重复利用，不再另计。</w:t>
            </w:r>
          </w:p>
          <w:p w14:paraId="7478E5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考虑到本项目施工周期较短，项目施工噪声对</w:t>
            </w:r>
            <w:r>
              <w:rPr>
                <w:rFonts w:hint="eastAsia" w:cs="Times New Roman" w:eastAsiaTheme="minorEastAsia"/>
                <w:color w:val="000000" w:themeColor="text1"/>
                <w:kern w:val="0"/>
                <w:sz w:val="24"/>
                <w:lang w:val="en-US" w:eastAsia="zh-CN"/>
                <w14:textFill>
                  <w14:solidFill>
                    <w14:schemeClr w14:val="tx1"/>
                  </w14:solidFill>
                </w14:textFill>
              </w:rPr>
              <w:t>周边</w:t>
            </w:r>
            <w:r>
              <w:rPr>
                <w:rFonts w:hint="default" w:ascii="Times New Roman" w:hAnsi="Times New Roman" w:cs="Times New Roman" w:eastAsiaTheme="minorEastAsia"/>
                <w:color w:val="000000" w:themeColor="text1"/>
                <w:kern w:val="0"/>
                <w:sz w:val="24"/>
                <w14:textFill>
                  <w14:solidFill>
                    <w14:schemeClr w14:val="tx1"/>
                  </w14:solidFill>
                </w14:textFill>
              </w:rPr>
              <w:t>的影响周期很短，施工单位通过合理安排施工机械设备的位置，并对高噪声设备采取减振、隔音、选择合理施工时间等措施，保证项目施工期产生的噪声对敏感点的影响降到最低。</w:t>
            </w:r>
          </w:p>
          <w:p w14:paraId="7D2C125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2）施工人员保护措施</w:t>
            </w:r>
          </w:p>
          <w:p w14:paraId="5AC8FA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高噪声环境下的施工作业人员、每人每天的工作时间不超过6h。给受噪声影响大的施工人员配发噪声防护用具，常用的个人防护用具有耳塞、防声棉、耳罩和头盔等。如柱状耳塞，重量3～5g，噪声衰减可达20～30dB（A）；棉花，重量1～5g，噪声衰减可达5～10dB（A）。</w:t>
            </w:r>
          </w:p>
          <w:p w14:paraId="41BB0E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通过采取上述综合降噪措施，可有效降低施工过程噪声对周围环境的影响，确保施工期各项施工活动产生的噪声达到《建筑施工场界环境噪声排放标准》（GB12523-20</w:t>
            </w:r>
            <w:r>
              <w:rPr>
                <w:rFonts w:hint="eastAsia" w:cs="Times New Roman" w:eastAsiaTheme="minorEastAsia"/>
                <w:color w:val="000000" w:themeColor="text1"/>
                <w:kern w:val="0"/>
                <w:sz w:val="24"/>
                <w:lang w:val="en-US" w:eastAsia="zh-CN"/>
                <w14:textFill>
                  <w14:solidFill>
                    <w14:schemeClr w14:val="tx1"/>
                  </w14:solidFill>
                </w14:textFill>
              </w:rPr>
              <w:t>25</w:t>
            </w:r>
            <w:r>
              <w:rPr>
                <w:rFonts w:hint="default" w:ascii="Times New Roman" w:hAnsi="Times New Roman" w:cs="Times New Roman" w:eastAsiaTheme="minorEastAsia"/>
                <w:color w:val="000000" w:themeColor="text1"/>
                <w:kern w:val="0"/>
                <w:sz w:val="24"/>
                <w14:textFill>
                  <w14:solidFill>
                    <w14:schemeClr w14:val="tx1"/>
                  </w14:solidFill>
                </w14:textFill>
              </w:rPr>
              <w:t>）中的相关规定限值要求，对周围环境影响较小。</w:t>
            </w:r>
          </w:p>
          <w:p w14:paraId="48E8B1A8">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b/>
                <w:color w:val="000000" w:themeColor="text1"/>
                <w:kern w:val="0"/>
                <w:sz w:val="24"/>
                <w:highlight w:val="none"/>
                <w14:textFill>
                  <w14:solidFill>
                    <w14:schemeClr w14:val="tx1"/>
                  </w14:solidFill>
                </w14:textFill>
              </w:rPr>
              <w:t>5、固体废物环境影响分析及防治措施</w:t>
            </w:r>
          </w:p>
          <w:p w14:paraId="70F00C6B">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本项目施工期产生的固体废物主要为施工场所产生施工人员活动产生的生活垃圾</w:t>
            </w:r>
            <w:r>
              <w:rPr>
                <w:rFonts w:hint="default" w:ascii="Times New Roman" w:hAnsi="Times New Roman" w:cs="Times New Roman" w:eastAsiaTheme="minorEastAsia"/>
                <w:color w:val="000000" w:themeColor="text1"/>
                <w:kern w:val="0"/>
                <w:sz w:val="24"/>
                <w:highlight w:val="none"/>
                <w:lang w:eastAsia="zh-CN"/>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多余土方及排洪渠清理产生的植物枯叶和少量沙土</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w:t>
            </w:r>
          </w:p>
          <w:p w14:paraId="465BF59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none"/>
                <w:lang w:eastAsia="zh-CN" w:bidi="ar"/>
                <w14:textFill>
                  <w14:solidFill>
                    <w14:schemeClr w14:val="tx1"/>
                  </w14:solidFill>
                </w14:textFill>
              </w:rPr>
            </w:pPr>
            <w:r>
              <w:rPr>
                <w:rFonts w:hint="default" w:ascii="Times New Roman" w:hAnsi="Times New Roman" w:cs="Times New Roman" w:eastAsiaTheme="minorEastAsia"/>
                <w:color w:val="000000" w:themeColor="text1"/>
                <w:sz w:val="24"/>
                <w:highlight w:val="none"/>
                <w14:textFill>
                  <w14:solidFill>
                    <w14:schemeClr w14:val="tx1"/>
                  </w14:solidFill>
                </w14:textFill>
              </w:rPr>
              <w:t>剩余土方和</w:t>
            </w:r>
            <w:r>
              <w:rPr>
                <w:rFonts w:hint="default" w:ascii="Times New Roman" w:hAnsi="Times New Roman" w:cs="Times New Roman" w:eastAsiaTheme="minorEastAsia"/>
                <w:color w:val="000000" w:themeColor="text1"/>
                <w:sz w:val="24"/>
                <w:highlight w:val="none"/>
                <w:lang w:eastAsia="zh-CN"/>
                <w14:textFill>
                  <w14:solidFill>
                    <w14:schemeClr w14:val="tx1"/>
                  </w14:solidFill>
                </w14:textFill>
              </w:rPr>
              <w:t>排洪渠沙土</w:t>
            </w: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本项目建设期土石方开挖总量为</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57.4261</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；土方填筑总量52.2508万</w:t>
            </w:r>
            <w:r>
              <w:rPr>
                <w:rFonts w:hint="eastAsia" w:cs="Times New Roman" w:eastAsiaTheme="minorEastAsia"/>
                <w:color w:val="000000" w:themeColor="text1"/>
                <w:kern w:val="0"/>
                <w:sz w:val="24"/>
                <w:highlight w:val="none"/>
                <w:lang w:val="en-US" w:eastAsia="zh-CN"/>
                <w14:textFill>
                  <w14:solidFill>
                    <w14:schemeClr w14:val="tx1"/>
                  </w14:solidFill>
                </w14:textFill>
              </w:rPr>
              <w:t>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default" w:ascii="Times New Roman" w:hAnsi="Times New Roman" w:cs="Times New Roman" w:eastAsiaTheme="minorEastAsia"/>
                <w:color w:val="000000" w:themeColor="text1"/>
                <w:kern w:val="0"/>
                <w:sz w:val="24"/>
                <w:szCs w:val="24"/>
                <w:highlight w:val="none"/>
                <w:lang w:val="en-US" w:eastAsia="zh-CN" w:bidi="ar"/>
                <w14:textFill>
                  <w14:solidFill>
                    <w14:schemeClr w14:val="tx1"/>
                  </w14:solidFill>
                </w14:textFill>
              </w:rPr>
              <w:t>，</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共计余方土约</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5.1753</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万m</w:t>
            </w:r>
            <w:r>
              <w:rPr>
                <w:rFonts w:hint="default" w:ascii="Times New Roman" w:hAnsi="Times New Roman" w:cs="Times New Roman" w:eastAsiaTheme="minorEastAsia"/>
                <w:color w:val="000000" w:themeColor="text1"/>
                <w:kern w:val="0"/>
                <w:sz w:val="24"/>
                <w:highlight w:val="none"/>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kern w:val="0"/>
                <w:sz w:val="24"/>
                <w:highlight w:val="none"/>
                <w:lang w:val="en-US" w:eastAsia="zh-CN"/>
                <w14:textFill>
                  <w14:solidFill>
                    <w14:schemeClr w14:val="tx1"/>
                  </w14:solidFill>
                </w14:textFill>
              </w:rPr>
              <w:t>，余方土由县矿产公司统一运输安置</w:t>
            </w:r>
            <w:r>
              <w:rPr>
                <w:rFonts w:hint="default" w:ascii="Times New Roman" w:hAnsi="Times New Roman" w:cs="Times New Roman" w:eastAsiaTheme="minorEastAsia"/>
                <w:color w:val="000000" w:themeColor="text1"/>
                <w:kern w:val="0"/>
                <w:sz w:val="24"/>
                <w:highlight w:val="none"/>
                <w:lang w:val="en-US" w:eastAsia="zh-CN"/>
                <w14:textFill>
                  <w14:solidFill>
                    <w14:schemeClr w14:val="tx1"/>
                  </w14:solidFill>
                </w14:textFill>
              </w:rPr>
              <w:t>。</w:t>
            </w:r>
          </w:p>
          <w:p w14:paraId="5924A791">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highlight w:val="yellow"/>
                <w14:textFill>
                  <w14:solidFill>
                    <w14:schemeClr w14:val="tx1"/>
                  </w14:solidFill>
                </w14:textFill>
              </w:rPr>
            </w:pPr>
            <w:r>
              <w:rPr>
                <w:rFonts w:hint="default" w:ascii="Times New Roman" w:hAnsi="Times New Roman" w:cs="Times New Roman" w:eastAsiaTheme="minorEastAsia"/>
                <w:color w:val="000000" w:themeColor="text1"/>
                <w:kern w:val="0"/>
                <w:sz w:val="24"/>
                <w:highlight w:val="none"/>
                <w14:textFill>
                  <w14:solidFill>
                    <w14:schemeClr w14:val="tx1"/>
                  </w14:solidFill>
                </w14:textFill>
              </w:rPr>
              <w:t>生活垃圾：生活垃圾主要污染物为垃圾袋、果核、矿泉水瓶等，集中收集后由施工单位清运至垃圾中转站，由环卫部门统一处理。</w:t>
            </w:r>
          </w:p>
          <w:p w14:paraId="500B70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14:textFill>
                  <w14:solidFill>
                    <w14:schemeClr w14:val="tx1"/>
                  </w14:solidFill>
                </w14:textFill>
              </w:rPr>
            </w:pPr>
            <w:r>
              <w:rPr>
                <w:rFonts w:hint="default" w:ascii="Times New Roman" w:hAnsi="Times New Roman" w:cs="Times New Roman" w:eastAsiaTheme="minorEastAsia"/>
                <w:color w:val="000000" w:themeColor="text1"/>
                <w:sz w:val="24"/>
                <w14:textFill>
                  <w14:solidFill>
                    <w14:schemeClr w14:val="tx1"/>
                  </w14:solidFill>
                </w14:textFill>
              </w:rPr>
              <w:t>采取上述固体废物处置措施后，项目施工期产生的固体废物对主要环境保护目标的影响较小。</w:t>
            </w:r>
          </w:p>
          <w:p w14:paraId="3E426E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cs="Times New Roman" w:eastAsiaTheme="minorEastAsia"/>
                <w:b/>
                <w:bCs/>
                <w:color w:val="000000" w:themeColor="text1"/>
                <w:sz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lang w:val="en-US" w:eastAsia="zh-CN"/>
                <w14:textFill>
                  <w14:solidFill>
                    <w14:schemeClr w14:val="tx1"/>
                  </w14:solidFill>
                </w14:textFill>
              </w:rPr>
              <w:t>6、水土流失防治措施</w:t>
            </w:r>
          </w:p>
          <w:p w14:paraId="73ABB49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（1）基坑开挖填筑前应建好两侧的排水措施和拦挡措施，基坑土石方施工完成一段，应立即采取护坡措施，尽量缩短坡面裸露时间。</w:t>
            </w:r>
          </w:p>
          <w:p w14:paraId="12AB6EB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（2）雨季施工应采取临时排水、临时覆盖措施。</w:t>
            </w:r>
          </w:p>
          <w:p w14:paraId="1D8ACB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建设单位在采取上述措施后，施工期水土流失将得到有效控制，水土流失量很小，对区域环境影响很小。</w:t>
            </w:r>
          </w:p>
          <w:p w14:paraId="6413525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p>
        </w:tc>
      </w:tr>
      <w:tr w14:paraId="19C00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tcBorders>
              <w:tl2br w:val="nil"/>
              <w:tr2bl w:val="nil"/>
            </w:tcBorders>
            <w:tcMar>
              <w:left w:w="28" w:type="dxa"/>
              <w:right w:w="28" w:type="dxa"/>
            </w:tcMar>
            <w:vAlign w:val="center"/>
          </w:tcPr>
          <w:p w14:paraId="2541B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spacing w:val="10"/>
                <w:sz w:val="24"/>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14:textFill>
                  <w14:solidFill>
                    <w14:schemeClr w14:val="tx1"/>
                  </w14:solidFill>
                </w14:textFill>
              </w:rPr>
              <w:t>运营期生态环境保护措施</w:t>
            </w:r>
          </w:p>
        </w:tc>
        <w:tc>
          <w:tcPr>
            <w:tcW w:w="8371" w:type="dxa"/>
            <w:tcBorders>
              <w:tl2br w:val="nil"/>
              <w:tr2bl w:val="nil"/>
            </w:tcBorders>
            <w:vAlign w:val="center"/>
          </w:tcPr>
          <w:p w14:paraId="754714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21073B3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本工程建成后，可改善项目所在区域排水情况，缓解城市防洪压力，缓解城区淹积水问题，对保护水环境和居民生活环境有利。针对运营期产生的污染提出如下保护措施：</w:t>
            </w:r>
          </w:p>
          <w:p w14:paraId="1067EF6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sz w:val="24"/>
                <w:lang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①加强排水管网的检修，及时对产生破损、泄漏的管（沟）进行维修，保障其正常排水功能。</w:t>
            </w:r>
          </w:p>
          <w:p w14:paraId="28301E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color w:val="000000" w:themeColor="text1"/>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②</w:t>
            </w:r>
            <w:r>
              <w:rPr>
                <w:rFonts w:hint="eastAsia" w:cs="Times New Roman" w:eastAsiaTheme="minorEastAsia"/>
                <w:color w:val="000000" w:themeColor="text1"/>
                <w:sz w:val="24"/>
                <w:lang w:val="en-US" w:eastAsia="zh-CN"/>
                <w14:textFill>
                  <w14:solidFill>
                    <w14:schemeClr w14:val="tx1"/>
                  </w14:solidFill>
                </w14:textFill>
              </w:rPr>
              <w:t>一体式水处理设施</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污泥及时由环卫部门清掏清运，减少其滞留时间。</w:t>
            </w:r>
          </w:p>
          <w:p w14:paraId="691166D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③</w:t>
            </w:r>
            <w:r>
              <w:rPr>
                <w:rFonts w:hint="eastAsia" w:ascii="Times New Roman" w:hAnsi="Times New Roman" w:cs="Times New Roman" w:eastAsiaTheme="minorEastAsia"/>
                <w:color w:val="000000" w:themeColor="text1"/>
                <w:sz w:val="24"/>
                <w:lang w:val="en-US" w:eastAsia="zh-CN"/>
                <w14:textFill>
                  <w14:solidFill>
                    <w14:schemeClr w14:val="tx1"/>
                  </w14:solidFill>
                </w14:textFill>
              </w:rPr>
              <w:t>加强对排水泵站管理，确保设施设备正常运行，减少噪声、固废产生。</w:t>
            </w:r>
          </w:p>
          <w:p w14:paraId="22CC64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rPr>
                <w:rFonts w:hint="default" w:ascii="Times New Roman" w:hAnsi="Times New Roman" w:cs="Times New Roman" w:eastAsiaTheme="minorEastAsia"/>
                <w:bCs/>
                <w:color w:val="000000" w:themeColor="text1"/>
                <w:spacing w:val="10"/>
                <w:sz w:val="24"/>
                <w:lang w:eastAsia="zh-CN"/>
                <w14:textFill>
                  <w14:solidFill>
                    <w14:schemeClr w14:val="tx1"/>
                  </w14:solidFill>
                </w14:textFill>
              </w:rPr>
            </w:pPr>
          </w:p>
        </w:tc>
      </w:tr>
      <w:tr w14:paraId="697D6C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tcBorders>
              <w:tl2br w:val="nil"/>
              <w:tr2bl w:val="nil"/>
            </w:tcBorders>
            <w:tcMar>
              <w:left w:w="28" w:type="dxa"/>
              <w:right w:w="28" w:type="dxa"/>
            </w:tcMar>
            <w:vAlign w:val="center"/>
          </w:tcPr>
          <w:p w14:paraId="09724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spacing w:val="10"/>
                <w:sz w:val="24"/>
                <w:lang w:eastAsia="zh-CN"/>
                <w14:textFill>
                  <w14:solidFill>
                    <w14:schemeClr w14:val="tx1"/>
                  </w14:solidFill>
                </w14:textFill>
              </w:rPr>
            </w:pPr>
            <w:r>
              <w:rPr>
                <w:rFonts w:hint="default" w:ascii="Times New Roman" w:hAnsi="Times New Roman" w:cs="Times New Roman" w:eastAsiaTheme="minorEastAsia"/>
                <w:b/>
                <w:bCs w:val="0"/>
                <w:color w:val="000000" w:themeColor="text1"/>
                <w:spacing w:val="10"/>
                <w:sz w:val="24"/>
                <w:lang w:eastAsia="zh-CN"/>
                <w14:textFill>
                  <w14:solidFill>
                    <w14:schemeClr w14:val="tx1"/>
                  </w14:solidFill>
                </w14:textFill>
              </w:rPr>
              <w:t>环境管理</w:t>
            </w:r>
          </w:p>
        </w:tc>
        <w:tc>
          <w:tcPr>
            <w:tcW w:w="8371" w:type="dxa"/>
            <w:tcBorders>
              <w:tl2br w:val="nil"/>
              <w:tr2bl w:val="nil"/>
            </w:tcBorders>
            <w:vAlign w:val="center"/>
          </w:tcPr>
          <w:p w14:paraId="0482DEAD">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both"/>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环境管理是工程管理的一部分，是工程环境保护工作有效实施的重要环节。环境管理目的主要是保证本工程各项环境保护措施的顺利落实，符合环保“三同时”的要求，使工程建设对环境的不利影响得以减免和控制，保护好评价区自然环境和生态环境，以保持工程地区生态系统的良性发展。</w:t>
            </w:r>
          </w:p>
          <w:p w14:paraId="6EEA4000">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1、施工期环境管理</w:t>
            </w:r>
          </w:p>
          <w:p w14:paraId="3075B96F">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项目应安排一名熟悉环保政策和法规的专业技术人员负责落实环保措施，同时组成一个由指挥长为组长的环境管理小组，以协调施工单位的环保工作。监理公司配置环保专业人员，负责施工过程中的环保工程监理，并检查“三同时”的落实情况。环境监理部门应充分了解本项目施工计划，制定详细的监理计划，施工中环境监理人员可根据情况，对重要地段或敏感点提出环境监测计划，掌握施工期的环境状况，确保不发生重大的环境事故。</w:t>
            </w:r>
          </w:p>
          <w:p w14:paraId="52C4519C">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项目施工期会对环境造成一定影响，在加强施工期的环境管理并采取环评建议和要求的环保措施的基础上，可将其影响控制在最低程度。</w:t>
            </w:r>
          </w:p>
          <w:p w14:paraId="4FC08BB3">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2、营运期环境管理</w:t>
            </w:r>
          </w:p>
          <w:p w14:paraId="44A14856">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工程实施完成后，运营期监督管理环境恢复监测和环境恢复计划的落实情况及环保处理设施运行情况。检查生态恢复和污染防治措施的落实情况。参与环境工程验收活动，协助建设单位组织人员的环境保护培训，负责工程环境监理工作计划和总结</w:t>
            </w:r>
            <w:r>
              <w:rPr>
                <w:rFonts w:hint="eastAsia" w:cs="Times New Roman" w:eastAsiaTheme="minorEastAsia"/>
                <w:color w:val="000000" w:themeColor="text1"/>
                <w:kern w:val="0"/>
                <w:sz w:val="24"/>
                <w:szCs w:val="24"/>
                <w:lang w:val="en-US" w:eastAsia="zh-CN" w:bidi="ar"/>
                <w14:textFill>
                  <w14:solidFill>
                    <w14:schemeClr w14:val="tx1"/>
                  </w14:solidFill>
                </w14:textFill>
              </w:rPr>
              <w:t>。</w:t>
            </w:r>
          </w:p>
          <w:p w14:paraId="6ACD6479">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cs="Times New Roman" w:eastAsiaTheme="minorEastAsia"/>
                <w:color w:val="000000" w:themeColor="text1"/>
                <w14:textFill>
                  <w14:solidFill>
                    <w14:schemeClr w14:val="tx1"/>
                  </w14:solidFill>
                </w14:textFill>
              </w:rPr>
            </w:pPr>
            <w:r>
              <w:rPr>
                <w:rFonts w:hint="default" w:ascii="Times New Roman" w:hAnsi="Times New Roman" w:cs="Times New Roman" w:eastAsiaTheme="minorEastAsia"/>
                <w:b/>
                <w:bCs/>
                <w:color w:val="000000" w:themeColor="text1"/>
                <w:kern w:val="0"/>
                <w:sz w:val="24"/>
                <w:szCs w:val="24"/>
                <w:lang w:val="en-US" w:eastAsia="zh-CN" w:bidi="ar"/>
                <w14:textFill>
                  <w14:solidFill>
                    <w14:schemeClr w14:val="tx1"/>
                  </w14:solidFill>
                </w14:textFill>
              </w:rPr>
              <w:t>3、环境监测计划</w:t>
            </w:r>
          </w:p>
          <w:p w14:paraId="69B6C4C7">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根据《排污单位自行监测技术指南总则》（HJ819-2017）的相关规定，并参照其他同类型项目制定本项目的监测计划，建设单位可委托具有资质的检（监）测机构开展监测。</w:t>
            </w:r>
          </w:p>
          <w:p w14:paraId="241E7589">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t>具体监测计划详见表5-1。</w:t>
            </w:r>
          </w:p>
          <w:p w14:paraId="46181211">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2CEA621A">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56C83743">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221B48BE">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119C5B47">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4B3B10F8">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28CDBC44">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47C7A8CC">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11228C4E">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szCs w:val="24"/>
                <w:lang w:val="en-US" w:eastAsia="zh-CN" w:bidi="ar"/>
                <w14:textFill>
                  <w14:solidFill>
                    <w14:schemeClr w14:val="tx1"/>
                  </w14:solidFill>
                </w14:textFill>
              </w:rPr>
            </w:pPr>
          </w:p>
          <w:p w14:paraId="5365E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000000" w:themeColor="text1"/>
                <w:sz w:val="24"/>
                <w:szCs w:val="24"/>
                <w14:textFill>
                  <w14:solidFill>
                    <w14:schemeClr w14:val="tx1"/>
                  </w14:solidFill>
                </w14:textFill>
              </w:rPr>
              <w:t>表</w:t>
            </w: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5-1</w:t>
            </w:r>
            <w:bookmarkStart w:id="33" w:name="OLE_LINK16"/>
            <w:r>
              <w:rPr>
                <w:rFonts w:hint="eastAsia" w:cs="Times New Roman" w:eastAsiaTheme="minorEastAsia"/>
                <w:b/>
                <w:bCs/>
                <w:color w:val="000000" w:themeColor="text1"/>
                <w:sz w:val="24"/>
                <w:szCs w:val="24"/>
                <w:lang w:val="en-US" w:eastAsia="zh-CN"/>
                <w14:textFill>
                  <w14:solidFill>
                    <w14:schemeClr w14:val="tx1"/>
                  </w14:solidFill>
                </w14:textFill>
              </w:rPr>
              <w:t xml:space="preserve">  </w:t>
            </w:r>
            <w:r>
              <w:rPr>
                <w:rFonts w:hint="default" w:ascii="Times New Roman" w:hAnsi="Times New Roman" w:cs="Times New Roman" w:eastAsiaTheme="minorEastAsia"/>
                <w:b/>
                <w:bCs/>
                <w:color w:val="000000" w:themeColor="text1"/>
                <w:sz w:val="24"/>
                <w:szCs w:val="24"/>
                <w14:textFill>
                  <w14:solidFill>
                    <w14:schemeClr w14:val="tx1"/>
                  </w14:solidFill>
                </w14:textFill>
              </w:rPr>
              <w:t>环境监测计划表</w:t>
            </w:r>
            <w:bookmarkEnd w:id="33"/>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53"/>
              <w:gridCol w:w="2306"/>
              <w:gridCol w:w="2256"/>
              <w:gridCol w:w="1798"/>
            </w:tblGrid>
            <w:tr w14:paraId="558B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tcBorders>
                    <w:tl2br w:val="nil"/>
                    <w:tr2bl w:val="nil"/>
                  </w:tcBorders>
                  <w:vAlign w:val="center"/>
                </w:tcPr>
                <w:p w14:paraId="34D8C9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监测时期</w:t>
                  </w:r>
                </w:p>
              </w:tc>
              <w:tc>
                <w:tcPr>
                  <w:tcW w:w="1153" w:type="dxa"/>
                  <w:tcBorders>
                    <w:tl2br w:val="nil"/>
                    <w:tr2bl w:val="nil"/>
                  </w:tcBorders>
                  <w:vAlign w:val="center"/>
                </w:tcPr>
                <w:p w14:paraId="24CBD3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监测项目</w:t>
                  </w:r>
                </w:p>
              </w:tc>
              <w:tc>
                <w:tcPr>
                  <w:tcW w:w="2306" w:type="dxa"/>
                  <w:tcBorders>
                    <w:tl2br w:val="nil"/>
                    <w:tr2bl w:val="nil"/>
                  </w:tcBorders>
                  <w:vAlign w:val="center"/>
                </w:tcPr>
                <w:p w14:paraId="0F2EC4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指标</w:t>
                  </w:r>
                </w:p>
              </w:tc>
              <w:tc>
                <w:tcPr>
                  <w:tcW w:w="2256" w:type="dxa"/>
                  <w:tcBorders>
                    <w:tl2br w:val="nil"/>
                    <w:tr2bl w:val="nil"/>
                  </w:tcBorders>
                  <w:vAlign w:val="center"/>
                </w:tcPr>
                <w:p w14:paraId="4582CE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频次</w:t>
                  </w:r>
                </w:p>
              </w:tc>
              <w:tc>
                <w:tcPr>
                  <w:tcW w:w="1798" w:type="dxa"/>
                  <w:tcBorders>
                    <w:tl2br w:val="nil"/>
                    <w:tr2bl w:val="nil"/>
                  </w:tcBorders>
                  <w:vAlign w:val="center"/>
                </w:tcPr>
                <w:p w14:paraId="5F49B9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监测点</w:t>
                  </w:r>
                </w:p>
              </w:tc>
            </w:tr>
            <w:tr w14:paraId="4E4F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l2br w:val="nil"/>
                    <w:tr2bl w:val="nil"/>
                  </w:tcBorders>
                  <w:vAlign w:val="center"/>
                </w:tcPr>
                <w:p w14:paraId="368DE0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w:t>
                  </w:r>
                </w:p>
              </w:tc>
              <w:tc>
                <w:tcPr>
                  <w:tcW w:w="1153" w:type="dxa"/>
                  <w:tcBorders>
                    <w:tl2br w:val="nil"/>
                    <w:tr2bl w:val="nil"/>
                  </w:tcBorders>
                  <w:vAlign w:val="center"/>
                </w:tcPr>
                <w:p w14:paraId="6CAE4F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大气监测</w:t>
                  </w:r>
                </w:p>
              </w:tc>
              <w:tc>
                <w:tcPr>
                  <w:tcW w:w="2306" w:type="dxa"/>
                  <w:tcBorders>
                    <w:tl2br w:val="nil"/>
                    <w:tr2bl w:val="nil"/>
                  </w:tcBorders>
                  <w:vAlign w:val="center"/>
                </w:tcPr>
                <w:p w14:paraId="52466D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TSP</w:t>
                  </w:r>
                </w:p>
              </w:tc>
              <w:tc>
                <w:tcPr>
                  <w:tcW w:w="2256" w:type="dxa"/>
                  <w:tcBorders>
                    <w:tl2br w:val="nil"/>
                    <w:tr2bl w:val="nil"/>
                  </w:tcBorders>
                  <w:vAlign w:val="center"/>
                </w:tcPr>
                <w:p w14:paraId="1C8175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高峰期监测1次，每次连续监测3天，每天分4个时段监测</w:t>
                  </w:r>
                </w:p>
              </w:tc>
              <w:tc>
                <w:tcPr>
                  <w:tcW w:w="1798" w:type="dxa"/>
                  <w:tcBorders>
                    <w:tl2br w:val="nil"/>
                    <w:tr2bl w:val="nil"/>
                  </w:tcBorders>
                  <w:vAlign w:val="center"/>
                </w:tcPr>
                <w:p w14:paraId="5E3E29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施工现场</w:t>
                  </w:r>
                </w:p>
              </w:tc>
            </w:tr>
            <w:tr w14:paraId="7A67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14:paraId="0AAA5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tcBorders>
                    <w:tl2br w:val="nil"/>
                    <w:tr2bl w:val="nil"/>
                  </w:tcBorders>
                  <w:vAlign w:val="center"/>
                </w:tcPr>
                <w:p w14:paraId="2147CB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水</w:t>
                  </w:r>
                  <w:r>
                    <w:rPr>
                      <w:rFonts w:hint="default" w:ascii="Times New Roman" w:hAnsi="Times New Roman" w:cs="Times New Roman" w:eastAsiaTheme="minorEastAsia"/>
                      <w:color w:val="000000" w:themeColor="text1"/>
                      <w:sz w:val="21"/>
                      <w:szCs w:val="21"/>
                      <w14:textFill>
                        <w14:solidFill>
                          <w14:schemeClr w14:val="tx1"/>
                        </w14:solidFill>
                      </w14:textFill>
                    </w:rPr>
                    <w:t>环境监测</w:t>
                  </w:r>
                </w:p>
              </w:tc>
              <w:tc>
                <w:tcPr>
                  <w:tcW w:w="2306" w:type="dxa"/>
                  <w:tcBorders>
                    <w:tl2br w:val="nil"/>
                    <w:tr2bl w:val="nil"/>
                  </w:tcBorders>
                  <w:vAlign w:val="center"/>
                </w:tcPr>
                <w:p w14:paraId="0FC836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河流水质监测项目水温、pH、DO、SS、COD、</w:t>
                  </w:r>
                </w:p>
                <w:p w14:paraId="6037F9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-N、总磷、六价铬、挥发酚、氟化物、粪大肠菌群和锌等；生活污水监测项目主要为流量、SS、BOD</w:t>
                  </w:r>
                </w:p>
                <w:p w14:paraId="4359FA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、COD、粪大肠菌群、阴离子表面活性剂和氨氮等；施工废水仅监测流量和SS。</w:t>
                  </w:r>
                </w:p>
              </w:tc>
              <w:tc>
                <w:tcPr>
                  <w:tcW w:w="2256" w:type="dxa"/>
                  <w:tcBorders>
                    <w:tl2br w:val="nil"/>
                    <w:tr2bl w:val="nil"/>
                  </w:tcBorders>
                  <w:vAlign w:val="center"/>
                </w:tcPr>
                <w:p w14:paraId="6550D3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施工期内至少一次，连续监测</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天</w:t>
                  </w:r>
                </w:p>
              </w:tc>
              <w:tc>
                <w:tcPr>
                  <w:tcW w:w="1798" w:type="dxa"/>
                  <w:tcBorders>
                    <w:tl2br w:val="nil"/>
                    <w:tr2bl w:val="nil"/>
                  </w:tcBorders>
                  <w:vAlign w:val="center"/>
                </w:tcPr>
                <w:p w14:paraId="709DFD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河道施工下游处、各个配套建筑物、生活废水处理末端和生活区生活污水处理末端等处各设1个监测点位。</w:t>
                  </w:r>
                </w:p>
                <w:p w14:paraId="6AEF28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41D59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14:paraId="319E22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tcBorders>
                    <w:tl2br w:val="nil"/>
                    <w:tr2bl w:val="nil"/>
                  </w:tcBorders>
                  <w:vAlign w:val="center"/>
                </w:tcPr>
                <w:p w14:paraId="01CF08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声环境监测</w:t>
                  </w:r>
                </w:p>
              </w:tc>
              <w:tc>
                <w:tcPr>
                  <w:tcW w:w="2306" w:type="dxa"/>
                  <w:tcBorders>
                    <w:tl2br w:val="nil"/>
                    <w:tr2bl w:val="nil"/>
                  </w:tcBorders>
                  <w:vAlign w:val="center"/>
                </w:tcPr>
                <w:p w14:paraId="326BBF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等效连续A声级</w:t>
                  </w:r>
                </w:p>
              </w:tc>
              <w:tc>
                <w:tcPr>
                  <w:tcW w:w="2256" w:type="dxa"/>
                  <w:tcBorders>
                    <w:tl2br w:val="nil"/>
                    <w:tr2bl w:val="nil"/>
                  </w:tcBorders>
                  <w:vAlign w:val="center"/>
                </w:tcPr>
                <w:p w14:paraId="4AC819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施工期内至少一次，连续监测2天，每天昼、夜间监测1次</w:t>
                  </w:r>
                </w:p>
              </w:tc>
              <w:tc>
                <w:tcPr>
                  <w:tcW w:w="1798" w:type="dxa"/>
                  <w:tcBorders>
                    <w:tl2br w:val="nil"/>
                    <w:tr2bl w:val="nil"/>
                  </w:tcBorders>
                  <w:vAlign w:val="center"/>
                </w:tcPr>
                <w:p w14:paraId="01B8CE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施工现场边界</w:t>
                  </w:r>
                </w:p>
              </w:tc>
            </w:tr>
            <w:tr w14:paraId="5C13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14:paraId="0ACE8F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tcBorders>
                    <w:tl2br w:val="nil"/>
                    <w:tr2bl w:val="nil"/>
                  </w:tcBorders>
                  <w:vAlign w:val="center"/>
                </w:tcPr>
                <w:p w14:paraId="423666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2306" w:type="dxa"/>
                  <w:tcBorders>
                    <w:tl2br w:val="nil"/>
                    <w:tr2bl w:val="nil"/>
                  </w:tcBorders>
                  <w:vAlign w:val="center"/>
                </w:tcPr>
                <w:p w14:paraId="53C2E8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排洪渠沙土</w:t>
                  </w:r>
                  <w:r>
                    <w:rPr>
                      <w:rFonts w:hint="default" w:ascii="Times New Roman" w:hAnsi="Times New Roman" w:cs="Times New Roman" w:eastAsiaTheme="minorEastAsia"/>
                      <w:color w:val="000000" w:themeColor="text1"/>
                      <w:sz w:val="21"/>
                      <w:szCs w:val="21"/>
                      <w14:textFill>
                        <w14:solidFill>
                          <w14:schemeClr w14:val="tx1"/>
                        </w14:solidFill>
                      </w14:textFill>
                    </w:rPr>
                    <w:t>土方量</w:t>
                  </w:r>
                </w:p>
              </w:tc>
              <w:tc>
                <w:tcPr>
                  <w:tcW w:w="2256" w:type="dxa"/>
                  <w:tcBorders>
                    <w:tl2br w:val="nil"/>
                    <w:tr2bl w:val="nil"/>
                  </w:tcBorders>
                  <w:vAlign w:val="center"/>
                </w:tcPr>
                <w:p w14:paraId="5D8E7A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每天进行统计</w:t>
                  </w:r>
                </w:p>
              </w:tc>
              <w:tc>
                <w:tcPr>
                  <w:tcW w:w="1798" w:type="dxa"/>
                  <w:tcBorders>
                    <w:tl2br w:val="nil"/>
                    <w:tr2bl w:val="nil"/>
                  </w:tcBorders>
                  <w:vAlign w:val="center"/>
                </w:tcPr>
                <w:p w14:paraId="7DD3F5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施工现场</w:t>
                  </w:r>
                </w:p>
              </w:tc>
            </w:tr>
            <w:tr w14:paraId="7B636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l2br w:val="nil"/>
                    <w:tr2bl w:val="nil"/>
                  </w:tcBorders>
                  <w:vAlign w:val="center"/>
                </w:tcPr>
                <w:p w14:paraId="01DF2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运营期</w:t>
                  </w:r>
                </w:p>
              </w:tc>
              <w:tc>
                <w:tcPr>
                  <w:tcW w:w="1153" w:type="dxa"/>
                  <w:tcBorders>
                    <w:tl2br w:val="nil"/>
                    <w:tr2bl w:val="nil"/>
                  </w:tcBorders>
                  <w:vAlign w:val="center"/>
                </w:tcPr>
                <w:p w14:paraId="2CD43D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2306" w:type="dxa"/>
                  <w:tcBorders>
                    <w:tl2br w:val="nil"/>
                    <w:tr2bl w:val="nil"/>
                  </w:tcBorders>
                  <w:vAlign w:val="center"/>
                </w:tcPr>
                <w:p w14:paraId="19F489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排洪渠植物枯叶及沙土方量</w:t>
                  </w:r>
                </w:p>
              </w:tc>
              <w:tc>
                <w:tcPr>
                  <w:tcW w:w="2256" w:type="dxa"/>
                  <w:tcBorders>
                    <w:tl2br w:val="nil"/>
                    <w:tr2bl w:val="nil"/>
                  </w:tcBorders>
                  <w:vAlign w:val="center"/>
                </w:tcPr>
                <w:p w14:paraId="66986D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定期统计</w:t>
                  </w:r>
                </w:p>
              </w:tc>
              <w:tc>
                <w:tcPr>
                  <w:tcW w:w="1798" w:type="dxa"/>
                  <w:tcBorders>
                    <w:tl2br w:val="nil"/>
                    <w:tr2bl w:val="nil"/>
                  </w:tcBorders>
                  <w:vAlign w:val="center"/>
                </w:tcPr>
                <w:p w14:paraId="7C88CC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项目现场</w:t>
                  </w:r>
                </w:p>
              </w:tc>
            </w:tr>
            <w:tr w14:paraId="5313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vAlign w:val="center"/>
                </w:tcPr>
                <w:p w14:paraId="7F4DB1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153" w:type="dxa"/>
                  <w:tcBorders>
                    <w:tl2br w:val="nil"/>
                    <w:tr2bl w:val="nil"/>
                  </w:tcBorders>
                  <w:vAlign w:val="center"/>
                </w:tcPr>
                <w:p w14:paraId="4D9822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w:t>
                  </w:r>
                </w:p>
              </w:tc>
              <w:tc>
                <w:tcPr>
                  <w:tcW w:w="2306" w:type="dxa"/>
                  <w:tcBorders>
                    <w:tl2br w:val="nil"/>
                    <w:tr2bl w:val="nil"/>
                  </w:tcBorders>
                  <w:vAlign w:val="center"/>
                </w:tcPr>
                <w:p w14:paraId="2D703F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w:t>
                  </w:r>
                  <w:r>
                    <w:rPr>
                      <w:rFonts w:hint="default" w:ascii="Times New Roman" w:hAnsi="Times New Roman" w:cs="Times New Roman" w:eastAsiaTheme="minorEastAsia"/>
                      <w:color w:val="000000" w:themeColor="text1"/>
                      <w:sz w:val="21"/>
                      <w:szCs w:val="21"/>
                      <w14:textFill>
                        <w14:solidFill>
                          <w14:schemeClr w14:val="tx1"/>
                        </w14:solidFill>
                      </w14:textFill>
                    </w:rPr>
                    <w:t>周围绿化区域</w:t>
                  </w:r>
                </w:p>
              </w:tc>
              <w:tc>
                <w:tcPr>
                  <w:tcW w:w="2256" w:type="dxa"/>
                  <w:tcBorders>
                    <w:tl2br w:val="nil"/>
                    <w:tr2bl w:val="nil"/>
                  </w:tcBorders>
                  <w:vAlign w:val="center"/>
                </w:tcPr>
                <w:p w14:paraId="2E924D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生物损失量，植被覆盖率及水土流失恢复率</w:t>
                  </w:r>
                </w:p>
              </w:tc>
              <w:tc>
                <w:tcPr>
                  <w:tcW w:w="1798" w:type="dxa"/>
                  <w:tcBorders>
                    <w:tl2br w:val="nil"/>
                    <w:tr2bl w:val="nil"/>
                  </w:tcBorders>
                  <w:vAlign w:val="center"/>
                </w:tcPr>
                <w:p w14:paraId="34FBB5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土质边坡和右堤堤顶</w:t>
                  </w:r>
                </w:p>
              </w:tc>
            </w:tr>
          </w:tbl>
          <w:p w14:paraId="045F2B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522" w:firstLineChars="200"/>
              <w:textAlignment w:val="auto"/>
              <w:rPr>
                <w:rFonts w:hint="default" w:ascii="Times New Roman" w:hAnsi="Times New Roman" w:cs="Times New Roman" w:eastAsiaTheme="minorEastAsia"/>
                <w:b/>
                <w:bCs/>
                <w:color w:val="000000" w:themeColor="text1"/>
                <w:spacing w:val="10"/>
                <w:sz w:val="24"/>
                <w14:textFill>
                  <w14:solidFill>
                    <w14:schemeClr w14:val="tx1"/>
                  </w14:solidFill>
                </w14:textFill>
              </w:rPr>
            </w:pPr>
            <w:r>
              <w:rPr>
                <w:rFonts w:hint="default" w:ascii="Times New Roman" w:hAnsi="Times New Roman" w:cs="Times New Roman" w:eastAsiaTheme="minorEastAsia"/>
                <w:b/>
                <w:bCs/>
                <w:color w:val="000000" w:themeColor="text1"/>
                <w:spacing w:val="10"/>
                <w:sz w:val="24"/>
                <w:lang w:val="en-US" w:eastAsia="zh-CN"/>
                <w14:textFill>
                  <w14:solidFill>
                    <w14:schemeClr w14:val="tx1"/>
                  </w14:solidFill>
                </w14:textFill>
              </w:rPr>
              <w:t>4</w:t>
            </w:r>
            <w:r>
              <w:rPr>
                <w:rFonts w:hint="default" w:ascii="Times New Roman" w:hAnsi="Times New Roman" w:cs="Times New Roman" w:eastAsiaTheme="minorEastAsia"/>
                <w:b/>
                <w:bCs/>
                <w:color w:val="000000" w:themeColor="text1"/>
                <w:spacing w:val="10"/>
                <w:sz w:val="24"/>
                <w14:textFill>
                  <w14:solidFill>
                    <w14:schemeClr w14:val="tx1"/>
                  </w14:solidFill>
                </w14:textFill>
              </w:rPr>
              <w:t>、环境污染防治设施竣工验收管理</w:t>
            </w:r>
          </w:p>
          <w:p w14:paraId="290DE5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本项目对施工期“三废”、噪声的防治均通过设置合理可行的环保设施，采取行之有效的防治措施来降低对环境的污染影响及危害程度，因此，本项目制定环境污染防治设施竣工验收清单，通过此竣工验收清单来确保本项目环保设施及污染防治措施的顺利进行。</w:t>
            </w:r>
          </w:p>
          <w:p w14:paraId="214A4898">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206211FE">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30CBC926">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3F08B29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6CAC73C1">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3EE0E7B4">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1478F264">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7E000B8B">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58E4AF19">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755E8857">
            <w:pPr>
              <w:pStyle w:val="2"/>
              <w:keepNext w:val="0"/>
              <w:keepLines w:val="0"/>
              <w:suppressLineNumbers w:val="0"/>
              <w:spacing w:before="0" w:beforeAutospacing="0" w:after="0" w:afterAutospacing="0"/>
              <w:ind w:left="0" w:right="0"/>
              <w:rPr>
                <w:rFonts w:hint="default" w:ascii="Times New Roman" w:hAnsi="Times New Roman" w:cs="Times New Roman" w:eastAsiaTheme="minorEastAsia"/>
                <w:color w:val="000000" w:themeColor="text1"/>
                <w:kern w:val="0"/>
                <w:sz w:val="24"/>
                <w14:textFill>
                  <w14:solidFill>
                    <w14:schemeClr w14:val="tx1"/>
                  </w14:solidFill>
                </w14:textFill>
              </w:rPr>
            </w:pPr>
          </w:p>
          <w:p w14:paraId="0B2527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r>
              <w:rPr>
                <w:rFonts w:hint="default" w:ascii="Times New Roman" w:hAnsi="Times New Roman" w:cs="Times New Roman" w:eastAsiaTheme="minorEastAsia"/>
                <w:b/>
                <w:bCs/>
                <w:color w:val="000000" w:themeColor="text1"/>
                <w:lang w:val="en-US" w:eastAsia="zh-CN"/>
                <w14:textFill>
                  <w14:solidFill>
                    <w14:schemeClr w14:val="tx1"/>
                  </w14:solidFill>
                </w14:textFill>
              </w:rPr>
              <w:t>表5-2</w:t>
            </w:r>
            <w:bookmarkStart w:id="34" w:name="OLE_LINK14"/>
            <w:r>
              <w:rPr>
                <w:rFonts w:hint="default" w:ascii="Times New Roman" w:hAnsi="Times New Roman" w:cs="Times New Roman" w:eastAsiaTheme="minorEastAsia"/>
                <w:b/>
                <w:bCs/>
                <w:color w:val="000000" w:themeColor="text1"/>
                <w:lang w:val="en-US" w:eastAsia="zh-CN"/>
                <w14:textFill>
                  <w14:solidFill>
                    <w14:schemeClr w14:val="tx1"/>
                  </w14:solidFill>
                </w14:textFill>
              </w:rPr>
              <w:t>环保设施“三同时”验收内容一览表</w:t>
            </w:r>
            <w:bookmarkEnd w:id="34"/>
          </w:p>
          <w:tbl>
            <w:tblPr>
              <w:tblStyle w:val="25"/>
              <w:tblW w:w="81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683"/>
              <w:gridCol w:w="1057"/>
              <w:gridCol w:w="4162"/>
              <w:gridCol w:w="1569"/>
            </w:tblGrid>
            <w:tr w14:paraId="70739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tcBorders>
                    <w:tl2br w:val="nil"/>
                    <w:tr2bl w:val="nil"/>
                  </w:tcBorders>
                  <w:vAlign w:val="center"/>
                </w:tcPr>
                <w:p w14:paraId="79D2A6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时段</w:t>
                  </w:r>
                </w:p>
              </w:tc>
              <w:tc>
                <w:tcPr>
                  <w:tcW w:w="1740" w:type="dxa"/>
                  <w:gridSpan w:val="2"/>
                  <w:tcBorders>
                    <w:tl2br w:val="nil"/>
                    <w:tr2bl w:val="nil"/>
                  </w:tcBorders>
                  <w:vAlign w:val="center"/>
                </w:tcPr>
                <w:p w14:paraId="089671E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项目</w:t>
                  </w:r>
                </w:p>
              </w:tc>
              <w:tc>
                <w:tcPr>
                  <w:tcW w:w="4162" w:type="dxa"/>
                  <w:tcBorders>
                    <w:tl2br w:val="nil"/>
                    <w:tr2bl w:val="nil"/>
                  </w:tcBorders>
                  <w:vAlign w:val="center"/>
                </w:tcPr>
                <w:p w14:paraId="70A4E4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环保措施及设施</w:t>
                  </w:r>
                </w:p>
              </w:tc>
              <w:tc>
                <w:tcPr>
                  <w:tcW w:w="1569" w:type="dxa"/>
                  <w:tcBorders>
                    <w:tl2br w:val="nil"/>
                    <w:tr2bl w:val="nil"/>
                  </w:tcBorders>
                  <w:vAlign w:val="center"/>
                </w:tcPr>
                <w:p w14:paraId="40E6C8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执行标准</w:t>
                  </w:r>
                </w:p>
              </w:tc>
            </w:tr>
            <w:tr w14:paraId="75D4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restart"/>
                  <w:tcBorders>
                    <w:tl2br w:val="nil"/>
                    <w:tr2bl w:val="nil"/>
                  </w:tcBorders>
                  <w:vAlign w:val="center"/>
                </w:tcPr>
                <w:p w14:paraId="379A5F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w:t>
                  </w:r>
                </w:p>
              </w:tc>
              <w:tc>
                <w:tcPr>
                  <w:tcW w:w="683" w:type="dxa"/>
                  <w:tcBorders>
                    <w:tl2br w:val="nil"/>
                    <w:tr2bl w:val="nil"/>
                  </w:tcBorders>
                  <w:vAlign w:val="center"/>
                </w:tcPr>
                <w:p w14:paraId="6D875F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w:t>
                  </w:r>
                </w:p>
              </w:tc>
              <w:tc>
                <w:tcPr>
                  <w:tcW w:w="1057" w:type="dxa"/>
                  <w:tcBorders>
                    <w:tl2br w:val="nil"/>
                    <w:tr2bl w:val="nil"/>
                  </w:tcBorders>
                  <w:vAlign w:val="center"/>
                </w:tcPr>
                <w:p w14:paraId="6F46FE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扬尘</w:t>
                  </w:r>
                </w:p>
              </w:tc>
              <w:tc>
                <w:tcPr>
                  <w:tcW w:w="4162" w:type="dxa"/>
                  <w:tcBorders>
                    <w:tl2br w:val="nil"/>
                    <w:tr2bl w:val="nil"/>
                  </w:tcBorders>
                  <w:vAlign w:val="center"/>
                </w:tcPr>
                <w:p w14:paraId="287F52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每日定时洒水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施工区设置标志牌；施工场界设置围挡；施工现场的道路、加工区实施硬化；物料分类堆放，严密覆盖；大风天气，停止土方作业，覆盖防尘网；运输车辆上路前冲洗，物料遮盖。</w:t>
                  </w:r>
                  <w:r>
                    <w:rPr>
                      <w:rFonts w:hint="default" w:ascii="Times New Roman" w:hAnsi="Times New Roman" w:cs="Times New Roman" w:eastAsiaTheme="minorEastAsia"/>
                      <w:color w:val="000000" w:themeColor="text1"/>
                      <w:sz w:val="21"/>
                      <w:szCs w:val="21"/>
                      <w14:textFill>
                        <w14:solidFill>
                          <w14:schemeClr w14:val="tx1"/>
                        </w14:solidFill>
                      </w14:textFill>
                    </w:rPr>
                    <w:t>施工机械采用符合国家标准的设备，施工期加强管理，确保尾气排放达标</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河道疏浚、</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清淤、随挖随运，不在项目区堆放，施工结束后及时植被恢复</w:t>
                  </w:r>
                </w:p>
              </w:tc>
              <w:tc>
                <w:tcPr>
                  <w:tcW w:w="1569" w:type="dxa"/>
                  <w:tcBorders>
                    <w:tl2br w:val="nil"/>
                    <w:tr2bl w:val="nil"/>
                  </w:tcBorders>
                  <w:vAlign w:val="center"/>
                </w:tcPr>
                <w:p w14:paraId="5463F3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《大气污染物综合排放标准》（GB16297</w:t>
                  </w:r>
                  <w:r>
                    <w:rPr>
                      <w:rFonts w:hint="eastAsia" w:cs="Times New Roman" w:eastAsiaTheme="minorEastAsia"/>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color w:val="000000" w:themeColor="text1"/>
                      <w:sz w:val="21"/>
                      <w:szCs w:val="21"/>
                      <w14:textFill>
                        <w14:solidFill>
                          <w14:schemeClr w14:val="tx1"/>
                        </w14:solidFill>
                      </w14:textFill>
                    </w:rPr>
                    <w:t>-1996）二级标准中无组织排放监控浓度限值</w:t>
                  </w:r>
                </w:p>
              </w:tc>
            </w:tr>
            <w:tr w14:paraId="2678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682" w:type="dxa"/>
                  <w:vMerge w:val="continue"/>
                  <w:tcBorders>
                    <w:tl2br w:val="nil"/>
                    <w:tr2bl w:val="nil"/>
                  </w:tcBorders>
                  <w:vAlign w:val="center"/>
                </w:tcPr>
                <w:p w14:paraId="4F5DBA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tcBorders>
                    <w:tl2br w:val="nil"/>
                    <w:tr2bl w:val="nil"/>
                  </w:tcBorders>
                  <w:vAlign w:val="center"/>
                </w:tcPr>
                <w:p w14:paraId="2C0580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w:t>
                  </w:r>
                </w:p>
              </w:tc>
              <w:tc>
                <w:tcPr>
                  <w:tcW w:w="1057" w:type="dxa"/>
                  <w:tcBorders>
                    <w:tl2br w:val="nil"/>
                    <w:tr2bl w:val="nil"/>
                  </w:tcBorders>
                  <w:vAlign w:val="center"/>
                </w:tcPr>
                <w:p w14:paraId="0DE545A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施工废水</w:t>
                  </w:r>
                </w:p>
              </w:tc>
              <w:tc>
                <w:tcPr>
                  <w:tcW w:w="4162" w:type="dxa"/>
                  <w:tcBorders>
                    <w:tl2br w:val="nil"/>
                    <w:tr2bl w:val="nil"/>
                  </w:tcBorders>
                  <w:vAlign w:val="center"/>
                </w:tcPr>
                <w:p w14:paraId="0773EA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设置</w:t>
                  </w:r>
                  <w:r>
                    <w:rPr>
                      <w:rFonts w:hint="eastAsia" w:cs="Times New Roman" w:eastAsiaTheme="minorEastAsia"/>
                      <w:color w:val="000000" w:themeColor="text1"/>
                      <w:sz w:val="21"/>
                      <w:szCs w:val="21"/>
                      <w:lang w:eastAsia="zh-CN"/>
                      <w14:textFill>
                        <w14:solidFill>
                          <w14:schemeClr w14:val="tx1"/>
                        </w14:solidFill>
                      </w14:textFill>
                    </w:rPr>
                    <w:t>诺干</w:t>
                  </w:r>
                  <w:r>
                    <w:rPr>
                      <w:rFonts w:hint="default" w:ascii="Times New Roman" w:hAnsi="Times New Roman" w:cs="Times New Roman" w:eastAsiaTheme="minorEastAsia"/>
                      <w:color w:val="000000" w:themeColor="text1"/>
                      <w:sz w:val="21"/>
                      <w:szCs w:val="21"/>
                      <w14:textFill>
                        <w14:solidFill>
                          <w14:schemeClr w14:val="tx1"/>
                        </w14:solidFill>
                      </w14:textFill>
                    </w:rPr>
                    <w:t>沉淀池（</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cs="Times New Roman" w:eastAsiaTheme="minorEastAsia"/>
                      <w:color w:val="000000" w:themeColor="text1"/>
                      <w:sz w:val="21"/>
                      <w:szCs w:val="21"/>
                      <w:lang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），废水沉淀后用于洒水降尘</w:t>
                  </w:r>
                </w:p>
              </w:tc>
              <w:tc>
                <w:tcPr>
                  <w:tcW w:w="1569" w:type="dxa"/>
                  <w:vMerge w:val="restart"/>
                  <w:tcBorders>
                    <w:tl2br w:val="nil"/>
                    <w:tr2bl w:val="nil"/>
                  </w:tcBorders>
                  <w:vAlign w:val="center"/>
                </w:tcPr>
                <w:p w14:paraId="0D8186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全部综合利用不外排</w:t>
                  </w:r>
                </w:p>
              </w:tc>
            </w:tr>
            <w:tr w14:paraId="39F8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82" w:type="dxa"/>
                  <w:vMerge w:val="continue"/>
                  <w:tcBorders>
                    <w:tl2br w:val="nil"/>
                    <w:tr2bl w:val="nil"/>
                  </w:tcBorders>
                  <w:vAlign w:val="center"/>
                </w:tcPr>
                <w:p w14:paraId="4853EB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tcBorders>
                    <w:tl2br w:val="nil"/>
                    <w:tr2bl w:val="nil"/>
                  </w:tcBorders>
                  <w:vAlign w:val="center"/>
                </w:tcPr>
                <w:p w14:paraId="3C9BD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tcBorders>
                    <w:tl2br w:val="nil"/>
                    <w:tr2bl w:val="nil"/>
                  </w:tcBorders>
                  <w:vAlign w:val="center"/>
                </w:tcPr>
                <w:p w14:paraId="336CC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生活污水</w:t>
                  </w:r>
                </w:p>
              </w:tc>
              <w:tc>
                <w:tcPr>
                  <w:tcW w:w="4162" w:type="dxa"/>
                  <w:tcBorders>
                    <w:tl2br w:val="nil"/>
                    <w:tr2bl w:val="nil"/>
                  </w:tcBorders>
                  <w:vAlign w:val="center"/>
                </w:tcPr>
                <w:p w14:paraId="4FE9C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施工期施工人员依托周边村庄居住，不设生活营地</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施工人员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如厕</w:t>
                  </w:r>
                  <w:r>
                    <w:rPr>
                      <w:rFonts w:hint="default" w:ascii="Times New Roman" w:hAnsi="Times New Roman" w:cs="Times New Roman" w:eastAsiaTheme="minorEastAsia"/>
                      <w:color w:val="000000" w:themeColor="text1"/>
                      <w:sz w:val="21"/>
                      <w:szCs w:val="21"/>
                      <w14:textFill>
                        <w14:solidFill>
                          <w14:schemeClr w14:val="tx1"/>
                        </w14:solidFill>
                      </w14:textFill>
                    </w:rPr>
                    <w:t>依托附近村民设施</w:t>
                  </w:r>
                </w:p>
              </w:tc>
              <w:tc>
                <w:tcPr>
                  <w:tcW w:w="1569" w:type="dxa"/>
                  <w:vMerge w:val="continue"/>
                  <w:tcBorders>
                    <w:tl2br w:val="nil"/>
                    <w:tr2bl w:val="nil"/>
                  </w:tcBorders>
                  <w:vAlign w:val="center"/>
                </w:tcPr>
                <w:p w14:paraId="4ADE64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6A83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14:paraId="7B456D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tcBorders>
                    <w:tl2br w:val="nil"/>
                    <w:tr2bl w:val="nil"/>
                  </w:tcBorders>
                  <w:vAlign w:val="center"/>
                </w:tcPr>
                <w:p w14:paraId="0143EC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tc>
              <w:tc>
                <w:tcPr>
                  <w:tcW w:w="1057" w:type="dxa"/>
                  <w:tcBorders>
                    <w:tl2br w:val="nil"/>
                    <w:tr2bl w:val="nil"/>
                  </w:tcBorders>
                  <w:vAlign w:val="center"/>
                </w:tcPr>
                <w:p w14:paraId="62E80A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机械噪声、施工作业噪声和施工车辆噪声</w:t>
                  </w:r>
                </w:p>
              </w:tc>
              <w:tc>
                <w:tcPr>
                  <w:tcW w:w="4162" w:type="dxa"/>
                  <w:tcBorders>
                    <w:tl2br w:val="nil"/>
                    <w:tr2bl w:val="nil"/>
                  </w:tcBorders>
                  <w:vAlign w:val="center"/>
                </w:tcPr>
                <w:p w14:paraId="13DB23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合理安排施工作业时间，采用先进的施工设备，对高噪设备加装减震垫</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，设立专人对设备进行定期保养和维护；在居民点附近施工需采取设置隔声屏障、加强施工管理等相关的降噪措施。</w:t>
                  </w:r>
                </w:p>
              </w:tc>
              <w:tc>
                <w:tcPr>
                  <w:tcW w:w="1569" w:type="dxa"/>
                  <w:tcBorders>
                    <w:tl2br w:val="nil"/>
                    <w:tr2bl w:val="nil"/>
                  </w:tcBorders>
                  <w:vAlign w:val="center"/>
                </w:tcPr>
                <w:p w14:paraId="61A7F6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满足《建筑施工场界环境噪声排放标准》（GB12523-20</w:t>
                  </w:r>
                  <w:r>
                    <w:rPr>
                      <w:rFonts w:hint="eastAsia" w:cs="Times New Roman" w:eastAsiaTheme="minorEastAsia"/>
                      <w:color w:val="000000" w:themeColor="text1"/>
                      <w:sz w:val="21"/>
                      <w:szCs w:val="21"/>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1"/>
                      <w:szCs w:val="21"/>
                      <w14:textFill>
                        <w14:solidFill>
                          <w14:schemeClr w14:val="tx1"/>
                        </w14:solidFill>
                      </w14:textFill>
                    </w:rPr>
                    <w:t>）标准限值</w:t>
                  </w:r>
                </w:p>
              </w:tc>
            </w:tr>
            <w:tr w14:paraId="380E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14:paraId="2B6C9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tcBorders>
                    <w:tl2br w:val="nil"/>
                    <w:tr2bl w:val="nil"/>
                  </w:tcBorders>
                  <w:vAlign w:val="center"/>
                </w:tcPr>
                <w:p w14:paraId="7BAF8D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1057" w:type="dxa"/>
                  <w:tcBorders>
                    <w:tl2br w:val="nil"/>
                    <w:tr2bl w:val="nil"/>
                  </w:tcBorders>
                  <w:vAlign w:val="center"/>
                </w:tcPr>
                <w:p w14:paraId="6C2D81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泥沙</w:t>
                  </w:r>
                </w:p>
              </w:tc>
              <w:tc>
                <w:tcPr>
                  <w:tcW w:w="4162" w:type="dxa"/>
                  <w:tcBorders>
                    <w:tl2br w:val="nil"/>
                    <w:tr2bl w:val="nil"/>
                  </w:tcBorders>
                  <w:vAlign w:val="center"/>
                </w:tcPr>
                <w:p w14:paraId="3592EB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河道</w:t>
                  </w:r>
                  <w:r>
                    <w:rPr>
                      <w:rFonts w:hint="eastAsia" w:cs="Times New Roman" w:eastAsiaTheme="minorEastAsia"/>
                      <w:color w:val="000000" w:themeColor="text1"/>
                      <w:sz w:val="21"/>
                      <w:szCs w:val="21"/>
                      <w:lang w:val="en-US" w:eastAsia="zh-CN"/>
                      <w14:textFill>
                        <w14:solidFill>
                          <w14:schemeClr w14:val="tx1"/>
                        </w14:solidFill>
                      </w14:textFill>
                    </w:rPr>
                    <w:t>疏浚、</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清於产生的植物枯叶及沙土</w:t>
                  </w:r>
                  <w:r>
                    <w:rPr>
                      <w:rFonts w:hint="eastAsia" w:cs="Times New Roman" w:eastAsiaTheme="minorEastAsia"/>
                      <w:color w:val="000000" w:themeColor="text1"/>
                      <w:sz w:val="21"/>
                      <w:szCs w:val="21"/>
                      <w:lang w:val="en-US" w:eastAsia="zh-CN"/>
                      <w14:textFill>
                        <w14:solidFill>
                          <w14:schemeClr w14:val="tx1"/>
                        </w14:solidFill>
                      </w14:textFill>
                    </w:rPr>
                    <w:t>及时清运</w:t>
                  </w:r>
                </w:p>
              </w:tc>
              <w:tc>
                <w:tcPr>
                  <w:tcW w:w="1569" w:type="dxa"/>
                  <w:tcBorders>
                    <w:tl2br w:val="nil"/>
                    <w:tr2bl w:val="nil"/>
                  </w:tcBorders>
                  <w:vAlign w:val="center"/>
                </w:tcPr>
                <w:p w14:paraId="6F9417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无害化处置</w:t>
                  </w:r>
                </w:p>
              </w:tc>
            </w:tr>
            <w:tr w14:paraId="5284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14:paraId="1BDFD8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tcBorders>
                    <w:tl2br w:val="nil"/>
                    <w:tr2bl w:val="nil"/>
                  </w:tcBorders>
                  <w:vAlign w:val="center"/>
                </w:tcPr>
                <w:p w14:paraId="2C2C9C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tcBorders>
                    <w:tl2br w:val="nil"/>
                    <w:tr2bl w:val="nil"/>
                  </w:tcBorders>
                  <w:vAlign w:val="center"/>
                </w:tcPr>
                <w:p w14:paraId="42770D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建筑弃渣</w:t>
                  </w:r>
                </w:p>
              </w:tc>
              <w:tc>
                <w:tcPr>
                  <w:tcW w:w="4162" w:type="dxa"/>
                  <w:tcBorders>
                    <w:tl2br w:val="nil"/>
                    <w:tr2bl w:val="nil"/>
                  </w:tcBorders>
                  <w:vAlign w:val="center"/>
                </w:tcPr>
                <w:p w14:paraId="6BF240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施工期具有回收利用价值建筑垃圾的尽可能回收利用，不能回收利用的建筑垃圾运至相关建筑垃圾处理单位综合利用。</w:t>
                  </w:r>
                </w:p>
              </w:tc>
              <w:tc>
                <w:tcPr>
                  <w:tcW w:w="1569" w:type="dxa"/>
                  <w:tcBorders>
                    <w:tl2br w:val="nil"/>
                    <w:tr2bl w:val="nil"/>
                  </w:tcBorders>
                  <w:vAlign w:val="center"/>
                </w:tcPr>
                <w:p w14:paraId="21830D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无害化处置</w:t>
                  </w:r>
                </w:p>
              </w:tc>
            </w:tr>
            <w:tr w14:paraId="73004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14:paraId="0DD49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tcBorders>
                    <w:tl2br w:val="nil"/>
                    <w:tr2bl w:val="nil"/>
                  </w:tcBorders>
                  <w:vAlign w:val="center"/>
                </w:tcPr>
                <w:p w14:paraId="414EF7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tcBorders>
                    <w:tl2br w:val="nil"/>
                    <w:tr2bl w:val="nil"/>
                  </w:tcBorders>
                  <w:vAlign w:val="center"/>
                </w:tcPr>
                <w:p w14:paraId="410F02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生活垃圾</w:t>
                  </w:r>
                </w:p>
              </w:tc>
              <w:tc>
                <w:tcPr>
                  <w:tcW w:w="4162" w:type="dxa"/>
                  <w:tcBorders>
                    <w:tl2br w:val="nil"/>
                    <w:tr2bl w:val="nil"/>
                  </w:tcBorders>
                  <w:vAlign w:val="center"/>
                </w:tcPr>
                <w:p w14:paraId="5A01DD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eastAsia"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设置生活垃圾桶</w:t>
                  </w:r>
                  <w:r>
                    <w:rPr>
                      <w:rFonts w:hint="default" w:ascii="Times New Roman" w:hAnsi="Times New Roman" w:cs="Times New Roman" w:eastAsiaTheme="minorEastAsia"/>
                      <w:color w:val="000000" w:themeColor="text1"/>
                      <w:sz w:val="21"/>
                      <w:szCs w:val="21"/>
                      <w14:textFill>
                        <w14:solidFill>
                          <w14:schemeClr w14:val="tx1"/>
                        </w14:solidFill>
                      </w14:textFill>
                    </w:rPr>
                    <w:t>，交环卫部门统一</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清理</w:t>
                  </w:r>
                </w:p>
              </w:tc>
              <w:tc>
                <w:tcPr>
                  <w:tcW w:w="1569" w:type="dxa"/>
                  <w:tcBorders>
                    <w:tl2br w:val="nil"/>
                    <w:tr2bl w:val="nil"/>
                  </w:tcBorders>
                  <w:vAlign w:val="center"/>
                </w:tcPr>
                <w:p w14:paraId="076299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r>
            <w:tr w14:paraId="6EA8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14:paraId="6A6F7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tcBorders>
                    <w:tl2br w:val="nil"/>
                    <w:tr2bl w:val="nil"/>
                  </w:tcBorders>
                  <w:vAlign w:val="center"/>
                </w:tcPr>
                <w:p w14:paraId="6FAA69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生态环境</w:t>
                  </w:r>
                </w:p>
              </w:tc>
              <w:tc>
                <w:tcPr>
                  <w:tcW w:w="1057" w:type="dxa"/>
                  <w:tcBorders>
                    <w:tl2br w:val="nil"/>
                    <w:tr2bl w:val="nil"/>
                  </w:tcBorders>
                  <w:vAlign w:val="center"/>
                </w:tcPr>
                <w:p w14:paraId="48038E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水土保持</w:t>
                  </w:r>
                </w:p>
              </w:tc>
              <w:tc>
                <w:tcPr>
                  <w:tcW w:w="4162" w:type="dxa"/>
                  <w:tcBorders>
                    <w:tl2br w:val="nil"/>
                    <w:tr2bl w:val="nil"/>
                  </w:tcBorders>
                  <w:vAlign w:val="center"/>
                </w:tcPr>
                <w:p w14:paraId="2D5F3A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表土剥离、土地整治、草皮护坡、撒播草籽、临时排水沟、临时沉淀池、彩布条苫盖等。</w:t>
                  </w:r>
                </w:p>
              </w:tc>
              <w:tc>
                <w:tcPr>
                  <w:tcW w:w="1569" w:type="dxa"/>
                  <w:vMerge w:val="restart"/>
                  <w:tcBorders>
                    <w:tl2br w:val="nil"/>
                    <w:tr2bl w:val="nil"/>
                  </w:tcBorders>
                  <w:vAlign w:val="center"/>
                </w:tcPr>
                <w:p w14:paraId="7700F4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r>
            <w:tr w14:paraId="39F53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2" w:type="dxa"/>
                  <w:vMerge w:val="continue"/>
                  <w:tcBorders>
                    <w:tl2br w:val="nil"/>
                    <w:tr2bl w:val="nil"/>
                  </w:tcBorders>
                  <w:vAlign w:val="center"/>
                </w:tcPr>
                <w:p w14:paraId="776C21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tcBorders>
                    <w:tl2br w:val="nil"/>
                    <w:tr2bl w:val="nil"/>
                  </w:tcBorders>
                  <w:vAlign w:val="center"/>
                </w:tcPr>
                <w:p w14:paraId="019759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tcBorders>
                    <w:tl2br w:val="nil"/>
                    <w:tr2bl w:val="nil"/>
                  </w:tcBorders>
                  <w:vAlign w:val="center"/>
                </w:tcPr>
                <w:p w14:paraId="23BE912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绿化</w:t>
                  </w:r>
                </w:p>
              </w:tc>
              <w:tc>
                <w:tcPr>
                  <w:tcW w:w="4162" w:type="dxa"/>
                  <w:tcBorders>
                    <w:tl2br w:val="nil"/>
                    <w:tr2bl w:val="nil"/>
                  </w:tcBorders>
                  <w:vAlign w:val="center"/>
                </w:tcPr>
                <w:p w14:paraId="661066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施工结束，恢复人行道、绿化带、行道树</w:t>
                  </w:r>
                </w:p>
              </w:tc>
              <w:tc>
                <w:tcPr>
                  <w:tcW w:w="1569" w:type="dxa"/>
                  <w:vMerge w:val="continue"/>
                  <w:tcBorders>
                    <w:tl2br w:val="nil"/>
                    <w:tr2bl w:val="nil"/>
                  </w:tcBorders>
                  <w:vAlign w:val="center"/>
                </w:tcPr>
                <w:p w14:paraId="5E84AE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r>
            <w:tr w14:paraId="1B627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82" w:type="dxa"/>
                  <w:vMerge w:val="restart"/>
                  <w:tcBorders>
                    <w:tl2br w:val="nil"/>
                    <w:tr2bl w:val="nil"/>
                  </w:tcBorders>
                  <w:vAlign w:val="center"/>
                </w:tcPr>
                <w:p w14:paraId="53C260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运营期</w:t>
                  </w:r>
                </w:p>
              </w:tc>
              <w:tc>
                <w:tcPr>
                  <w:tcW w:w="683" w:type="dxa"/>
                  <w:tcBorders>
                    <w:tl2br w:val="nil"/>
                    <w:tr2bl w:val="nil"/>
                  </w:tcBorders>
                  <w:vAlign w:val="center"/>
                </w:tcPr>
                <w:p w14:paraId="25E136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噪声</w:t>
                  </w:r>
                </w:p>
              </w:tc>
              <w:tc>
                <w:tcPr>
                  <w:tcW w:w="1057" w:type="dxa"/>
                  <w:tcBorders>
                    <w:tl2br w:val="nil"/>
                    <w:tr2bl w:val="nil"/>
                  </w:tcBorders>
                  <w:vAlign w:val="center"/>
                </w:tcPr>
                <w:p w14:paraId="23AD28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4162" w:type="dxa"/>
                  <w:tcBorders>
                    <w:tl2br w:val="nil"/>
                    <w:tr2bl w:val="nil"/>
                  </w:tcBorders>
                  <w:vAlign w:val="center"/>
                </w:tcPr>
                <w:p w14:paraId="7C211F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泵房设置在地下层内，墙壁采用隔声材料，设备优先选用低噪声设备，基础减震、加强机电设备修及保养等措施。</w:t>
                  </w:r>
                </w:p>
              </w:tc>
              <w:tc>
                <w:tcPr>
                  <w:tcW w:w="1569" w:type="dxa"/>
                  <w:tcBorders>
                    <w:tl2br w:val="nil"/>
                    <w:tr2bl w:val="nil"/>
                  </w:tcBorders>
                  <w:vAlign w:val="center"/>
                </w:tcPr>
                <w:p w14:paraId="0ADD40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w:t>
                  </w:r>
                </w:p>
              </w:tc>
            </w:tr>
            <w:tr w14:paraId="74C32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682" w:type="dxa"/>
                  <w:vMerge w:val="continue"/>
                  <w:tcBorders>
                    <w:tl2br w:val="nil"/>
                    <w:tr2bl w:val="nil"/>
                  </w:tcBorders>
                  <w:vAlign w:val="center"/>
                </w:tcPr>
                <w:p w14:paraId="4D3C43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restart"/>
                  <w:tcBorders>
                    <w:tl2br w:val="nil"/>
                    <w:tr2bl w:val="nil"/>
                  </w:tcBorders>
                  <w:vAlign w:val="center"/>
                </w:tcPr>
                <w:p w14:paraId="346932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生态环境</w:t>
                  </w:r>
                </w:p>
              </w:tc>
              <w:tc>
                <w:tcPr>
                  <w:tcW w:w="1057" w:type="dxa"/>
                  <w:tcBorders>
                    <w:tl2br w:val="nil"/>
                    <w:tr2bl w:val="nil"/>
                  </w:tcBorders>
                  <w:vAlign w:val="center"/>
                </w:tcPr>
                <w:p w14:paraId="7272BD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w:t>
                  </w:r>
                </w:p>
              </w:tc>
              <w:tc>
                <w:tcPr>
                  <w:tcW w:w="4162" w:type="dxa"/>
                  <w:tcBorders>
                    <w:tl2br w:val="nil"/>
                    <w:tr2bl w:val="nil"/>
                  </w:tcBorders>
                  <w:vAlign w:val="center"/>
                </w:tcPr>
                <w:p w14:paraId="6E3E28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泵站、闸门检修产生的废矿物油及沾染物</w:t>
                  </w:r>
                </w:p>
              </w:tc>
              <w:tc>
                <w:tcPr>
                  <w:tcW w:w="1569" w:type="dxa"/>
                  <w:tcBorders>
                    <w:tl2br w:val="nil"/>
                    <w:tr2bl w:val="nil"/>
                  </w:tcBorders>
                  <w:vAlign w:val="center"/>
                </w:tcPr>
                <w:p w14:paraId="6F8407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委托有资质单位处置</w:t>
                  </w:r>
                </w:p>
              </w:tc>
            </w:tr>
            <w:tr w14:paraId="42E7C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2" w:type="dxa"/>
                  <w:vMerge w:val="continue"/>
                  <w:tcBorders>
                    <w:tl2br w:val="nil"/>
                    <w:tr2bl w:val="nil"/>
                  </w:tcBorders>
                  <w:vAlign w:val="center"/>
                </w:tcPr>
                <w:p w14:paraId="2286632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83" w:type="dxa"/>
                  <w:vMerge w:val="continue"/>
                  <w:tcBorders>
                    <w:tl2br w:val="nil"/>
                    <w:tr2bl w:val="nil"/>
                  </w:tcBorders>
                  <w:vAlign w:val="center"/>
                </w:tcPr>
                <w:p w14:paraId="3413B97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057" w:type="dxa"/>
                  <w:tcBorders>
                    <w:tl2br w:val="nil"/>
                    <w:tr2bl w:val="nil"/>
                  </w:tcBorders>
                  <w:vAlign w:val="center"/>
                </w:tcPr>
                <w:p w14:paraId="5E8579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排洪渠泥沙</w:t>
                  </w:r>
                </w:p>
              </w:tc>
              <w:tc>
                <w:tcPr>
                  <w:tcW w:w="4162" w:type="dxa"/>
                  <w:tcBorders>
                    <w:tl2br w:val="nil"/>
                    <w:tr2bl w:val="nil"/>
                  </w:tcBorders>
                  <w:vAlign w:val="center"/>
                </w:tcPr>
                <w:p w14:paraId="001633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排洪渠产生的植物枯叶及沙土建设单位不定期清理至建筑垃圾填埋场</w:t>
                  </w:r>
                </w:p>
              </w:tc>
              <w:tc>
                <w:tcPr>
                  <w:tcW w:w="1569" w:type="dxa"/>
                  <w:tcBorders>
                    <w:tl2br w:val="nil"/>
                    <w:tr2bl w:val="nil"/>
                  </w:tcBorders>
                  <w:vAlign w:val="center"/>
                </w:tcPr>
                <w:p w14:paraId="411710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14:paraId="37BEA9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6ECCB6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3275E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706A0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cs="Times New Roman" w:eastAsiaTheme="minorEastAsia"/>
                <w:b/>
                <w:bCs/>
                <w:color w:val="000000" w:themeColor="text1"/>
                <w:lang w:val="en-US" w:eastAsia="zh-CN"/>
                <w14:textFill>
                  <w14:solidFill>
                    <w14:schemeClr w14:val="tx1"/>
                  </w14:solidFill>
                </w14:textFill>
              </w:rPr>
            </w:pPr>
          </w:p>
          <w:p w14:paraId="31DB0686">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both"/>
              <w:textAlignment w:val="auto"/>
              <w:rPr>
                <w:rFonts w:hint="default" w:ascii="Times New Roman" w:hAnsi="Times New Roman" w:cs="Times New Roman" w:eastAsiaTheme="minorEastAsia"/>
                <w:bCs/>
                <w:color w:val="000000" w:themeColor="text1"/>
                <w:spacing w:val="10"/>
                <w:sz w:val="24"/>
                <w14:textFill>
                  <w14:solidFill>
                    <w14:schemeClr w14:val="tx1"/>
                  </w14:solidFill>
                </w14:textFill>
              </w:rPr>
            </w:pPr>
          </w:p>
        </w:tc>
      </w:tr>
      <w:tr w14:paraId="2DD028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tcBorders>
              <w:tl2br w:val="nil"/>
              <w:tr2bl w:val="nil"/>
            </w:tcBorders>
            <w:vAlign w:val="center"/>
          </w:tcPr>
          <w:p w14:paraId="0CFDC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bCs w:val="0"/>
                <w:color w:val="000000" w:themeColor="text1"/>
                <w:spacing w:val="10"/>
                <w:sz w:val="24"/>
                <w14:textFill>
                  <w14:solidFill>
                    <w14:schemeClr w14:val="tx1"/>
                  </w14:solidFill>
                </w14:textFill>
              </w:rPr>
            </w:pPr>
            <w:r>
              <w:rPr>
                <w:rFonts w:hint="default" w:ascii="Times New Roman" w:hAnsi="Times New Roman" w:cs="Times New Roman" w:eastAsiaTheme="minorEastAsia"/>
                <w:b/>
                <w:bCs w:val="0"/>
                <w:color w:val="000000" w:themeColor="text1"/>
                <w:sz w:val="24"/>
                <w14:textFill>
                  <w14:solidFill>
                    <w14:schemeClr w14:val="tx1"/>
                  </w14:solidFill>
                </w14:textFill>
              </w:rPr>
              <w:t>环保投资</w:t>
            </w:r>
          </w:p>
        </w:tc>
        <w:tc>
          <w:tcPr>
            <w:tcW w:w="8371" w:type="dxa"/>
            <w:tcBorders>
              <w:tl2br w:val="nil"/>
              <w:tr2bl w:val="nil"/>
            </w:tcBorders>
            <w:vAlign w:val="top"/>
          </w:tcPr>
          <w:p w14:paraId="0B4F29D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cs="Times New Roman" w:eastAsiaTheme="minorEastAsia"/>
                <w:color w:val="000000" w:themeColor="text1"/>
                <w:kern w:val="0"/>
                <w:sz w:val="24"/>
                <w14:textFill>
                  <w14:solidFill>
                    <w14:schemeClr w14:val="tx1"/>
                  </w14:solidFill>
                </w14:textFill>
              </w:rPr>
            </w:pPr>
            <w:r>
              <w:rPr>
                <w:rFonts w:hint="default" w:ascii="Times New Roman" w:hAnsi="Times New Roman" w:cs="Times New Roman" w:eastAsiaTheme="minorEastAsia"/>
                <w:color w:val="000000" w:themeColor="text1"/>
                <w:kern w:val="0"/>
                <w:sz w:val="24"/>
                <w14:textFill>
                  <w14:solidFill>
                    <w14:schemeClr w14:val="tx1"/>
                  </w14:solidFill>
                </w14:textFill>
              </w:rPr>
              <w:t>项目总投资为</w:t>
            </w:r>
            <w:r>
              <w:rPr>
                <w:rFonts w:hint="eastAsia" w:cs="Times New Roman" w:eastAsiaTheme="minorEastAsia"/>
                <w:color w:val="000000" w:themeColor="text1"/>
                <w:kern w:val="0"/>
                <w:sz w:val="24"/>
                <w:lang w:val="en-US" w:eastAsia="zh-CN"/>
                <w14:textFill>
                  <w14:solidFill>
                    <w14:schemeClr w14:val="tx1"/>
                  </w14:solidFill>
                </w14:textFill>
              </w:rPr>
              <w:t>39550.68</w:t>
            </w:r>
            <w:r>
              <w:rPr>
                <w:rFonts w:hint="default" w:ascii="Times New Roman" w:hAnsi="Times New Roman" w:cs="Times New Roman" w:eastAsiaTheme="minorEastAsia"/>
                <w:color w:val="000000" w:themeColor="text1"/>
                <w:kern w:val="0"/>
                <w:sz w:val="24"/>
                <w14:textFill>
                  <w14:solidFill>
                    <w14:schemeClr w14:val="tx1"/>
                  </w14:solidFill>
                </w14:textFill>
              </w:rPr>
              <w:t>万元，其中环保投资</w:t>
            </w:r>
            <w:r>
              <w:rPr>
                <w:rFonts w:hint="eastAsia" w:cs="Times New Roman" w:eastAsiaTheme="minorEastAsia"/>
                <w:color w:val="000000" w:themeColor="text1"/>
                <w:kern w:val="0"/>
                <w:sz w:val="24"/>
                <w:lang w:val="en-US" w:eastAsia="zh-CN"/>
                <w14:textFill>
                  <w14:solidFill>
                    <w14:schemeClr w14:val="tx1"/>
                  </w14:solidFill>
                </w14:textFill>
              </w:rPr>
              <w:t>490</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万元</w:t>
            </w:r>
            <w:r>
              <w:rPr>
                <w:rFonts w:hint="default" w:ascii="Times New Roman" w:hAnsi="Times New Roman" w:cs="Times New Roman" w:eastAsiaTheme="minorEastAsia"/>
                <w:color w:val="000000" w:themeColor="text1"/>
                <w:kern w:val="0"/>
                <w:sz w:val="24"/>
                <w14:textFill>
                  <w14:solidFill>
                    <w14:schemeClr w14:val="tx1"/>
                  </w14:solidFill>
                </w14:textFill>
              </w:rPr>
              <w:t>，占总投资的</w:t>
            </w:r>
            <w:r>
              <w:rPr>
                <w:rFonts w:hint="eastAsia" w:cs="Times New Roman" w:eastAsiaTheme="minorEastAsia"/>
                <w:color w:val="000000" w:themeColor="text1"/>
                <w:kern w:val="0"/>
                <w:sz w:val="24"/>
                <w:lang w:val="en-US" w:eastAsia="zh-CN"/>
                <w14:textFill>
                  <w14:solidFill>
                    <w14:schemeClr w14:val="tx1"/>
                  </w14:solidFill>
                </w14:textFill>
              </w:rPr>
              <w:t>1.24</w:t>
            </w:r>
            <w:r>
              <w:rPr>
                <w:rFonts w:hint="default" w:ascii="Times New Roman" w:hAnsi="Times New Roman" w:cs="Times New Roman" w:eastAsiaTheme="minorEastAsia"/>
                <w:color w:val="000000" w:themeColor="text1"/>
                <w:kern w:val="0"/>
                <w:sz w:val="24"/>
                <w14:textFill>
                  <w14:solidFill>
                    <w14:schemeClr w14:val="tx1"/>
                  </w14:solidFill>
                </w14:textFill>
              </w:rPr>
              <w:t>%，工程环保投资见表</w:t>
            </w:r>
            <w:r>
              <w:rPr>
                <w:rFonts w:hint="default" w:ascii="Times New Roman" w:hAnsi="Times New Roman" w:cs="Times New Roman" w:eastAsiaTheme="minorEastAsia"/>
                <w:color w:val="000000" w:themeColor="text1"/>
                <w:kern w:val="0"/>
                <w:sz w:val="24"/>
                <w:lang w:val="en-US" w:eastAsia="zh-CN"/>
                <w14:textFill>
                  <w14:solidFill>
                    <w14:schemeClr w14:val="tx1"/>
                  </w14:solidFill>
                </w14:textFill>
              </w:rPr>
              <w:t>5-3</w:t>
            </w:r>
            <w:r>
              <w:rPr>
                <w:rFonts w:hint="default" w:ascii="Times New Roman" w:hAnsi="Times New Roman" w:cs="Times New Roman" w:eastAsiaTheme="minorEastAsia"/>
                <w:color w:val="000000" w:themeColor="text1"/>
                <w:kern w:val="0"/>
                <w:sz w:val="24"/>
                <w14:textFill>
                  <w14:solidFill>
                    <w14:schemeClr w14:val="tx1"/>
                  </w14:solidFill>
                </w14:textFill>
              </w:rPr>
              <w:t>。</w:t>
            </w:r>
          </w:p>
          <w:p w14:paraId="7D520A78">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482" w:firstLineChars="200"/>
              <w:jc w:val="center"/>
              <w:rPr>
                <w:rFonts w:hint="default" w:ascii="Times New Roman" w:hAnsi="Times New Roman" w:cs="Times New Roman" w:eastAsiaTheme="minorEastAsia"/>
                <w:color w:val="000000" w:themeColor="text1"/>
                <w:lang w:val="en-US" w:eastAsia="zh-CN"/>
                <w14:textFill>
                  <w14:solidFill>
                    <w14:schemeClr w14:val="tx1"/>
                  </w14:solidFill>
                </w14:textFill>
              </w:rPr>
            </w:pPr>
            <w:r>
              <w:rPr>
                <w:rFonts w:hint="default" w:ascii="Times New Roman" w:hAnsi="Times New Roman" w:cs="Times New Roman" w:eastAsiaTheme="minorEastAsia"/>
                <w:b/>
                <w:bCs/>
                <w:color w:val="000000" w:themeColor="text1"/>
                <w:lang w:val="en-US" w:eastAsia="zh-CN"/>
                <w14:textFill>
                  <w14:solidFill>
                    <w14:schemeClr w14:val="tx1"/>
                  </w14:solidFill>
                </w14:textFill>
              </w:rPr>
              <w:t>表5-3工程</w:t>
            </w:r>
            <w:bookmarkStart w:id="35" w:name="OLE_LINK6"/>
            <w:r>
              <w:rPr>
                <w:rFonts w:hint="default" w:ascii="Times New Roman" w:hAnsi="Times New Roman" w:cs="Times New Roman" w:eastAsiaTheme="minorEastAsia"/>
                <w:b/>
                <w:bCs/>
                <w:color w:val="000000" w:themeColor="text1"/>
                <w:lang w:val="en-US" w:eastAsia="zh-CN"/>
                <w14:textFill>
                  <w14:solidFill>
                    <w14:schemeClr w14:val="tx1"/>
                  </w14:solidFill>
                </w14:textFill>
              </w:rPr>
              <w:t>环保投资一览表</w:t>
            </w:r>
            <w:bookmarkEnd w:id="35"/>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661"/>
              <w:gridCol w:w="1317"/>
              <w:gridCol w:w="4603"/>
              <w:gridCol w:w="962"/>
            </w:tblGrid>
            <w:tr w14:paraId="5124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tcBorders>
                    <w:tl2br w:val="nil"/>
                    <w:tr2bl w:val="nil"/>
                  </w:tcBorders>
                  <w:vAlign w:val="center"/>
                </w:tcPr>
                <w:p w14:paraId="5EB617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时段</w:t>
                  </w:r>
                </w:p>
              </w:tc>
              <w:tc>
                <w:tcPr>
                  <w:tcW w:w="1978" w:type="dxa"/>
                  <w:gridSpan w:val="2"/>
                  <w:tcBorders>
                    <w:tl2br w:val="nil"/>
                    <w:tr2bl w:val="nil"/>
                  </w:tcBorders>
                  <w:vAlign w:val="center"/>
                </w:tcPr>
                <w:p w14:paraId="732057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项目</w:t>
                  </w:r>
                </w:p>
              </w:tc>
              <w:tc>
                <w:tcPr>
                  <w:tcW w:w="4603" w:type="dxa"/>
                  <w:tcBorders>
                    <w:tl2br w:val="nil"/>
                    <w:tr2bl w:val="nil"/>
                  </w:tcBorders>
                  <w:vAlign w:val="center"/>
                </w:tcPr>
                <w:p w14:paraId="2C8F71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环保措施及设施</w:t>
                  </w:r>
                </w:p>
              </w:tc>
              <w:tc>
                <w:tcPr>
                  <w:tcW w:w="962" w:type="dxa"/>
                  <w:tcBorders>
                    <w:tl2br w:val="nil"/>
                    <w:tr2bl w:val="nil"/>
                  </w:tcBorders>
                  <w:vAlign w:val="center"/>
                </w:tcPr>
                <w:p w14:paraId="6D319B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投资</w:t>
                  </w:r>
                </w:p>
                <w:p w14:paraId="342A3E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color w:val="000000" w:themeColor="text1"/>
                      <w:sz w:val="21"/>
                      <w:szCs w:val="21"/>
                      <w14:textFill>
                        <w14:solidFill>
                          <w14:schemeClr w14:val="tx1"/>
                        </w14:solidFill>
                      </w14:textFill>
                    </w:rPr>
                  </w:pPr>
                  <w:r>
                    <w:rPr>
                      <w:rFonts w:hint="default" w:ascii="Times New Roman" w:hAnsi="Times New Roman" w:cs="Times New Roman" w:eastAsiaTheme="minorEastAsia"/>
                      <w:b/>
                      <w:color w:val="000000" w:themeColor="text1"/>
                      <w:sz w:val="21"/>
                      <w:szCs w:val="21"/>
                      <w14:textFill>
                        <w14:solidFill>
                          <w14:schemeClr w14:val="tx1"/>
                        </w14:solidFill>
                      </w14:textFill>
                    </w:rPr>
                    <w:t>（万元）</w:t>
                  </w:r>
                </w:p>
              </w:tc>
            </w:tr>
            <w:tr w14:paraId="5FBD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restart"/>
                  <w:tcBorders>
                    <w:tl2br w:val="nil"/>
                    <w:tr2bl w:val="nil"/>
                  </w:tcBorders>
                  <w:vAlign w:val="center"/>
                </w:tcPr>
                <w:p w14:paraId="569C4A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w:t>
                  </w:r>
                </w:p>
              </w:tc>
              <w:tc>
                <w:tcPr>
                  <w:tcW w:w="661" w:type="dxa"/>
                  <w:vMerge w:val="restart"/>
                  <w:tcBorders>
                    <w:tl2br w:val="nil"/>
                    <w:tr2bl w:val="nil"/>
                  </w:tcBorders>
                  <w:vAlign w:val="center"/>
                </w:tcPr>
                <w:p w14:paraId="0586FB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废气</w:t>
                  </w:r>
                </w:p>
              </w:tc>
              <w:tc>
                <w:tcPr>
                  <w:tcW w:w="1317" w:type="dxa"/>
                  <w:tcBorders>
                    <w:tl2br w:val="nil"/>
                    <w:tr2bl w:val="nil"/>
                  </w:tcBorders>
                  <w:vAlign w:val="center"/>
                </w:tcPr>
                <w:p w14:paraId="563CDD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施工扬尘</w:t>
                  </w:r>
                </w:p>
              </w:tc>
              <w:tc>
                <w:tcPr>
                  <w:tcW w:w="4603" w:type="dxa"/>
                  <w:tcBorders>
                    <w:tl2br w:val="nil"/>
                    <w:tr2bl w:val="nil"/>
                  </w:tcBorders>
                  <w:vAlign w:val="center"/>
                </w:tcPr>
                <w:p w14:paraId="3C764D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每日定时洒水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施工区设置标志牌；施工场界设置围挡；施工现场的道路、加工区实施硬化；物料分类堆放，严密覆盖；大风天气，停止土方作业，覆盖防尘网；</w:t>
                  </w:r>
                </w:p>
              </w:tc>
              <w:tc>
                <w:tcPr>
                  <w:tcW w:w="962" w:type="dxa"/>
                  <w:tcBorders>
                    <w:tl2br w:val="nil"/>
                    <w:tr2bl w:val="nil"/>
                  </w:tcBorders>
                  <w:vAlign w:val="center"/>
                </w:tcPr>
                <w:p w14:paraId="4A79F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90</w:t>
                  </w:r>
                </w:p>
              </w:tc>
            </w:tr>
            <w:tr w14:paraId="5329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08D5C8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tcBorders>
                    <w:tl2br w:val="nil"/>
                    <w:tr2bl w:val="nil"/>
                  </w:tcBorders>
                  <w:vAlign w:val="center"/>
                </w:tcPr>
                <w:p w14:paraId="762FAA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tcBorders>
                    <w:tl2br w:val="nil"/>
                    <w:tr2bl w:val="nil"/>
                  </w:tcBorders>
                  <w:vAlign w:val="center"/>
                </w:tcPr>
                <w:p w14:paraId="342CB71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机械废气</w:t>
                  </w:r>
                </w:p>
              </w:tc>
              <w:tc>
                <w:tcPr>
                  <w:tcW w:w="4603" w:type="dxa"/>
                  <w:tcBorders>
                    <w:tl2br w:val="nil"/>
                    <w:tr2bl w:val="nil"/>
                  </w:tcBorders>
                  <w:vAlign w:val="center"/>
                </w:tcPr>
                <w:p w14:paraId="1FC29A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施工机械采用符合国家标准的设备，施工期加强管理，确保尾气排放达标</w:t>
                  </w:r>
                  <w:r>
                    <w:rPr>
                      <w:rFonts w:hint="eastAsia" w:cs="Times New Roman" w:eastAsiaTheme="minorEastAsia"/>
                      <w:color w:val="000000" w:themeColor="text1"/>
                      <w:sz w:val="21"/>
                      <w:szCs w:val="21"/>
                      <w:lang w:eastAsia="zh-CN"/>
                      <w14:textFill>
                        <w14:solidFill>
                          <w14:schemeClr w14:val="tx1"/>
                        </w14:solidFill>
                      </w14:textFill>
                    </w:rPr>
                    <w:t>。</w:t>
                  </w:r>
                </w:p>
              </w:tc>
              <w:tc>
                <w:tcPr>
                  <w:tcW w:w="962" w:type="dxa"/>
                  <w:tcBorders>
                    <w:tl2br w:val="nil"/>
                    <w:tr2bl w:val="nil"/>
                  </w:tcBorders>
                  <w:vAlign w:val="center"/>
                </w:tcPr>
                <w:p w14:paraId="31689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20</w:t>
                  </w:r>
                </w:p>
              </w:tc>
            </w:tr>
            <w:tr w14:paraId="1435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2620CC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tcBorders>
                    <w:tl2br w:val="nil"/>
                    <w:tr2bl w:val="nil"/>
                  </w:tcBorders>
                  <w:vAlign w:val="center"/>
                </w:tcPr>
                <w:p w14:paraId="099B74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tcBorders>
                    <w:tl2br w:val="nil"/>
                    <w:tr2bl w:val="nil"/>
                  </w:tcBorders>
                  <w:vAlign w:val="center"/>
                </w:tcPr>
                <w:p w14:paraId="2C14B5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臭气</w:t>
                  </w:r>
                </w:p>
              </w:tc>
              <w:tc>
                <w:tcPr>
                  <w:tcW w:w="4603" w:type="dxa"/>
                  <w:tcBorders>
                    <w:tl2br w:val="nil"/>
                    <w:tr2bl w:val="nil"/>
                  </w:tcBorders>
                  <w:vAlign w:val="center"/>
                </w:tcPr>
                <w:p w14:paraId="18917A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河道疏浚、</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清淤、随挖随运，不在项目区堆放，施工结束后及时植被恢复。</w:t>
                  </w:r>
                </w:p>
              </w:tc>
              <w:tc>
                <w:tcPr>
                  <w:tcW w:w="962" w:type="dxa"/>
                  <w:tcBorders>
                    <w:tl2br w:val="nil"/>
                    <w:tr2bl w:val="nil"/>
                  </w:tcBorders>
                  <w:vAlign w:val="center"/>
                </w:tcPr>
                <w:p w14:paraId="44E39B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10</w:t>
                  </w:r>
                </w:p>
              </w:tc>
            </w:tr>
            <w:tr w14:paraId="3C8B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334968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restart"/>
                  <w:tcBorders>
                    <w:tl2br w:val="nil"/>
                    <w:tr2bl w:val="nil"/>
                  </w:tcBorders>
                  <w:vAlign w:val="center"/>
                </w:tcPr>
                <w:p w14:paraId="50F9AC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w:t>
                  </w:r>
                </w:p>
              </w:tc>
              <w:tc>
                <w:tcPr>
                  <w:tcW w:w="1317" w:type="dxa"/>
                  <w:tcBorders>
                    <w:tl2br w:val="nil"/>
                    <w:tr2bl w:val="nil"/>
                  </w:tcBorders>
                  <w:vAlign w:val="center"/>
                </w:tcPr>
                <w:p w14:paraId="343E90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施工废水</w:t>
                  </w:r>
                </w:p>
              </w:tc>
              <w:tc>
                <w:tcPr>
                  <w:tcW w:w="4603" w:type="dxa"/>
                  <w:tcBorders>
                    <w:tl2br w:val="nil"/>
                    <w:tr2bl w:val="nil"/>
                  </w:tcBorders>
                  <w:vAlign w:val="center"/>
                </w:tcPr>
                <w:p w14:paraId="23B053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设置</w:t>
                  </w:r>
                  <w:r>
                    <w:rPr>
                      <w:rFonts w:hint="eastAsia" w:cs="Times New Roman" w:eastAsiaTheme="minorEastAsia"/>
                      <w:color w:val="000000" w:themeColor="text1"/>
                      <w:sz w:val="21"/>
                      <w:szCs w:val="21"/>
                      <w:lang w:eastAsia="zh-CN"/>
                      <w14:textFill>
                        <w14:solidFill>
                          <w14:schemeClr w14:val="tx1"/>
                        </w14:solidFill>
                      </w14:textFill>
                    </w:rPr>
                    <w:t>诺干</w:t>
                  </w:r>
                  <w:r>
                    <w:rPr>
                      <w:rFonts w:hint="default" w:ascii="Times New Roman" w:hAnsi="Times New Roman" w:cs="Times New Roman" w:eastAsiaTheme="minorEastAsia"/>
                      <w:color w:val="000000" w:themeColor="text1"/>
                      <w:sz w:val="21"/>
                      <w:szCs w:val="21"/>
                      <w14:textFill>
                        <w14:solidFill>
                          <w14:schemeClr w14:val="tx1"/>
                        </w14:solidFill>
                      </w14:textFill>
                    </w:rPr>
                    <w:t>沉淀池（</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5</w:t>
                  </w:r>
                  <w:r>
                    <w:rPr>
                      <w:rFonts w:hint="eastAsia" w:cs="Times New Roman" w:eastAsiaTheme="minorEastAsia"/>
                      <w:color w:val="000000" w:themeColor="text1"/>
                      <w:sz w:val="21"/>
                      <w:szCs w:val="21"/>
                      <w:lang w:eastAsia="zh-CN"/>
                      <w14:textFill>
                        <w14:solidFill>
                          <w14:schemeClr w14:val="tx1"/>
                        </w14:solidFill>
                      </w14:textFill>
                    </w:rPr>
                    <w:t>m</w:t>
                  </w:r>
                  <w:r>
                    <w:rPr>
                      <w:rFonts w:hint="default" w:ascii="Times New Roman" w:hAnsi="Times New Roman" w:cs="Times New Roman" w:eastAsiaTheme="minorEastAsia"/>
                      <w:color w:val="000000" w:themeColor="text1"/>
                      <w:sz w:val="21"/>
                      <w:szCs w:val="21"/>
                      <w:vertAlign w:val="superscript"/>
                      <w14:textFill>
                        <w14:solidFill>
                          <w14:schemeClr w14:val="tx1"/>
                        </w14:solidFill>
                      </w14:textFill>
                    </w:rPr>
                    <w:t>3</w:t>
                  </w:r>
                  <w:r>
                    <w:rPr>
                      <w:rFonts w:hint="default" w:ascii="Times New Roman" w:hAnsi="Times New Roman" w:cs="Times New Roman" w:eastAsiaTheme="minorEastAsia"/>
                      <w:color w:val="000000" w:themeColor="text1"/>
                      <w:sz w:val="21"/>
                      <w:szCs w:val="21"/>
                      <w14:textFill>
                        <w14:solidFill>
                          <w14:schemeClr w14:val="tx1"/>
                        </w14:solidFill>
                      </w14:textFill>
                    </w:rPr>
                    <w:t>），废水沉淀后用于洒水降尘</w:t>
                  </w:r>
                </w:p>
              </w:tc>
              <w:tc>
                <w:tcPr>
                  <w:tcW w:w="962" w:type="dxa"/>
                  <w:tcBorders>
                    <w:tl2br w:val="nil"/>
                    <w:tr2bl w:val="nil"/>
                  </w:tcBorders>
                  <w:vAlign w:val="center"/>
                </w:tcPr>
                <w:p w14:paraId="52B71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20</w:t>
                  </w:r>
                </w:p>
              </w:tc>
            </w:tr>
            <w:tr w14:paraId="74A8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18D352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tcBorders>
                    <w:tl2br w:val="nil"/>
                    <w:tr2bl w:val="nil"/>
                  </w:tcBorders>
                  <w:vAlign w:val="center"/>
                </w:tcPr>
                <w:p w14:paraId="11BA89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tcBorders>
                    <w:tl2br w:val="nil"/>
                    <w:tr2bl w:val="nil"/>
                  </w:tcBorders>
                  <w:vAlign w:val="center"/>
                </w:tcPr>
                <w:p w14:paraId="053EC8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生活污水</w:t>
                  </w:r>
                </w:p>
              </w:tc>
              <w:tc>
                <w:tcPr>
                  <w:tcW w:w="4603" w:type="dxa"/>
                  <w:tcBorders>
                    <w:tl2br w:val="nil"/>
                    <w:tr2bl w:val="nil"/>
                  </w:tcBorders>
                  <w:vAlign w:val="center"/>
                </w:tcPr>
                <w:p w14:paraId="2EEE0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施工期施工人员依托周边村庄居住，不设生活营地</w:t>
                  </w:r>
                  <w:r>
                    <w:rPr>
                      <w:rFonts w:hint="eastAsia" w:cs="Times New Roman" w:eastAsiaTheme="minorEastAsia"/>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施工人员</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如厕</w:t>
                  </w:r>
                  <w:r>
                    <w:rPr>
                      <w:rFonts w:hint="default" w:ascii="Times New Roman" w:hAnsi="Times New Roman" w:cs="Times New Roman" w:eastAsiaTheme="minorEastAsia"/>
                      <w:color w:val="000000" w:themeColor="text1"/>
                      <w:sz w:val="21"/>
                      <w:szCs w:val="21"/>
                      <w14:textFill>
                        <w14:solidFill>
                          <w14:schemeClr w14:val="tx1"/>
                        </w14:solidFill>
                      </w14:textFill>
                    </w:rPr>
                    <w:t>依托附近村民设施</w:t>
                  </w:r>
                </w:p>
              </w:tc>
              <w:tc>
                <w:tcPr>
                  <w:tcW w:w="962" w:type="dxa"/>
                  <w:tcBorders>
                    <w:tl2br w:val="nil"/>
                    <w:tr2bl w:val="nil"/>
                  </w:tcBorders>
                  <w:vAlign w:val="center"/>
                </w:tcPr>
                <w:p w14:paraId="34DB97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7907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77967C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tcBorders>
                    <w:tl2br w:val="nil"/>
                    <w:tr2bl w:val="nil"/>
                  </w:tcBorders>
                  <w:vAlign w:val="center"/>
                </w:tcPr>
                <w:p w14:paraId="283148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噪声</w:t>
                  </w:r>
                </w:p>
              </w:tc>
              <w:tc>
                <w:tcPr>
                  <w:tcW w:w="1317" w:type="dxa"/>
                  <w:tcBorders>
                    <w:tl2br w:val="nil"/>
                    <w:tr2bl w:val="nil"/>
                  </w:tcBorders>
                  <w:vAlign w:val="center"/>
                </w:tcPr>
                <w:p w14:paraId="1AFBFED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机械噪声、施工作业噪声和施工车辆噪声</w:t>
                  </w:r>
                </w:p>
              </w:tc>
              <w:tc>
                <w:tcPr>
                  <w:tcW w:w="4603" w:type="dxa"/>
                  <w:tcBorders>
                    <w:tl2br w:val="nil"/>
                    <w:tr2bl w:val="nil"/>
                  </w:tcBorders>
                  <w:vAlign w:val="center"/>
                </w:tcPr>
                <w:p w14:paraId="345191E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合理安排施工作业时间，采用先进的施工设备，对高噪设备加装减震垫</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，设立专人对设备进行定期保养和维护；在居民点附近施工需采取设置隔声屏障、加强施工管理等相关的降噪措施。</w:t>
                  </w:r>
                </w:p>
              </w:tc>
              <w:tc>
                <w:tcPr>
                  <w:tcW w:w="962" w:type="dxa"/>
                  <w:tcBorders>
                    <w:tl2br w:val="nil"/>
                    <w:tr2bl w:val="nil"/>
                  </w:tcBorders>
                  <w:vAlign w:val="center"/>
                </w:tcPr>
                <w:p w14:paraId="5B824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20</w:t>
                  </w:r>
                </w:p>
              </w:tc>
            </w:tr>
            <w:tr w14:paraId="5E6A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64D3E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restart"/>
                  <w:tcBorders>
                    <w:tl2br w:val="nil"/>
                    <w:tr2bl w:val="nil"/>
                  </w:tcBorders>
                  <w:vAlign w:val="center"/>
                </w:tcPr>
                <w:p w14:paraId="5B7BE4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1317" w:type="dxa"/>
                  <w:tcBorders>
                    <w:tl2br w:val="nil"/>
                    <w:tr2bl w:val="nil"/>
                  </w:tcBorders>
                  <w:vAlign w:val="center"/>
                </w:tcPr>
                <w:p w14:paraId="4284E1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泥沙</w:t>
                  </w:r>
                </w:p>
              </w:tc>
              <w:tc>
                <w:tcPr>
                  <w:tcW w:w="4603" w:type="dxa"/>
                  <w:tcBorders>
                    <w:tl2br w:val="nil"/>
                    <w:tr2bl w:val="nil"/>
                  </w:tcBorders>
                  <w:vAlign w:val="center"/>
                </w:tcPr>
                <w:p w14:paraId="3D2C34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河道</w:t>
                  </w:r>
                  <w:r>
                    <w:rPr>
                      <w:rFonts w:hint="eastAsia" w:cs="Times New Roman" w:eastAsiaTheme="minorEastAsia"/>
                      <w:color w:val="000000" w:themeColor="text1"/>
                      <w:sz w:val="21"/>
                      <w:szCs w:val="21"/>
                      <w:lang w:val="en-US" w:eastAsia="zh-CN"/>
                      <w14:textFill>
                        <w14:solidFill>
                          <w14:schemeClr w14:val="tx1"/>
                        </w14:solidFill>
                      </w14:textFill>
                    </w:rPr>
                    <w:t>疏浚、</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清於产生的植物枯叶及沙土</w:t>
                  </w:r>
                  <w:r>
                    <w:rPr>
                      <w:rFonts w:hint="eastAsia" w:cs="Times New Roman" w:eastAsiaTheme="minorEastAsia"/>
                      <w:color w:val="000000" w:themeColor="text1"/>
                      <w:sz w:val="21"/>
                      <w:szCs w:val="21"/>
                      <w:lang w:val="en-US" w:eastAsia="zh-CN"/>
                      <w14:textFill>
                        <w14:solidFill>
                          <w14:schemeClr w14:val="tx1"/>
                        </w14:solidFill>
                      </w14:textFill>
                    </w:rPr>
                    <w:t>及时清运</w:t>
                  </w:r>
                </w:p>
              </w:tc>
              <w:tc>
                <w:tcPr>
                  <w:tcW w:w="962" w:type="dxa"/>
                  <w:vMerge w:val="restart"/>
                  <w:tcBorders>
                    <w:tl2br w:val="nil"/>
                    <w:tr2bl w:val="nil"/>
                  </w:tcBorders>
                  <w:vAlign w:val="center"/>
                </w:tcPr>
                <w:p w14:paraId="5BAF5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25</w:t>
                  </w:r>
                </w:p>
              </w:tc>
            </w:tr>
            <w:tr w14:paraId="2BC71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4AA7D7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tcBorders>
                    <w:tl2br w:val="nil"/>
                    <w:tr2bl w:val="nil"/>
                  </w:tcBorders>
                  <w:vAlign w:val="center"/>
                </w:tcPr>
                <w:p w14:paraId="537F61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tcBorders>
                    <w:tl2br w:val="nil"/>
                    <w:tr2bl w:val="nil"/>
                  </w:tcBorders>
                  <w:vAlign w:val="center"/>
                </w:tcPr>
                <w:p w14:paraId="05969B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建筑弃渣</w:t>
                  </w:r>
                </w:p>
              </w:tc>
              <w:tc>
                <w:tcPr>
                  <w:tcW w:w="4603" w:type="dxa"/>
                  <w:tcBorders>
                    <w:tl2br w:val="nil"/>
                    <w:tr2bl w:val="nil"/>
                  </w:tcBorders>
                  <w:vAlign w:val="center"/>
                </w:tcPr>
                <w:p w14:paraId="1F9C9A8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施工期具有回收利用价值建筑垃圾的尽可能回收利用，不能回收利用的建筑垃圾运至相关建筑垃圾处理单位综合利用。</w:t>
                  </w:r>
                </w:p>
              </w:tc>
              <w:tc>
                <w:tcPr>
                  <w:tcW w:w="962" w:type="dxa"/>
                  <w:vMerge w:val="continue"/>
                  <w:tcBorders>
                    <w:tl2br w:val="nil"/>
                    <w:tr2bl w:val="nil"/>
                  </w:tcBorders>
                  <w:vAlign w:val="center"/>
                </w:tcPr>
                <w:p w14:paraId="5CE87F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cs="Times New Roman" w:eastAsiaTheme="minorEastAsia"/>
                      <w:color w:val="000000" w:themeColor="text1"/>
                      <w:kern w:val="0"/>
                      <w:sz w:val="21"/>
                      <w:szCs w:val="21"/>
                      <w:lang w:val="en-US" w:eastAsia="zh-CN" w:bidi="ar"/>
                      <w14:textFill>
                        <w14:solidFill>
                          <w14:schemeClr w14:val="tx1"/>
                        </w14:solidFill>
                      </w14:textFill>
                    </w:rPr>
                  </w:pPr>
                </w:p>
              </w:tc>
            </w:tr>
            <w:tr w14:paraId="5965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2" w:type="dxa"/>
                  <w:vMerge w:val="continue"/>
                  <w:tcBorders>
                    <w:tl2br w:val="nil"/>
                    <w:tr2bl w:val="nil"/>
                  </w:tcBorders>
                  <w:vAlign w:val="center"/>
                </w:tcPr>
                <w:p w14:paraId="0DDF02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tcBorders>
                    <w:tl2br w:val="nil"/>
                    <w:tr2bl w:val="nil"/>
                  </w:tcBorders>
                  <w:vAlign w:val="center"/>
                </w:tcPr>
                <w:p w14:paraId="18C16E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1317" w:type="dxa"/>
                  <w:tcBorders>
                    <w:tl2br w:val="nil"/>
                    <w:tr2bl w:val="nil"/>
                  </w:tcBorders>
                  <w:vAlign w:val="center"/>
                </w:tcPr>
                <w:p w14:paraId="11ED1E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w:t>
                  </w:r>
                </w:p>
              </w:tc>
              <w:tc>
                <w:tcPr>
                  <w:tcW w:w="4603" w:type="dxa"/>
                  <w:tcBorders>
                    <w:tl2br w:val="nil"/>
                    <w:tr2bl w:val="nil"/>
                  </w:tcBorders>
                  <w:vAlign w:val="center"/>
                </w:tcPr>
                <w:p w14:paraId="4DE48F6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设置生活垃圾桶，</w:t>
                  </w:r>
                  <w:r>
                    <w:rPr>
                      <w:rFonts w:hint="default" w:ascii="Times New Roman" w:hAnsi="Times New Roman" w:cs="Times New Roman" w:eastAsiaTheme="minorEastAsia"/>
                      <w:color w:val="000000" w:themeColor="text1"/>
                      <w:sz w:val="21"/>
                      <w:szCs w:val="21"/>
                      <w14:textFill>
                        <w14:solidFill>
                          <w14:schemeClr w14:val="tx1"/>
                        </w14:solidFill>
                      </w14:textFill>
                    </w:rPr>
                    <w:t>生活垃圾集中收集后交由环卫部门统一处理</w:t>
                  </w:r>
                </w:p>
              </w:tc>
              <w:tc>
                <w:tcPr>
                  <w:tcW w:w="962" w:type="dxa"/>
                  <w:tcBorders>
                    <w:tl2br w:val="nil"/>
                    <w:tr2bl w:val="nil"/>
                  </w:tcBorders>
                  <w:vAlign w:val="center"/>
                </w:tcPr>
                <w:p w14:paraId="73F62E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5</w:t>
                  </w:r>
                </w:p>
              </w:tc>
            </w:tr>
            <w:tr w14:paraId="3622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02" w:type="dxa"/>
                  <w:vMerge w:val="continue"/>
                  <w:tcBorders>
                    <w:tl2br w:val="nil"/>
                    <w:tr2bl w:val="nil"/>
                  </w:tcBorders>
                  <w:vAlign w:val="center"/>
                </w:tcPr>
                <w:p w14:paraId="6A5BB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restart"/>
                  <w:tcBorders>
                    <w:tl2br w:val="nil"/>
                    <w:tr2bl w:val="nil"/>
                  </w:tcBorders>
                  <w:vAlign w:val="center"/>
                </w:tcPr>
                <w:p w14:paraId="074B6C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生态环境</w:t>
                  </w:r>
                </w:p>
              </w:tc>
              <w:tc>
                <w:tcPr>
                  <w:tcW w:w="1317" w:type="dxa"/>
                  <w:tcBorders>
                    <w:tl2br w:val="nil"/>
                    <w:tr2bl w:val="nil"/>
                  </w:tcBorders>
                  <w:vAlign w:val="center"/>
                </w:tcPr>
                <w:p w14:paraId="53F98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水土保持</w:t>
                  </w:r>
                </w:p>
              </w:tc>
              <w:tc>
                <w:tcPr>
                  <w:tcW w:w="4603" w:type="dxa"/>
                  <w:tcBorders>
                    <w:tl2br w:val="nil"/>
                    <w:tr2bl w:val="nil"/>
                  </w:tcBorders>
                  <w:vAlign w:val="center"/>
                </w:tcPr>
                <w:p w14:paraId="4C0B8E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表土剥离、土地整治、草皮护坡、撒播草籽、临时排水沟、临时沉淀池、彩布条苫盖等。</w:t>
                  </w:r>
                </w:p>
              </w:tc>
              <w:tc>
                <w:tcPr>
                  <w:tcW w:w="962" w:type="dxa"/>
                  <w:vMerge w:val="restart"/>
                  <w:tcBorders>
                    <w:tl2br w:val="nil"/>
                    <w:tr2bl w:val="nil"/>
                  </w:tcBorders>
                  <w:vAlign w:val="center"/>
                </w:tcPr>
                <w:p w14:paraId="78CC8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300</w:t>
                  </w:r>
                </w:p>
              </w:tc>
            </w:tr>
            <w:tr w14:paraId="2170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02" w:type="dxa"/>
                  <w:vMerge w:val="continue"/>
                  <w:tcBorders>
                    <w:tl2br w:val="nil"/>
                    <w:tr2bl w:val="nil"/>
                  </w:tcBorders>
                  <w:vAlign w:val="center"/>
                </w:tcPr>
                <w:p w14:paraId="3049D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14:textFill>
                        <w14:solidFill>
                          <w14:schemeClr w14:val="tx1"/>
                        </w14:solidFill>
                      </w14:textFill>
                    </w:rPr>
                  </w:pPr>
                </w:p>
              </w:tc>
              <w:tc>
                <w:tcPr>
                  <w:tcW w:w="661" w:type="dxa"/>
                  <w:vMerge w:val="continue"/>
                  <w:tcBorders>
                    <w:tl2br w:val="nil"/>
                    <w:tr2bl w:val="nil"/>
                  </w:tcBorders>
                  <w:vAlign w:val="center"/>
                </w:tcPr>
                <w:p w14:paraId="2F4797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p>
              </w:tc>
              <w:tc>
                <w:tcPr>
                  <w:tcW w:w="1317" w:type="dxa"/>
                  <w:tcBorders>
                    <w:tl2br w:val="nil"/>
                    <w:tr2bl w:val="nil"/>
                  </w:tcBorders>
                  <w:vAlign w:val="center"/>
                </w:tcPr>
                <w:p w14:paraId="1BEE6E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绿化</w:t>
                  </w:r>
                </w:p>
              </w:tc>
              <w:tc>
                <w:tcPr>
                  <w:tcW w:w="4603" w:type="dxa"/>
                  <w:tcBorders>
                    <w:tl2br w:val="nil"/>
                    <w:tr2bl w:val="nil"/>
                  </w:tcBorders>
                  <w:vAlign w:val="center"/>
                </w:tcPr>
                <w:p w14:paraId="432A60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施工结束，恢复人行道、绿化带、行道树</w:t>
                  </w:r>
                </w:p>
              </w:tc>
              <w:tc>
                <w:tcPr>
                  <w:tcW w:w="962" w:type="dxa"/>
                  <w:vMerge w:val="continue"/>
                  <w:tcBorders>
                    <w:tl2br w:val="nil"/>
                    <w:tr2bl w:val="nil"/>
                  </w:tcBorders>
                  <w:vAlign w:val="center"/>
                </w:tcPr>
                <w:p w14:paraId="4073C4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p>
              </w:tc>
            </w:tr>
            <w:tr w14:paraId="0038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602" w:type="dxa"/>
                  <w:vMerge w:val="restart"/>
                  <w:tcBorders>
                    <w:tl2br w:val="nil"/>
                    <w:tr2bl w:val="nil"/>
                  </w:tcBorders>
                  <w:vAlign w:val="center"/>
                </w:tcPr>
                <w:p w14:paraId="3B8F5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运营期</w:t>
                  </w:r>
                </w:p>
              </w:tc>
              <w:tc>
                <w:tcPr>
                  <w:tcW w:w="661" w:type="dxa"/>
                  <w:tcBorders>
                    <w:tl2br w:val="nil"/>
                    <w:tr2bl w:val="nil"/>
                  </w:tcBorders>
                  <w:vAlign w:val="center"/>
                </w:tcPr>
                <w:p w14:paraId="1E3717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cs="Times New Roman" w:eastAsiaTheme="minorEastAsia"/>
                      <w:color w:val="000000" w:themeColor="text1"/>
                      <w:sz w:val="21"/>
                      <w:szCs w:val="21"/>
                      <w:lang w:eastAsia="zh-CN"/>
                      <w14:textFill>
                        <w14:solidFill>
                          <w14:schemeClr w14:val="tx1"/>
                        </w14:solidFill>
                      </w14:textFill>
                    </w:rPr>
                    <w:t>噪声</w:t>
                  </w:r>
                </w:p>
              </w:tc>
              <w:tc>
                <w:tcPr>
                  <w:tcW w:w="1317" w:type="dxa"/>
                  <w:tcBorders>
                    <w:tl2br w:val="nil"/>
                    <w:tr2bl w:val="nil"/>
                  </w:tcBorders>
                  <w:vAlign w:val="center"/>
                </w:tcPr>
                <w:p w14:paraId="292612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w:t>
                  </w:r>
                </w:p>
              </w:tc>
              <w:tc>
                <w:tcPr>
                  <w:tcW w:w="4603" w:type="dxa"/>
                  <w:tcBorders>
                    <w:tl2br w:val="nil"/>
                    <w:tr2bl w:val="nil"/>
                  </w:tcBorders>
                  <w:vAlign w:val="center"/>
                </w:tcPr>
                <w:p w14:paraId="2444C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泵房设置在地下层内，墙壁采用隔声材料，设备优先选用低噪声设备，基础减震、加强机电设备修及保养等措施。</w:t>
                  </w:r>
                </w:p>
              </w:tc>
              <w:tc>
                <w:tcPr>
                  <w:tcW w:w="962" w:type="dxa"/>
                  <w:tcBorders>
                    <w:tl2br w:val="nil"/>
                    <w:tr2bl w:val="nil"/>
                  </w:tcBorders>
                  <w:vAlign w:val="center"/>
                </w:tcPr>
                <w:p w14:paraId="518F91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w:t>
                  </w:r>
                </w:p>
              </w:tc>
            </w:tr>
            <w:tr w14:paraId="7C8F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02" w:type="dxa"/>
                  <w:vMerge w:val="continue"/>
                  <w:tcBorders>
                    <w:tl2br w:val="nil"/>
                    <w:tr2bl w:val="nil"/>
                  </w:tcBorders>
                  <w:vAlign w:val="center"/>
                </w:tcPr>
                <w:p w14:paraId="3D485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cs="Times New Roman" w:eastAsiaTheme="minorEastAsia"/>
                      <w:color w:val="000000" w:themeColor="text1"/>
                      <w:sz w:val="21"/>
                      <w:szCs w:val="21"/>
                      <w:lang w:eastAsia="zh-CN"/>
                      <w14:textFill>
                        <w14:solidFill>
                          <w14:schemeClr w14:val="tx1"/>
                        </w14:solidFill>
                      </w14:textFill>
                    </w:rPr>
                  </w:pPr>
                </w:p>
              </w:tc>
              <w:tc>
                <w:tcPr>
                  <w:tcW w:w="661" w:type="dxa"/>
                  <w:vMerge w:val="restart"/>
                  <w:tcBorders>
                    <w:tl2br w:val="nil"/>
                    <w:tr2bl w:val="nil"/>
                  </w:tcBorders>
                  <w:vAlign w:val="center"/>
                </w:tcPr>
                <w:p w14:paraId="381DE0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s="Times New Roman" w:eastAsiaTheme="minorEastAsia"/>
                      <w:color w:val="000000" w:themeColor="text1"/>
                      <w:sz w:val="21"/>
                      <w:szCs w:val="21"/>
                      <w:lang w:val="en-US" w:eastAsia="zh-CN"/>
                      <w14:textFill>
                        <w14:solidFill>
                          <w14:schemeClr w14:val="tx1"/>
                        </w14:solidFill>
                      </w14:textFill>
                    </w:rPr>
                  </w:pPr>
                  <w:r>
                    <w:rPr>
                      <w:rFonts w:hint="eastAsia" w:cs="Times New Roman" w:eastAsiaTheme="minorEastAsia"/>
                      <w:color w:val="000000" w:themeColor="text1"/>
                      <w:sz w:val="21"/>
                      <w:szCs w:val="21"/>
                      <w:lang w:val="en-US" w:eastAsia="zh-CN"/>
                      <w14:textFill>
                        <w14:solidFill>
                          <w14:schemeClr w14:val="tx1"/>
                        </w14:solidFill>
                      </w14:textFill>
                    </w:rPr>
                    <w:t>固废</w:t>
                  </w:r>
                </w:p>
              </w:tc>
              <w:tc>
                <w:tcPr>
                  <w:tcW w:w="1317" w:type="dxa"/>
                  <w:tcBorders>
                    <w:tl2br w:val="nil"/>
                    <w:tr2bl w:val="nil"/>
                  </w:tcBorders>
                  <w:vAlign w:val="center"/>
                </w:tcPr>
                <w:p w14:paraId="39410F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危废</w:t>
                  </w:r>
                </w:p>
              </w:tc>
              <w:tc>
                <w:tcPr>
                  <w:tcW w:w="4603" w:type="dxa"/>
                  <w:tcBorders>
                    <w:tl2br w:val="nil"/>
                    <w:tr2bl w:val="nil"/>
                  </w:tcBorders>
                  <w:vAlign w:val="center"/>
                </w:tcPr>
                <w:p w14:paraId="3A4FD3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泵站、闸门检修产生的废矿物油及沾染物</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委托有资质单位处置</w:t>
                  </w:r>
                </w:p>
              </w:tc>
              <w:tc>
                <w:tcPr>
                  <w:tcW w:w="962" w:type="dxa"/>
                  <w:vMerge w:val="restart"/>
                  <w:tcBorders>
                    <w:tl2br w:val="nil"/>
                    <w:tr2bl w:val="nil"/>
                  </w:tcBorders>
                  <w:vAlign w:val="center"/>
                </w:tcPr>
                <w:p w14:paraId="4BC7E1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cs="Times New Roman" w:eastAsiaTheme="minorEastAsia"/>
                      <w:color w:val="000000" w:themeColor="text1"/>
                      <w:kern w:val="0"/>
                      <w:sz w:val="21"/>
                      <w:szCs w:val="21"/>
                      <w:lang w:val="en-US" w:eastAsia="zh-CN"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w:t>
                  </w:r>
                </w:p>
              </w:tc>
            </w:tr>
            <w:tr w14:paraId="1DC1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602" w:type="dxa"/>
                  <w:vMerge w:val="continue"/>
                  <w:tcBorders>
                    <w:tl2br w:val="nil"/>
                    <w:tr2bl w:val="nil"/>
                  </w:tcBorders>
                  <w:vAlign w:val="center"/>
                </w:tcPr>
                <w:p w14:paraId="1F2023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olor w:val="000000" w:themeColor="text1"/>
                      <w14:textFill>
                        <w14:solidFill>
                          <w14:schemeClr w14:val="tx1"/>
                        </w14:solidFill>
                      </w14:textFill>
                    </w:rPr>
                  </w:pPr>
                </w:p>
              </w:tc>
              <w:tc>
                <w:tcPr>
                  <w:tcW w:w="661" w:type="dxa"/>
                  <w:vMerge w:val="continue"/>
                  <w:tcBorders>
                    <w:tl2br w:val="nil"/>
                    <w:tr2bl w:val="nil"/>
                  </w:tcBorders>
                  <w:vAlign w:val="center"/>
                </w:tcPr>
                <w:p w14:paraId="1C4A59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color w:val="000000" w:themeColor="text1"/>
                      <w14:textFill>
                        <w14:solidFill>
                          <w14:schemeClr w14:val="tx1"/>
                        </w14:solidFill>
                      </w14:textFill>
                    </w:rPr>
                  </w:pPr>
                </w:p>
              </w:tc>
              <w:tc>
                <w:tcPr>
                  <w:tcW w:w="1317" w:type="dxa"/>
                  <w:tcBorders>
                    <w:tl2br w:val="nil"/>
                    <w:tr2bl w:val="nil"/>
                  </w:tcBorders>
                  <w:vAlign w:val="center"/>
                </w:tcPr>
                <w:p w14:paraId="5298B7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排洪渠泥沙</w:t>
                  </w:r>
                </w:p>
              </w:tc>
              <w:tc>
                <w:tcPr>
                  <w:tcW w:w="4603" w:type="dxa"/>
                  <w:tcBorders>
                    <w:tl2br w:val="nil"/>
                    <w:tr2bl w:val="nil"/>
                  </w:tcBorders>
                  <w:vAlign w:val="center"/>
                </w:tcPr>
                <w:p w14:paraId="3EB9D0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排洪渠产生的植物枯叶及沙土建设单位不定期清理至建筑垃圾填埋场</w:t>
                  </w:r>
                </w:p>
              </w:tc>
              <w:tc>
                <w:tcPr>
                  <w:tcW w:w="962" w:type="dxa"/>
                  <w:vMerge w:val="continue"/>
                  <w:tcBorders>
                    <w:tl2br w:val="nil"/>
                    <w:tr2bl w:val="nil"/>
                  </w:tcBorders>
                  <w:vAlign w:val="center"/>
                </w:tcPr>
                <w:p w14:paraId="6202A7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cs="Times New Roman" w:eastAsiaTheme="minorEastAsia"/>
                      <w:color w:val="000000" w:themeColor="text1"/>
                      <w:sz w:val="21"/>
                      <w:szCs w:val="21"/>
                      <w:lang w:val="en-US" w:eastAsia="zh-CN"/>
                      <w14:textFill>
                        <w14:solidFill>
                          <w14:schemeClr w14:val="tx1"/>
                        </w14:solidFill>
                      </w14:textFill>
                    </w:rPr>
                  </w:pPr>
                </w:p>
              </w:tc>
            </w:tr>
            <w:tr w14:paraId="5C2C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80" w:type="dxa"/>
                  <w:gridSpan w:val="3"/>
                  <w:tcBorders>
                    <w:tl2br w:val="nil"/>
                    <w:tr2bl w:val="nil"/>
                  </w:tcBorders>
                  <w:vAlign w:val="center"/>
                </w:tcPr>
                <w:p w14:paraId="16C5E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合计</w:t>
                  </w:r>
                </w:p>
              </w:tc>
              <w:tc>
                <w:tcPr>
                  <w:tcW w:w="4603" w:type="dxa"/>
                  <w:tcBorders>
                    <w:tl2br w:val="nil"/>
                    <w:tr2bl w:val="nil"/>
                  </w:tcBorders>
                  <w:vAlign w:val="center"/>
                </w:tcPr>
                <w:p w14:paraId="28A14D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Cs/>
                      <w:color w:val="000000" w:themeColor="text1"/>
                      <w:sz w:val="21"/>
                      <w:szCs w:val="21"/>
                      <w14:textFill>
                        <w14:solidFill>
                          <w14:schemeClr w14:val="tx1"/>
                        </w14:solidFill>
                      </w14:textFill>
                    </w:rPr>
                  </w:pPr>
                  <w:r>
                    <w:rPr>
                      <w:rFonts w:hint="default" w:ascii="Times New Roman" w:hAnsi="Times New Roman" w:cs="Times New Roman" w:eastAsiaTheme="minorEastAsia"/>
                      <w:bCs/>
                      <w:color w:val="000000" w:themeColor="text1"/>
                      <w:sz w:val="21"/>
                      <w:szCs w:val="21"/>
                      <w14:textFill>
                        <w14:solidFill>
                          <w14:schemeClr w14:val="tx1"/>
                        </w14:solidFill>
                      </w14:textFill>
                    </w:rPr>
                    <w:t>--</w:t>
                  </w:r>
                </w:p>
              </w:tc>
              <w:tc>
                <w:tcPr>
                  <w:tcW w:w="962" w:type="dxa"/>
                  <w:tcBorders>
                    <w:tl2br w:val="nil"/>
                    <w:tr2bl w:val="nil"/>
                  </w:tcBorders>
                  <w:vAlign w:val="center"/>
                </w:tcPr>
                <w:p w14:paraId="1F2BBA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cs="Times New Roman" w:eastAsiaTheme="minorEastAsia"/>
                      <w:color w:val="000000" w:themeColor="text1"/>
                      <w:kern w:val="0"/>
                      <w:sz w:val="21"/>
                      <w:szCs w:val="21"/>
                      <w:lang w:val="en-US" w:bidi="ar"/>
                      <w14:textFill>
                        <w14:solidFill>
                          <w14:schemeClr w14:val="tx1"/>
                        </w14:solidFill>
                      </w14:textFill>
                    </w:rPr>
                  </w:pPr>
                  <w:r>
                    <w:rPr>
                      <w:rFonts w:hint="eastAsia" w:cs="Times New Roman" w:eastAsiaTheme="minorEastAsia"/>
                      <w:color w:val="000000" w:themeColor="text1"/>
                      <w:kern w:val="0"/>
                      <w:sz w:val="21"/>
                      <w:szCs w:val="21"/>
                      <w:lang w:val="en-US" w:eastAsia="zh-CN" w:bidi="ar"/>
                      <w14:textFill>
                        <w14:solidFill>
                          <w14:schemeClr w14:val="tx1"/>
                        </w14:solidFill>
                      </w14:textFill>
                    </w:rPr>
                    <w:t>490</w:t>
                  </w:r>
                </w:p>
              </w:tc>
            </w:tr>
          </w:tbl>
          <w:p w14:paraId="40065B9D">
            <w:pPr>
              <w:keepNext w:val="0"/>
              <w:keepLines w:val="0"/>
              <w:pageBreakBefore w:val="0"/>
              <w:widowControl w:val="0"/>
              <w:suppressLineNumbers w:val="0"/>
              <w:kinsoku/>
              <w:bidi w:val="0"/>
              <w:adjustRightInd/>
              <w:snapToGrid/>
              <w:spacing w:before="0" w:beforeAutospacing="0" w:after="0" w:afterAutospacing="0" w:line="360" w:lineRule="auto"/>
              <w:ind w:left="0" w:leftChars="0" w:right="0" w:rightChars="0" w:firstLine="0" w:firstLineChars="0"/>
              <w:jc w:val="both"/>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p>
          <w:p w14:paraId="29C8A730">
            <w:pPr>
              <w:keepNext w:val="0"/>
              <w:keepLines w:val="0"/>
              <w:pageBreakBefore w:val="0"/>
              <w:widowControl w:val="0"/>
              <w:suppressLineNumbers w:val="0"/>
              <w:kinsoku/>
              <w:bidi w:val="0"/>
              <w:adjustRightInd/>
              <w:snapToGrid/>
              <w:spacing w:before="0" w:beforeAutospacing="0" w:after="0" w:afterAutospacing="0" w:line="360" w:lineRule="auto"/>
              <w:ind w:left="0" w:leftChars="0" w:right="0" w:rightChars="0" w:firstLine="0" w:firstLineChars="0"/>
              <w:jc w:val="both"/>
              <w:rPr>
                <w:rFonts w:hint="default" w:ascii="Times New Roman" w:hAnsi="Times New Roman" w:cs="Times New Roman" w:eastAsiaTheme="minorEastAsia"/>
                <w:color w:val="000000" w:themeColor="text1"/>
                <w:kern w:val="2"/>
                <w:sz w:val="21"/>
                <w:szCs w:val="22"/>
                <w:lang w:val="en-US" w:eastAsia="zh-CN" w:bidi="ar-SA"/>
                <w14:textFill>
                  <w14:solidFill>
                    <w14:schemeClr w14:val="tx1"/>
                  </w14:solidFill>
                </w14:textFill>
              </w:rPr>
            </w:pPr>
          </w:p>
        </w:tc>
      </w:tr>
    </w:tbl>
    <w:p w14:paraId="0911D5A5">
      <w:pPr>
        <w:pageBreakBefore w:val="0"/>
        <w:kinsoku/>
        <w:bidi w:val="0"/>
        <w:adjustRightInd/>
        <w:snapToGrid/>
        <w:spacing w:beforeAutospacing="0" w:afterAutospacing="0" w:line="360" w:lineRule="auto"/>
        <w:ind w:left="0" w:leftChars="0" w:right="0" w:rightChars="0"/>
        <w:rPr>
          <w:rFonts w:hint="default" w:ascii="Times New Roman" w:hAnsi="Times New Roman" w:cs="Times New Roman" w:eastAsiaTheme="minorEastAsia"/>
          <w:color w:val="000000" w:themeColor="text1"/>
          <w14:textFill>
            <w14:solidFill>
              <w14:schemeClr w14:val="tx1"/>
            </w14:solidFill>
          </w14:textFill>
        </w:rPr>
        <w:sectPr>
          <w:pgSz w:w="11907" w:h="16840"/>
          <w:pgMar w:top="1417" w:right="1417" w:bottom="1417" w:left="1417" w:header="851" w:footer="107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4A7D2214">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02" w:firstLineChars="200"/>
        <w:jc w:val="center"/>
        <w:textAlignment w:val="auto"/>
        <w:outlineLvl w:val="0"/>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pPr>
      <w:r>
        <w:rPr>
          <w:rFonts w:hint="default" w:ascii="Times New Roman" w:hAnsi="Times New Roman" w:cs="Times New Roman" w:eastAsiaTheme="minorEastAsia"/>
          <w:b/>
          <w:bCs/>
          <w:snapToGrid w:val="0"/>
          <w:color w:val="000000" w:themeColor="text1"/>
          <w:kern w:val="0"/>
          <w:sz w:val="30"/>
          <w:szCs w:val="30"/>
          <w:lang w:val="en-US" w:eastAsia="zh-CN" w:bidi="ar-SA"/>
          <w14:textFill>
            <w14:solidFill>
              <w14:schemeClr w14:val="tx1"/>
            </w14:solidFill>
          </w14:textFill>
        </w:rPr>
        <w:t>六、生态环境保护措施监督检查清单</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232"/>
        <w:gridCol w:w="1750"/>
        <w:gridCol w:w="1706"/>
        <w:gridCol w:w="1069"/>
      </w:tblGrid>
      <w:tr w14:paraId="0EF9A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vMerge w:val="restart"/>
            <w:tcBorders>
              <w:tl2br w:val="nil"/>
              <w:tr2bl w:val="nil"/>
            </w:tcBorders>
            <w:tcMar>
              <w:top w:w="0" w:type="dxa"/>
              <w:left w:w="0" w:type="dxa"/>
              <w:bottom w:w="0" w:type="dxa"/>
              <w:right w:w="0" w:type="dxa"/>
            </w:tcMar>
            <w:vAlign w:val="center"/>
          </w:tcPr>
          <w:p w14:paraId="5B56145D">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1270</wp:posOffset>
                      </wp:positionV>
                      <wp:extent cx="895350" cy="461010"/>
                      <wp:effectExtent l="3175" t="5715" r="15875" b="9525"/>
                      <wp:wrapNone/>
                      <wp:docPr id="1" name="直接连接符 1"/>
                      <wp:cNvGraphicFramePr/>
                      <a:graphic xmlns:a="http://schemas.openxmlformats.org/drawingml/2006/main">
                        <a:graphicData uri="http://schemas.microsoft.com/office/word/2010/wordprocessingShape">
                          <wps:wsp>
                            <wps:cNvCnPr/>
                            <wps:spPr>
                              <a:xfrm>
                                <a:off x="903605" y="1671955"/>
                                <a:ext cx="895350" cy="46101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5pt;margin-top:0.1pt;height:36.3pt;width:70.5pt;z-index:251660288;mso-width-relative:page;mso-height-relative:page;" filled="f" stroked="t" coordsize="21600,21600" o:gfxdata="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PZbI+9YAAAAGAQAADwAAAAAAAAABACAAAAAiAAAAZHJzL2Rvd25yZXYueG1sUEsBAhQAFAAA&#10;AAgAh07iQPxkPMbxAQAAwQMAAA4AAAAAAAAAAQAgAAAAJQEAAGRycy9lMm9Eb2MueG1sUEsFBgAA&#10;AAAGAAYAWQEAAIgFAAAAAA==&#10;">
                      <v:fill on="f" focussize="0,0"/>
                      <v:stroke weight="1pt" color="#000000 [3213]" miterlimit="8" joinstyle="miter"/>
                      <v:imagedata o:title=""/>
                      <o:lock v:ext="edit" aspectratio="f"/>
                    </v:line>
                  </w:pict>
                </mc:Fallback>
              </mc:AlternateContent>
            </w: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内容</w:t>
            </w:r>
          </w:p>
          <w:p w14:paraId="3733209B">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both"/>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要素</w:t>
            </w:r>
          </w:p>
        </w:tc>
        <w:tc>
          <w:tcPr>
            <w:tcW w:w="4499" w:type="dxa"/>
            <w:gridSpan w:val="2"/>
            <w:tcBorders>
              <w:tl2br w:val="nil"/>
              <w:tr2bl w:val="nil"/>
            </w:tcBorders>
            <w:tcMar>
              <w:top w:w="0" w:type="dxa"/>
              <w:left w:w="0" w:type="dxa"/>
              <w:bottom w:w="0" w:type="dxa"/>
              <w:right w:w="0" w:type="dxa"/>
            </w:tcMar>
            <w:vAlign w:val="center"/>
          </w:tcPr>
          <w:p w14:paraId="30E1D1C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施工期</w:t>
            </w:r>
          </w:p>
        </w:tc>
        <w:tc>
          <w:tcPr>
            <w:tcW w:w="2506" w:type="dxa"/>
            <w:gridSpan w:val="2"/>
            <w:tcBorders>
              <w:tl2br w:val="nil"/>
              <w:tr2bl w:val="nil"/>
            </w:tcBorders>
            <w:tcMar>
              <w:top w:w="0" w:type="dxa"/>
              <w:left w:w="0" w:type="dxa"/>
              <w:bottom w:w="0" w:type="dxa"/>
              <w:right w:w="0" w:type="dxa"/>
            </w:tcMar>
            <w:vAlign w:val="center"/>
          </w:tcPr>
          <w:p w14:paraId="2BDB00CA">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运营期</w:t>
            </w:r>
          </w:p>
        </w:tc>
      </w:tr>
      <w:tr w14:paraId="134F4F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vMerge w:val="continue"/>
            <w:tcBorders>
              <w:tl2br w:val="nil"/>
              <w:tr2bl w:val="nil"/>
            </w:tcBorders>
            <w:tcMar>
              <w:top w:w="0" w:type="dxa"/>
              <w:left w:w="0" w:type="dxa"/>
              <w:bottom w:w="0" w:type="dxa"/>
              <w:right w:w="0" w:type="dxa"/>
            </w:tcMar>
            <w:vAlign w:val="center"/>
          </w:tcPr>
          <w:p w14:paraId="63F4397C">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sz w:val="21"/>
                <w:szCs w:val="21"/>
                <w14:textFill>
                  <w14:solidFill>
                    <w14:schemeClr w14:val="tx1"/>
                  </w14:solidFill>
                </w14:textFill>
              </w:rPr>
            </w:pPr>
          </w:p>
        </w:tc>
        <w:tc>
          <w:tcPr>
            <w:tcW w:w="2919" w:type="dxa"/>
            <w:tcBorders>
              <w:tl2br w:val="nil"/>
              <w:tr2bl w:val="nil"/>
            </w:tcBorders>
            <w:tcMar>
              <w:top w:w="0" w:type="dxa"/>
              <w:left w:w="0" w:type="dxa"/>
              <w:bottom w:w="0" w:type="dxa"/>
              <w:right w:w="0" w:type="dxa"/>
            </w:tcMar>
            <w:vAlign w:val="center"/>
          </w:tcPr>
          <w:p w14:paraId="66E5A78E">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环境保护措施</w:t>
            </w:r>
          </w:p>
        </w:tc>
        <w:tc>
          <w:tcPr>
            <w:tcW w:w="1580" w:type="dxa"/>
            <w:tcBorders>
              <w:tl2br w:val="nil"/>
              <w:tr2bl w:val="nil"/>
            </w:tcBorders>
            <w:tcMar>
              <w:top w:w="0" w:type="dxa"/>
              <w:left w:w="0" w:type="dxa"/>
              <w:bottom w:w="0" w:type="dxa"/>
              <w:right w:w="0" w:type="dxa"/>
            </w:tcMar>
            <w:vAlign w:val="center"/>
          </w:tcPr>
          <w:p w14:paraId="08E24BEA">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验收要求</w:t>
            </w:r>
          </w:p>
        </w:tc>
        <w:tc>
          <w:tcPr>
            <w:tcW w:w="1541" w:type="dxa"/>
            <w:tcBorders>
              <w:tl2br w:val="nil"/>
              <w:tr2bl w:val="nil"/>
            </w:tcBorders>
            <w:tcMar>
              <w:top w:w="0" w:type="dxa"/>
              <w:left w:w="0" w:type="dxa"/>
              <w:bottom w:w="0" w:type="dxa"/>
              <w:right w:w="0" w:type="dxa"/>
            </w:tcMar>
            <w:vAlign w:val="center"/>
          </w:tcPr>
          <w:p w14:paraId="79B9046A">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环境保护措施</w:t>
            </w:r>
          </w:p>
        </w:tc>
        <w:tc>
          <w:tcPr>
            <w:tcW w:w="965" w:type="dxa"/>
            <w:tcBorders>
              <w:tl2br w:val="nil"/>
              <w:tr2bl w:val="nil"/>
            </w:tcBorders>
            <w:tcMar>
              <w:top w:w="0" w:type="dxa"/>
              <w:left w:w="0" w:type="dxa"/>
              <w:bottom w:w="0" w:type="dxa"/>
              <w:right w:w="0" w:type="dxa"/>
            </w:tcMar>
            <w:vAlign w:val="center"/>
          </w:tcPr>
          <w:p w14:paraId="18307C08">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21"/>
                <w:szCs w:val="21"/>
                <w:lang w:val="en-US" w:eastAsia="zh-CN" w:bidi="ar-SA"/>
                <w14:textFill>
                  <w14:solidFill>
                    <w14:schemeClr w14:val="tx1"/>
                  </w14:solidFill>
                </w14:textFill>
              </w:rPr>
              <w:t>验收要求</w:t>
            </w:r>
          </w:p>
        </w:tc>
      </w:tr>
      <w:tr w14:paraId="77894D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52C3F8C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陆生生态</w:t>
            </w:r>
          </w:p>
        </w:tc>
        <w:tc>
          <w:tcPr>
            <w:tcW w:w="2919" w:type="dxa"/>
            <w:tcBorders>
              <w:tl2br w:val="nil"/>
              <w:tr2bl w:val="nil"/>
            </w:tcBorders>
            <w:tcMar>
              <w:top w:w="0" w:type="dxa"/>
              <w:left w:w="0" w:type="dxa"/>
              <w:bottom w:w="0" w:type="dxa"/>
              <w:right w:w="0" w:type="dxa"/>
            </w:tcMar>
            <w:vAlign w:val="center"/>
          </w:tcPr>
          <w:p w14:paraId="07F6096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①加强施工人员的生态保护培训，严禁乱砍滥伐。</w:t>
            </w:r>
          </w:p>
          <w:p w14:paraId="5A279EC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②合理规划施工布局，尽量少占耕地，施工场区选择在植被少、距离区域道路较近的场地；</w:t>
            </w:r>
          </w:p>
          <w:p w14:paraId="4B5230D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③施工结束时，及时恢复临时占地范围的土地使用功能；</w:t>
            </w:r>
          </w:p>
          <w:p w14:paraId="17CA616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④</w:t>
            </w:r>
            <w:r>
              <w:rPr>
                <w:rFonts w:hint="default" w:ascii="Times New Roman" w:hAnsi="Times New Roman" w:cs="Times New Roman" w:eastAsiaTheme="minorEastAsia"/>
                <w:color w:val="000000" w:themeColor="text1"/>
                <w:sz w:val="21"/>
                <w:szCs w:val="21"/>
                <w14:textFill>
                  <w14:solidFill>
                    <w14:schemeClr w14:val="tx1"/>
                  </w14:solidFill>
                </w14:textFill>
              </w:rPr>
              <w:t>明确施工建筑红线，严禁跨越红线施工</w:t>
            </w:r>
          </w:p>
        </w:tc>
        <w:tc>
          <w:tcPr>
            <w:tcW w:w="1580" w:type="dxa"/>
            <w:tcBorders>
              <w:tl2br w:val="nil"/>
              <w:tr2bl w:val="nil"/>
            </w:tcBorders>
            <w:tcMar>
              <w:top w:w="0" w:type="dxa"/>
              <w:left w:w="0" w:type="dxa"/>
              <w:bottom w:w="0" w:type="dxa"/>
              <w:right w:w="0" w:type="dxa"/>
            </w:tcMar>
            <w:vAlign w:val="center"/>
          </w:tcPr>
          <w:p w14:paraId="25E333F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保护陆生生态环境质量不改变</w:t>
            </w:r>
          </w:p>
        </w:tc>
        <w:tc>
          <w:tcPr>
            <w:tcW w:w="1541" w:type="dxa"/>
            <w:tcBorders>
              <w:tl2br w:val="nil"/>
              <w:tr2bl w:val="nil"/>
            </w:tcBorders>
            <w:tcMar>
              <w:top w:w="0" w:type="dxa"/>
              <w:left w:w="0" w:type="dxa"/>
              <w:bottom w:w="0" w:type="dxa"/>
              <w:right w:w="0" w:type="dxa"/>
            </w:tcMar>
            <w:vAlign w:val="center"/>
          </w:tcPr>
          <w:p w14:paraId="4EC0929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3E0EF27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r>
      <w:tr w14:paraId="15F818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72DC30E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水生生态</w:t>
            </w:r>
          </w:p>
        </w:tc>
        <w:tc>
          <w:tcPr>
            <w:tcW w:w="2919" w:type="dxa"/>
            <w:tcBorders>
              <w:tl2br w:val="nil"/>
              <w:tr2bl w:val="nil"/>
            </w:tcBorders>
            <w:tcMar>
              <w:top w:w="0" w:type="dxa"/>
              <w:left w:w="0" w:type="dxa"/>
              <w:bottom w:w="0" w:type="dxa"/>
              <w:right w:w="0" w:type="dxa"/>
            </w:tcMar>
            <w:vAlign w:val="center"/>
          </w:tcPr>
          <w:p w14:paraId="233AEF3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①加强对施工人员自然保护教育；</w:t>
            </w:r>
          </w:p>
          <w:p w14:paraId="2F8851B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②施工前必须对可能影响到的河段进行认真调查；</w:t>
            </w:r>
          </w:p>
          <w:p w14:paraId="4D1FAD1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③加强施工期“三废”的管理；</w:t>
            </w:r>
          </w:p>
        </w:tc>
        <w:tc>
          <w:tcPr>
            <w:tcW w:w="1580" w:type="dxa"/>
            <w:tcBorders>
              <w:tl2br w:val="nil"/>
              <w:tr2bl w:val="nil"/>
            </w:tcBorders>
            <w:tcMar>
              <w:top w:w="0" w:type="dxa"/>
              <w:left w:w="0" w:type="dxa"/>
              <w:bottom w:w="0" w:type="dxa"/>
              <w:right w:w="0" w:type="dxa"/>
            </w:tcMar>
            <w:vAlign w:val="center"/>
          </w:tcPr>
          <w:p w14:paraId="3F90A13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减轻对水生环境的影响</w:t>
            </w:r>
          </w:p>
        </w:tc>
        <w:tc>
          <w:tcPr>
            <w:tcW w:w="1541" w:type="dxa"/>
            <w:tcBorders>
              <w:tl2br w:val="nil"/>
              <w:tr2bl w:val="nil"/>
            </w:tcBorders>
            <w:tcMar>
              <w:top w:w="0" w:type="dxa"/>
              <w:left w:w="0" w:type="dxa"/>
              <w:bottom w:w="0" w:type="dxa"/>
              <w:right w:w="0" w:type="dxa"/>
            </w:tcMar>
            <w:vAlign w:val="center"/>
          </w:tcPr>
          <w:p w14:paraId="74EFBDF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525E1CE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保护水生生态环境质量有所改善</w:t>
            </w:r>
          </w:p>
        </w:tc>
      </w:tr>
      <w:tr w14:paraId="3F165B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777684A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地表水环境</w:t>
            </w:r>
          </w:p>
        </w:tc>
        <w:tc>
          <w:tcPr>
            <w:tcW w:w="2919" w:type="dxa"/>
            <w:tcBorders>
              <w:tl2br w:val="nil"/>
              <w:tr2bl w:val="nil"/>
            </w:tcBorders>
            <w:tcMar>
              <w:top w:w="0" w:type="dxa"/>
              <w:left w:w="0" w:type="dxa"/>
              <w:bottom w:w="0" w:type="dxa"/>
              <w:right w:w="0" w:type="dxa"/>
            </w:tcMar>
            <w:vAlign w:val="center"/>
          </w:tcPr>
          <w:p w14:paraId="4A8E5E9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施工废水经沉淀处理后用于施工场地和道路洒水降尘；</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围堰及基坑废水经沉淀后回用，不外排。</w:t>
            </w:r>
          </w:p>
          <w:p w14:paraId="1C9BDC6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施工期施工人员依托周边村庄居住，不设生活营地</w:t>
            </w:r>
          </w:p>
        </w:tc>
        <w:tc>
          <w:tcPr>
            <w:tcW w:w="1580" w:type="dxa"/>
            <w:tcBorders>
              <w:tl2br w:val="nil"/>
              <w:tr2bl w:val="nil"/>
            </w:tcBorders>
            <w:tcMar>
              <w:top w:w="0" w:type="dxa"/>
              <w:left w:w="0" w:type="dxa"/>
              <w:bottom w:w="0" w:type="dxa"/>
              <w:right w:w="0" w:type="dxa"/>
            </w:tcMar>
            <w:vAlign w:val="center"/>
          </w:tcPr>
          <w:p w14:paraId="793FE96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废水不外排</w:t>
            </w:r>
          </w:p>
        </w:tc>
        <w:tc>
          <w:tcPr>
            <w:tcW w:w="1541" w:type="dxa"/>
            <w:tcBorders>
              <w:tl2br w:val="nil"/>
              <w:tr2bl w:val="nil"/>
            </w:tcBorders>
            <w:tcMar>
              <w:top w:w="0" w:type="dxa"/>
              <w:left w:w="0" w:type="dxa"/>
              <w:bottom w:w="0" w:type="dxa"/>
              <w:right w:w="0" w:type="dxa"/>
            </w:tcMar>
            <w:vAlign w:val="center"/>
          </w:tcPr>
          <w:p w14:paraId="502A03D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700414A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53C0E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6CD9D8E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地下水及土壤环境</w:t>
            </w:r>
          </w:p>
        </w:tc>
        <w:tc>
          <w:tcPr>
            <w:tcW w:w="2919" w:type="dxa"/>
            <w:tcBorders>
              <w:tl2br w:val="nil"/>
              <w:tr2bl w:val="nil"/>
            </w:tcBorders>
            <w:tcMar>
              <w:top w:w="0" w:type="dxa"/>
              <w:left w:w="0" w:type="dxa"/>
              <w:bottom w:w="0" w:type="dxa"/>
              <w:right w:w="0" w:type="dxa"/>
            </w:tcMar>
            <w:vAlign w:val="center"/>
          </w:tcPr>
          <w:p w14:paraId="75E7367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tcBorders>
              <w:tl2br w:val="nil"/>
              <w:tr2bl w:val="nil"/>
            </w:tcBorders>
            <w:tcMar>
              <w:top w:w="0" w:type="dxa"/>
              <w:left w:w="0" w:type="dxa"/>
              <w:bottom w:w="0" w:type="dxa"/>
              <w:right w:w="0" w:type="dxa"/>
            </w:tcMar>
            <w:vAlign w:val="center"/>
          </w:tcPr>
          <w:p w14:paraId="4D9541E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0AE47FD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20E5934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002C9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0A1088A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声环境</w:t>
            </w:r>
          </w:p>
        </w:tc>
        <w:tc>
          <w:tcPr>
            <w:tcW w:w="2919" w:type="dxa"/>
            <w:tcBorders>
              <w:tl2br w:val="nil"/>
              <w:tr2bl w:val="nil"/>
            </w:tcBorders>
            <w:tcMar>
              <w:top w:w="0" w:type="dxa"/>
              <w:left w:w="0" w:type="dxa"/>
              <w:bottom w:w="0" w:type="dxa"/>
              <w:right w:w="0" w:type="dxa"/>
            </w:tcMar>
            <w:vAlign w:val="center"/>
          </w:tcPr>
          <w:p w14:paraId="2E1227F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合理安排施工作业时间，采用先进的施工设备，对高噪设备加装减震垫</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，设立专人对设备进行定期保养和维护；在居民点附近施工需采取设置隔声屏障、加强施工管理等相关的降噪措施。</w:t>
            </w:r>
          </w:p>
        </w:tc>
        <w:tc>
          <w:tcPr>
            <w:tcW w:w="1580" w:type="dxa"/>
            <w:tcBorders>
              <w:tl2br w:val="nil"/>
              <w:tr2bl w:val="nil"/>
            </w:tcBorders>
            <w:tcMar>
              <w:top w:w="0" w:type="dxa"/>
              <w:left w:w="0" w:type="dxa"/>
              <w:bottom w:w="0" w:type="dxa"/>
              <w:right w:w="0" w:type="dxa"/>
            </w:tcMar>
            <w:vAlign w:val="center"/>
          </w:tcPr>
          <w:p w14:paraId="5B47CFB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《建筑施工场界环境噪声排放标准》（GB</w:t>
            </w:r>
            <w:r>
              <w:rPr>
                <w:rFonts w:hint="eastAsia" w:cs="Times New Roman" w:eastAsiaTheme="minorEastAsia"/>
                <w:color w:val="000000" w:themeColor="text1"/>
                <w:sz w:val="21"/>
                <w:szCs w:val="21"/>
                <w:lang w:eastAsia="zh-CN"/>
                <w14:textFill>
                  <w14:solidFill>
                    <w14:schemeClr w14:val="tx1"/>
                  </w14:solidFill>
                </w14:textFill>
              </w:rPr>
              <w:t>12523-2025</w:t>
            </w: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68F9B4C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泵房设置在地下层内，墙壁采用隔声材料，设备优先选用低噪声设备，基础减震、加强机电设备修及保养等措施。</w:t>
            </w:r>
          </w:p>
        </w:tc>
        <w:tc>
          <w:tcPr>
            <w:tcW w:w="965" w:type="dxa"/>
            <w:tcBorders>
              <w:tl2br w:val="nil"/>
              <w:tr2bl w:val="nil"/>
            </w:tcBorders>
            <w:tcMar>
              <w:top w:w="0" w:type="dxa"/>
              <w:left w:w="0" w:type="dxa"/>
              <w:bottom w:w="0" w:type="dxa"/>
              <w:right w:w="0" w:type="dxa"/>
            </w:tcMar>
            <w:vAlign w:val="center"/>
          </w:tcPr>
          <w:p w14:paraId="0E72998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《工业企业厂界环境噪声排放标准》（GB12348-2008）2类标准</w:t>
            </w:r>
          </w:p>
        </w:tc>
      </w:tr>
      <w:tr w14:paraId="107300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0A2F771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振动</w:t>
            </w:r>
          </w:p>
        </w:tc>
        <w:tc>
          <w:tcPr>
            <w:tcW w:w="2919" w:type="dxa"/>
            <w:tcBorders>
              <w:tl2br w:val="nil"/>
              <w:tr2bl w:val="nil"/>
            </w:tcBorders>
            <w:tcMar>
              <w:top w:w="0" w:type="dxa"/>
              <w:left w:w="0" w:type="dxa"/>
              <w:bottom w:w="0" w:type="dxa"/>
              <w:right w:w="0" w:type="dxa"/>
            </w:tcMar>
            <w:vAlign w:val="center"/>
          </w:tcPr>
          <w:p w14:paraId="1ABAABD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tcBorders>
              <w:tl2br w:val="nil"/>
              <w:tr2bl w:val="nil"/>
            </w:tcBorders>
            <w:tcMar>
              <w:top w:w="0" w:type="dxa"/>
              <w:left w:w="0" w:type="dxa"/>
              <w:bottom w:w="0" w:type="dxa"/>
              <w:right w:w="0" w:type="dxa"/>
            </w:tcMar>
            <w:vAlign w:val="center"/>
          </w:tcPr>
          <w:p w14:paraId="356C2C1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2AF73E8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2BCF115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25F1A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1E302F0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大气环境</w:t>
            </w:r>
          </w:p>
        </w:tc>
        <w:tc>
          <w:tcPr>
            <w:tcW w:w="2919" w:type="dxa"/>
            <w:tcBorders>
              <w:tl2br w:val="nil"/>
              <w:tr2bl w:val="nil"/>
            </w:tcBorders>
            <w:tcMar>
              <w:top w:w="0" w:type="dxa"/>
              <w:left w:w="0" w:type="dxa"/>
              <w:bottom w:w="0" w:type="dxa"/>
              <w:right w:w="0" w:type="dxa"/>
            </w:tcMar>
            <w:vAlign w:val="center"/>
          </w:tcPr>
          <w:p w14:paraId="00BE18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每日定时洒水</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施工区设置标志牌；施工场界设置围挡；施工现场的道路、加工区实施硬化；物料分类堆放，严密覆盖；大风天气，停止土方作业，覆盖防尘网；运输车辆上路前冲洗，物料遮盖。</w:t>
            </w:r>
            <w:r>
              <w:rPr>
                <w:rFonts w:hint="default" w:ascii="Times New Roman" w:hAnsi="Times New Roman" w:cs="Times New Roman" w:eastAsiaTheme="minorEastAsia"/>
                <w:color w:val="000000" w:themeColor="text1"/>
                <w:sz w:val="21"/>
                <w:szCs w:val="21"/>
                <w14:textFill>
                  <w14:solidFill>
                    <w14:schemeClr w14:val="tx1"/>
                  </w14:solidFill>
                </w14:textFill>
              </w:rPr>
              <w:t>施工机械采用符合国家标准的设备，施工期加强管理，确保尾气排放达标</w:t>
            </w:r>
            <w:r>
              <w:rPr>
                <w:rFonts w:hint="eastAsia" w:cs="Times New Roman" w:eastAsiaTheme="minorEastAsia"/>
                <w:color w:val="000000" w:themeColor="text1"/>
                <w:sz w:val="21"/>
                <w:szCs w:val="21"/>
                <w:lang w:eastAsia="zh-CN"/>
                <w14:textFill>
                  <w14:solidFill>
                    <w14:schemeClr w14:val="tx1"/>
                  </w14:solidFill>
                </w14:textFill>
              </w:rPr>
              <w:t>。</w:t>
            </w:r>
            <w:r>
              <w:rPr>
                <w:rFonts w:hint="eastAsia" w:cs="Times New Roman" w:eastAsiaTheme="minorEastAsia"/>
                <w:color w:val="000000" w:themeColor="text1"/>
                <w:sz w:val="21"/>
                <w:szCs w:val="21"/>
                <w:lang w:val="en-US" w:eastAsia="zh-CN"/>
                <w14:textFill>
                  <w14:solidFill>
                    <w14:schemeClr w14:val="tx1"/>
                  </w14:solidFill>
                </w14:textFill>
              </w:rPr>
              <w:t>河道疏浚、</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清淤、随挖随运，不在项目区堆放，施工结束后及时植被恢复。</w:t>
            </w:r>
          </w:p>
        </w:tc>
        <w:tc>
          <w:tcPr>
            <w:tcW w:w="1580" w:type="dxa"/>
            <w:tcBorders>
              <w:tl2br w:val="nil"/>
              <w:tr2bl w:val="nil"/>
            </w:tcBorders>
            <w:tcMar>
              <w:top w:w="0" w:type="dxa"/>
              <w:left w:w="0" w:type="dxa"/>
              <w:bottom w:w="0" w:type="dxa"/>
              <w:right w:w="0" w:type="dxa"/>
            </w:tcMar>
            <w:vAlign w:val="center"/>
          </w:tcPr>
          <w:p w14:paraId="2EE7C3A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减少对周边敏</w:t>
            </w:r>
          </w:p>
          <w:p w14:paraId="2C7588E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感点影响</w:t>
            </w:r>
          </w:p>
        </w:tc>
        <w:tc>
          <w:tcPr>
            <w:tcW w:w="1541" w:type="dxa"/>
            <w:tcBorders>
              <w:tl2br w:val="nil"/>
              <w:tr2bl w:val="nil"/>
            </w:tcBorders>
            <w:tcMar>
              <w:top w:w="0" w:type="dxa"/>
              <w:left w:w="0" w:type="dxa"/>
              <w:bottom w:w="0" w:type="dxa"/>
              <w:right w:w="0" w:type="dxa"/>
            </w:tcMar>
            <w:vAlign w:val="center"/>
          </w:tcPr>
          <w:p w14:paraId="15C8A3E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753C1C8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1869B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09A7668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固体废物</w:t>
            </w:r>
          </w:p>
        </w:tc>
        <w:tc>
          <w:tcPr>
            <w:tcW w:w="2919" w:type="dxa"/>
            <w:tcBorders>
              <w:tl2br w:val="nil"/>
              <w:tr2bl w:val="nil"/>
            </w:tcBorders>
            <w:tcMar>
              <w:top w:w="0" w:type="dxa"/>
              <w:left w:w="0" w:type="dxa"/>
              <w:bottom w:w="0" w:type="dxa"/>
              <w:right w:w="0" w:type="dxa"/>
            </w:tcMar>
            <w:vAlign w:val="center"/>
          </w:tcPr>
          <w:p w14:paraId="2A97BB5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生活垃圾及时清运至就近环卫部门处；</w:t>
            </w: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土方、植物枯叶及沙土</w:t>
            </w:r>
            <w:r>
              <w:rPr>
                <w:rFonts w:hint="eastAsia" w:cs="Times New Roman" w:eastAsiaTheme="minorEastAsia"/>
                <w:color w:val="000000" w:themeColor="text1"/>
                <w:sz w:val="21"/>
                <w:szCs w:val="21"/>
                <w:lang w:val="en-US" w:eastAsia="zh-CN"/>
                <w14:textFill>
                  <w14:solidFill>
                    <w14:schemeClr w14:val="tx1"/>
                  </w14:solidFill>
                </w14:textFill>
              </w:rPr>
              <w:t>及时</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清</w:t>
            </w:r>
            <w:r>
              <w:rPr>
                <w:rFonts w:hint="eastAsia" w:cs="Times New Roman" w:eastAsiaTheme="minorEastAsia"/>
                <w:color w:val="000000" w:themeColor="text1"/>
                <w:kern w:val="0"/>
                <w:sz w:val="21"/>
                <w:szCs w:val="21"/>
                <w:lang w:val="en-US" w:eastAsia="zh-CN"/>
                <w14:textFill>
                  <w14:solidFill>
                    <w14:schemeClr w14:val="tx1"/>
                  </w14:solidFill>
                </w14:textFill>
              </w:rPr>
              <w:t>运</w:t>
            </w:r>
          </w:p>
        </w:tc>
        <w:tc>
          <w:tcPr>
            <w:tcW w:w="1580" w:type="dxa"/>
            <w:tcBorders>
              <w:tl2br w:val="nil"/>
              <w:tr2bl w:val="nil"/>
            </w:tcBorders>
            <w:tcMar>
              <w:top w:w="0" w:type="dxa"/>
              <w:left w:w="0" w:type="dxa"/>
              <w:bottom w:w="0" w:type="dxa"/>
              <w:right w:w="0" w:type="dxa"/>
            </w:tcMar>
            <w:vAlign w:val="center"/>
          </w:tcPr>
          <w:p w14:paraId="2160F93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5B21FF2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lang w:val="en-US"/>
                <w14:textFill>
                  <w14:solidFill>
                    <w14:schemeClr w14:val="tx1"/>
                  </w14:solidFill>
                </w14:textFill>
              </w:rPr>
            </w:pPr>
            <w:r>
              <w:rPr>
                <w:rFonts w:hint="default" w:ascii="Times New Roman" w:hAnsi="Times New Roman" w:cs="Times New Roman" w:eastAsiaTheme="minorEastAsia"/>
                <w:color w:val="000000" w:themeColor="text1"/>
                <w:sz w:val="21"/>
                <w:szCs w:val="21"/>
                <w:lang w:eastAsia="zh-CN"/>
                <w14:textFill>
                  <w14:solidFill>
                    <w14:schemeClr w14:val="tx1"/>
                  </w14:solidFill>
                </w14:textFill>
              </w:rPr>
              <w:t>植物枯叶及沙土</w:t>
            </w:r>
            <w:r>
              <w:rPr>
                <w:rFonts w:hint="default" w:ascii="Times New Roman" w:hAnsi="Times New Roman" w:cs="Times New Roman" w:eastAsiaTheme="minorEastAsia"/>
                <w:color w:val="000000" w:themeColor="text1"/>
                <w:sz w:val="21"/>
                <w:szCs w:val="21"/>
                <w14:textFill>
                  <w14:solidFill>
                    <w14:schemeClr w14:val="tx1"/>
                  </w14:solidFill>
                </w14:textFill>
              </w:rPr>
              <w:t>，</w:t>
            </w:r>
            <w:r>
              <w:rPr>
                <w:rFonts w:hint="default" w:ascii="Times New Roman" w:hAnsi="Times New Roman" w:cs="Times New Roman" w:eastAsiaTheme="minorEastAsia"/>
                <w:color w:val="000000" w:themeColor="text1"/>
                <w:kern w:val="0"/>
                <w:sz w:val="21"/>
                <w:szCs w:val="21"/>
                <w:lang w:eastAsia="zh-CN"/>
                <w14:textFill>
                  <w14:solidFill>
                    <w14:schemeClr w14:val="tx1"/>
                  </w14:solidFill>
                </w14:textFill>
              </w:rPr>
              <w:t>清理至建筑垃圾填埋场</w:t>
            </w:r>
            <w:r>
              <w:rPr>
                <w:rFonts w:hint="eastAsia" w:cs="Times New Roman" w:eastAsiaTheme="minorEastAsia"/>
                <w:color w:val="000000" w:themeColor="text1"/>
                <w:kern w:val="0"/>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14:textFill>
                  <w14:solidFill>
                    <w14:schemeClr w14:val="tx1"/>
                  </w14:solidFill>
                </w14:textFill>
              </w:rPr>
              <w:t>泵站、闸门检修产生的废矿物油及沾染物</w:t>
            </w:r>
            <w:r>
              <w:rPr>
                <w:rFonts w:hint="eastAsia" w:cs="Times New Roman" w:eastAsiaTheme="minorEastAsia"/>
                <w:color w:val="000000" w:themeColor="text1"/>
                <w:kern w:val="0"/>
                <w:sz w:val="21"/>
                <w:szCs w:val="21"/>
                <w:lang w:eastAsia="zh-CN"/>
                <w14:textFill>
                  <w14:solidFill>
                    <w14:schemeClr w14:val="tx1"/>
                  </w14:solidFill>
                </w14:textFill>
              </w:rPr>
              <w:t>委托处置</w:t>
            </w:r>
          </w:p>
        </w:tc>
        <w:tc>
          <w:tcPr>
            <w:tcW w:w="965" w:type="dxa"/>
            <w:tcBorders>
              <w:tl2br w:val="nil"/>
              <w:tr2bl w:val="nil"/>
            </w:tcBorders>
            <w:tcMar>
              <w:top w:w="0" w:type="dxa"/>
              <w:left w:w="0" w:type="dxa"/>
              <w:bottom w:w="0" w:type="dxa"/>
              <w:right w:w="0" w:type="dxa"/>
            </w:tcMar>
            <w:vAlign w:val="center"/>
          </w:tcPr>
          <w:p w14:paraId="5BA37BA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62B2A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2D7507F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电磁环境</w:t>
            </w:r>
          </w:p>
        </w:tc>
        <w:tc>
          <w:tcPr>
            <w:tcW w:w="2919" w:type="dxa"/>
            <w:tcBorders>
              <w:tl2br w:val="nil"/>
              <w:tr2bl w:val="nil"/>
            </w:tcBorders>
            <w:tcMar>
              <w:top w:w="0" w:type="dxa"/>
              <w:left w:w="0" w:type="dxa"/>
              <w:bottom w:w="0" w:type="dxa"/>
              <w:right w:w="0" w:type="dxa"/>
            </w:tcMar>
            <w:vAlign w:val="center"/>
          </w:tcPr>
          <w:p w14:paraId="3E150AF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tcBorders>
              <w:tl2br w:val="nil"/>
              <w:tr2bl w:val="nil"/>
            </w:tcBorders>
            <w:tcMar>
              <w:top w:w="0" w:type="dxa"/>
              <w:left w:w="0" w:type="dxa"/>
              <w:bottom w:w="0" w:type="dxa"/>
              <w:right w:w="0" w:type="dxa"/>
            </w:tcMar>
            <w:vAlign w:val="center"/>
          </w:tcPr>
          <w:p w14:paraId="18C98EC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3D06C25C">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2A7CD07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37F4CE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08450188">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环境风险</w:t>
            </w:r>
          </w:p>
        </w:tc>
        <w:tc>
          <w:tcPr>
            <w:tcW w:w="2919" w:type="dxa"/>
            <w:tcBorders>
              <w:tl2br w:val="nil"/>
              <w:tr2bl w:val="nil"/>
            </w:tcBorders>
            <w:tcMar>
              <w:top w:w="0" w:type="dxa"/>
              <w:left w:w="0" w:type="dxa"/>
              <w:bottom w:w="0" w:type="dxa"/>
              <w:right w:w="0" w:type="dxa"/>
            </w:tcMar>
            <w:vAlign w:val="center"/>
          </w:tcPr>
          <w:p w14:paraId="3CA914C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tcBorders>
              <w:tl2br w:val="nil"/>
              <w:tr2bl w:val="nil"/>
            </w:tcBorders>
            <w:tcMar>
              <w:top w:w="0" w:type="dxa"/>
              <w:left w:w="0" w:type="dxa"/>
              <w:bottom w:w="0" w:type="dxa"/>
              <w:right w:w="0" w:type="dxa"/>
            </w:tcMar>
            <w:vAlign w:val="center"/>
          </w:tcPr>
          <w:p w14:paraId="633AE50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648C3B57">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55D50D16">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46F95D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1A0FAF62">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环境监测</w:t>
            </w:r>
          </w:p>
        </w:tc>
        <w:tc>
          <w:tcPr>
            <w:tcW w:w="2919" w:type="dxa"/>
            <w:tcBorders>
              <w:tl2br w:val="nil"/>
              <w:tr2bl w:val="nil"/>
            </w:tcBorders>
            <w:tcMar>
              <w:top w:w="0" w:type="dxa"/>
              <w:left w:w="0" w:type="dxa"/>
              <w:bottom w:w="0" w:type="dxa"/>
              <w:right w:w="0" w:type="dxa"/>
            </w:tcMar>
            <w:vAlign w:val="center"/>
          </w:tcPr>
          <w:p w14:paraId="59E9C4D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见环境监测一览表</w:t>
            </w:r>
          </w:p>
        </w:tc>
        <w:tc>
          <w:tcPr>
            <w:tcW w:w="1580" w:type="dxa"/>
            <w:tcBorders>
              <w:tl2br w:val="nil"/>
              <w:tr2bl w:val="nil"/>
            </w:tcBorders>
            <w:tcMar>
              <w:top w:w="0" w:type="dxa"/>
              <w:left w:w="0" w:type="dxa"/>
              <w:bottom w:w="0" w:type="dxa"/>
              <w:right w:w="0" w:type="dxa"/>
            </w:tcMar>
            <w:vAlign w:val="center"/>
          </w:tcPr>
          <w:p w14:paraId="597FA2D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501A7E2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50B6F1C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r w14:paraId="056260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dxa"/>
            <w:tcBorders>
              <w:tl2br w:val="nil"/>
              <w:tr2bl w:val="nil"/>
            </w:tcBorders>
            <w:tcMar>
              <w:top w:w="0" w:type="dxa"/>
              <w:left w:w="0" w:type="dxa"/>
              <w:bottom w:w="0" w:type="dxa"/>
              <w:right w:w="0" w:type="dxa"/>
            </w:tcMar>
            <w:vAlign w:val="center"/>
          </w:tcPr>
          <w:p w14:paraId="42479863">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其他</w:t>
            </w:r>
          </w:p>
        </w:tc>
        <w:tc>
          <w:tcPr>
            <w:tcW w:w="2919" w:type="dxa"/>
            <w:tcBorders>
              <w:tl2br w:val="nil"/>
              <w:tr2bl w:val="nil"/>
            </w:tcBorders>
            <w:tcMar>
              <w:top w:w="0" w:type="dxa"/>
              <w:left w:w="0" w:type="dxa"/>
              <w:bottom w:w="0" w:type="dxa"/>
              <w:right w:w="0" w:type="dxa"/>
            </w:tcMar>
            <w:vAlign w:val="center"/>
          </w:tcPr>
          <w:p w14:paraId="726E39B1">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80" w:type="dxa"/>
            <w:tcBorders>
              <w:tl2br w:val="nil"/>
              <w:tr2bl w:val="nil"/>
            </w:tcBorders>
            <w:tcMar>
              <w:top w:w="0" w:type="dxa"/>
              <w:left w:w="0" w:type="dxa"/>
              <w:bottom w:w="0" w:type="dxa"/>
              <w:right w:w="0" w:type="dxa"/>
            </w:tcMar>
            <w:vAlign w:val="center"/>
          </w:tcPr>
          <w:p w14:paraId="2038444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1541" w:type="dxa"/>
            <w:tcBorders>
              <w:tl2br w:val="nil"/>
              <w:tr2bl w:val="nil"/>
            </w:tcBorders>
            <w:tcMar>
              <w:top w:w="0" w:type="dxa"/>
              <w:left w:w="0" w:type="dxa"/>
              <w:bottom w:w="0" w:type="dxa"/>
              <w:right w:w="0" w:type="dxa"/>
            </w:tcMar>
            <w:vAlign w:val="center"/>
          </w:tcPr>
          <w:p w14:paraId="56E10C1E">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c>
          <w:tcPr>
            <w:tcW w:w="965" w:type="dxa"/>
            <w:tcBorders>
              <w:tl2br w:val="nil"/>
              <w:tr2bl w:val="nil"/>
            </w:tcBorders>
            <w:tcMar>
              <w:top w:w="0" w:type="dxa"/>
              <w:left w:w="0" w:type="dxa"/>
              <w:bottom w:w="0" w:type="dxa"/>
              <w:right w:w="0" w:type="dxa"/>
            </w:tcMar>
            <w:vAlign w:val="center"/>
          </w:tcPr>
          <w:p w14:paraId="0A008D80">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sz w:val="21"/>
                <w:szCs w:val="21"/>
                <w14:textFill>
                  <w14:solidFill>
                    <w14:schemeClr w14:val="tx1"/>
                  </w14:solidFill>
                </w14:textFill>
              </w:rPr>
              <w:t>--</w:t>
            </w:r>
          </w:p>
        </w:tc>
      </w:tr>
    </w:tbl>
    <w:p w14:paraId="696A0E7D">
      <w:pPr>
        <w:pageBreakBefore w:val="0"/>
        <w:kinsoku/>
        <w:bidi w:val="0"/>
        <w:adjustRightInd/>
        <w:snapToGrid/>
        <w:spacing w:beforeAutospacing="0" w:afterAutospacing="0" w:line="360" w:lineRule="auto"/>
        <w:ind w:left="0" w:leftChars="0" w:right="0" w:rightChars="0"/>
        <w:jc w:val="center"/>
        <w:outlineLvl w:val="0"/>
        <w:rPr>
          <w:rFonts w:hint="default" w:ascii="Times New Roman" w:hAnsi="Times New Roman" w:cs="Times New Roman" w:eastAsiaTheme="minorEastAsia"/>
          <w:snapToGrid w:val="0"/>
          <w:color w:val="000000" w:themeColor="text1"/>
          <w:sz w:val="30"/>
          <w:szCs w:val="30"/>
          <w14:textFill>
            <w14:solidFill>
              <w14:schemeClr w14:val="tx1"/>
            </w14:solidFill>
          </w14:textFill>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202EF810">
      <w:pPr>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360" w:lineRule="auto"/>
        <w:ind w:left="0" w:leftChars="0" w:right="0" w:rightChars="0" w:firstLine="602" w:firstLineChars="200"/>
        <w:jc w:val="center"/>
        <w:textAlignment w:val="auto"/>
        <w:outlineLvl w:val="0"/>
        <w:rPr>
          <w:rFonts w:hint="eastAsia" w:ascii="宋体" w:hAnsi="宋体" w:eastAsia="宋体" w:cs="宋体"/>
          <w:b/>
          <w:bCs/>
          <w:snapToGrid w:val="0"/>
          <w:color w:val="000000" w:themeColor="text1"/>
          <w:kern w:val="0"/>
          <w:sz w:val="30"/>
          <w:szCs w:val="30"/>
          <w:lang w:val="en-US" w:eastAsia="zh-CN" w:bidi="ar-SA"/>
          <w14:textFill>
            <w14:solidFill>
              <w14:schemeClr w14:val="tx1"/>
            </w14:solidFill>
          </w14:textFill>
        </w:rPr>
      </w:pPr>
      <w:r>
        <w:rPr>
          <w:rFonts w:hint="eastAsia" w:ascii="宋体" w:hAnsi="宋体" w:eastAsia="宋体" w:cs="宋体"/>
          <w:b/>
          <w:bCs/>
          <w:snapToGrid w:val="0"/>
          <w:color w:val="000000" w:themeColor="text1"/>
          <w:kern w:val="0"/>
          <w:sz w:val="30"/>
          <w:szCs w:val="30"/>
          <w:lang w:val="en-US" w:eastAsia="zh-CN" w:bidi="ar-SA"/>
          <w14:textFill>
            <w14:solidFill>
              <w14:schemeClr w14:val="tx1"/>
            </w14:solidFill>
          </w14:textFill>
        </w:rPr>
        <w:t>七、结论</w:t>
      </w:r>
    </w:p>
    <w:tbl>
      <w:tblPr>
        <w:tblStyle w:val="25"/>
        <w:tblW w:w="90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14:paraId="2183C2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853" w:hRule="atLeast"/>
          <w:jc w:val="center"/>
        </w:trPr>
        <w:tc>
          <w:tcPr>
            <w:tcW w:w="9071" w:type="dxa"/>
            <w:tcBorders>
              <w:tl2br w:val="nil"/>
              <w:tr2bl w:val="nil"/>
            </w:tcBorders>
            <w:vAlign w:val="top"/>
          </w:tcPr>
          <w:p w14:paraId="21FAD351">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480" w:firstLineChars="200"/>
              <w:jc w:val="both"/>
              <w:rPr>
                <w:rFonts w:hint="default" w:ascii="Times New Roman" w:hAnsi="Times New Roman" w:cs="Times New Roman" w:eastAsiaTheme="minorEastAsia"/>
                <w:color w:val="000000" w:themeColor="text1"/>
                <w:sz w:val="24"/>
                <w:lang w:val="en-US" w:eastAsia="zh-CN"/>
                <w14:textFill>
                  <w14:solidFill>
                    <w14:schemeClr w14:val="tx1"/>
                  </w14:solidFill>
                </w14:textFill>
              </w:rPr>
            </w:pPr>
          </w:p>
          <w:p w14:paraId="34673F8E">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480" w:firstLineChars="200"/>
              <w:jc w:val="both"/>
              <w:rPr>
                <w:rFonts w:hint="default" w:ascii="Times New Roman" w:hAnsi="Times New Roman" w:cs="Times New Roman" w:eastAsiaTheme="minorEastAsia"/>
                <w:color w:val="000000" w:themeColor="text1"/>
                <w:sz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lang w:val="en-US" w:eastAsia="zh-CN"/>
                <w14:textFill>
                  <w14:solidFill>
                    <w14:schemeClr w14:val="tx1"/>
                  </w14:solidFill>
                </w14:textFill>
              </w:rPr>
              <w:t>综上所述，</w:t>
            </w:r>
            <w:r>
              <w:rPr>
                <w:rFonts w:hint="default" w:ascii="Times New Roman" w:hAnsi="Times New Roman" w:cs="Times New Roman" w:eastAsiaTheme="minorEastAsia"/>
                <w:color w:val="000000" w:themeColor="text1"/>
                <w:sz w:val="24"/>
                <w14:textFill>
                  <w14:solidFill>
                    <w14:schemeClr w14:val="tx1"/>
                  </w14:solidFill>
                </w14:textFill>
              </w:rPr>
              <w:t>本项目符合国家相关产业政策，项目选址及总平面布局合理。</w:t>
            </w:r>
            <w:r>
              <w:rPr>
                <w:rFonts w:hint="default" w:ascii="Times New Roman" w:hAnsi="Times New Roman" w:cs="Times New Roman" w:eastAsiaTheme="minorEastAsia"/>
                <w:color w:val="000000" w:themeColor="text1"/>
                <w:sz w:val="24"/>
                <w:lang w:val="en-US" w:eastAsia="zh-CN"/>
                <w14:textFill>
                  <w14:solidFill>
                    <w14:schemeClr w14:val="tx1"/>
                  </w14:solidFill>
                </w14:textFill>
              </w:rPr>
              <w:t>本项目为防洪除涝工程，不属于生产型项目，本项目建成后解决了城市内涝的问题，工程建设不涉及自然保护区、世界自然和文化遗产地、风景名胜区、森林公园等环境敏感区，在认真落实评价所提出的各项防治措施和建议情况下，该项目建成后对周围环境影响较小。从环境保护技术角度论证，该项目的建设可行。</w:t>
            </w:r>
          </w:p>
        </w:tc>
      </w:tr>
      <w:bookmarkEnd w:id="0"/>
      <w:bookmarkEnd w:id="3"/>
    </w:tbl>
    <w:p w14:paraId="3532903A">
      <w:r>
        <w:br w:type="page"/>
      </w:r>
    </w:p>
    <w:p w14:paraId="184C5ECC">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ascii="黑体" w:hAnsi="宋体" w:eastAsia="黑体" w:cs="黑体"/>
          <w:color w:val="000000"/>
          <w:kern w:val="0"/>
          <w:sz w:val="48"/>
          <w:szCs w:val="48"/>
          <w:lang w:val="en-US" w:eastAsia="zh-CN" w:bidi="ar"/>
        </w:rPr>
      </w:pPr>
    </w:p>
    <w:p w14:paraId="004D00EF">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ascii="黑体" w:hAnsi="宋体" w:eastAsia="黑体" w:cs="黑体"/>
          <w:color w:val="000000"/>
          <w:kern w:val="0"/>
          <w:sz w:val="48"/>
          <w:szCs w:val="48"/>
          <w:lang w:val="en-US" w:eastAsia="zh-CN" w:bidi="ar"/>
        </w:rPr>
      </w:pPr>
    </w:p>
    <w:p w14:paraId="0C7AF23E">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ascii="黑体" w:hAnsi="宋体" w:eastAsia="黑体" w:cs="黑体"/>
          <w:color w:val="000000"/>
          <w:kern w:val="0"/>
          <w:sz w:val="48"/>
          <w:szCs w:val="48"/>
          <w:lang w:val="en-US" w:eastAsia="zh-CN" w:bidi="ar"/>
        </w:rPr>
      </w:pPr>
    </w:p>
    <w:p w14:paraId="4EF700B8">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center"/>
        <w:textAlignment w:val="auto"/>
        <w:rPr>
          <w:rFonts w:ascii="黑体" w:hAnsi="宋体" w:eastAsia="黑体" w:cs="黑体"/>
          <w:color w:val="000000"/>
          <w:kern w:val="0"/>
          <w:sz w:val="44"/>
          <w:szCs w:val="44"/>
          <w:lang w:val="en-US" w:eastAsia="zh-CN" w:bidi="ar"/>
        </w:rPr>
      </w:pPr>
    </w:p>
    <w:p w14:paraId="74C6950F">
      <w:pPr>
        <w:keepNext w:val="0"/>
        <w:keepLines w:val="0"/>
        <w:pageBreakBefore w:val="0"/>
        <w:widowControl/>
        <w:suppressLineNumbers w:val="0"/>
        <w:kinsoku/>
        <w:wordWrap/>
        <w:overflowPunct/>
        <w:topLinePunct w:val="0"/>
        <w:autoSpaceDE/>
        <w:autoSpaceDN/>
        <w:bidi w:val="0"/>
        <w:adjustRightInd/>
        <w:snapToGrid/>
        <w:spacing w:before="157" w:beforeLines="50" w:line="240" w:lineRule="auto"/>
        <w:ind w:left="0" w:leftChars="0" w:firstLine="0" w:firstLineChars="0"/>
        <w:jc w:val="center"/>
        <w:textAlignment w:val="auto"/>
        <w:rPr>
          <w:rFonts w:hint="eastAsia" w:ascii="宋体" w:hAnsi="宋体" w:eastAsia="宋体" w:cs="宋体"/>
          <w:b/>
          <w:bCs/>
          <w:color w:val="000000"/>
          <w:kern w:val="0"/>
          <w:sz w:val="52"/>
          <w:szCs w:val="52"/>
          <w:lang w:val="en-US" w:eastAsia="zh-CN" w:bidi="ar"/>
        </w:rPr>
      </w:pPr>
      <w:r>
        <w:rPr>
          <w:rFonts w:hint="eastAsia" w:ascii="宋体" w:hAnsi="宋体" w:eastAsia="宋体" w:cs="宋体"/>
          <w:b/>
          <w:bCs/>
          <w:color w:val="000000"/>
          <w:kern w:val="0"/>
          <w:sz w:val="52"/>
          <w:szCs w:val="52"/>
          <w:lang w:val="en-US" w:eastAsia="zh-CN" w:bidi="ar"/>
        </w:rPr>
        <w:t>六安市霍山县排水防涝能力提升项目生态环境影响专题评价报告</w:t>
      </w:r>
    </w:p>
    <w:p w14:paraId="6505AF4C">
      <w:pPr>
        <w:rPr>
          <w:color w:val="000000"/>
        </w:rPr>
      </w:pPr>
    </w:p>
    <w:p w14:paraId="398E3C05">
      <w:pPr>
        <w:rPr>
          <w:color w:val="000000"/>
        </w:rPr>
      </w:pPr>
    </w:p>
    <w:p w14:paraId="29B8278B">
      <w:pPr>
        <w:rPr>
          <w:color w:val="000000"/>
        </w:rPr>
      </w:pPr>
    </w:p>
    <w:p w14:paraId="6DE08433">
      <w:pPr>
        <w:rPr>
          <w:color w:val="000000"/>
        </w:rPr>
      </w:pPr>
    </w:p>
    <w:p w14:paraId="204DB6C4">
      <w:pPr>
        <w:rPr>
          <w:color w:val="000000"/>
        </w:rPr>
      </w:pPr>
    </w:p>
    <w:p w14:paraId="4A2B73BE">
      <w:pPr>
        <w:rPr>
          <w:color w:val="000000"/>
        </w:rPr>
      </w:pPr>
    </w:p>
    <w:p w14:paraId="11D2EA21">
      <w:pPr>
        <w:pStyle w:val="12"/>
        <w:rPr>
          <w:color w:val="000000"/>
        </w:rPr>
      </w:pPr>
    </w:p>
    <w:p w14:paraId="5D097929">
      <w:pPr>
        <w:pStyle w:val="12"/>
        <w:rPr>
          <w:color w:val="000000"/>
        </w:rPr>
      </w:pPr>
    </w:p>
    <w:p w14:paraId="74130D73">
      <w:pPr>
        <w:pStyle w:val="12"/>
        <w:rPr>
          <w:color w:val="000000"/>
        </w:rPr>
      </w:pPr>
    </w:p>
    <w:p w14:paraId="68D14087">
      <w:pPr>
        <w:pStyle w:val="12"/>
        <w:rPr>
          <w:color w:val="000000"/>
        </w:rPr>
      </w:pPr>
    </w:p>
    <w:p w14:paraId="1EE41F5F">
      <w:pPr>
        <w:pStyle w:val="12"/>
        <w:rPr>
          <w:color w:val="000000"/>
        </w:rPr>
      </w:pPr>
    </w:p>
    <w:p w14:paraId="65C6CC77">
      <w:pPr>
        <w:rPr>
          <w:color w:val="000000"/>
        </w:rPr>
      </w:pPr>
    </w:p>
    <w:p w14:paraId="17EAC421">
      <w:pPr>
        <w:rPr>
          <w:color w:val="000000"/>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5203"/>
      </w:tblGrid>
      <w:tr w14:paraId="3A92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nil"/>
              <w:left w:val="nil"/>
              <w:bottom w:val="nil"/>
              <w:right w:val="nil"/>
            </w:tcBorders>
            <w:noWrap w:val="0"/>
            <w:vAlign w:val="top"/>
          </w:tcPr>
          <w:p w14:paraId="21398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textAlignment w:val="auto"/>
              <w:rPr>
                <w:rFonts w:hint="default" w:ascii="Times New Roman" w:hAnsi="Times New Roman" w:eastAsia="宋体" w:cs="Times New Roman"/>
                <w:color w:val="000000"/>
                <w:sz w:val="30"/>
                <w:szCs w:val="30"/>
                <w:vertAlign w:val="baseline"/>
                <w:lang w:eastAsia="zh-CN"/>
              </w:rPr>
            </w:pPr>
            <w:r>
              <w:rPr>
                <w:rFonts w:hint="default" w:ascii="Times New Roman" w:hAnsi="Times New Roman" w:cs="Times New Roman"/>
                <w:color w:val="000000"/>
                <w:sz w:val="30"/>
                <w:szCs w:val="30"/>
                <w:vertAlign w:val="baseline"/>
                <w:lang w:eastAsia="zh-CN"/>
              </w:rPr>
              <w:t>建设单位：</w:t>
            </w:r>
          </w:p>
        </w:tc>
        <w:tc>
          <w:tcPr>
            <w:tcW w:w="5203" w:type="dxa"/>
            <w:tcBorders>
              <w:top w:val="nil"/>
              <w:left w:val="nil"/>
              <w:bottom w:val="nil"/>
              <w:right w:val="nil"/>
            </w:tcBorders>
            <w:noWrap w:val="0"/>
            <w:vAlign w:val="top"/>
          </w:tcPr>
          <w:p w14:paraId="4B1C4B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textAlignment w:val="auto"/>
              <w:rPr>
                <w:rFonts w:hint="eastAsia" w:ascii="Times New Roman" w:hAnsi="Times New Roman" w:eastAsia="宋体" w:cs="Times New Roman"/>
                <w:color w:val="000000"/>
                <w:sz w:val="30"/>
                <w:szCs w:val="30"/>
                <w:vertAlign w:val="baseline"/>
                <w:lang w:eastAsia="zh-CN"/>
              </w:rPr>
            </w:pPr>
            <w:r>
              <w:rPr>
                <w:rFonts w:hint="eastAsia" w:ascii="Times New Roman" w:hAnsi="Times New Roman" w:cs="Times New Roman"/>
                <w:color w:val="000000"/>
                <w:sz w:val="30"/>
                <w:szCs w:val="30"/>
                <w:vertAlign w:val="baseline"/>
                <w:lang w:eastAsia="zh-CN"/>
              </w:rPr>
              <w:t>霍山县水务局</w:t>
            </w:r>
          </w:p>
        </w:tc>
      </w:tr>
      <w:tr w14:paraId="7F84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nil"/>
              <w:left w:val="nil"/>
              <w:bottom w:val="nil"/>
              <w:right w:val="nil"/>
            </w:tcBorders>
            <w:noWrap w:val="0"/>
            <w:vAlign w:val="top"/>
          </w:tcPr>
          <w:p w14:paraId="1BCC4E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textAlignment w:val="auto"/>
              <w:rPr>
                <w:rFonts w:hint="default" w:ascii="Times New Roman" w:hAnsi="Times New Roman" w:eastAsia="宋体" w:cs="Times New Roman"/>
                <w:color w:val="000000"/>
                <w:sz w:val="30"/>
                <w:szCs w:val="30"/>
                <w:vertAlign w:val="baseline"/>
                <w:lang w:eastAsia="zh-CN"/>
              </w:rPr>
            </w:pPr>
            <w:r>
              <w:rPr>
                <w:rFonts w:hint="default" w:ascii="Times New Roman" w:hAnsi="Times New Roman" w:cs="Times New Roman"/>
                <w:color w:val="000000"/>
                <w:sz w:val="30"/>
                <w:szCs w:val="30"/>
                <w:vertAlign w:val="baseline"/>
                <w:lang w:eastAsia="zh-CN"/>
              </w:rPr>
              <w:t>编制单位：</w:t>
            </w:r>
          </w:p>
        </w:tc>
        <w:tc>
          <w:tcPr>
            <w:tcW w:w="5203" w:type="dxa"/>
            <w:tcBorders>
              <w:top w:val="nil"/>
              <w:left w:val="nil"/>
              <w:bottom w:val="nil"/>
              <w:right w:val="nil"/>
            </w:tcBorders>
            <w:noWrap w:val="0"/>
            <w:vAlign w:val="top"/>
          </w:tcPr>
          <w:p w14:paraId="120DF7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textAlignment w:val="auto"/>
              <w:rPr>
                <w:rFonts w:hint="default" w:ascii="Times New Roman" w:hAnsi="Times New Roman" w:eastAsia="宋体" w:cs="Times New Roman"/>
                <w:color w:val="000000"/>
                <w:sz w:val="30"/>
                <w:szCs w:val="30"/>
                <w:vertAlign w:val="baseline"/>
                <w:lang w:eastAsia="zh-CN"/>
              </w:rPr>
            </w:pPr>
            <w:r>
              <w:rPr>
                <w:rFonts w:hint="eastAsia" w:ascii="Times New Roman" w:hAnsi="Times New Roman" w:cs="Times New Roman"/>
                <w:color w:val="000000"/>
                <w:sz w:val="30"/>
                <w:szCs w:val="30"/>
                <w:vertAlign w:val="baseline"/>
                <w:lang w:eastAsia="zh-CN"/>
              </w:rPr>
              <w:t>安徽瑞柏思环保科技有限公司</w:t>
            </w:r>
          </w:p>
        </w:tc>
      </w:tr>
      <w:tr w14:paraId="115C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3" w:type="dxa"/>
            <w:tcBorders>
              <w:top w:val="nil"/>
              <w:left w:val="nil"/>
              <w:bottom w:val="nil"/>
              <w:right w:val="nil"/>
            </w:tcBorders>
            <w:noWrap w:val="0"/>
            <w:vAlign w:val="top"/>
          </w:tcPr>
          <w:p w14:paraId="4A936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textAlignment w:val="auto"/>
              <w:rPr>
                <w:rFonts w:hint="default" w:ascii="Times New Roman" w:hAnsi="Times New Roman" w:eastAsia="宋体" w:cs="Times New Roman"/>
                <w:color w:val="000000"/>
                <w:sz w:val="30"/>
                <w:szCs w:val="30"/>
                <w:vertAlign w:val="baseline"/>
                <w:lang w:eastAsia="zh-CN"/>
              </w:rPr>
            </w:pPr>
            <w:r>
              <w:rPr>
                <w:rFonts w:hint="default" w:ascii="Times New Roman" w:hAnsi="Times New Roman" w:cs="Times New Roman"/>
                <w:color w:val="000000"/>
                <w:sz w:val="30"/>
                <w:szCs w:val="30"/>
                <w:vertAlign w:val="baseline"/>
                <w:lang w:eastAsia="zh-CN"/>
              </w:rPr>
              <w:t>编制日期：</w:t>
            </w:r>
          </w:p>
        </w:tc>
        <w:tc>
          <w:tcPr>
            <w:tcW w:w="5203" w:type="dxa"/>
            <w:tcBorders>
              <w:top w:val="nil"/>
              <w:left w:val="nil"/>
              <w:bottom w:val="nil"/>
              <w:right w:val="nil"/>
            </w:tcBorders>
            <w:noWrap w:val="0"/>
            <w:vAlign w:val="top"/>
          </w:tcPr>
          <w:p w14:paraId="51244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leftChars="0" w:right="0" w:firstLine="0" w:firstLineChars="0"/>
              <w:jc w:val="both"/>
              <w:textAlignment w:val="auto"/>
              <w:rPr>
                <w:rFonts w:hint="default" w:ascii="Times New Roman" w:hAnsi="Times New Roman" w:eastAsia="宋体" w:cs="Times New Roman"/>
                <w:color w:val="000000"/>
                <w:sz w:val="30"/>
                <w:szCs w:val="30"/>
                <w:vertAlign w:val="baseline"/>
                <w:lang w:val="en-US" w:eastAsia="zh-CN"/>
              </w:rPr>
            </w:pPr>
            <w:r>
              <w:rPr>
                <w:rFonts w:hint="default" w:ascii="Times New Roman" w:hAnsi="Times New Roman" w:cs="Times New Roman"/>
                <w:color w:val="000000"/>
                <w:sz w:val="30"/>
                <w:szCs w:val="30"/>
                <w:vertAlign w:val="baseline"/>
                <w:lang w:val="en-US" w:eastAsia="zh-CN"/>
              </w:rPr>
              <w:t>202</w:t>
            </w:r>
            <w:r>
              <w:rPr>
                <w:rFonts w:hint="eastAsia" w:ascii="Times New Roman" w:hAnsi="Times New Roman" w:cs="Times New Roman"/>
                <w:color w:val="000000"/>
                <w:sz w:val="30"/>
                <w:szCs w:val="30"/>
                <w:vertAlign w:val="baseline"/>
                <w:lang w:val="en-US" w:eastAsia="zh-CN"/>
              </w:rPr>
              <w:t>6</w:t>
            </w:r>
            <w:r>
              <w:rPr>
                <w:rFonts w:hint="default" w:ascii="Times New Roman" w:hAnsi="Times New Roman" w:cs="Times New Roman"/>
                <w:color w:val="000000"/>
                <w:sz w:val="30"/>
                <w:szCs w:val="30"/>
                <w:vertAlign w:val="baseline"/>
                <w:lang w:val="en-US" w:eastAsia="zh-CN"/>
              </w:rPr>
              <w:t>年</w:t>
            </w:r>
            <w:r>
              <w:rPr>
                <w:rFonts w:hint="eastAsia" w:ascii="Times New Roman" w:hAnsi="Times New Roman" w:cs="Times New Roman"/>
                <w:color w:val="000000"/>
                <w:sz w:val="30"/>
                <w:szCs w:val="30"/>
                <w:vertAlign w:val="baseline"/>
                <w:lang w:val="en-US" w:eastAsia="zh-CN"/>
              </w:rPr>
              <w:t>01</w:t>
            </w:r>
            <w:r>
              <w:rPr>
                <w:rFonts w:hint="default" w:ascii="Times New Roman" w:hAnsi="Times New Roman" w:cs="Times New Roman"/>
                <w:color w:val="000000"/>
                <w:sz w:val="30"/>
                <w:szCs w:val="30"/>
                <w:vertAlign w:val="baseline"/>
                <w:lang w:val="en-US" w:eastAsia="zh-CN"/>
              </w:rPr>
              <w:t>月</w:t>
            </w:r>
          </w:p>
        </w:tc>
      </w:tr>
    </w:tbl>
    <w:p w14:paraId="461FFE00">
      <w:pPr>
        <w:spacing w:before="0" w:beforeLines="0" w:after="0" w:afterLines="0" w:line="240" w:lineRule="auto"/>
        <w:ind w:left="0" w:leftChars="0" w:right="0" w:rightChars="0" w:firstLine="0" w:firstLineChars="0"/>
        <w:jc w:val="center"/>
        <w:rPr>
          <w:rFonts w:ascii="宋体" w:hAnsi="宋体" w:eastAsia="宋体"/>
          <w:b/>
          <w:bCs/>
          <w:color w:val="000000"/>
          <w:sz w:val="44"/>
          <w:szCs w:val="44"/>
        </w:rPr>
      </w:pPr>
    </w:p>
    <w:p w14:paraId="4A522304">
      <w:pPr>
        <w:pStyle w:val="2"/>
        <w:rPr>
          <w:rFonts w:ascii="宋体" w:hAnsi="宋体" w:eastAsia="宋体"/>
          <w:b/>
          <w:bCs/>
          <w:color w:val="000000"/>
          <w:sz w:val="44"/>
          <w:szCs w:val="44"/>
        </w:rPr>
      </w:pPr>
    </w:p>
    <w:p w14:paraId="15EA567D">
      <w:pPr>
        <w:pStyle w:val="2"/>
        <w:rPr>
          <w:rFonts w:ascii="宋体" w:hAnsi="宋体" w:eastAsia="宋体"/>
          <w:b/>
          <w:bCs/>
          <w:color w:val="000000"/>
          <w:sz w:val="44"/>
          <w:szCs w:val="44"/>
        </w:rPr>
      </w:pPr>
    </w:p>
    <w:p w14:paraId="08875FC6">
      <w:pPr>
        <w:pStyle w:val="2"/>
        <w:rPr>
          <w:rFonts w:ascii="宋体" w:hAnsi="宋体" w:eastAsia="宋体"/>
          <w:b/>
          <w:bCs/>
          <w:color w:val="000000"/>
          <w:sz w:val="44"/>
          <w:szCs w:val="44"/>
        </w:rPr>
      </w:pPr>
    </w:p>
    <w:p w14:paraId="61E0D1DD">
      <w:pPr>
        <w:pStyle w:val="2"/>
        <w:rPr>
          <w:rFonts w:ascii="宋体" w:hAnsi="宋体" w:eastAsia="宋体"/>
          <w:b/>
          <w:bCs/>
          <w:color w:val="000000"/>
          <w:sz w:val="44"/>
          <w:szCs w:val="44"/>
        </w:rPr>
      </w:pPr>
    </w:p>
    <w:p w14:paraId="7E8997E0">
      <w:pPr>
        <w:pStyle w:val="2"/>
        <w:rPr>
          <w:rFonts w:ascii="宋体" w:hAnsi="宋体" w:eastAsia="宋体"/>
          <w:b/>
          <w:bCs/>
          <w:color w:val="000000"/>
          <w:sz w:val="44"/>
          <w:szCs w:val="44"/>
        </w:rPr>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43510C11">
      <w:pPr>
        <w:spacing w:before="0" w:beforeLines="0" w:after="0" w:afterLines="0" w:line="240" w:lineRule="auto"/>
        <w:ind w:left="0" w:leftChars="0" w:right="0" w:rightChars="0" w:firstLine="0" w:firstLineChars="0"/>
        <w:jc w:val="center"/>
        <w:rPr>
          <w:b/>
          <w:bCs/>
          <w:color w:val="000000"/>
          <w:sz w:val="44"/>
          <w:szCs w:val="44"/>
        </w:rPr>
      </w:pPr>
      <w:r>
        <w:rPr>
          <w:rFonts w:ascii="宋体" w:hAnsi="宋体" w:eastAsia="宋体"/>
          <w:b/>
          <w:bCs/>
          <w:color w:val="000000"/>
          <w:sz w:val="44"/>
          <w:szCs w:val="44"/>
        </w:rPr>
        <w:t>目</w:t>
      </w:r>
      <w:r>
        <w:rPr>
          <w:rFonts w:hint="eastAsia" w:ascii="宋体" w:hAnsi="宋体" w:eastAsia="宋体"/>
          <w:b/>
          <w:bCs/>
          <w:color w:val="000000"/>
          <w:sz w:val="44"/>
          <w:szCs w:val="44"/>
          <w:lang w:val="en-US" w:eastAsia="zh-CN"/>
        </w:rPr>
        <w:t xml:space="preserve"> </w:t>
      </w:r>
      <w:r>
        <w:rPr>
          <w:rFonts w:ascii="宋体" w:hAnsi="宋体" w:eastAsia="宋体"/>
          <w:b/>
          <w:bCs/>
          <w:color w:val="000000"/>
          <w:sz w:val="44"/>
          <w:szCs w:val="44"/>
        </w:rPr>
        <w:t>录</w:t>
      </w:r>
    </w:p>
    <w:p w14:paraId="47BDAE2E">
      <w:pPr>
        <w:pStyle w:val="19"/>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TOC \o "1-2" \h \u </w:instrText>
      </w:r>
      <w:r>
        <w:rPr>
          <w:rFonts w:hint="eastAsia"/>
          <w:color w:val="000000"/>
          <w:lang w:val="en-US" w:eastAsia="zh-CN"/>
        </w:rPr>
        <w:fldChar w:fldCharType="separate"/>
      </w:r>
      <w:r>
        <w:rPr>
          <w:rFonts w:hint="eastAsia"/>
          <w:b/>
          <w:bCs/>
          <w:color w:val="000000"/>
          <w:lang w:val="en-US" w:eastAsia="zh-CN"/>
        </w:rPr>
        <w:fldChar w:fldCharType="begin"/>
      </w:r>
      <w:r>
        <w:rPr>
          <w:rFonts w:hint="eastAsia"/>
          <w:b/>
          <w:bCs/>
          <w:color w:val="000000"/>
          <w:lang w:val="en-US" w:eastAsia="zh-CN"/>
        </w:rPr>
        <w:instrText xml:space="preserve"> HYPERLINK \l _Toc10295 </w:instrText>
      </w:r>
      <w:r>
        <w:rPr>
          <w:rFonts w:hint="eastAsia"/>
          <w:b/>
          <w:bCs/>
          <w:color w:val="000000"/>
          <w:lang w:val="en-US" w:eastAsia="zh-CN"/>
        </w:rPr>
        <w:fldChar w:fldCharType="separate"/>
      </w:r>
      <w:r>
        <w:rPr>
          <w:rFonts w:hint="eastAsia"/>
          <w:b/>
          <w:bCs/>
          <w:color w:val="000000"/>
          <w:lang w:val="en-US" w:eastAsia="zh-CN"/>
        </w:rPr>
        <w:t>1 总论</w:t>
      </w:r>
      <w:r>
        <w:rPr>
          <w:b/>
          <w:bCs/>
          <w:color w:val="000000"/>
        </w:rPr>
        <w:tab/>
      </w:r>
      <w:r>
        <w:rPr>
          <w:b/>
          <w:bCs/>
          <w:color w:val="000000"/>
        </w:rPr>
        <w:fldChar w:fldCharType="begin"/>
      </w:r>
      <w:r>
        <w:rPr>
          <w:b/>
          <w:bCs/>
          <w:color w:val="000000"/>
        </w:rPr>
        <w:instrText xml:space="preserve"> PAGEREF _Toc10295 \h </w:instrText>
      </w:r>
      <w:r>
        <w:rPr>
          <w:b/>
          <w:bCs/>
          <w:color w:val="000000"/>
        </w:rPr>
        <w:fldChar w:fldCharType="separate"/>
      </w:r>
      <w:r>
        <w:rPr>
          <w:b/>
          <w:bCs/>
          <w:color w:val="000000"/>
        </w:rPr>
        <w:t>1</w:t>
      </w:r>
      <w:r>
        <w:rPr>
          <w:b/>
          <w:bCs/>
          <w:color w:val="000000"/>
        </w:rPr>
        <w:fldChar w:fldCharType="end"/>
      </w:r>
      <w:r>
        <w:rPr>
          <w:rFonts w:hint="eastAsia"/>
          <w:b/>
          <w:bCs/>
          <w:color w:val="000000"/>
          <w:lang w:val="en-US" w:eastAsia="zh-CN"/>
        </w:rPr>
        <w:fldChar w:fldCharType="end"/>
      </w:r>
    </w:p>
    <w:p w14:paraId="6F7965D8">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_Toc30082 </w:instrText>
      </w:r>
      <w:r>
        <w:rPr>
          <w:rFonts w:hint="eastAsia"/>
          <w:color w:val="000000"/>
          <w:lang w:val="en-US" w:eastAsia="zh-CN"/>
        </w:rPr>
        <w:fldChar w:fldCharType="separate"/>
      </w:r>
      <w:r>
        <w:rPr>
          <w:rFonts w:hint="eastAsia"/>
          <w:color w:val="000000"/>
          <w:lang w:val="en-US" w:eastAsia="zh-CN"/>
        </w:rPr>
        <w:t>1.1 项目建设的必要性和可行性分析</w:t>
      </w:r>
      <w:r>
        <w:rPr>
          <w:color w:val="000000"/>
        </w:rPr>
        <w:tab/>
      </w:r>
      <w:r>
        <w:rPr>
          <w:color w:val="000000"/>
        </w:rPr>
        <w:fldChar w:fldCharType="begin"/>
      </w:r>
      <w:r>
        <w:rPr>
          <w:color w:val="000000"/>
        </w:rPr>
        <w:instrText xml:space="preserve"> PAGEREF _Toc30082 \h </w:instrText>
      </w:r>
      <w:r>
        <w:rPr>
          <w:color w:val="000000"/>
        </w:rPr>
        <w:fldChar w:fldCharType="separate"/>
      </w:r>
      <w:r>
        <w:rPr>
          <w:color w:val="000000"/>
        </w:rPr>
        <w:t>1</w:t>
      </w:r>
      <w:r>
        <w:rPr>
          <w:color w:val="000000"/>
        </w:rPr>
        <w:fldChar w:fldCharType="end"/>
      </w:r>
      <w:r>
        <w:rPr>
          <w:rFonts w:hint="eastAsia"/>
          <w:color w:val="000000"/>
          <w:lang w:val="en-US" w:eastAsia="zh-CN"/>
        </w:rPr>
        <w:fldChar w:fldCharType="end"/>
      </w:r>
    </w:p>
    <w:p w14:paraId="3394E6AB">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_Toc28412 </w:instrText>
      </w:r>
      <w:r>
        <w:rPr>
          <w:rFonts w:hint="eastAsia"/>
          <w:color w:val="000000"/>
          <w:lang w:val="en-US" w:eastAsia="zh-CN"/>
        </w:rPr>
        <w:fldChar w:fldCharType="separate"/>
      </w:r>
      <w:r>
        <w:rPr>
          <w:rFonts w:hint="eastAsia"/>
          <w:color w:val="000000"/>
          <w:lang w:val="en-US" w:eastAsia="zh-CN"/>
        </w:rPr>
        <w:t>1.2 编制依据</w:t>
      </w:r>
      <w:r>
        <w:rPr>
          <w:color w:val="000000"/>
        </w:rPr>
        <w:tab/>
      </w:r>
      <w:r>
        <w:rPr>
          <w:color w:val="000000"/>
        </w:rPr>
        <w:fldChar w:fldCharType="begin"/>
      </w:r>
      <w:r>
        <w:rPr>
          <w:color w:val="000000"/>
        </w:rPr>
        <w:instrText xml:space="preserve"> PAGEREF _Toc28412 \h </w:instrText>
      </w:r>
      <w:r>
        <w:rPr>
          <w:color w:val="000000"/>
        </w:rPr>
        <w:fldChar w:fldCharType="separate"/>
      </w:r>
      <w:r>
        <w:rPr>
          <w:color w:val="000000"/>
        </w:rPr>
        <w:t>2</w:t>
      </w:r>
      <w:r>
        <w:rPr>
          <w:color w:val="000000"/>
        </w:rPr>
        <w:fldChar w:fldCharType="end"/>
      </w:r>
      <w:r>
        <w:rPr>
          <w:rFonts w:hint="eastAsia"/>
          <w:color w:val="000000"/>
          <w:lang w:val="en-US" w:eastAsia="zh-CN"/>
        </w:rPr>
        <w:fldChar w:fldCharType="end"/>
      </w:r>
    </w:p>
    <w:p w14:paraId="18743EF9">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_Toc7400 </w:instrText>
      </w:r>
      <w:r>
        <w:rPr>
          <w:rFonts w:hint="eastAsia"/>
          <w:color w:val="000000"/>
          <w:lang w:val="en-US" w:eastAsia="zh-CN"/>
        </w:rPr>
        <w:fldChar w:fldCharType="separate"/>
      </w:r>
      <w:r>
        <w:rPr>
          <w:rFonts w:hint="eastAsia"/>
          <w:color w:val="000000"/>
          <w:lang w:val="en-US" w:eastAsia="zh-CN"/>
        </w:rPr>
        <w:t>1.3 生态影响识别</w:t>
      </w:r>
      <w:r>
        <w:rPr>
          <w:color w:val="000000"/>
        </w:rPr>
        <w:tab/>
      </w:r>
      <w:r>
        <w:rPr>
          <w:color w:val="000000"/>
        </w:rPr>
        <w:fldChar w:fldCharType="begin"/>
      </w:r>
      <w:r>
        <w:rPr>
          <w:color w:val="000000"/>
        </w:rPr>
        <w:instrText xml:space="preserve"> PAGEREF _Toc7400 \h </w:instrText>
      </w:r>
      <w:r>
        <w:rPr>
          <w:color w:val="000000"/>
        </w:rPr>
        <w:fldChar w:fldCharType="separate"/>
      </w:r>
      <w:r>
        <w:rPr>
          <w:color w:val="000000"/>
        </w:rPr>
        <w:t>3</w:t>
      </w:r>
      <w:r>
        <w:rPr>
          <w:color w:val="000000"/>
        </w:rPr>
        <w:fldChar w:fldCharType="end"/>
      </w:r>
      <w:r>
        <w:rPr>
          <w:rFonts w:hint="eastAsia"/>
          <w:color w:val="000000"/>
          <w:lang w:val="en-US" w:eastAsia="zh-CN"/>
        </w:rPr>
        <w:fldChar w:fldCharType="end"/>
      </w:r>
    </w:p>
    <w:p w14:paraId="75F32B82">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_Toc18634 </w:instrText>
      </w:r>
      <w:r>
        <w:rPr>
          <w:rFonts w:hint="eastAsia"/>
          <w:color w:val="000000"/>
          <w:lang w:val="en-US" w:eastAsia="zh-CN"/>
        </w:rPr>
        <w:fldChar w:fldCharType="separate"/>
      </w:r>
      <w:r>
        <w:rPr>
          <w:rFonts w:hint="eastAsia"/>
          <w:color w:val="000000"/>
          <w:lang w:val="en-US" w:eastAsia="zh-CN"/>
        </w:rPr>
        <w:t>1.4评价等级及评价范围</w:t>
      </w:r>
      <w:r>
        <w:rPr>
          <w:color w:val="000000"/>
        </w:rPr>
        <w:tab/>
      </w:r>
      <w:r>
        <w:rPr>
          <w:color w:val="000000"/>
        </w:rPr>
        <w:fldChar w:fldCharType="begin"/>
      </w:r>
      <w:r>
        <w:rPr>
          <w:color w:val="000000"/>
        </w:rPr>
        <w:instrText xml:space="preserve"> PAGEREF _Toc18634 \h </w:instrText>
      </w:r>
      <w:r>
        <w:rPr>
          <w:color w:val="000000"/>
        </w:rPr>
        <w:fldChar w:fldCharType="separate"/>
      </w:r>
      <w:r>
        <w:rPr>
          <w:color w:val="000000"/>
        </w:rPr>
        <w:t>5</w:t>
      </w:r>
      <w:r>
        <w:rPr>
          <w:color w:val="000000"/>
        </w:rPr>
        <w:fldChar w:fldCharType="end"/>
      </w:r>
      <w:r>
        <w:rPr>
          <w:rFonts w:hint="eastAsia"/>
          <w:color w:val="000000"/>
          <w:lang w:val="en-US" w:eastAsia="zh-CN"/>
        </w:rPr>
        <w:fldChar w:fldCharType="end"/>
      </w:r>
    </w:p>
    <w:p w14:paraId="292EF656">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_Toc22056 </w:instrText>
      </w:r>
      <w:r>
        <w:rPr>
          <w:rFonts w:hint="eastAsia"/>
          <w:color w:val="000000"/>
          <w:lang w:val="en-US" w:eastAsia="zh-CN"/>
        </w:rPr>
        <w:fldChar w:fldCharType="separate"/>
      </w:r>
      <w:r>
        <w:rPr>
          <w:rFonts w:hint="eastAsia"/>
          <w:color w:val="000000"/>
          <w:lang w:val="en-US" w:eastAsia="zh-CN"/>
        </w:rPr>
        <w:t xml:space="preserve">1.5 </w:t>
      </w:r>
      <w:r>
        <w:rPr>
          <w:rFonts w:hint="eastAsia"/>
          <w:color w:val="000000"/>
          <w:lang w:eastAsia="zh-CN"/>
        </w:rPr>
        <w:t>生态环境保护目标</w:t>
      </w:r>
      <w:r>
        <w:rPr>
          <w:color w:val="000000"/>
        </w:rPr>
        <w:tab/>
      </w:r>
      <w:r>
        <w:rPr>
          <w:color w:val="000000"/>
        </w:rPr>
        <w:fldChar w:fldCharType="begin"/>
      </w:r>
      <w:r>
        <w:rPr>
          <w:color w:val="000000"/>
        </w:rPr>
        <w:instrText xml:space="preserve"> PAGEREF _Toc22056 \h </w:instrText>
      </w:r>
      <w:r>
        <w:rPr>
          <w:color w:val="000000"/>
        </w:rPr>
        <w:fldChar w:fldCharType="separate"/>
      </w:r>
      <w:r>
        <w:rPr>
          <w:color w:val="000000"/>
        </w:rPr>
        <w:t>6</w:t>
      </w:r>
      <w:r>
        <w:rPr>
          <w:color w:val="000000"/>
        </w:rPr>
        <w:fldChar w:fldCharType="end"/>
      </w:r>
      <w:r>
        <w:rPr>
          <w:rFonts w:hint="eastAsia"/>
          <w:color w:val="000000"/>
          <w:lang w:val="en-US" w:eastAsia="zh-CN"/>
        </w:rPr>
        <w:fldChar w:fldCharType="end"/>
      </w:r>
    </w:p>
    <w:p w14:paraId="58A455CB">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_Toc9518 </w:instrText>
      </w:r>
      <w:r>
        <w:rPr>
          <w:rFonts w:hint="eastAsia"/>
          <w:color w:val="000000"/>
          <w:lang w:val="en-US" w:eastAsia="zh-CN"/>
        </w:rPr>
        <w:fldChar w:fldCharType="separate"/>
      </w:r>
      <w:r>
        <w:rPr>
          <w:rFonts w:hint="eastAsia"/>
          <w:color w:val="000000"/>
          <w:lang w:val="en-US" w:eastAsia="zh-CN"/>
        </w:rPr>
        <w:t>1.6评价内容</w:t>
      </w:r>
      <w:r>
        <w:rPr>
          <w:color w:val="000000"/>
        </w:rPr>
        <w:tab/>
      </w:r>
      <w:r>
        <w:rPr>
          <w:color w:val="000000"/>
        </w:rPr>
        <w:fldChar w:fldCharType="begin"/>
      </w:r>
      <w:r>
        <w:rPr>
          <w:color w:val="000000"/>
        </w:rPr>
        <w:instrText xml:space="preserve"> PAGEREF _Toc9518 \h </w:instrText>
      </w:r>
      <w:r>
        <w:rPr>
          <w:color w:val="000000"/>
        </w:rPr>
        <w:fldChar w:fldCharType="separate"/>
      </w:r>
      <w:r>
        <w:rPr>
          <w:color w:val="000000"/>
        </w:rPr>
        <w:t>6</w:t>
      </w:r>
      <w:r>
        <w:rPr>
          <w:color w:val="000000"/>
        </w:rPr>
        <w:fldChar w:fldCharType="end"/>
      </w:r>
      <w:r>
        <w:rPr>
          <w:rFonts w:hint="eastAsia"/>
          <w:color w:val="000000"/>
          <w:lang w:val="en-US" w:eastAsia="zh-CN"/>
        </w:rPr>
        <w:fldChar w:fldCharType="end"/>
      </w:r>
    </w:p>
    <w:p w14:paraId="764C8697">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_Toc5161 </w:instrText>
      </w:r>
      <w:r>
        <w:rPr>
          <w:rFonts w:hint="eastAsia"/>
          <w:color w:val="000000"/>
          <w:lang w:val="en-US" w:eastAsia="zh-CN"/>
        </w:rPr>
        <w:fldChar w:fldCharType="separate"/>
      </w:r>
      <w:r>
        <w:rPr>
          <w:rFonts w:hint="eastAsia"/>
          <w:color w:val="000000"/>
          <w:lang w:val="en-US" w:eastAsia="zh-CN"/>
        </w:rPr>
        <w:t>1.7 生态环境影响评价路线</w:t>
      </w:r>
      <w:r>
        <w:rPr>
          <w:color w:val="000000"/>
        </w:rPr>
        <w:tab/>
      </w:r>
      <w:r>
        <w:rPr>
          <w:color w:val="000000"/>
        </w:rPr>
        <w:fldChar w:fldCharType="begin"/>
      </w:r>
      <w:r>
        <w:rPr>
          <w:color w:val="000000"/>
        </w:rPr>
        <w:instrText xml:space="preserve"> PAGEREF _Toc5161 \h </w:instrText>
      </w:r>
      <w:r>
        <w:rPr>
          <w:color w:val="000000"/>
        </w:rPr>
        <w:fldChar w:fldCharType="separate"/>
      </w:r>
      <w:r>
        <w:rPr>
          <w:color w:val="000000"/>
        </w:rPr>
        <w:t>7</w:t>
      </w:r>
      <w:r>
        <w:rPr>
          <w:color w:val="000000"/>
        </w:rPr>
        <w:fldChar w:fldCharType="end"/>
      </w:r>
      <w:r>
        <w:rPr>
          <w:rFonts w:hint="eastAsia"/>
          <w:color w:val="000000"/>
          <w:lang w:val="en-US" w:eastAsia="zh-CN"/>
        </w:rPr>
        <w:fldChar w:fldCharType="end"/>
      </w:r>
    </w:p>
    <w:p w14:paraId="4173E5B4">
      <w:pPr>
        <w:pStyle w:val="19"/>
        <w:tabs>
          <w:tab w:val="right" w:leader="dot" w:pos="8793"/>
        </w:tabs>
        <w:rPr>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_Toc11974 </w:instrText>
      </w:r>
      <w:r>
        <w:rPr>
          <w:rFonts w:hint="eastAsia"/>
          <w:b/>
          <w:bCs/>
          <w:color w:val="000000"/>
          <w:lang w:val="en-US" w:eastAsia="zh-CN"/>
        </w:rPr>
        <w:fldChar w:fldCharType="separate"/>
      </w:r>
      <w:r>
        <w:rPr>
          <w:rFonts w:hint="eastAsia"/>
          <w:b/>
          <w:bCs/>
          <w:color w:val="000000"/>
          <w:lang w:val="en-US" w:eastAsia="zh-CN"/>
        </w:rPr>
        <w:t>2 建设项目概况</w:t>
      </w:r>
      <w:r>
        <w:rPr>
          <w:b/>
          <w:bCs/>
          <w:color w:val="000000"/>
        </w:rPr>
        <w:tab/>
      </w:r>
      <w:r>
        <w:rPr>
          <w:b/>
          <w:bCs/>
          <w:color w:val="000000"/>
        </w:rPr>
        <w:fldChar w:fldCharType="begin"/>
      </w:r>
      <w:r>
        <w:rPr>
          <w:b/>
          <w:bCs/>
          <w:color w:val="000000"/>
        </w:rPr>
        <w:instrText xml:space="preserve"> PAGEREF _Toc11974 \h </w:instrText>
      </w:r>
      <w:r>
        <w:rPr>
          <w:b/>
          <w:bCs/>
          <w:color w:val="000000"/>
        </w:rPr>
        <w:fldChar w:fldCharType="separate"/>
      </w:r>
      <w:r>
        <w:rPr>
          <w:b/>
          <w:bCs/>
          <w:color w:val="000000"/>
        </w:rPr>
        <w:t>8</w:t>
      </w:r>
      <w:r>
        <w:rPr>
          <w:b/>
          <w:bCs/>
          <w:color w:val="000000"/>
        </w:rPr>
        <w:fldChar w:fldCharType="end"/>
      </w:r>
      <w:r>
        <w:rPr>
          <w:rFonts w:hint="eastAsia"/>
          <w:b/>
          <w:bCs/>
          <w:color w:val="000000"/>
          <w:lang w:val="en-US" w:eastAsia="zh-CN"/>
        </w:rPr>
        <w:fldChar w:fldCharType="end"/>
      </w:r>
    </w:p>
    <w:p w14:paraId="17EBFEED">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_Toc30004 </w:instrText>
      </w:r>
      <w:r>
        <w:rPr>
          <w:rFonts w:hint="eastAsia"/>
          <w:color w:val="000000"/>
          <w:lang w:val="en-US" w:eastAsia="zh-CN"/>
        </w:rPr>
        <w:fldChar w:fldCharType="separate"/>
      </w:r>
      <w:r>
        <w:rPr>
          <w:rFonts w:hint="eastAsia"/>
          <w:color w:val="000000"/>
          <w:lang w:val="en-US" w:eastAsia="zh-CN"/>
        </w:rPr>
        <w:t>2.1 项目基本情况</w:t>
      </w:r>
      <w:r>
        <w:rPr>
          <w:color w:val="000000"/>
        </w:rPr>
        <w:tab/>
      </w:r>
      <w:r>
        <w:rPr>
          <w:color w:val="000000"/>
        </w:rPr>
        <w:fldChar w:fldCharType="begin"/>
      </w:r>
      <w:r>
        <w:rPr>
          <w:color w:val="000000"/>
        </w:rPr>
        <w:instrText xml:space="preserve"> PAGEREF _Toc30004 \h </w:instrText>
      </w:r>
      <w:r>
        <w:rPr>
          <w:color w:val="000000"/>
        </w:rPr>
        <w:fldChar w:fldCharType="separate"/>
      </w:r>
      <w:r>
        <w:rPr>
          <w:color w:val="000000"/>
        </w:rPr>
        <w:t>8</w:t>
      </w:r>
      <w:r>
        <w:rPr>
          <w:color w:val="000000"/>
        </w:rPr>
        <w:fldChar w:fldCharType="end"/>
      </w:r>
      <w:r>
        <w:rPr>
          <w:rFonts w:hint="eastAsia"/>
          <w:color w:val="000000"/>
          <w:lang w:val="en-US" w:eastAsia="zh-CN"/>
        </w:rPr>
        <w:fldChar w:fldCharType="end"/>
      </w:r>
    </w:p>
    <w:p w14:paraId="68635DDF">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_Toc14412 </w:instrText>
      </w:r>
      <w:r>
        <w:rPr>
          <w:rFonts w:hint="eastAsia"/>
          <w:color w:val="000000"/>
          <w:lang w:val="en-US" w:eastAsia="zh-CN"/>
        </w:rPr>
        <w:fldChar w:fldCharType="separate"/>
      </w:r>
      <w:r>
        <w:rPr>
          <w:rFonts w:hint="eastAsia"/>
          <w:color w:val="000000"/>
          <w:lang w:val="en-US" w:eastAsia="zh-CN"/>
        </w:rPr>
        <w:t>2.2 施工组织设计</w:t>
      </w:r>
      <w:r>
        <w:rPr>
          <w:color w:val="000000"/>
        </w:rPr>
        <w:tab/>
      </w:r>
      <w:r>
        <w:rPr>
          <w:color w:val="000000"/>
        </w:rPr>
        <w:fldChar w:fldCharType="begin"/>
      </w:r>
      <w:r>
        <w:rPr>
          <w:color w:val="000000"/>
        </w:rPr>
        <w:instrText xml:space="preserve"> PAGEREF _Toc14412 \h </w:instrText>
      </w:r>
      <w:r>
        <w:rPr>
          <w:color w:val="000000"/>
        </w:rPr>
        <w:fldChar w:fldCharType="separate"/>
      </w:r>
      <w:r>
        <w:rPr>
          <w:color w:val="000000"/>
        </w:rPr>
        <w:t>13</w:t>
      </w:r>
      <w:r>
        <w:rPr>
          <w:color w:val="000000"/>
        </w:rPr>
        <w:fldChar w:fldCharType="end"/>
      </w:r>
      <w:r>
        <w:rPr>
          <w:rFonts w:hint="eastAsia"/>
          <w:color w:val="000000"/>
          <w:lang w:val="en-US" w:eastAsia="zh-CN"/>
        </w:rPr>
        <w:fldChar w:fldCharType="end"/>
      </w:r>
    </w:p>
    <w:p w14:paraId="0D0E7376">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_Toc24653 </w:instrText>
      </w:r>
      <w:r>
        <w:rPr>
          <w:rFonts w:hint="eastAsia"/>
          <w:color w:val="000000"/>
          <w:lang w:val="en-US" w:eastAsia="zh-CN"/>
        </w:rPr>
        <w:fldChar w:fldCharType="separate"/>
      </w:r>
      <w:r>
        <w:rPr>
          <w:rFonts w:hint="eastAsia"/>
          <w:color w:val="000000"/>
          <w:lang w:val="en-US" w:eastAsia="zh-CN"/>
        </w:rPr>
        <w:t>2.3主要施工工艺及产排污</w:t>
      </w:r>
      <w:r>
        <w:rPr>
          <w:color w:val="000000"/>
        </w:rPr>
        <w:tab/>
      </w:r>
      <w:r>
        <w:rPr>
          <w:color w:val="000000"/>
        </w:rPr>
        <w:fldChar w:fldCharType="begin"/>
      </w:r>
      <w:r>
        <w:rPr>
          <w:color w:val="000000"/>
        </w:rPr>
        <w:instrText xml:space="preserve"> PAGEREF _Toc24653 \h </w:instrText>
      </w:r>
      <w:r>
        <w:rPr>
          <w:color w:val="000000"/>
        </w:rPr>
        <w:fldChar w:fldCharType="separate"/>
      </w:r>
      <w:r>
        <w:rPr>
          <w:color w:val="000000"/>
        </w:rPr>
        <w:t>24</w:t>
      </w:r>
      <w:r>
        <w:rPr>
          <w:color w:val="000000"/>
        </w:rPr>
        <w:fldChar w:fldCharType="end"/>
      </w:r>
      <w:r>
        <w:rPr>
          <w:rFonts w:hint="eastAsia"/>
          <w:color w:val="000000"/>
          <w:lang w:val="en-US" w:eastAsia="zh-CN"/>
        </w:rPr>
        <w:fldChar w:fldCharType="end"/>
      </w:r>
    </w:p>
    <w:p w14:paraId="6E814AF3">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_Toc14111 </w:instrText>
      </w:r>
      <w:r>
        <w:rPr>
          <w:rFonts w:hint="eastAsia"/>
          <w:color w:val="000000"/>
          <w:lang w:val="en-US" w:eastAsia="zh-CN"/>
        </w:rPr>
        <w:fldChar w:fldCharType="separate"/>
      </w:r>
      <w:r>
        <w:rPr>
          <w:rFonts w:hint="eastAsia"/>
          <w:color w:val="000000"/>
          <w:lang w:val="en-US" w:eastAsia="zh-CN"/>
        </w:rPr>
        <w:t>2.4项目与相关规划的协调性分析</w:t>
      </w:r>
      <w:r>
        <w:rPr>
          <w:color w:val="000000"/>
        </w:rPr>
        <w:tab/>
      </w:r>
      <w:r>
        <w:rPr>
          <w:color w:val="000000"/>
        </w:rPr>
        <w:fldChar w:fldCharType="begin"/>
      </w:r>
      <w:r>
        <w:rPr>
          <w:color w:val="000000"/>
        </w:rPr>
        <w:instrText xml:space="preserve"> PAGEREF _Toc14111 \h </w:instrText>
      </w:r>
      <w:r>
        <w:rPr>
          <w:color w:val="000000"/>
        </w:rPr>
        <w:fldChar w:fldCharType="separate"/>
      </w:r>
      <w:r>
        <w:rPr>
          <w:color w:val="000000"/>
        </w:rPr>
        <w:t>25</w:t>
      </w:r>
      <w:r>
        <w:rPr>
          <w:color w:val="000000"/>
        </w:rPr>
        <w:fldChar w:fldCharType="end"/>
      </w:r>
      <w:r>
        <w:rPr>
          <w:rFonts w:hint="eastAsia"/>
          <w:color w:val="000000"/>
          <w:lang w:val="en-US" w:eastAsia="zh-CN"/>
        </w:rPr>
        <w:fldChar w:fldCharType="end"/>
      </w:r>
    </w:p>
    <w:p w14:paraId="113448AB">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_Toc7704 </w:instrText>
      </w:r>
      <w:r>
        <w:rPr>
          <w:rFonts w:hint="eastAsia"/>
          <w:color w:val="000000"/>
          <w:lang w:val="en-US" w:eastAsia="zh-CN"/>
        </w:rPr>
        <w:fldChar w:fldCharType="separate"/>
      </w:r>
      <w:r>
        <w:rPr>
          <w:rFonts w:hint="eastAsia"/>
          <w:color w:val="000000"/>
          <w:lang w:val="en-US" w:eastAsia="zh-CN"/>
        </w:rPr>
        <w:t>2.5 与六安市“三线一单”</w:t>
      </w:r>
      <w:r>
        <w:rPr>
          <w:color w:val="000000"/>
        </w:rPr>
        <w:t>相符性分析</w:t>
      </w:r>
      <w:r>
        <w:rPr>
          <w:color w:val="000000"/>
        </w:rPr>
        <w:tab/>
      </w:r>
      <w:r>
        <w:rPr>
          <w:color w:val="000000"/>
        </w:rPr>
        <w:fldChar w:fldCharType="begin"/>
      </w:r>
      <w:r>
        <w:rPr>
          <w:color w:val="000000"/>
        </w:rPr>
        <w:instrText xml:space="preserve"> PAGEREF _Toc7704 \h </w:instrText>
      </w:r>
      <w:r>
        <w:rPr>
          <w:color w:val="000000"/>
        </w:rPr>
        <w:fldChar w:fldCharType="separate"/>
      </w:r>
      <w:r>
        <w:rPr>
          <w:color w:val="000000"/>
        </w:rPr>
        <w:t>33</w:t>
      </w:r>
      <w:r>
        <w:rPr>
          <w:color w:val="000000"/>
        </w:rPr>
        <w:fldChar w:fldCharType="end"/>
      </w:r>
      <w:r>
        <w:rPr>
          <w:rFonts w:hint="eastAsia"/>
          <w:color w:val="000000"/>
          <w:lang w:val="en-US" w:eastAsia="zh-CN"/>
        </w:rPr>
        <w:fldChar w:fldCharType="end"/>
      </w:r>
    </w:p>
    <w:p w14:paraId="0C969B50">
      <w:pPr>
        <w:pStyle w:val="21"/>
        <w:tabs>
          <w:tab w:val="right" w:leader="dot" w:pos="8793"/>
        </w:tabs>
        <w:rPr>
          <w:rFonts w:hint="default" w:ascii="Times New Roman" w:hAnsi="Times New Roman" w:eastAsia="宋体" w:cs="Times New Roman"/>
          <w:color w:val="000000"/>
        </w:rPr>
      </w:pPr>
      <w:r>
        <w:rPr>
          <w:rFonts w:hint="default" w:ascii="Times New Roman" w:hAnsi="Times New Roman" w:eastAsia="宋体" w:cs="Times New Roman"/>
          <w:color w:val="000000"/>
          <w:lang w:val="en-US" w:eastAsia="zh-CN"/>
        </w:rPr>
        <w:fldChar w:fldCharType="begin"/>
      </w:r>
      <w:r>
        <w:rPr>
          <w:rFonts w:hint="default" w:ascii="Times New Roman" w:hAnsi="Times New Roman" w:eastAsia="宋体" w:cs="Times New Roman"/>
          <w:color w:val="000000"/>
          <w:lang w:val="en-US" w:eastAsia="zh-CN"/>
        </w:rPr>
        <w:instrText xml:space="preserve"> HYPERLINK \l _Toc24334 </w:instrText>
      </w:r>
      <w:r>
        <w:rPr>
          <w:rFonts w:hint="default" w:ascii="Times New Roman" w:hAnsi="Times New Roman" w:eastAsia="宋体" w:cs="Times New Roman"/>
          <w:color w:val="000000"/>
          <w:lang w:val="en-US" w:eastAsia="zh-CN"/>
        </w:rPr>
        <w:fldChar w:fldCharType="separate"/>
      </w:r>
      <w:r>
        <w:rPr>
          <w:rFonts w:hint="default" w:ascii="Times New Roman" w:hAnsi="Times New Roman" w:eastAsia="宋体" w:cs="Times New Roman"/>
          <w:color w:val="000000"/>
          <w:kern w:val="2"/>
          <w:szCs w:val="30"/>
          <w:lang w:val="en-US" w:eastAsia="zh-CN" w:bidi="ar-SA"/>
        </w:rPr>
        <w:t>2.6与霍山县“三区三线”划定成果相符性分析</w:t>
      </w:r>
      <w:r>
        <w:rPr>
          <w:rFonts w:hint="default" w:ascii="Times New Roman" w:hAnsi="Times New Roman" w:eastAsia="宋体" w:cs="Times New Roman"/>
          <w:color w:val="000000"/>
        </w:rPr>
        <w:tab/>
      </w:r>
      <w:r>
        <w:rPr>
          <w:rFonts w:hint="default" w:ascii="Times New Roman" w:hAnsi="Times New Roman" w:eastAsia="宋体" w:cs="Times New Roman"/>
          <w:color w:val="000000"/>
        </w:rPr>
        <w:fldChar w:fldCharType="begin"/>
      </w:r>
      <w:r>
        <w:rPr>
          <w:rFonts w:hint="default" w:ascii="Times New Roman" w:hAnsi="Times New Roman" w:eastAsia="宋体" w:cs="Times New Roman"/>
          <w:color w:val="000000"/>
        </w:rPr>
        <w:instrText xml:space="preserve"> PAGEREF _Toc24334 \h </w:instrText>
      </w:r>
      <w:r>
        <w:rPr>
          <w:rFonts w:hint="default" w:ascii="Times New Roman" w:hAnsi="Times New Roman" w:eastAsia="宋体" w:cs="Times New Roman"/>
          <w:color w:val="000000"/>
        </w:rPr>
        <w:fldChar w:fldCharType="separate"/>
      </w:r>
      <w:r>
        <w:rPr>
          <w:rFonts w:hint="default" w:ascii="Times New Roman" w:hAnsi="Times New Roman" w:eastAsia="宋体" w:cs="Times New Roman"/>
          <w:color w:val="000000"/>
        </w:rPr>
        <w:t>34</w:t>
      </w:r>
      <w:r>
        <w:rPr>
          <w:rFonts w:hint="default" w:ascii="Times New Roman" w:hAnsi="Times New Roman" w:eastAsia="宋体" w:cs="Times New Roman"/>
          <w:color w:val="000000"/>
        </w:rPr>
        <w:fldChar w:fldCharType="end"/>
      </w:r>
      <w:r>
        <w:rPr>
          <w:rFonts w:hint="default" w:ascii="Times New Roman" w:hAnsi="Times New Roman" w:eastAsia="宋体" w:cs="Times New Roman"/>
          <w:color w:val="000000"/>
          <w:lang w:val="en-US" w:eastAsia="zh-CN"/>
        </w:rPr>
        <w:fldChar w:fldCharType="end"/>
      </w:r>
    </w:p>
    <w:p w14:paraId="2AFD0D7C">
      <w:pPr>
        <w:pStyle w:val="19"/>
        <w:tabs>
          <w:tab w:val="right" w:leader="dot" w:pos="8793"/>
        </w:tabs>
        <w:rPr>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_Toc20990 </w:instrText>
      </w:r>
      <w:r>
        <w:rPr>
          <w:rFonts w:hint="eastAsia"/>
          <w:b/>
          <w:bCs/>
          <w:color w:val="000000"/>
          <w:lang w:val="en-US" w:eastAsia="zh-CN"/>
        </w:rPr>
        <w:fldChar w:fldCharType="separate"/>
      </w:r>
      <w:r>
        <w:rPr>
          <w:rFonts w:hint="eastAsia"/>
          <w:b/>
          <w:bCs/>
          <w:color w:val="000000"/>
          <w:lang w:val="en-US" w:eastAsia="zh-CN"/>
        </w:rPr>
        <w:t>3 霍山县概况</w:t>
      </w:r>
      <w:r>
        <w:rPr>
          <w:b/>
          <w:bCs/>
          <w:color w:val="000000"/>
        </w:rPr>
        <w:tab/>
      </w:r>
      <w:r>
        <w:rPr>
          <w:b/>
          <w:bCs/>
          <w:color w:val="000000"/>
        </w:rPr>
        <w:fldChar w:fldCharType="begin"/>
      </w:r>
      <w:r>
        <w:rPr>
          <w:b/>
          <w:bCs/>
          <w:color w:val="000000"/>
        </w:rPr>
        <w:instrText xml:space="preserve"> PAGEREF _Toc20990 \h </w:instrText>
      </w:r>
      <w:r>
        <w:rPr>
          <w:b/>
          <w:bCs/>
          <w:color w:val="000000"/>
        </w:rPr>
        <w:fldChar w:fldCharType="separate"/>
      </w:r>
      <w:r>
        <w:rPr>
          <w:b/>
          <w:bCs/>
          <w:color w:val="000000"/>
        </w:rPr>
        <w:t>37</w:t>
      </w:r>
      <w:r>
        <w:rPr>
          <w:b/>
          <w:bCs/>
          <w:color w:val="000000"/>
        </w:rPr>
        <w:fldChar w:fldCharType="end"/>
      </w:r>
      <w:r>
        <w:rPr>
          <w:rFonts w:hint="eastAsia"/>
          <w:b/>
          <w:bCs/>
          <w:color w:val="000000"/>
          <w:lang w:val="en-US" w:eastAsia="zh-CN"/>
        </w:rPr>
        <w:fldChar w:fldCharType="end"/>
      </w:r>
    </w:p>
    <w:p w14:paraId="69760A8C">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_Toc20837 </w:instrText>
      </w:r>
      <w:r>
        <w:rPr>
          <w:rFonts w:hint="eastAsia"/>
          <w:color w:val="000000"/>
          <w:lang w:val="en-US" w:eastAsia="zh-CN"/>
        </w:rPr>
        <w:fldChar w:fldCharType="separate"/>
      </w:r>
      <w:r>
        <w:rPr>
          <w:rFonts w:hint="eastAsia"/>
          <w:color w:val="000000"/>
          <w:lang w:val="en-US" w:eastAsia="zh-CN"/>
        </w:rPr>
        <w:t>3.1 地理位置</w:t>
      </w:r>
      <w:r>
        <w:rPr>
          <w:color w:val="000000"/>
        </w:rPr>
        <w:tab/>
      </w:r>
      <w:r>
        <w:rPr>
          <w:color w:val="000000"/>
        </w:rPr>
        <w:fldChar w:fldCharType="begin"/>
      </w:r>
      <w:r>
        <w:rPr>
          <w:color w:val="000000"/>
        </w:rPr>
        <w:instrText xml:space="preserve"> PAGEREF _Toc20837 \h </w:instrText>
      </w:r>
      <w:r>
        <w:rPr>
          <w:color w:val="000000"/>
        </w:rPr>
        <w:fldChar w:fldCharType="separate"/>
      </w:r>
      <w:r>
        <w:rPr>
          <w:color w:val="000000"/>
        </w:rPr>
        <w:t>37</w:t>
      </w:r>
      <w:r>
        <w:rPr>
          <w:color w:val="000000"/>
        </w:rPr>
        <w:fldChar w:fldCharType="end"/>
      </w:r>
      <w:r>
        <w:rPr>
          <w:rFonts w:hint="eastAsia"/>
          <w:color w:val="000000"/>
          <w:lang w:val="en-US" w:eastAsia="zh-CN"/>
        </w:rPr>
        <w:fldChar w:fldCharType="end"/>
      </w:r>
    </w:p>
    <w:p w14:paraId="7DC85D28">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_Toc7544 </w:instrText>
      </w:r>
      <w:r>
        <w:rPr>
          <w:rFonts w:hint="eastAsia"/>
          <w:color w:val="000000"/>
          <w:lang w:val="en-US" w:eastAsia="zh-CN"/>
        </w:rPr>
        <w:fldChar w:fldCharType="separate"/>
      </w:r>
      <w:r>
        <w:rPr>
          <w:rFonts w:hint="eastAsia"/>
          <w:color w:val="000000"/>
          <w:lang w:val="en-US" w:eastAsia="zh-CN"/>
        </w:rPr>
        <w:t>3.2地质地貌</w:t>
      </w:r>
      <w:r>
        <w:rPr>
          <w:color w:val="000000"/>
        </w:rPr>
        <w:tab/>
      </w:r>
      <w:r>
        <w:rPr>
          <w:color w:val="000000"/>
        </w:rPr>
        <w:fldChar w:fldCharType="begin"/>
      </w:r>
      <w:r>
        <w:rPr>
          <w:color w:val="000000"/>
        </w:rPr>
        <w:instrText xml:space="preserve"> PAGEREF _Toc7544 \h </w:instrText>
      </w:r>
      <w:r>
        <w:rPr>
          <w:color w:val="000000"/>
        </w:rPr>
        <w:fldChar w:fldCharType="separate"/>
      </w:r>
      <w:r>
        <w:rPr>
          <w:color w:val="000000"/>
        </w:rPr>
        <w:t>38</w:t>
      </w:r>
      <w:r>
        <w:rPr>
          <w:color w:val="000000"/>
        </w:rPr>
        <w:fldChar w:fldCharType="end"/>
      </w:r>
      <w:r>
        <w:rPr>
          <w:rFonts w:hint="eastAsia"/>
          <w:color w:val="000000"/>
          <w:lang w:val="en-US" w:eastAsia="zh-CN"/>
        </w:rPr>
        <w:fldChar w:fldCharType="end"/>
      </w:r>
    </w:p>
    <w:p w14:paraId="3A4AFE34">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_Toc8599 </w:instrText>
      </w:r>
      <w:r>
        <w:rPr>
          <w:rFonts w:hint="eastAsia"/>
          <w:color w:val="000000"/>
          <w:lang w:val="en-US" w:eastAsia="zh-CN"/>
        </w:rPr>
        <w:fldChar w:fldCharType="separate"/>
      </w:r>
      <w:r>
        <w:rPr>
          <w:rFonts w:hint="eastAsia" w:ascii="Times New Roman" w:hAnsi="Times New Roman" w:cs="Times New Roman"/>
          <w:color w:val="000000"/>
          <w:lang w:val="en-US" w:eastAsia="zh-CN"/>
        </w:rPr>
        <w:t>3.3气候概况</w:t>
      </w:r>
      <w:r>
        <w:rPr>
          <w:color w:val="000000"/>
        </w:rPr>
        <w:tab/>
      </w:r>
      <w:r>
        <w:rPr>
          <w:color w:val="000000"/>
        </w:rPr>
        <w:fldChar w:fldCharType="begin"/>
      </w:r>
      <w:r>
        <w:rPr>
          <w:color w:val="000000"/>
        </w:rPr>
        <w:instrText xml:space="preserve"> PAGEREF _Toc8599 \h </w:instrText>
      </w:r>
      <w:r>
        <w:rPr>
          <w:color w:val="000000"/>
        </w:rPr>
        <w:fldChar w:fldCharType="separate"/>
      </w:r>
      <w:r>
        <w:rPr>
          <w:color w:val="000000"/>
        </w:rPr>
        <w:t>38</w:t>
      </w:r>
      <w:r>
        <w:rPr>
          <w:color w:val="000000"/>
        </w:rPr>
        <w:fldChar w:fldCharType="end"/>
      </w:r>
      <w:r>
        <w:rPr>
          <w:rFonts w:hint="eastAsia"/>
          <w:color w:val="000000"/>
          <w:lang w:val="en-US" w:eastAsia="zh-CN"/>
        </w:rPr>
        <w:fldChar w:fldCharType="end"/>
      </w:r>
    </w:p>
    <w:p w14:paraId="208A9A08">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_Toc18084 </w:instrText>
      </w:r>
      <w:r>
        <w:rPr>
          <w:rFonts w:hint="eastAsia"/>
          <w:color w:val="000000"/>
          <w:lang w:val="en-US" w:eastAsia="zh-CN"/>
        </w:rPr>
        <w:fldChar w:fldCharType="separate"/>
      </w:r>
      <w:r>
        <w:rPr>
          <w:rFonts w:hint="eastAsia"/>
          <w:color w:val="000000"/>
          <w:lang w:val="en-US" w:eastAsia="zh-CN"/>
        </w:rPr>
        <w:t>3.4 河流水系</w:t>
      </w:r>
      <w:r>
        <w:rPr>
          <w:color w:val="000000"/>
        </w:rPr>
        <w:tab/>
      </w:r>
      <w:r>
        <w:rPr>
          <w:color w:val="000000"/>
        </w:rPr>
        <w:fldChar w:fldCharType="begin"/>
      </w:r>
      <w:r>
        <w:rPr>
          <w:color w:val="000000"/>
        </w:rPr>
        <w:instrText xml:space="preserve"> PAGEREF _Toc18084 \h </w:instrText>
      </w:r>
      <w:r>
        <w:rPr>
          <w:color w:val="000000"/>
        </w:rPr>
        <w:fldChar w:fldCharType="separate"/>
      </w:r>
      <w:r>
        <w:rPr>
          <w:color w:val="000000"/>
        </w:rPr>
        <w:t>38</w:t>
      </w:r>
      <w:r>
        <w:rPr>
          <w:color w:val="000000"/>
        </w:rPr>
        <w:fldChar w:fldCharType="end"/>
      </w:r>
      <w:r>
        <w:rPr>
          <w:rFonts w:hint="eastAsia"/>
          <w:color w:val="000000"/>
          <w:lang w:val="en-US" w:eastAsia="zh-CN"/>
        </w:rPr>
        <w:fldChar w:fldCharType="end"/>
      </w:r>
    </w:p>
    <w:p w14:paraId="0CBB3634">
      <w:pPr>
        <w:pStyle w:val="19"/>
        <w:tabs>
          <w:tab w:val="right" w:leader="dot" w:pos="8793"/>
        </w:tabs>
        <w:rPr>
          <w:b/>
          <w:bCs/>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_Toc17396 </w:instrText>
      </w:r>
      <w:r>
        <w:rPr>
          <w:rFonts w:hint="eastAsia"/>
          <w:b/>
          <w:bCs/>
          <w:color w:val="000000"/>
          <w:lang w:val="en-US" w:eastAsia="zh-CN"/>
        </w:rPr>
        <w:fldChar w:fldCharType="separate"/>
      </w:r>
      <w:r>
        <w:rPr>
          <w:rFonts w:hint="eastAsia"/>
          <w:b/>
          <w:bCs/>
          <w:color w:val="000000"/>
          <w:lang w:val="en-US" w:eastAsia="zh-CN"/>
        </w:rPr>
        <w:t>4 生态环境现状</w:t>
      </w:r>
      <w:r>
        <w:rPr>
          <w:b/>
          <w:bCs/>
          <w:color w:val="000000"/>
        </w:rPr>
        <w:tab/>
      </w:r>
      <w:r>
        <w:rPr>
          <w:b/>
          <w:bCs/>
          <w:color w:val="000000"/>
        </w:rPr>
        <w:fldChar w:fldCharType="begin"/>
      </w:r>
      <w:r>
        <w:rPr>
          <w:b/>
          <w:bCs/>
          <w:color w:val="000000"/>
        </w:rPr>
        <w:instrText xml:space="preserve"> PAGEREF _Toc17396 \h </w:instrText>
      </w:r>
      <w:r>
        <w:rPr>
          <w:b/>
          <w:bCs/>
          <w:color w:val="000000"/>
        </w:rPr>
        <w:fldChar w:fldCharType="separate"/>
      </w:r>
      <w:r>
        <w:rPr>
          <w:b/>
          <w:bCs/>
          <w:color w:val="000000"/>
        </w:rPr>
        <w:t>40</w:t>
      </w:r>
      <w:r>
        <w:rPr>
          <w:b/>
          <w:bCs/>
          <w:color w:val="000000"/>
        </w:rPr>
        <w:fldChar w:fldCharType="end"/>
      </w:r>
      <w:r>
        <w:rPr>
          <w:rFonts w:hint="eastAsia"/>
          <w:b/>
          <w:bCs/>
          <w:color w:val="000000"/>
          <w:lang w:val="en-US" w:eastAsia="zh-CN"/>
        </w:rPr>
        <w:fldChar w:fldCharType="end"/>
      </w:r>
    </w:p>
    <w:p w14:paraId="78CA4787">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_Toc17551 </w:instrText>
      </w:r>
      <w:r>
        <w:rPr>
          <w:rFonts w:hint="eastAsia"/>
          <w:color w:val="000000"/>
          <w:lang w:val="en-US" w:eastAsia="zh-CN"/>
        </w:rPr>
        <w:fldChar w:fldCharType="separate"/>
      </w:r>
      <w:r>
        <w:rPr>
          <w:rFonts w:hint="eastAsia"/>
          <w:color w:val="000000"/>
          <w:lang w:val="en-US" w:eastAsia="zh-CN"/>
        </w:rPr>
        <w:t xml:space="preserve">4.1 </w:t>
      </w:r>
      <w:r>
        <w:rPr>
          <w:rFonts w:hint="default" w:ascii="Times New Roman" w:hAnsi="Times New Roman" w:cs="Times New Roman"/>
          <w:color w:val="000000"/>
          <w:lang w:val="en-US" w:eastAsia="zh-CN"/>
        </w:rPr>
        <w:t>生态环境现状</w:t>
      </w:r>
      <w:r>
        <w:rPr>
          <w:color w:val="000000"/>
        </w:rPr>
        <w:tab/>
      </w:r>
      <w:r>
        <w:rPr>
          <w:color w:val="000000"/>
        </w:rPr>
        <w:fldChar w:fldCharType="begin"/>
      </w:r>
      <w:r>
        <w:rPr>
          <w:color w:val="000000"/>
        </w:rPr>
        <w:instrText xml:space="preserve"> PAGEREF _Toc17551 \h </w:instrText>
      </w:r>
      <w:r>
        <w:rPr>
          <w:color w:val="000000"/>
        </w:rPr>
        <w:fldChar w:fldCharType="separate"/>
      </w:r>
      <w:r>
        <w:rPr>
          <w:color w:val="000000"/>
        </w:rPr>
        <w:t>40</w:t>
      </w:r>
      <w:r>
        <w:rPr>
          <w:color w:val="000000"/>
        </w:rPr>
        <w:fldChar w:fldCharType="end"/>
      </w:r>
      <w:r>
        <w:rPr>
          <w:rFonts w:hint="eastAsia"/>
          <w:color w:val="000000"/>
          <w:lang w:val="en-US" w:eastAsia="zh-CN"/>
        </w:rPr>
        <w:fldChar w:fldCharType="end"/>
      </w:r>
    </w:p>
    <w:p w14:paraId="0F2FA685">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_Toc24394 </w:instrText>
      </w:r>
      <w:r>
        <w:rPr>
          <w:rFonts w:hint="eastAsia"/>
          <w:color w:val="000000"/>
          <w:lang w:val="en-US" w:eastAsia="zh-CN"/>
        </w:rPr>
        <w:fldChar w:fldCharType="separate"/>
      </w:r>
      <w:r>
        <w:rPr>
          <w:rFonts w:hint="eastAsia" w:ascii="Times New Roman" w:hAnsi="Times New Roman" w:cs="Times New Roman"/>
          <w:color w:val="000000"/>
          <w:lang w:val="en-US" w:eastAsia="zh-CN"/>
        </w:rPr>
        <w:t>4.2</w:t>
      </w:r>
      <w:r>
        <w:rPr>
          <w:rFonts w:hint="default" w:ascii="Times New Roman" w:hAnsi="Times New Roman" w:cs="Times New Roman"/>
          <w:color w:val="000000"/>
          <w:lang w:val="en-US" w:eastAsia="zh-CN"/>
        </w:rPr>
        <w:t>、生态环境现状调查</w:t>
      </w:r>
      <w:r>
        <w:rPr>
          <w:color w:val="000000"/>
        </w:rPr>
        <w:tab/>
      </w:r>
      <w:r>
        <w:rPr>
          <w:color w:val="000000"/>
        </w:rPr>
        <w:fldChar w:fldCharType="begin"/>
      </w:r>
      <w:r>
        <w:rPr>
          <w:color w:val="000000"/>
        </w:rPr>
        <w:instrText xml:space="preserve"> PAGEREF _Toc24394 \h </w:instrText>
      </w:r>
      <w:r>
        <w:rPr>
          <w:color w:val="000000"/>
        </w:rPr>
        <w:fldChar w:fldCharType="separate"/>
      </w:r>
      <w:r>
        <w:rPr>
          <w:color w:val="000000"/>
        </w:rPr>
        <w:t>45</w:t>
      </w:r>
      <w:r>
        <w:rPr>
          <w:color w:val="000000"/>
        </w:rPr>
        <w:fldChar w:fldCharType="end"/>
      </w:r>
      <w:r>
        <w:rPr>
          <w:rFonts w:hint="eastAsia"/>
          <w:color w:val="000000"/>
          <w:lang w:val="en-US" w:eastAsia="zh-CN"/>
        </w:rPr>
        <w:fldChar w:fldCharType="end"/>
      </w:r>
    </w:p>
    <w:p w14:paraId="2D89A38A">
      <w:pPr>
        <w:pStyle w:val="19"/>
        <w:tabs>
          <w:tab w:val="right" w:leader="dot" w:pos="8793"/>
        </w:tabs>
        <w:rPr>
          <w:b/>
          <w:bCs/>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_Toc26339 </w:instrText>
      </w:r>
      <w:r>
        <w:rPr>
          <w:rFonts w:hint="eastAsia"/>
          <w:b/>
          <w:bCs/>
          <w:color w:val="000000"/>
          <w:lang w:val="en-US" w:eastAsia="zh-CN"/>
        </w:rPr>
        <w:fldChar w:fldCharType="separate"/>
      </w:r>
      <w:r>
        <w:rPr>
          <w:rFonts w:hint="eastAsia"/>
          <w:b/>
          <w:bCs/>
          <w:color w:val="000000"/>
          <w:lang w:val="en-US" w:eastAsia="zh-CN"/>
        </w:rPr>
        <w:t>5 生态环境影响预测与评价</w:t>
      </w:r>
      <w:r>
        <w:rPr>
          <w:b/>
          <w:bCs/>
          <w:color w:val="000000"/>
        </w:rPr>
        <w:tab/>
      </w:r>
      <w:r>
        <w:rPr>
          <w:b/>
          <w:bCs/>
          <w:color w:val="000000"/>
        </w:rPr>
        <w:fldChar w:fldCharType="begin"/>
      </w:r>
      <w:r>
        <w:rPr>
          <w:b/>
          <w:bCs/>
          <w:color w:val="000000"/>
        </w:rPr>
        <w:instrText xml:space="preserve"> PAGEREF _Toc26339 \h </w:instrText>
      </w:r>
      <w:r>
        <w:rPr>
          <w:b/>
          <w:bCs/>
          <w:color w:val="000000"/>
        </w:rPr>
        <w:fldChar w:fldCharType="separate"/>
      </w:r>
      <w:r>
        <w:rPr>
          <w:b/>
          <w:bCs/>
          <w:color w:val="000000"/>
        </w:rPr>
        <w:t>50</w:t>
      </w:r>
      <w:r>
        <w:rPr>
          <w:b/>
          <w:bCs/>
          <w:color w:val="000000"/>
        </w:rPr>
        <w:fldChar w:fldCharType="end"/>
      </w:r>
      <w:r>
        <w:rPr>
          <w:rFonts w:hint="eastAsia"/>
          <w:b/>
          <w:bCs/>
          <w:color w:val="000000"/>
          <w:lang w:val="en-US" w:eastAsia="zh-CN"/>
        </w:rPr>
        <w:fldChar w:fldCharType="end"/>
      </w:r>
    </w:p>
    <w:p w14:paraId="3B324236">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_Toc107 </w:instrText>
      </w:r>
      <w:r>
        <w:rPr>
          <w:rFonts w:hint="eastAsia"/>
          <w:color w:val="000000"/>
          <w:lang w:val="en-US" w:eastAsia="zh-CN"/>
        </w:rPr>
        <w:fldChar w:fldCharType="separate"/>
      </w:r>
      <w:r>
        <w:rPr>
          <w:rFonts w:hint="eastAsia"/>
          <w:color w:val="000000"/>
          <w:lang w:val="en-US" w:eastAsia="zh-CN"/>
        </w:rPr>
        <w:t>5.1 施工期生态环境影响分析</w:t>
      </w:r>
      <w:r>
        <w:rPr>
          <w:color w:val="000000"/>
        </w:rPr>
        <w:tab/>
      </w:r>
      <w:r>
        <w:rPr>
          <w:color w:val="000000"/>
        </w:rPr>
        <w:fldChar w:fldCharType="begin"/>
      </w:r>
      <w:r>
        <w:rPr>
          <w:color w:val="000000"/>
        </w:rPr>
        <w:instrText xml:space="preserve"> PAGEREF _Toc107 \h </w:instrText>
      </w:r>
      <w:r>
        <w:rPr>
          <w:color w:val="000000"/>
        </w:rPr>
        <w:fldChar w:fldCharType="separate"/>
      </w:r>
      <w:r>
        <w:rPr>
          <w:color w:val="000000"/>
        </w:rPr>
        <w:t>50</w:t>
      </w:r>
      <w:r>
        <w:rPr>
          <w:color w:val="000000"/>
        </w:rPr>
        <w:fldChar w:fldCharType="end"/>
      </w:r>
      <w:r>
        <w:rPr>
          <w:rFonts w:hint="eastAsia"/>
          <w:color w:val="000000"/>
          <w:lang w:val="en-US" w:eastAsia="zh-CN"/>
        </w:rPr>
        <w:fldChar w:fldCharType="end"/>
      </w:r>
    </w:p>
    <w:p w14:paraId="181C5738">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_Toc15311 </w:instrText>
      </w:r>
      <w:r>
        <w:rPr>
          <w:rFonts w:hint="eastAsia"/>
          <w:color w:val="000000"/>
          <w:lang w:val="en-US" w:eastAsia="zh-CN"/>
        </w:rPr>
        <w:fldChar w:fldCharType="separate"/>
      </w:r>
      <w:r>
        <w:rPr>
          <w:rFonts w:hint="eastAsia" w:ascii="Times New Roman" w:hAnsi="Times New Roman" w:cs="Times New Roman"/>
          <w:color w:val="000000"/>
          <w:lang w:val="en-US" w:eastAsia="zh-CN"/>
        </w:rPr>
        <w:t>5.2 运营期生态环境影响分析</w:t>
      </w:r>
      <w:r>
        <w:rPr>
          <w:color w:val="000000"/>
        </w:rPr>
        <w:tab/>
      </w:r>
      <w:r>
        <w:rPr>
          <w:color w:val="000000"/>
        </w:rPr>
        <w:fldChar w:fldCharType="begin"/>
      </w:r>
      <w:r>
        <w:rPr>
          <w:color w:val="000000"/>
        </w:rPr>
        <w:instrText xml:space="preserve"> PAGEREF _Toc15311 \h </w:instrText>
      </w:r>
      <w:r>
        <w:rPr>
          <w:color w:val="000000"/>
        </w:rPr>
        <w:fldChar w:fldCharType="separate"/>
      </w:r>
      <w:r>
        <w:rPr>
          <w:color w:val="000000"/>
        </w:rPr>
        <w:t>57</w:t>
      </w:r>
      <w:r>
        <w:rPr>
          <w:color w:val="000000"/>
        </w:rPr>
        <w:fldChar w:fldCharType="end"/>
      </w:r>
      <w:r>
        <w:rPr>
          <w:rFonts w:hint="eastAsia"/>
          <w:color w:val="000000"/>
          <w:lang w:val="en-US" w:eastAsia="zh-CN"/>
        </w:rPr>
        <w:fldChar w:fldCharType="end"/>
      </w:r>
    </w:p>
    <w:p w14:paraId="2B9AE920">
      <w:pPr>
        <w:pStyle w:val="19"/>
        <w:tabs>
          <w:tab w:val="right" w:leader="dot" w:pos="8793"/>
        </w:tabs>
        <w:rPr>
          <w:b/>
          <w:bCs/>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_Toc26336 </w:instrText>
      </w:r>
      <w:r>
        <w:rPr>
          <w:rFonts w:hint="eastAsia"/>
          <w:b/>
          <w:bCs/>
          <w:color w:val="000000"/>
          <w:lang w:val="en-US" w:eastAsia="zh-CN"/>
        </w:rPr>
        <w:fldChar w:fldCharType="separate"/>
      </w:r>
      <w:r>
        <w:rPr>
          <w:rFonts w:hint="eastAsia"/>
          <w:b/>
          <w:bCs/>
          <w:color w:val="000000"/>
          <w:lang w:val="en-US" w:eastAsia="zh-CN"/>
        </w:rPr>
        <w:t>6 生态保护与恢复措施</w:t>
      </w:r>
      <w:r>
        <w:rPr>
          <w:b/>
          <w:bCs/>
          <w:color w:val="000000"/>
        </w:rPr>
        <w:tab/>
      </w:r>
      <w:r>
        <w:rPr>
          <w:b/>
          <w:bCs/>
          <w:color w:val="000000"/>
        </w:rPr>
        <w:fldChar w:fldCharType="begin"/>
      </w:r>
      <w:r>
        <w:rPr>
          <w:b/>
          <w:bCs/>
          <w:color w:val="000000"/>
        </w:rPr>
        <w:instrText xml:space="preserve"> PAGEREF _Toc26336 \h </w:instrText>
      </w:r>
      <w:r>
        <w:rPr>
          <w:b/>
          <w:bCs/>
          <w:color w:val="000000"/>
        </w:rPr>
        <w:fldChar w:fldCharType="separate"/>
      </w:r>
      <w:r>
        <w:rPr>
          <w:b/>
          <w:bCs/>
          <w:color w:val="000000"/>
        </w:rPr>
        <w:t>60</w:t>
      </w:r>
      <w:r>
        <w:rPr>
          <w:b/>
          <w:bCs/>
          <w:color w:val="000000"/>
        </w:rPr>
        <w:fldChar w:fldCharType="end"/>
      </w:r>
      <w:r>
        <w:rPr>
          <w:rFonts w:hint="eastAsia"/>
          <w:b/>
          <w:bCs/>
          <w:color w:val="000000"/>
          <w:lang w:val="en-US" w:eastAsia="zh-CN"/>
        </w:rPr>
        <w:fldChar w:fldCharType="end"/>
      </w:r>
    </w:p>
    <w:p w14:paraId="7281AB19">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_Toc11876 </w:instrText>
      </w:r>
      <w:r>
        <w:rPr>
          <w:rFonts w:hint="eastAsia"/>
          <w:color w:val="000000"/>
          <w:lang w:val="en-US" w:eastAsia="zh-CN"/>
        </w:rPr>
        <w:fldChar w:fldCharType="separate"/>
      </w:r>
      <w:r>
        <w:rPr>
          <w:rFonts w:hint="eastAsia"/>
          <w:color w:val="000000"/>
          <w:lang w:val="en-US" w:eastAsia="zh-CN"/>
        </w:rPr>
        <w:t>6.1 施工期生态保护措施</w:t>
      </w:r>
      <w:r>
        <w:rPr>
          <w:color w:val="000000"/>
        </w:rPr>
        <w:tab/>
      </w:r>
      <w:r>
        <w:rPr>
          <w:color w:val="000000"/>
        </w:rPr>
        <w:fldChar w:fldCharType="begin"/>
      </w:r>
      <w:r>
        <w:rPr>
          <w:color w:val="000000"/>
        </w:rPr>
        <w:instrText xml:space="preserve"> PAGEREF _Toc11876 \h </w:instrText>
      </w:r>
      <w:r>
        <w:rPr>
          <w:color w:val="000000"/>
        </w:rPr>
        <w:fldChar w:fldCharType="separate"/>
      </w:r>
      <w:r>
        <w:rPr>
          <w:color w:val="000000"/>
        </w:rPr>
        <w:t>60</w:t>
      </w:r>
      <w:r>
        <w:rPr>
          <w:color w:val="000000"/>
        </w:rPr>
        <w:fldChar w:fldCharType="end"/>
      </w:r>
      <w:r>
        <w:rPr>
          <w:rFonts w:hint="eastAsia"/>
          <w:color w:val="000000"/>
          <w:lang w:val="en-US" w:eastAsia="zh-CN"/>
        </w:rPr>
        <w:fldChar w:fldCharType="end"/>
      </w:r>
    </w:p>
    <w:p w14:paraId="49C12F79">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_Toc7263 </w:instrText>
      </w:r>
      <w:r>
        <w:rPr>
          <w:rFonts w:hint="eastAsia"/>
          <w:color w:val="000000"/>
          <w:lang w:val="en-US" w:eastAsia="zh-CN"/>
        </w:rPr>
        <w:fldChar w:fldCharType="separate"/>
      </w:r>
      <w:r>
        <w:rPr>
          <w:rFonts w:hint="eastAsia" w:ascii="Times New Roman" w:hAnsi="Times New Roman" w:cs="Times New Roman"/>
          <w:color w:val="000000"/>
          <w:lang w:val="en-US" w:eastAsia="zh-CN"/>
        </w:rPr>
        <w:t>6.2 运营期生态环境保护措施</w:t>
      </w:r>
      <w:r>
        <w:rPr>
          <w:color w:val="000000"/>
        </w:rPr>
        <w:tab/>
      </w:r>
      <w:r>
        <w:rPr>
          <w:color w:val="000000"/>
        </w:rPr>
        <w:fldChar w:fldCharType="begin"/>
      </w:r>
      <w:r>
        <w:rPr>
          <w:color w:val="000000"/>
        </w:rPr>
        <w:instrText xml:space="preserve"> PAGEREF _Toc7263 \h </w:instrText>
      </w:r>
      <w:r>
        <w:rPr>
          <w:color w:val="000000"/>
        </w:rPr>
        <w:fldChar w:fldCharType="separate"/>
      </w:r>
      <w:r>
        <w:rPr>
          <w:color w:val="000000"/>
        </w:rPr>
        <w:t>65</w:t>
      </w:r>
      <w:r>
        <w:rPr>
          <w:color w:val="000000"/>
        </w:rPr>
        <w:fldChar w:fldCharType="end"/>
      </w:r>
      <w:r>
        <w:rPr>
          <w:rFonts w:hint="eastAsia"/>
          <w:color w:val="000000"/>
          <w:lang w:val="en-US" w:eastAsia="zh-CN"/>
        </w:rPr>
        <w:fldChar w:fldCharType="end"/>
      </w:r>
    </w:p>
    <w:p w14:paraId="7C125746">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_Toc26823 </w:instrText>
      </w:r>
      <w:r>
        <w:rPr>
          <w:rFonts w:hint="eastAsia"/>
          <w:color w:val="000000"/>
          <w:lang w:val="en-US" w:eastAsia="zh-CN"/>
        </w:rPr>
        <w:fldChar w:fldCharType="separate"/>
      </w:r>
      <w:r>
        <w:rPr>
          <w:rFonts w:hint="eastAsia"/>
          <w:color w:val="000000"/>
          <w:lang w:val="en-US" w:eastAsia="zh-CN"/>
        </w:rPr>
        <w:t>6.3 环境管理措施</w:t>
      </w:r>
      <w:r>
        <w:rPr>
          <w:color w:val="000000"/>
        </w:rPr>
        <w:tab/>
      </w:r>
      <w:r>
        <w:rPr>
          <w:color w:val="000000"/>
        </w:rPr>
        <w:fldChar w:fldCharType="begin"/>
      </w:r>
      <w:r>
        <w:rPr>
          <w:color w:val="000000"/>
        </w:rPr>
        <w:instrText xml:space="preserve"> PAGEREF _Toc26823 \h </w:instrText>
      </w:r>
      <w:r>
        <w:rPr>
          <w:color w:val="000000"/>
        </w:rPr>
        <w:fldChar w:fldCharType="separate"/>
      </w:r>
      <w:r>
        <w:rPr>
          <w:color w:val="000000"/>
        </w:rPr>
        <w:t>65</w:t>
      </w:r>
      <w:r>
        <w:rPr>
          <w:color w:val="000000"/>
        </w:rPr>
        <w:fldChar w:fldCharType="end"/>
      </w:r>
      <w:r>
        <w:rPr>
          <w:rFonts w:hint="eastAsia"/>
          <w:color w:val="000000"/>
          <w:lang w:val="en-US" w:eastAsia="zh-CN"/>
        </w:rPr>
        <w:fldChar w:fldCharType="end"/>
      </w:r>
    </w:p>
    <w:p w14:paraId="4021F271">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_Toc21687 </w:instrText>
      </w:r>
      <w:r>
        <w:rPr>
          <w:rFonts w:hint="eastAsia"/>
          <w:color w:val="000000"/>
          <w:lang w:val="en-US" w:eastAsia="zh-CN"/>
        </w:rPr>
        <w:fldChar w:fldCharType="separate"/>
      </w:r>
      <w:r>
        <w:rPr>
          <w:rFonts w:hint="eastAsia" w:ascii="Times New Roman" w:hAnsi="Times New Roman" w:cs="Times New Roman"/>
          <w:color w:val="000000"/>
          <w:lang w:val="en-US" w:eastAsia="zh-CN"/>
        </w:rPr>
        <w:t>6.4 环境监测</w:t>
      </w:r>
      <w:r>
        <w:rPr>
          <w:color w:val="000000"/>
        </w:rPr>
        <w:tab/>
      </w:r>
      <w:r>
        <w:rPr>
          <w:color w:val="000000"/>
        </w:rPr>
        <w:fldChar w:fldCharType="begin"/>
      </w:r>
      <w:r>
        <w:rPr>
          <w:color w:val="000000"/>
        </w:rPr>
        <w:instrText xml:space="preserve"> PAGEREF _Toc21687 \h </w:instrText>
      </w:r>
      <w:r>
        <w:rPr>
          <w:color w:val="000000"/>
        </w:rPr>
        <w:fldChar w:fldCharType="separate"/>
      </w:r>
      <w:r>
        <w:rPr>
          <w:color w:val="000000"/>
        </w:rPr>
        <w:t>66</w:t>
      </w:r>
      <w:r>
        <w:rPr>
          <w:color w:val="000000"/>
        </w:rPr>
        <w:fldChar w:fldCharType="end"/>
      </w:r>
      <w:r>
        <w:rPr>
          <w:rFonts w:hint="eastAsia"/>
          <w:color w:val="000000"/>
          <w:lang w:val="en-US" w:eastAsia="zh-CN"/>
        </w:rPr>
        <w:fldChar w:fldCharType="end"/>
      </w:r>
    </w:p>
    <w:p w14:paraId="71229766">
      <w:pPr>
        <w:pStyle w:val="19"/>
        <w:tabs>
          <w:tab w:val="right" w:leader="dot" w:pos="8793"/>
        </w:tabs>
        <w:rPr>
          <w:color w:val="000000"/>
        </w:rPr>
      </w:pPr>
      <w:r>
        <w:rPr>
          <w:rFonts w:hint="eastAsia"/>
          <w:b/>
          <w:bCs/>
          <w:color w:val="000000"/>
          <w:lang w:val="en-US" w:eastAsia="zh-CN"/>
        </w:rPr>
        <w:fldChar w:fldCharType="begin"/>
      </w:r>
      <w:r>
        <w:rPr>
          <w:rFonts w:hint="eastAsia"/>
          <w:b/>
          <w:bCs/>
          <w:color w:val="000000"/>
          <w:lang w:val="en-US" w:eastAsia="zh-CN"/>
        </w:rPr>
        <w:instrText xml:space="preserve"> HYPERLINK \l _Toc11117 </w:instrText>
      </w:r>
      <w:r>
        <w:rPr>
          <w:rFonts w:hint="eastAsia"/>
          <w:b/>
          <w:bCs/>
          <w:color w:val="000000"/>
          <w:lang w:val="en-US" w:eastAsia="zh-CN"/>
        </w:rPr>
        <w:fldChar w:fldCharType="separate"/>
      </w:r>
      <w:r>
        <w:rPr>
          <w:rFonts w:hint="eastAsia"/>
          <w:b/>
          <w:bCs/>
          <w:color w:val="000000"/>
          <w:lang w:val="en-US" w:eastAsia="zh-CN"/>
        </w:rPr>
        <w:t>7 结论</w:t>
      </w:r>
      <w:r>
        <w:rPr>
          <w:b/>
          <w:bCs/>
          <w:color w:val="000000"/>
        </w:rPr>
        <w:tab/>
      </w:r>
      <w:r>
        <w:rPr>
          <w:b/>
          <w:bCs/>
          <w:color w:val="000000"/>
        </w:rPr>
        <w:fldChar w:fldCharType="begin"/>
      </w:r>
      <w:r>
        <w:rPr>
          <w:b/>
          <w:bCs/>
          <w:color w:val="000000"/>
        </w:rPr>
        <w:instrText xml:space="preserve"> PAGEREF _Toc11117 \h </w:instrText>
      </w:r>
      <w:r>
        <w:rPr>
          <w:b/>
          <w:bCs/>
          <w:color w:val="000000"/>
        </w:rPr>
        <w:fldChar w:fldCharType="separate"/>
      </w:r>
      <w:r>
        <w:rPr>
          <w:b/>
          <w:bCs/>
          <w:color w:val="000000"/>
        </w:rPr>
        <w:t>68</w:t>
      </w:r>
      <w:r>
        <w:rPr>
          <w:b/>
          <w:bCs/>
          <w:color w:val="000000"/>
        </w:rPr>
        <w:fldChar w:fldCharType="end"/>
      </w:r>
      <w:r>
        <w:rPr>
          <w:rFonts w:hint="eastAsia"/>
          <w:b/>
          <w:bCs/>
          <w:color w:val="000000"/>
          <w:lang w:val="en-US" w:eastAsia="zh-CN"/>
        </w:rPr>
        <w:fldChar w:fldCharType="end"/>
      </w:r>
    </w:p>
    <w:p w14:paraId="036DF645">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_Toc20539 </w:instrText>
      </w:r>
      <w:r>
        <w:rPr>
          <w:rFonts w:hint="eastAsia"/>
          <w:color w:val="000000"/>
          <w:lang w:val="en-US" w:eastAsia="zh-CN"/>
        </w:rPr>
        <w:fldChar w:fldCharType="separate"/>
      </w:r>
      <w:r>
        <w:rPr>
          <w:rFonts w:hint="eastAsia"/>
          <w:color w:val="000000"/>
          <w:lang w:val="en-US" w:eastAsia="zh-CN"/>
        </w:rPr>
        <w:t>7</w:t>
      </w:r>
      <w:r>
        <w:rPr>
          <w:color w:val="000000"/>
        </w:rPr>
        <w:t>.1</w:t>
      </w:r>
      <w:r>
        <w:rPr>
          <w:rFonts w:hint="eastAsia"/>
          <w:color w:val="000000"/>
          <w:lang w:eastAsia="zh-CN"/>
        </w:rPr>
        <w:t xml:space="preserve"> </w:t>
      </w:r>
      <w:r>
        <w:rPr>
          <w:color w:val="000000"/>
        </w:rPr>
        <w:t>建设项目概况</w:t>
      </w:r>
      <w:r>
        <w:rPr>
          <w:color w:val="000000"/>
        </w:rPr>
        <w:tab/>
      </w:r>
      <w:r>
        <w:rPr>
          <w:color w:val="000000"/>
        </w:rPr>
        <w:fldChar w:fldCharType="begin"/>
      </w:r>
      <w:r>
        <w:rPr>
          <w:color w:val="000000"/>
        </w:rPr>
        <w:instrText xml:space="preserve"> PAGEREF _Toc20539 \h </w:instrText>
      </w:r>
      <w:r>
        <w:rPr>
          <w:color w:val="000000"/>
        </w:rPr>
        <w:fldChar w:fldCharType="separate"/>
      </w:r>
      <w:r>
        <w:rPr>
          <w:color w:val="000000"/>
        </w:rPr>
        <w:t>68</w:t>
      </w:r>
      <w:r>
        <w:rPr>
          <w:color w:val="000000"/>
        </w:rPr>
        <w:fldChar w:fldCharType="end"/>
      </w:r>
      <w:r>
        <w:rPr>
          <w:rFonts w:hint="eastAsia"/>
          <w:color w:val="000000"/>
          <w:lang w:val="en-US" w:eastAsia="zh-CN"/>
        </w:rPr>
        <w:fldChar w:fldCharType="end"/>
      </w:r>
    </w:p>
    <w:p w14:paraId="247C3AC7">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_Toc11995 </w:instrText>
      </w:r>
      <w:r>
        <w:rPr>
          <w:rFonts w:hint="eastAsia"/>
          <w:color w:val="000000"/>
          <w:lang w:val="en-US" w:eastAsia="zh-CN"/>
        </w:rPr>
        <w:fldChar w:fldCharType="separate"/>
      </w:r>
      <w:r>
        <w:rPr>
          <w:rFonts w:hint="eastAsia"/>
          <w:color w:val="000000"/>
          <w:lang w:val="en-US" w:eastAsia="zh-CN"/>
        </w:rPr>
        <w:t xml:space="preserve">7.2 </w:t>
      </w:r>
      <w:r>
        <w:rPr>
          <w:rFonts w:hint="eastAsia"/>
          <w:color w:val="000000"/>
          <w:lang w:eastAsia="zh-CN"/>
        </w:rPr>
        <w:t>产业政策、规划相符性</w:t>
      </w:r>
      <w:r>
        <w:rPr>
          <w:color w:val="000000"/>
        </w:rPr>
        <w:tab/>
      </w:r>
      <w:r>
        <w:rPr>
          <w:color w:val="000000"/>
        </w:rPr>
        <w:fldChar w:fldCharType="begin"/>
      </w:r>
      <w:r>
        <w:rPr>
          <w:color w:val="000000"/>
        </w:rPr>
        <w:instrText xml:space="preserve"> PAGEREF _Toc11995 \h </w:instrText>
      </w:r>
      <w:r>
        <w:rPr>
          <w:color w:val="000000"/>
        </w:rPr>
        <w:fldChar w:fldCharType="separate"/>
      </w:r>
      <w:r>
        <w:rPr>
          <w:color w:val="000000"/>
        </w:rPr>
        <w:t>68</w:t>
      </w:r>
      <w:r>
        <w:rPr>
          <w:color w:val="000000"/>
        </w:rPr>
        <w:fldChar w:fldCharType="end"/>
      </w:r>
      <w:r>
        <w:rPr>
          <w:rFonts w:hint="eastAsia"/>
          <w:color w:val="000000"/>
          <w:lang w:val="en-US" w:eastAsia="zh-CN"/>
        </w:rPr>
        <w:fldChar w:fldCharType="end"/>
      </w:r>
    </w:p>
    <w:p w14:paraId="06380B09">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_Toc30158 </w:instrText>
      </w:r>
      <w:r>
        <w:rPr>
          <w:rFonts w:hint="eastAsia"/>
          <w:color w:val="000000"/>
          <w:lang w:val="en-US" w:eastAsia="zh-CN"/>
        </w:rPr>
        <w:fldChar w:fldCharType="separate"/>
      </w:r>
      <w:r>
        <w:rPr>
          <w:rFonts w:hint="eastAsia"/>
          <w:color w:val="000000"/>
          <w:lang w:val="en-US" w:eastAsia="zh-CN"/>
        </w:rPr>
        <w:t>7.3 生态</w:t>
      </w:r>
      <w:r>
        <w:rPr>
          <w:color w:val="000000"/>
        </w:rPr>
        <w:t>环境</w:t>
      </w:r>
      <w:r>
        <w:rPr>
          <w:rFonts w:hint="eastAsia"/>
          <w:color w:val="000000"/>
          <w:lang w:eastAsia="zh-CN"/>
        </w:rPr>
        <w:t>质量</w:t>
      </w:r>
      <w:r>
        <w:rPr>
          <w:color w:val="000000"/>
        </w:rPr>
        <w:t>现状</w:t>
      </w:r>
      <w:r>
        <w:rPr>
          <w:color w:val="000000"/>
        </w:rPr>
        <w:tab/>
      </w:r>
      <w:r>
        <w:rPr>
          <w:color w:val="000000"/>
        </w:rPr>
        <w:fldChar w:fldCharType="begin"/>
      </w:r>
      <w:r>
        <w:rPr>
          <w:color w:val="000000"/>
        </w:rPr>
        <w:instrText xml:space="preserve"> PAGEREF _Toc30158 \h </w:instrText>
      </w:r>
      <w:r>
        <w:rPr>
          <w:color w:val="000000"/>
        </w:rPr>
        <w:fldChar w:fldCharType="separate"/>
      </w:r>
      <w:r>
        <w:rPr>
          <w:color w:val="000000"/>
        </w:rPr>
        <w:t>68</w:t>
      </w:r>
      <w:r>
        <w:rPr>
          <w:color w:val="000000"/>
        </w:rPr>
        <w:fldChar w:fldCharType="end"/>
      </w:r>
      <w:r>
        <w:rPr>
          <w:rFonts w:hint="eastAsia"/>
          <w:color w:val="000000"/>
          <w:lang w:val="en-US" w:eastAsia="zh-CN"/>
        </w:rPr>
        <w:fldChar w:fldCharType="end"/>
      </w:r>
    </w:p>
    <w:p w14:paraId="02A849C5">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_Toc23214 </w:instrText>
      </w:r>
      <w:r>
        <w:rPr>
          <w:rFonts w:hint="eastAsia"/>
          <w:color w:val="000000"/>
          <w:lang w:val="en-US" w:eastAsia="zh-CN"/>
        </w:rPr>
        <w:fldChar w:fldCharType="separate"/>
      </w:r>
      <w:r>
        <w:rPr>
          <w:rFonts w:hint="eastAsia"/>
          <w:color w:val="000000"/>
          <w:lang w:val="en-US" w:eastAsia="zh-CN"/>
        </w:rPr>
        <w:t>7.4</w:t>
      </w:r>
      <w:r>
        <w:rPr>
          <w:rFonts w:hint="eastAsia"/>
          <w:color w:val="000000"/>
          <w:lang w:eastAsia="zh-CN"/>
        </w:rPr>
        <w:t xml:space="preserve"> 主要</w:t>
      </w:r>
      <w:r>
        <w:rPr>
          <w:rFonts w:hint="eastAsia"/>
          <w:color w:val="000000"/>
          <w:lang w:val="en-US" w:eastAsia="zh-CN"/>
        </w:rPr>
        <w:t>生态</w:t>
      </w:r>
      <w:r>
        <w:rPr>
          <w:rFonts w:hint="eastAsia"/>
          <w:color w:val="000000"/>
          <w:lang w:eastAsia="zh-CN"/>
        </w:rPr>
        <w:t>环境影响</w:t>
      </w:r>
      <w:r>
        <w:rPr>
          <w:color w:val="000000"/>
        </w:rPr>
        <w:tab/>
      </w:r>
      <w:r>
        <w:rPr>
          <w:color w:val="000000"/>
        </w:rPr>
        <w:fldChar w:fldCharType="begin"/>
      </w:r>
      <w:r>
        <w:rPr>
          <w:color w:val="000000"/>
        </w:rPr>
        <w:instrText xml:space="preserve"> PAGEREF _Toc23214 \h </w:instrText>
      </w:r>
      <w:r>
        <w:rPr>
          <w:color w:val="000000"/>
        </w:rPr>
        <w:fldChar w:fldCharType="separate"/>
      </w:r>
      <w:r>
        <w:rPr>
          <w:color w:val="000000"/>
        </w:rPr>
        <w:t>69</w:t>
      </w:r>
      <w:r>
        <w:rPr>
          <w:color w:val="000000"/>
        </w:rPr>
        <w:fldChar w:fldCharType="end"/>
      </w:r>
      <w:r>
        <w:rPr>
          <w:rFonts w:hint="eastAsia"/>
          <w:color w:val="000000"/>
          <w:lang w:val="en-US" w:eastAsia="zh-CN"/>
        </w:rPr>
        <w:fldChar w:fldCharType="end"/>
      </w:r>
    </w:p>
    <w:p w14:paraId="2AC3A620">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_Toc6230 </w:instrText>
      </w:r>
      <w:r>
        <w:rPr>
          <w:rFonts w:hint="eastAsia"/>
          <w:color w:val="000000"/>
          <w:lang w:val="en-US" w:eastAsia="zh-CN"/>
        </w:rPr>
        <w:fldChar w:fldCharType="separate"/>
      </w:r>
      <w:r>
        <w:rPr>
          <w:rFonts w:hint="eastAsia"/>
          <w:color w:val="000000"/>
          <w:lang w:val="en-US" w:eastAsia="zh-CN"/>
        </w:rPr>
        <w:t>7.5 生态</w:t>
      </w:r>
      <w:r>
        <w:rPr>
          <w:rFonts w:hint="eastAsia"/>
          <w:color w:val="000000"/>
          <w:lang w:eastAsia="zh-CN"/>
        </w:rPr>
        <w:t>环境保护</w:t>
      </w:r>
      <w:r>
        <w:rPr>
          <w:rFonts w:hint="eastAsia"/>
          <w:color w:val="000000"/>
          <w:lang w:val="en-US" w:eastAsia="zh-CN"/>
        </w:rPr>
        <w:t>与恢复措施</w:t>
      </w:r>
      <w:r>
        <w:rPr>
          <w:color w:val="000000"/>
        </w:rPr>
        <w:tab/>
      </w:r>
      <w:r>
        <w:rPr>
          <w:color w:val="000000"/>
        </w:rPr>
        <w:fldChar w:fldCharType="begin"/>
      </w:r>
      <w:r>
        <w:rPr>
          <w:color w:val="000000"/>
        </w:rPr>
        <w:instrText xml:space="preserve"> PAGEREF _Toc6230 \h </w:instrText>
      </w:r>
      <w:r>
        <w:rPr>
          <w:color w:val="000000"/>
        </w:rPr>
        <w:fldChar w:fldCharType="separate"/>
      </w:r>
      <w:r>
        <w:rPr>
          <w:color w:val="000000"/>
        </w:rPr>
        <w:t>69</w:t>
      </w:r>
      <w:r>
        <w:rPr>
          <w:color w:val="000000"/>
        </w:rPr>
        <w:fldChar w:fldCharType="end"/>
      </w:r>
      <w:r>
        <w:rPr>
          <w:rFonts w:hint="eastAsia"/>
          <w:color w:val="000000"/>
          <w:lang w:val="en-US" w:eastAsia="zh-CN"/>
        </w:rPr>
        <w:fldChar w:fldCharType="end"/>
      </w:r>
    </w:p>
    <w:p w14:paraId="63EBD5F0">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_Toc3634 </w:instrText>
      </w:r>
      <w:r>
        <w:rPr>
          <w:rFonts w:hint="eastAsia"/>
          <w:color w:val="000000"/>
          <w:lang w:val="en-US" w:eastAsia="zh-CN"/>
        </w:rPr>
        <w:fldChar w:fldCharType="separate"/>
      </w:r>
      <w:r>
        <w:rPr>
          <w:rFonts w:hint="eastAsia"/>
          <w:color w:val="000000"/>
          <w:lang w:val="en-US" w:eastAsia="zh-CN"/>
        </w:rPr>
        <w:t>7</w:t>
      </w:r>
      <w:r>
        <w:rPr>
          <w:color w:val="000000"/>
        </w:rPr>
        <w:t>.</w:t>
      </w:r>
      <w:r>
        <w:rPr>
          <w:rFonts w:hint="eastAsia"/>
          <w:color w:val="000000"/>
          <w:lang w:val="en-US" w:eastAsia="zh-CN"/>
        </w:rPr>
        <w:t>6</w:t>
      </w:r>
      <w:r>
        <w:rPr>
          <w:rFonts w:hint="eastAsia"/>
          <w:color w:val="000000"/>
          <w:lang w:eastAsia="zh-CN"/>
        </w:rPr>
        <w:t xml:space="preserve"> </w:t>
      </w:r>
      <w:r>
        <w:rPr>
          <w:color w:val="000000"/>
        </w:rPr>
        <w:t>环境管理与监测计划</w:t>
      </w:r>
      <w:r>
        <w:rPr>
          <w:color w:val="000000"/>
        </w:rPr>
        <w:tab/>
      </w:r>
      <w:r>
        <w:rPr>
          <w:color w:val="000000"/>
        </w:rPr>
        <w:fldChar w:fldCharType="begin"/>
      </w:r>
      <w:r>
        <w:rPr>
          <w:color w:val="000000"/>
        </w:rPr>
        <w:instrText xml:space="preserve"> PAGEREF _Toc3634 \h </w:instrText>
      </w:r>
      <w:r>
        <w:rPr>
          <w:color w:val="000000"/>
        </w:rPr>
        <w:fldChar w:fldCharType="separate"/>
      </w:r>
      <w:r>
        <w:rPr>
          <w:color w:val="000000"/>
        </w:rPr>
        <w:t>70</w:t>
      </w:r>
      <w:r>
        <w:rPr>
          <w:color w:val="000000"/>
        </w:rPr>
        <w:fldChar w:fldCharType="end"/>
      </w:r>
      <w:r>
        <w:rPr>
          <w:rFonts w:hint="eastAsia"/>
          <w:color w:val="000000"/>
          <w:lang w:val="en-US" w:eastAsia="zh-CN"/>
        </w:rPr>
        <w:fldChar w:fldCharType="end"/>
      </w:r>
    </w:p>
    <w:p w14:paraId="1299B9F5">
      <w:pPr>
        <w:pStyle w:val="21"/>
        <w:tabs>
          <w:tab w:val="right" w:leader="dot" w:pos="8793"/>
        </w:tabs>
        <w:rPr>
          <w:color w:val="000000"/>
        </w:rPr>
      </w:pPr>
      <w:r>
        <w:rPr>
          <w:rFonts w:hint="eastAsia"/>
          <w:color w:val="000000"/>
          <w:lang w:val="en-US" w:eastAsia="zh-CN"/>
        </w:rPr>
        <w:fldChar w:fldCharType="begin"/>
      </w:r>
      <w:r>
        <w:rPr>
          <w:rFonts w:hint="eastAsia"/>
          <w:color w:val="000000"/>
          <w:lang w:val="en-US" w:eastAsia="zh-CN"/>
        </w:rPr>
        <w:instrText xml:space="preserve"> HYPERLINK \l _Toc1298 </w:instrText>
      </w:r>
      <w:r>
        <w:rPr>
          <w:rFonts w:hint="eastAsia"/>
          <w:color w:val="000000"/>
          <w:lang w:val="en-US" w:eastAsia="zh-CN"/>
        </w:rPr>
        <w:fldChar w:fldCharType="separate"/>
      </w:r>
      <w:r>
        <w:rPr>
          <w:rFonts w:hint="eastAsia"/>
          <w:color w:val="000000"/>
          <w:lang w:val="en-US" w:eastAsia="zh-CN"/>
        </w:rPr>
        <w:t>7</w:t>
      </w:r>
      <w:r>
        <w:rPr>
          <w:color w:val="000000"/>
        </w:rPr>
        <w:t>.</w:t>
      </w:r>
      <w:r>
        <w:rPr>
          <w:rFonts w:hint="eastAsia"/>
          <w:color w:val="000000"/>
          <w:lang w:val="en-US" w:eastAsia="zh-CN"/>
        </w:rPr>
        <w:t>7</w:t>
      </w:r>
      <w:r>
        <w:rPr>
          <w:rFonts w:hint="eastAsia"/>
          <w:color w:val="000000"/>
          <w:lang w:eastAsia="zh-CN"/>
        </w:rPr>
        <w:t xml:space="preserve"> </w:t>
      </w:r>
      <w:r>
        <w:rPr>
          <w:color w:val="000000"/>
        </w:rPr>
        <w:t>总结论</w:t>
      </w:r>
      <w:r>
        <w:rPr>
          <w:color w:val="000000"/>
        </w:rPr>
        <w:tab/>
      </w:r>
      <w:r>
        <w:rPr>
          <w:color w:val="000000"/>
        </w:rPr>
        <w:fldChar w:fldCharType="begin"/>
      </w:r>
      <w:r>
        <w:rPr>
          <w:color w:val="000000"/>
        </w:rPr>
        <w:instrText xml:space="preserve"> PAGEREF _Toc1298 \h </w:instrText>
      </w:r>
      <w:r>
        <w:rPr>
          <w:color w:val="000000"/>
        </w:rPr>
        <w:fldChar w:fldCharType="separate"/>
      </w:r>
      <w:r>
        <w:rPr>
          <w:color w:val="000000"/>
        </w:rPr>
        <w:t>70</w:t>
      </w:r>
      <w:r>
        <w:rPr>
          <w:color w:val="000000"/>
        </w:rPr>
        <w:fldChar w:fldCharType="end"/>
      </w:r>
      <w:r>
        <w:rPr>
          <w:rFonts w:hint="eastAsia"/>
          <w:color w:val="000000"/>
          <w:lang w:val="en-US" w:eastAsia="zh-CN"/>
        </w:rPr>
        <w:fldChar w:fldCharType="end"/>
      </w:r>
    </w:p>
    <w:p w14:paraId="6A6090C0">
      <w:pPr>
        <w:pStyle w:val="3"/>
        <w:bidi w:val="0"/>
        <w:ind w:left="0" w:leftChars="0" w:firstLine="0" w:firstLineChars="0"/>
        <w:jc w:val="both"/>
        <w:outlineLvl w:val="9"/>
        <w:rPr>
          <w:rFonts w:hint="eastAsia"/>
          <w:color w:val="000000"/>
          <w:lang w:val="en-US" w:eastAsia="zh-CN"/>
        </w:rPr>
        <w:sectPr>
          <w:footerReference r:id="rId6" w:type="default"/>
          <w:pgSz w:w="11911" w:h="16838"/>
          <w:pgMar w:top="1417" w:right="1417" w:bottom="1417" w:left="1701" w:header="794" w:footer="1123" w:gutter="0"/>
          <w:pgBorders>
            <w:top w:val="none" w:sz="0" w:space="0"/>
            <w:left w:val="none" w:sz="0" w:space="0"/>
            <w:bottom w:val="none" w:sz="0" w:space="0"/>
            <w:right w:val="none" w:sz="0" w:space="0"/>
          </w:pgBorders>
          <w:pgNumType w:fmt="upperRoman" w:start="1"/>
          <w:cols w:space="720" w:num="1"/>
          <w:rtlGutter w:val="0"/>
          <w:docGrid w:linePitch="312" w:charSpace="0"/>
        </w:sectPr>
      </w:pPr>
      <w:r>
        <w:rPr>
          <w:rFonts w:hint="eastAsia"/>
          <w:color w:val="000000"/>
          <w:lang w:val="en-US" w:eastAsia="zh-CN"/>
        </w:rPr>
        <w:fldChar w:fldCharType="end"/>
      </w:r>
    </w:p>
    <w:p w14:paraId="389EC7F1">
      <w:pPr>
        <w:pStyle w:val="3"/>
        <w:bidi w:val="0"/>
        <w:jc w:val="center"/>
        <w:rPr>
          <w:rFonts w:hint="eastAsia"/>
          <w:color w:val="000000"/>
          <w:lang w:val="en-US" w:eastAsia="zh-CN"/>
        </w:rPr>
      </w:pPr>
      <w:bookmarkStart w:id="36" w:name="_Toc10295"/>
      <w:bookmarkStart w:id="37" w:name="_Toc13639"/>
      <w:r>
        <w:rPr>
          <w:rFonts w:hint="eastAsia"/>
          <w:color w:val="000000"/>
          <w:lang w:val="en-US" w:eastAsia="zh-CN"/>
        </w:rPr>
        <w:t>1 总论</w:t>
      </w:r>
      <w:bookmarkEnd w:id="36"/>
      <w:bookmarkEnd w:id="37"/>
    </w:p>
    <w:p w14:paraId="7A1D8DD0">
      <w:pPr>
        <w:pStyle w:val="4"/>
        <w:bidi w:val="0"/>
        <w:rPr>
          <w:rFonts w:hint="eastAsia"/>
          <w:color w:val="000000"/>
          <w:lang w:val="en-US" w:eastAsia="zh-CN"/>
        </w:rPr>
      </w:pPr>
      <w:bookmarkStart w:id="38" w:name="_Toc31129"/>
      <w:bookmarkStart w:id="39" w:name="_Toc30082"/>
      <w:r>
        <w:rPr>
          <w:rFonts w:hint="eastAsia"/>
          <w:color w:val="000000"/>
          <w:lang w:val="en-US" w:eastAsia="zh-CN"/>
        </w:rPr>
        <w:t>1.1 项目建设的必要性和可行性分析</w:t>
      </w:r>
      <w:bookmarkEnd w:id="38"/>
      <w:bookmarkEnd w:id="39"/>
    </w:p>
    <w:p w14:paraId="2885D92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霍山县地处大别山区，城区多山地丘陵地貌，地势起伏大。这种地形特点导致了降雨汇流速度快，短时强降水极易形成地面径流涌向低洼地带，引发内涝。霍山县城现状排水防涝标准低，防洪、除涝问题突出，历史上多次严重内涝灾害事件暴露了现有系统的脆弱性和不足。</w:t>
      </w:r>
    </w:p>
    <w:p w14:paraId="0023F5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霍山县西部新城（柳林河西片区）为低洼圩区，圩堤由东淠河、柳林河、淠源渠堤防组成，区内现状无抽排泵站，现状排涝涵闸遇外河水位较高时无法有效排除区内积水，导致民房受淹、交通中断、财产损失等问题，存在极大安全隐患。</w:t>
      </w:r>
    </w:p>
    <w:p w14:paraId="6BD6A16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霍山县城北侧为东淠河，南侧为大别山区，虽近年来实施了淠源渠等优质工程切实减缓了南侧山区汇水引起的洪涝灾害，但城区排涝通道包括高庙河、柳林河、新店河等河道未进行系统治理，存在堤防不达标、护岸损毁、管理设施不健全、建筑物损毁严重等工程问题，排涝通道未能发挥作用，仍存在加大安全隐患。</w:t>
      </w:r>
    </w:p>
    <w:p w14:paraId="53D72B8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霍山县城沿河管网建设年代久远、标准偏低：部分老城区或早期建成区域的排水管网设计标准较低，管径偏小、坡度不合理，难以应对当前高强度、短历时的强降雨系统存在短板与瓶颈。部分区域管网覆盖率不足、老化、淤积堵塞现象严重，降低了排水效率。雨水收集系统不完善，泵站提升能力不足，行泄通道（河道、沟渠等）过流能力受限或行洪空间被挤占。原有的设计标准已不能有效满足当前和未来的防洪排涝需求。</w:t>
      </w:r>
    </w:p>
    <w:p w14:paraId="6DE7E3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随着霍山县城镇化的快速推进，城区规模扩大，建筑密度和道路硬化率提高，导致城市下垫面的自然渗水能力大幅降低，地表径流量显著增加，对排水系统带来更大压力，同样量级暴雨洪水造成的洪涝灾害损失将更加巨大，洪涝灾害是制约霍山县经济健康快速发展的主要因素之一。因此，霍山县政府和有关部门十分重视霍山县的排水防涝工作，霍山县总体规划、城市防洪规划等规划都将防洪排涝规划列为重要内容，并视为城镇发展中急需优先解决的问题之一。</w:t>
      </w:r>
    </w:p>
    <w:p w14:paraId="05DF1D8C">
      <w:pPr>
        <w:rPr>
          <w:rFonts w:hint="eastAsia"/>
          <w:color w:val="000000"/>
          <w:lang w:val="en-US" w:eastAsia="zh-CN"/>
        </w:rPr>
      </w:pPr>
      <w:r>
        <w:rPr>
          <w:rFonts w:hint="default" w:ascii="Times New Roman" w:hAnsi="Times New Roman" w:eastAsia="宋体" w:cs="Times New Roman"/>
          <w:color w:val="000000"/>
          <w:kern w:val="0"/>
          <w:sz w:val="24"/>
          <w:highlight w:val="none"/>
          <w:lang w:val="en-US" w:eastAsia="zh-CN"/>
        </w:rPr>
        <w:t>本项目位于六安市霍山县县城，积极贯彻落实国家和省市关于提升城市防洪排涝能力的决策部署和政策要求。项目旨在系统提升霍山县城区排水防涝能力，适应城镇化快速发展带来的更高排水防涝需求。通过系统性、现代化的工程建设，增强城区抵御暴雨、应对极端天气事件的韧性，保障人民生命财产安全和经济社会可持续发展</w:t>
      </w:r>
      <w:r>
        <w:rPr>
          <w:rFonts w:hint="eastAsia" w:ascii="Times New Roman" w:hAnsi="Times New Roman" w:eastAsia="宋体" w:cs="Times New Roman"/>
          <w:color w:val="000000"/>
          <w:kern w:val="0"/>
          <w:sz w:val="24"/>
          <w:highlight w:val="none"/>
          <w:lang w:val="en-US" w:eastAsia="zh-CN"/>
        </w:rPr>
        <w:t>。且</w:t>
      </w:r>
      <w:r>
        <w:rPr>
          <w:rFonts w:hint="eastAsia" w:ascii="Times New Roman" w:hAnsi="Times New Roman" w:cs="Times New Roman"/>
          <w:color w:val="000000"/>
          <w:lang w:val="en-US" w:eastAsia="zh-CN"/>
        </w:rPr>
        <w:t>具有显著的社会、生态、环境效益，本项目是可行的。</w:t>
      </w:r>
    </w:p>
    <w:p w14:paraId="080E22BB">
      <w:pPr>
        <w:pStyle w:val="4"/>
        <w:bidi w:val="0"/>
        <w:rPr>
          <w:rFonts w:hint="eastAsia"/>
          <w:color w:val="000000"/>
          <w:lang w:val="en-US" w:eastAsia="zh-CN"/>
        </w:rPr>
      </w:pPr>
      <w:bookmarkStart w:id="40" w:name="_Toc28412"/>
      <w:bookmarkStart w:id="41" w:name="_Toc14902"/>
      <w:r>
        <w:rPr>
          <w:rFonts w:hint="eastAsia"/>
          <w:color w:val="000000"/>
          <w:lang w:val="en-US" w:eastAsia="zh-CN"/>
        </w:rPr>
        <w:t>1.2 编制依据</w:t>
      </w:r>
      <w:bookmarkEnd w:id="40"/>
      <w:bookmarkEnd w:id="41"/>
    </w:p>
    <w:p w14:paraId="0FC8CE60">
      <w:pPr>
        <w:pStyle w:val="5"/>
        <w:bidi w:val="0"/>
        <w:rPr>
          <w:rFonts w:hint="eastAsia"/>
          <w:color w:val="000000"/>
          <w:lang w:val="en-US" w:eastAsia="zh-CN"/>
        </w:rPr>
      </w:pPr>
      <w:bookmarkStart w:id="42" w:name="_Toc26833"/>
      <w:r>
        <w:rPr>
          <w:rFonts w:hint="eastAsia"/>
          <w:color w:val="000000"/>
          <w:lang w:val="en-US" w:eastAsia="zh-CN"/>
        </w:rPr>
        <w:t>1.2.1法律法规、规范标准</w:t>
      </w:r>
      <w:bookmarkEnd w:id="42"/>
    </w:p>
    <w:p w14:paraId="736155E2">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color w:val="000000"/>
        </w:rPr>
      </w:pPr>
      <w:r>
        <w:rPr>
          <w:color w:val="000000"/>
        </w:rPr>
        <w:t>《中华人民共和国环境保护法》，2014.4.24修订，2015.1.1施行；</w:t>
      </w:r>
    </w:p>
    <w:p w14:paraId="2F8FDEDC">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olor w:val="000000"/>
        </w:rPr>
      </w:pPr>
      <w:r>
        <w:rPr>
          <w:color w:val="000000"/>
        </w:rPr>
        <w:t>《中华人民共和国野生动物保护法》，2022</w:t>
      </w:r>
      <w:r>
        <w:rPr>
          <w:rFonts w:hint="eastAsia"/>
          <w:color w:val="000000"/>
          <w:lang w:val="en-US" w:eastAsia="zh-CN"/>
        </w:rPr>
        <w:t>.</w:t>
      </w:r>
      <w:r>
        <w:rPr>
          <w:color w:val="000000"/>
        </w:rPr>
        <w:t>12</w:t>
      </w:r>
      <w:r>
        <w:rPr>
          <w:rFonts w:hint="eastAsia"/>
          <w:color w:val="000000"/>
          <w:lang w:val="en-US" w:eastAsia="zh-CN"/>
        </w:rPr>
        <w:t>.</w:t>
      </w:r>
      <w:r>
        <w:rPr>
          <w:color w:val="000000"/>
        </w:rPr>
        <w:t>30日修订</w:t>
      </w:r>
      <w:r>
        <w:rPr>
          <w:rFonts w:hint="eastAsia"/>
          <w:color w:val="000000"/>
        </w:rPr>
        <w:t>。</w:t>
      </w:r>
    </w:p>
    <w:p w14:paraId="3CAB9227">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olor w:val="000000"/>
        </w:rPr>
      </w:pPr>
      <w:r>
        <w:rPr>
          <w:rFonts w:hint="eastAsia"/>
          <w:color w:val="000000"/>
        </w:rPr>
        <w:t>《中华人民共和国自然保护区条例》，</w:t>
      </w:r>
      <w:r>
        <w:rPr>
          <w:rFonts w:ascii="Segoe UI" w:hAnsi="Segoe UI" w:eastAsia="Segoe UI" w:cs="Segoe UI"/>
          <w:i w:val="0"/>
          <w:iCs w:val="0"/>
          <w:caps w:val="0"/>
          <w:color w:val="000000"/>
          <w:spacing w:val="0"/>
          <w:sz w:val="24"/>
          <w:szCs w:val="24"/>
          <w:shd w:val="clear" w:color="auto" w:fill="FFFFFF"/>
        </w:rPr>
        <w:t>2026</w:t>
      </w:r>
      <w:r>
        <w:rPr>
          <w:rFonts w:hint="eastAsia" w:ascii="Segoe UI" w:hAnsi="Segoe UI" w:eastAsia="宋体" w:cs="Segoe UI"/>
          <w:i w:val="0"/>
          <w:iCs w:val="0"/>
          <w:caps w:val="0"/>
          <w:color w:val="000000"/>
          <w:spacing w:val="0"/>
          <w:sz w:val="24"/>
          <w:szCs w:val="24"/>
          <w:shd w:val="clear" w:color="auto" w:fill="FFFFFF"/>
          <w:lang w:val="en-US" w:eastAsia="zh-CN"/>
        </w:rPr>
        <w:t>.</w:t>
      </w:r>
      <w:r>
        <w:rPr>
          <w:rFonts w:ascii="Segoe UI" w:hAnsi="Segoe UI" w:eastAsia="Segoe UI" w:cs="Segoe UI"/>
          <w:i w:val="0"/>
          <w:iCs w:val="0"/>
          <w:caps w:val="0"/>
          <w:color w:val="000000"/>
          <w:spacing w:val="0"/>
          <w:sz w:val="24"/>
          <w:szCs w:val="24"/>
          <w:shd w:val="clear" w:color="auto" w:fill="FFFFFF"/>
        </w:rPr>
        <w:t>1</w:t>
      </w:r>
      <w:r>
        <w:rPr>
          <w:rFonts w:hint="eastAsia" w:ascii="Segoe UI" w:hAnsi="Segoe UI" w:eastAsia="宋体" w:cs="Segoe UI"/>
          <w:i w:val="0"/>
          <w:iCs w:val="0"/>
          <w:caps w:val="0"/>
          <w:color w:val="000000"/>
          <w:spacing w:val="0"/>
          <w:sz w:val="24"/>
          <w:szCs w:val="24"/>
          <w:shd w:val="clear" w:color="auto" w:fill="FFFFFF"/>
          <w:lang w:val="en-US" w:eastAsia="zh-CN"/>
        </w:rPr>
        <w:t>.</w:t>
      </w:r>
      <w:r>
        <w:rPr>
          <w:rFonts w:ascii="Segoe UI" w:hAnsi="Segoe UI" w:eastAsia="Segoe UI" w:cs="Segoe UI"/>
          <w:i w:val="0"/>
          <w:iCs w:val="0"/>
          <w:caps w:val="0"/>
          <w:color w:val="000000"/>
          <w:spacing w:val="0"/>
          <w:sz w:val="24"/>
          <w:szCs w:val="24"/>
          <w:shd w:val="clear" w:color="auto" w:fill="FFFFFF"/>
        </w:rPr>
        <w:t>9日</w:t>
      </w:r>
      <w:r>
        <w:rPr>
          <w:rFonts w:hint="eastAsia"/>
          <w:color w:val="000000"/>
        </w:rPr>
        <w:t>修订；</w:t>
      </w:r>
    </w:p>
    <w:p w14:paraId="0F610439">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olor w:val="000000"/>
        </w:rPr>
      </w:pPr>
      <w:r>
        <w:rPr>
          <w:rFonts w:hint="eastAsia"/>
          <w:color w:val="000000"/>
        </w:rPr>
        <w:t>《中华人民共和国野生植物保护条例》，2017.10.7修订；</w:t>
      </w:r>
    </w:p>
    <w:p w14:paraId="6CE49B78">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olor w:val="000000"/>
        </w:rPr>
      </w:pPr>
      <w:r>
        <w:rPr>
          <w:rFonts w:hint="eastAsia"/>
          <w:color w:val="000000"/>
        </w:rPr>
        <w:t>《中华人民共和国陆生野生动物保护实施条例》，2016.2.6修订；</w:t>
      </w:r>
    </w:p>
    <w:p w14:paraId="362E10DE">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olor w:val="000000"/>
        </w:rPr>
      </w:pPr>
      <w:r>
        <w:rPr>
          <w:rFonts w:hint="eastAsia"/>
          <w:color w:val="000000"/>
        </w:rPr>
        <w:t>《中华人民共和国水生野生动物保护实施条例》，2013.12.7修订；</w:t>
      </w:r>
    </w:p>
    <w:p w14:paraId="56BC8CFD">
      <w:pPr>
        <w:keepNext w:val="0"/>
        <w:keepLines w:val="0"/>
        <w:pageBreakBefore w:val="0"/>
        <w:widowControl w:val="0"/>
        <w:numPr>
          <w:ilvl w:val="0"/>
          <w:numId w:val="6"/>
        </w:numPr>
        <w:kinsoku/>
        <w:wordWrap/>
        <w:overflowPunct/>
        <w:topLinePunct w:val="0"/>
        <w:autoSpaceDE/>
        <w:autoSpaceDN/>
        <w:bidi w:val="0"/>
        <w:adjustRightInd/>
        <w:snapToGrid/>
        <w:ind w:left="0" w:leftChars="0" w:firstLine="480" w:firstLineChars="200"/>
        <w:textAlignment w:val="auto"/>
        <w:rPr>
          <w:rFonts w:hint="eastAsia"/>
          <w:color w:val="000000"/>
        </w:rPr>
      </w:pPr>
      <w:r>
        <w:rPr>
          <w:rFonts w:hint="eastAsia"/>
          <w:color w:val="000000"/>
        </w:rPr>
        <w:t>《中华人民共和国湿地保护法》</w:t>
      </w:r>
      <w:r>
        <w:rPr>
          <w:rFonts w:hint="eastAsia"/>
          <w:color w:val="000000"/>
          <w:lang w:eastAsia="zh-CN"/>
        </w:rPr>
        <w:t>，</w:t>
      </w:r>
      <w:r>
        <w:rPr>
          <w:rFonts w:hint="eastAsia"/>
          <w:color w:val="000000"/>
        </w:rPr>
        <w:t>2022年6月施行；</w:t>
      </w:r>
    </w:p>
    <w:p w14:paraId="188D1CEC">
      <w:pPr>
        <w:pStyle w:val="5"/>
        <w:bidi w:val="0"/>
        <w:rPr>
          <w:rFonts w:hint="eastAsia"/>
          <w:color w:val="000000"/>
          <w:lang w:val="en-US" w:eastAsia="zh-CN"/>
        </w:rPr>
      </w:pPr>
      <w:bookmarkStart w:id="43" w:name="_Toc27"/>
      <w:r>
        <w:rPr>
          <w:rFonts w:hint="eastAsia"/>
          <w:color w:val="000000"/>
          <w:lang w:val="en-US" w:eastAsia="zh-CN"/>
        </w:rPr>
        <w:t>1.2.2地方性法规及政策</w:t>
      </w:r>
      <w:bookmarkEnd w:id="43"/>
    </w:p>
    <w:p w14:paraId="7C827480">
      <w:pPr>
        <w:keepNext w:val="0"/>
        <w:keepLines w:val="0"/>
        <w:pageBreakBefore w:val="0"/>
        <w:widowControl w:val="0"/>
        <w:numPr>
          <w:ilvl w:val="0"/>
          <w:numId w:val="7"/>
        </w:numPr>
        <w:kinsoku/>
        <w:wordWrap/>
        <w:overflowPunct/>
        <w:topLinePunct w:val="0"/>
        <w:autoSpaceDE/>
        <w:autoSpaceDN/>
        <w:bidi w:val="0"/>
        <w:adjustRightInd/>
        <w:snapToGrid/>
        <w:ind w:left="0" w:leftChars="0" w:firstLine="480" w:firstLineChars="200"/>
        <w:textAlignment w:val="auto"/>
        <w:rPr>
          <w:rFonts w:hint="eastAsia"/>
          <w:color w:val="000000"/>
          <w:lang w:val="en-US" w:eastAsia="zh-CN"/>
        </w:rPr>
      </w:pPr>
      <w:r>
        <w:rPr>
          <w:rFonts w:hint="default"/>
          <w:color w:val="000000"/>
          <w:lang w:val="en-US" w:eastAsia="zh-CN"/>
        </w:rPr>
        <w:t>《安徽省水环境功能区划》，安徽省人民政府，2003.3</w:t>
      </w:r>
      <w:r>
        <w:rPr>
          <w:rFonts w:hint="eastAsia"/>
          <w:color w:val="000000"/>
          <w:lang w:val="en-US" w:eastAsia="zh-CN"/>
        </w:rPr>
        <w:t>；</w:t>
      </w:r>
    </w:p>
    <w:p w14:paraId="2FD5431B">
      <w:pPr>
        <w:keepNext w:val="0"/>
        <w:keepLines w:val="0"/>
        <w:pageBreakBefore w:val="0"/>
        <w:widowControl w:val="0"/>
        <w:numPr>
          <w:ilvl w:val="0"/>
          <w:numId w:val="7"/>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default"/>
          <w:color w:val="000000"/>
          <w:lang w:val="en-US" w:eastAsia="zh-CN"/>
        </w:rPr>
        <w:t>《安徽省环境保护条例》，安徽省环境保护厅，</w:t>
      </w:r>
      <w:r>
        <w:rPr>
          <w:rFonts w:hint="eastAsia"/>
          <w:color w:val="000000"/>
          <w:lang w:val="en-US" w:eastAsia="zh-CN"/>
        </w:rPr>
        <w:t>2024.11.22修订；</w:t>
      </w:r>
    </w:p>
    <w:p w14:paraId="17838F24">
      <w:pPr>
        <w:keepNext w:val="0"/>
        <w:keepLines w:val="0"/>
        <w:pageBreakBefore w:val="0"/>
        <w:widowControl w:val="0"/>
        <w:numPr>
          <w:ilvl w:val="0"/>
          <w:numId w:val="7"/>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default"/>
          <w:color w:val="000000"/>
          <w:lang w:val="en-US" w:eastAsia="zh-CN"/>
        </w:rPr>
        <w:t>《安徽省人民政府关于发布安徽省生态保护红线的通知》（皖政秘〔2018〕</w:t>
      </w:r>
      <w:r>
        <w:rPr>
          <w:rFonts w:hint="eastAsia"/>
          <w:color w:val="000000"/>
          <w:lang w:val="en-US" w:eastAsia="zh-CN"/>
        </w:rPr>
        <w:t>120</w:t>
      </w:r>
      <w:r>
        <w:rPr>
          <w:rFonts w:hint="default"/>
          <w:color w:val="000000"/>
          <w:lang w:val="en-US" w:eastAsia="zh-CN"/>
        </w:rPr>
        <w:t>号），2018.6.27</w:t>
      </w:r>
      <w:r>
        <w:rPr>
          <w:rFonts w:hint="eastAsia"/>
          <w:color w:val="000000"/>
          <w:lang w:val="en-US" w:eastAsia="zh-CN"/>
        </w:rPr>
        <w:t>；</w:t>
      </w:r>
    </w:p>
    <w:p w14:paraId="437B4B8B">
      <w:pPr>
        <w:pStyle w:val="15"/>
        <w:keepNext w:val="0"/>
        <w:keepLines w:val="0"/>
        <w:pageBreakBefore w:val="0"/>
        <w:widowControl w:val="0"/>
        <w:numPr>
          <w:ilvl w:val="0"/>
          <w:numId w:val="7"/>
        </w:numPr>
        <w:kinsoku/>
        <w:wordWrap/>
        <w:overflowPunct/>
        <w:topLinePunct w:val="0"/>
        <w:autoSpaceDE/>
        <w:autoSpaceDN/>
        <w:bidi w:val="0"/>
        <w:adjustRightInd/>
        <w:snapToGrid/>
        <w:ind w:left="0" w:leftChars="0" w:firstLine="480" w:firstLineChars="200"/>
        <w:textAlignment w:val="auto"/>
        <w:rPr>
          <w:rFonts w:hint="default"/>
          <w:color w:val="000000"/>
          <w:highlight w:val="none"/>
          <w:lang w:val="en-US" w:eastAsia="zh-CN"/>
        </w:rPr>
      </w:pPr>
      <w:r>
        <w:rPr>
          <w:rFonts w:hint="eastAsia"/>
          <w:color w:val="000000"/>
          <w:highlight w:val="none"/>
          <w:lang w:val="en-US" w:eastAsia="zh-CN"/>
        </w:rPr>
        <w:t>《安徽省实施〈中华人民共和国湿地保护法〉办法》，2024.12.1施行。</w:t>
      </w:r>
    </w:p>
    <w:p w14:paraId="29C5EDD3">
      <w:pPr>
        <w:pStyle w:val="5"/>
        <w:bidi w:val="0"/>
        <w:rPr>
          <w:rFonts w:hint="eastAsia"/>
          <w:color w:val="000000"/>
          <w:lang w:val="en-US" w:eastAsia="zh-CN"/>
        </w:rPr>
      </w:pPr>
      <w:bookmarkStart w:id="44" w:name="_Toc13217"/>
      <w:r>
        <w:rPr>
          <w:rFonts w:hint="eastAsia"/>
          <w:color w:val="000000"/>
          <w:lang w:val="en-US" w:eastAsia="zh-CN"/>
        </w:rPr>
        <w:t>1.2.3技术导则及技术规范</w:t>
      </w:r>
      <w:bookmarkEnd w:id="44"/>
    </w:p>
    <w:p w14:paraId="0C16D403">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textAlignment w:val="auto"/>
        <w:rPr>
          <w:rFonts w:hint="eastAsia"/>
          <w:color w:val="000000"/>
          <w:lang w:val="en-US" w:eastAsia="zh-CN"/>
        </w:rPr>
      </w:pPr>
      <w:r>
        <w:rPr>
          <w:rFonts w:hint="eastAsia"/>
          <w:color w:val="000000"/>
          <w:lang w:val="en-US" w:eastAsia="zh-CN"/>
        </w:rPr>
        <w:t>环境保护部《建设项目环境影响评价技术导则 总纲》，HJ2.1-2016，2017年1月1日实施；</w:t>
      </w:r>
    </w:p>
    <w:p w14:paraId="265D2DF7">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default"/>
          <w:color w:val="000000"/>
          <w:lang w:val="en-US" w:eastAsia="zh-CN"/>
        </w:rPr>
        <w:t>环境保护部《环境影响评价技术导则 生态影响》，HJ19-20</w:t>
      </w:r>
      <w:r>
        <w:rPr>
          <w:rFonts w:hint="eastAsia"/>
          <w:color w:val="000000"/>
          <w:lang w:val="en-US" w:eastAsia="zh-CN"/>
        </w:rPr>
        <w:t>22</w:t>
      </w:r>
      <w:r>
        <w:rPr>
          <w:rFonts w:hint="default"/>
          <w:color w:val="000000"/>
          <w:lang w:val="en-US" w:eastAsia="zh-CN"/>
        </w:rPr>
        <w:t>，</w:t>
      </w:r>
      <w:r>
        <w:rPr>
          <w:rFonts w:hint="eastAsia"/>
          <w:color w:val="000000"/>
          <w:lang w:val="en-US" w:eastAsia="zh-CN"/>
        </w:rPr>
        <w:t>2022年7月1日实施；</w:t>
      </w:r>
    </w:p>
    <w:p w14:paraId="115683F4">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default"/>
          <w:color w:val="000000"/>
          <w:lang w:val="en-US" w:eastAsia="zh-CN"/>
        </w:rPr>
        <w:t>环境保护部《环境影响评价技术导则 地下水环境》，HJ610-2016，2016年</w:t>
      </w:r>
      <w:r>
        <w:rPr>
          <w:rFonts w:hint="eastAsia"/>
          <w:color w:val="000000"/>
          <w:lang w:val="en-US" w:eastAsia="zh-CN"/>
        </w:rPr>
        <w:t>1</w:t>
      </w:r>
      <w:r>
        <w:rPr>
          <w:rFonts w:hint="default"/>
          <w:color w:val="000000"/>
          <w:lang w:val="en-US" w:eastAsia="zh-CN"/>
        </w:rPr>
        <w:t>月</w:t>
      </w:r>
      <w:r>
        <w:rPr>
          <w:rFonts w:hint="eastAsia"/>
          <w:color w:val="000000"/>
          <w:lang w:val="en-US" w:eastAsia="zh-CN"/>
        </w:rPr>
        <w:t>7</w:t>
      </w:r>
      <w:r>
        <w:rPr>
          <w:rFonts w:hint="default"/>
          <w:color w:val="000000"/>
          <w:lang w:val="en-US" w:eastAsia="zh-CN"/>
        </w:rPr>
        <w:t>日实施</w:t>
      </w:r>
      <w:r>
        <w:rPr>
          <w:rFonts w:hint="eastAsia"/>
          <w:color w:val="000000"/>
          <w:lang w:val="en-US" w:eastAsia="zh-CN"/>
        </w:rPr>
        <w:t>；</w:t>
      </w:r>
    </w:p>
    <w:p w14:paraId="4CF41054">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default"/>
          <w:color w:val="000000"/>
          <w:lang w:val="en-US" w:eastAsia="zh-CN"/>
        </w:rPr>
        <w:t>《生态环境状况评价技术规范》（HJ192-2015）</w:t>
      </w:r>
      <w:r>
        <w:rPr>
          <w:rFonts w:hint="eastAsia"/>
          <w:color w:val="000000"/>
          <w:lang w:val="en-US" w:eastAsia="zh-CN"/>
        </w:rPr>
        <w:t>；</w:t>
      </w:r>
    </w:p>
    <w:p w14:paraId="2F6E9579">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default"/>
          <w:color w:val="000000"/>
          <w:lang w:val="en-US" w:eastAsia="zh-CN"/>
        </w:rPr>
        <w:t>《江河湖泊生态环境保护系列技术指南》（GB50286-2013），2013.5.1；</w:t>
      </w:r>
    </w:p>
    <w:p w14:paraId="0AB39E14">
      <w:pPr>
        <w:keepNext w:val="0"/>
        <w:keepLines w:val="0"/>
        <w:pageBreakBefore w:val="0"/>
        <w:widowControl w:val="0"/>
        <w:numPr>
          <w:ilvl w:val="0"/>
          <w:numId w:val="8"/>
        </w:numPr>
        <w:kinsoku/>
        <w:wordWrap/>
        <w:overflowPunct/>
        <w:topLinePunct w:val="0"/>
        <w:autoSpaceDE/>
        <w:autoSpaceDN/>
        <w:bidi w:val="0"/>
        <w:adjustRightInd/>
        <w:snapToGrid/>
        <w:ind w:left="0" w:leftChars="0" w:firstLine="480" w:firstLineChars="200"/>
        <w:textAlignment w:val="auto"/>
        <w:rPr>
          <w:rFonts w:hint="default"/>
          <w:color w:val="000000"/>
          <w:lang w:val="en-US" w:eastAsia="zh-CN"/>
        </w:rPr>
      </w:pPr>
      <w:r>
        <w:rPr>
          <w:rFonts w:hint="eastAsia"/>
          <w:color w:val="000000"/>
          <w:lang w:val="en-US" w:eastAsia="zh-CN"/>
        </w:rPr>
        <w:t>《关于印发机场、港口、水利（河湖整治与防洪除涝工程）三个行业建设项目环境影响评价文件审批原则的通知》，环办环评（2018）2号；</w:t>
      </w:r>
    </w:p>
    <w:p w14:paraId="798FA83A">
      <w:pPr>
        <w:pStyle w:val="5"/>
        <w:bidi w:val="0"/>
        <w:rPr>
          <w:rFonts w:hint="eastAsia"/>
          <w:color w:val="000000"/>
          <w:lang w:val="en-US" w:eastAsia="zh-CN"/>
        </w:rPr>
      </w:pPr>
      <w:bookmarkStart w:id="45" w:name="_Toc17614"/>
      <w:r>
        <w:rPr>
          <w:rFonts w:hint="eastAsia"/>
          <w:color w:val="000000"/>
          <w:lang w:val="en-US" w:eastAsia="zh-CN"/>
        </w:rPr>
        <w:t>1.2.4技术文件及工作文件</w:t>
      </w:r>
      <w:bookmarkEnd w:id="45"/>
    </w:p>
    <w:p w14:paraId="05F8E3C5">
      <w:pPr>
        <w:numPr>
          <w:ilvl w:val="0"/>
          <w:numId w:val="9"/>
        </w:numPr>
        <w:bidi w:val="0"/>
        <w:ind w:left="60" w:leftChars="0" w:firstLineChars="0"/>
        <w:rPr>
          <w:rFonts w:hint="eastAsia"/>
          <w:color w:val="000000"/>
          <w:lang w:val="en-US" w:eastAsia="zh-CN"/>
        </w:rPr>
      </w:pPr>
      <w:r>
        <w:rPr>
          <w:rFonts w:hint="eastAsia"/>
          <w:color w:val="000000"/>
          <w:lang w:val="en-US" w:eastAsia="zh-CN"/>
        </w:rPr>
        <w:t>《霍山县县域生物多样性本底调查与评估项目技术报告》，合肥工业大学</w:t>
      </w:r>
      <w:r>
        <w:rPr>
          <w:rFonts w:hint="eastAsia"/>
          <w:color w:val="000000"/>
          <w:lang w:eastAsia="zh-CN"/>
        </w:rPr>
        <w:t>，</w:t>
      </w:r>
      <w:r>
        <w:rPr>
          <w:rFonts w:hint="eastAsia"/>
          <w:color w:val="000000"/>
          <w:lang w:val="en-US" w:eastAsia="zh-CN"/>
        </w:rPr>
        <w:t>2025年1月；</w:t>
      </w:r>
    </w:p>
    <w:p w14:paraId="2C103147">
      <w:pPr>
        <w:numPr>
          <w:ilvl w:val="0"/>
          <w:numId w:val="9"/>
        </w:numPr>
        <w:bidi w:val="0"/>
        <w:ind w:left="60" w:leftChars="0" w:firstLineChars="0"/>
        <w:rPr>
          <w:rFonts w:hint="eastAsia"/>
          <w:color w:val="000000"/>
          <w:lang w:val="en-US" w:eastAsia="zh-CN"/>
        </w:rPr>
      </w:pPr>
      <w:r>
        <w:rPr>
          <w:rFonts w:hint="eastAsia"/>
          <w:color w:val="000000"/>
          <w:lang w:val="en-US" w:eastAsia="zh-CN"/>
        </w:rPr>
        <w:t>《六安市霍山县排水防涝能力提升项目可行性研究报告》，南京市水利规划设计院股份有限公司，2025年11月；</w:t>
      </w:r>
    </w:p>
    <w:p w14:paraId="51A912A9">
      <w:pPr>
        <w:pStyle w:val="4"/>
        <w:bidi w:val="0"/>
        <w:rPr>
          <w:rFonts w:hint="eastAsia"/>
          <w:color w:val="000000"/>
          <w:lang w:val="en-US" w:eastAsia="zh-CN"/>
        </w:rPr>
      </w:pPr>
      <w:bookmarkStart w:id="46" w:name="_Toc7400"/>
      <w:bookmarkStart w:id="47" w:name="_Toc1591"/>
      <w:r>
        <w:rPr>
          <w:rFonts w:hint="eastAsia"/>
          <w:color w:val="000000"/>
          <w:lang w:val="en-US" w:eastAsia="zh-CN"/>
        </w:rPr>
        <w:t>1.3 生态影响识别</w:t>
      </w:r>
      <w:bookmarkEnd w:id="46"/>
      <w:bookmarkEnd w:id="47"/>
    </w:p>
    <w:p w14:paraId="4C746931">
      <w:pPr>
        <w:pStyle w:val="5"/>
        <w:bidi w:val="0"/>
        <w:rPr>
          <w:color w:val="000000"/>
        </w:rPr>
      </w:pPr>
      <w:bookmarkStart w:id="48" w:name="_Toc15008"/>
      <w:r>
        <w:rPr>
          <w:color w:val="000000"/>
          <w:lang w:eastAsia="zh-CN"/>
        </w:rPr>
        <w:t>1.</w:t>
      </w:r>
      <w:r>
        <w:rPr>
          <w:rFonts w:hint="eastAsia"/>
          <w:color w:val="000000"/>
          <w:lang w:val="en-US" w:eastAsia="zh-CN"/>
        </w:rPr>
        <w:t>3</w:t>
      </w:r>
      <w:r>
        <w:rPr>
          <w:color w:val="000000"/>
        </w:rPr>
        <w:t>.</w:t>
      </w:r>
      <w:r>
        <w:rPr>
          <w:rFonts w:hint="eastAsia"/>
          <w:color w:val="000000"/>
          <w:lang w:val="en-US" w:eastAsia="zh-CN"/>
        </w:rPr>
        <w:t>1</w:t>
      </w:r>
      <w:r>
        <w:rPr>
          <w:rFonts w:hint="eastAsia"/>
          <w:color w:val="000000"/>
          <w:lang w:eastAsia="zh-CN"/>
        </w:rPr>
        <w:t xml:space="preserve"> 环境影响识别矩阵</w:t>
      </w:r>
      <w:bookmarkEnd w:id="48"/>
    </w:p>
    <w:p w14:paraId="7E5C0E9B">
      <w:pPr>
        <w:bidi w:val="0"/>
        <w:rPr>
          <w:color w:val="000000"/>
        </w:rPr>
      </w:pPr>
      <w:r>
        <w:rPr>
          <w:color w:val="000000"/>
        </w:rPr>
        <w:t>根据拟建项目的建设行为对周围环境的影响情况，结合评价区域的环境概况及保护目标，经初步分析后识别出项目环境影响因子，项目环境影响因子识别矩阵一览表见</w:t>
      </w:r>
      <w:r>
        <w:rPr>
          <w:rFonts w:hint="eastAsia"/>
          <w:color w:val="000000"/>
        </w:rPr>
        <w:t>下</w:t>
      </w:r>
      <w:r>
        <w:rPr>
          <w:color w:val="000000"/>
        </w:rPr>
        <w:t>表。</w:t>
      </w:r>
    </w:p>
    <w:p w14:paraId="4E6A1216">
      <w:pPr>
        <w:pStyle w:val="7"/>
        <w:keepNext/>
        <w:keepLines/>
        <w:pageBreakBefore w:val="0"/>
        <w:widowControl w:val="0"/>
        <w:kinsoku/>
        <w:wordWrap/>
        <w:overflowPunct/>
        <w:topLinePunct w:val="0"/>
        <w:autoSpaceDE/>
        <w:autoSpaceDN/>
        <w:bidi w:val="0"/>
        <w:adjustRightInd/>
        <w:snapToGrid/>
        <w:spacing w:before="0" w:line="240" w:lineRule="auto"/>
        <w:jc w:val="center"/>
        <w:textAlignment w:val="auto"/>
        <w:rPr>
          <w:b/>
          <w:bCs/>
          <w:color w:val="000000"/>
        </w:rPr>
      </w:pPr>
      <w:r>
        <w:rPr>
          <w:b/>
          <w:bCs/>
          <w:color w:val="000000"/>
        </w:rPr>
        <w:t xml:space="preserve">表1.3-1 </w:t>
      </w:r>
      <w:r>
        <w:rPr>
          <w:rFonts w:hint="eastAsia"/>
          <w:b/>
          <w:bCs/>
          <w:color w:val="000000"/>
        </w:rPr>
        <w:t>拟建项目环境影响因素识别矩阵</w:t>
      </w:r>
    </w:p>
    <w:tbl>
      <w:tblPr>
        <w:tblStyle w:val="43"/>
        <w:tblW w:w="50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7"/>
        <w:gridCol w:w="1481"/>
        <w:gridCol w:w="1184"/>
        <w:gridCol w:w="1333"/>
        <w:gridCol w:w="1237"/>
        <w:gridCol w:w="1116"/>
        <w:gridCol w:w="1077"/>
      </w:tblGrid>
      <w:tr w14:paraId="340D7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6" w:type="dxa"/>
            <w:tcBorders>
              <w:tl2br w:val="nil"/>
              <w:tr2bl w:val="nil"/>
            </w:tcBorders>
            <w:noWrap w:val="0"/>
            <w:vAlign w:val="center"/>
          </w:tcPr>
          <w:p w14:paraId="46F906FD">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时段</w:t>
            </w:r>
          </w:p>
        </w:tc>
        <w:tc>
          <w:tcPr>
            <w:tcW w:w="1480" w:type="dxa"/>
            <w:tcBorders>
              <w:tl2br w:val="nil"/>
              <w:tr2bl w:val="nil"/>
            </w:tcBorders>
            <w:noWrap w:val="0"/>
            <w:vAlign w:val="center"/>
          </w:tcPr>
          <w:p w14:paraId="3122224E">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评价因子</w:t>
            </w:r>
          </w:p>
        </w:tc>
        <w:tc>
          <w:tcPr>
            <w:tcW w:w="1183" w:type="dxa"/>
            <w:tcBorders>
              <w:tl2br w:val="nil"/>
              <w:tr2bl w:val="nil"/>
            </w:tcBorders>
            <w:noWrap w:val="0"/>
            <w:vAlign w:val="center"/>
          </w:tcPr>
          <w:p w14:paraId="3833AF08">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性质</w:t>
            </w:r>
          </w:p>
        </w:tc>
        <w:tc>
          <w:tcPr>
            <w:tcW w:w="1332" w:type="dxa"/>
            <w:tcBorders>
              <w:tl2br w:val="nil"/>
              <w:tr2bl w:val="nil"/>
            </w:tcBorders>
            <w:noWrap w:val="0"/>
            <w:vAlign w:val="center"/>
          </w:tcPr>
          <w:p w14:paraId="3803D4A6">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程度</w:t>
            </w:r>
          </w:p>
        </w:tc>
        <w:tc>
          <w:tcPr>
            <w:tcW w:w="1236" w:type="dxa"/>
            <w:tcBorders>
              <w:tl2br w:val="nil"/>
              <w:tr2bl w:val="nil"/>
            </w:tcBorders>
            <w:noWrap w:val="0"/>
            <w:vAlign w:val="center"/>
          </w:tcPr>
          <w:p w14:paraId="08399614">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时间</w:t>
            </w:r>
          </w:p>
        </w:tc>
        <w:tc>
          <w:tcPr>
            <w:tcW w:w="1115" w:type="dxa"/>
            <w:tcBorders>
              <w:tl2br w:val="nil"/>
              <w:tr2bl w:val="nil"/>
            </w:tcBorders>
            <w:noWrap w:val="0"/>
            <w:vAlign w:val="center"/>
          </w:tcPr>
          <w:p w14:paraId="27C44644">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范围</w:t>
            </w:r>
          </w:p>
        </w:tc>
        <w:tc>
          <w:tcPr>
            <w:tcW w:w="1076" w:type="dxa"/>
            <w:tcBorders>
              <w:tl2br w:val="nil"/>
              <w:tr2bl w:val="nil"/>
            </w:tcBorders>
            <w:noWrap w:val="0"/>
            <w:vAlign w:val="center"/>
          </w:tcPr>
          <w:p w14:paraId="3098A17F">
            <w:pPr>
              <w:spacing w:line="240" w:lineRule="auto"/>
              <w:ind w:firstLine="0" w:firstLineChars="0"/>
              <w:jc w:val="center"/>
              <w:rPr>
                <w:rFonts w:ascii="宋体" w:hAnsi="宋体" w:eastAsia="宋体" w:cs="Arial"/>
                <w:b/>
                <w:bCs/>
                <w:snapToGrid w:val="0"/>
                <w:color w:val="000000"/>
                <w:kern w:val="24"/>
                <w:sz w:val="21"/>
                <w:szCs w:val="21"/>
              </w:rPr>
            </w:pPr>
            <w:r>
              <w:rPr>
                <w:rFonts w:ascii="宋体" w:hAnsi="宋体" w:eastAsia="宋体" w:cs="Arial"/>
                <w:b/>
                <w:bCs/>
                <w:snapToGrid w:val="0"/>
                <w:color w:val="000000"/>
                <w:kern w:val="24"/>
                <w:sz w:val="21"/>
                <w:szCs w:val="21"/>
              </w:rPr>
              <w:t>可逆性</w:t>
            </w:r>
          </w:p>
        </w:tc>
      </w:tr>
      <w:tr w14:paraId="24404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1406" w:type="dxa"/>
            <w:tcBorders>
              <w:tl2br w:val="nil"/>
              <w:tr2bl w:val="nil"/>
            </w:tcBorders>
            <w:noWrap w:val="0"/>
            <w:vAlign w:val="center"/>
          </w:tcPr>
          <w:p w14:paraId="12C38705">
            <w:pPr>
              <w:spacing w:line="240" w:lineRule="auto"/>
              <w:ind w:firstLine="0" w:firstLineChars="0"/>
              <w:jc w:val="center"/>
              <w:rPr>
                <w:rFonts w:hint="eastAsia" w:ascii="宋体" w:hAnsi="宋体" w:eastAsia="宋体" w:cs="Arial"/>
                <w:b/>
                <w:snapToGrid w:val="0"/>
                <w:color w:val="000000"/>
                <w:kern w:val="24"/>
                <w:sz w:val="21"/>
                <w:szCs w:val="21"/>
                <w:lang w:eastAsia="zh-CN"/>
              </w:rPr>
            </w:pPr>
            <w:r>
              <w:rPr>
                <w:rFonts w:hint="eastAsia" w:ascii="宋体" w:hAnsi="宋体" w:cs="Arial"/>
                <w:b/>
                <w:snapToGrid w:val="0"/>
                <w:color w:val="000000"/>
                <w:kern w:val="24"/>
                <w:sz w:val="21"/>
                <w:szCs w:val="21"/>
                <w:lang w:eastAsia="zh-CN"/>
              </w:rPr>
              <w:t>施工期</w:t>
            </w:r>
          </w:p>
        </w:tc>
        <w:tc>
          <w:tcPr>
            <w:tcW w:w="1480" w:type="dxa"/>
            <w:tcBorders>
              <w:tl2br w:val="nil"/>
              <w:tr2bl w:val="nil"/>
            </w:tcBorders>
            <w:noWrap w:val="0"/>
            <w:vAlign w:val="center"/>
          </w:tcPr>
          <w:p w14:paraId="39330DE8">
            <w:pPr>
              <w:widowControl/>
              <w:kinsoku w:val="0"/>
              <w:autoSpaceDE w:val="0"/>
              <w:autoSpaceDN w:val="0"/>
              <w:adjustRightInd w:val="0"/>
              <w:snapToGrid w:val="0"/>
              <w:spacing w:before="117" w:line="228" w:lineRule="auto"/>
              <w:ind w:left="265"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spacing w:val="16"/>
                <w:kern w:val="0"/>
                <w:sz w:val="21"/>
                <w:szCs w:val="21"/>
              </w:rPr>
              <w:t>生态环</w:t>
            </w:r>
            <w:r>
              <w:rPr>
                <w:rFonts w:hint="default" w:ascii="Times New Roman" w:hAnsi="Times New Roman" w:eastAsia="宋体" w:cs="Times New Roman"/>
                <w:snapToGrid w:val="0"/>
                <w:color w:val="000000"/>
                <w:spacing w:val="15"/>
                <w:kern w:val="0"/>
                <w:sz w:val="21"/>
                <w:szCs w:val="21"/>
              </w:rPr>
              <w:t>境</w:t>
            </w:r>
          </w:p>
        </w:tc>
        <w:tc>
          <w:tcPr>
            <w:tcW w:w="1183" w:type="dxa"/>
            <w:tcBorders>
              <w:tl2br w:val="nil"/>
              <w:tr2bl w:val="nil"/>
            </w:tcBorders>
            <w:noWrap w:val="0"/>
            <w:vAlign w:val="center"/>
          </w:tcPr>
          <w:p w14:paraId="5338EF74">
            <w:pPr>
              <w:widowControl/>
              <w:kinsoku w:val="0"/>
              <w:autoSpaceDE w:val="0"/>
              <w:autoSpaceDN w:val="0"/>
              <w:adjustRightInd w:val="0"/>
              <w:snapToGrid w:val="0"/>
              <w:spacing w:before="117" w:line="238" w:lineRule="auto"/>
              <w:ind w:left="476"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w:t>
            </w:r>
          </w:p>
        </w:tc>
        <w:tc>
          <w:tcPr>
            <w:tcW w:w="1332" w:type="dxa"/>
            <w:tcBorders>
              <w:tl2br w:val="nil"/>
              <w:tr2bl w:val="nil"/>
            </w:tcBorders>
            <w:noWrap w:val="0"/>
            <w:vAlign w:val="center"/>
          </w:tcPr>
          <w:p w14:paraId="5C13DDE2">
            <w:pPr>
              <w:widowControl/>
              <w:kinsoku w:val="0"/>
              <w:autoSpaceDE w:val="0"/>
              <w:autoSpaceDN w:val="0"/>
              <w:adjustRightInd w:val="0"/>
              <w:snapToGrid w:val="0"/>
              <w:spacing w:before="117" w:line="238" w:lineRule="auto"/>
              <w:ind w:left="418"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spacing w:val="9"/>
                <w:kern w:val="0"/>
                <w:sz w:val="21"/>
                <w:szCs w:val="21"/>
              </w:rPr>
              <w:t>一般</w:t>
            </w:r>
          </w:p>
        </w:tc>
        <w:tc>
          <w:tcPr>
            <w:tcW w:w="1236" w:type="dxa"/>
            <w:tcBorders>
              <w:tl2br w:val="nil"/>
              <w:tr2bl w:val="nil"/>
            </w:tcBorders>
            <w:noWrap w:val="0"/>
            <w:vAlign w:val="center"/>
          </w:tcPr>
          <w:p w14:paraId="1F5D8D13">
            <w:pPr>
              <w:widowControl/>
              <w:kinsoku w:val="0"/>
              <w:autoSpaceDE w:val="0"/>
              <w:autoSpaceDN w:val="0"/>
              <w:adjustRightInd w:val="0"/>
              <w:snapToGrid w:val="0"/>
              <w:spacing w:before="117" w:line="228" w:lineRule="auto"/>
              <w:ind w:left="485"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短</w:t>
            </w:r>
          </w:p>
        </w:tc>
        <w:tc>
          <w:tcPr>
            <w:tcW w:w="1115" w:type="dxa"/>
            <w:tcBorders>
              <w:tl2br w:val="nil"/>
              <w:tr2bl w:val="nil"/>
            </w:tcBorders>
            <w:noWrap w:val="0"/>
            <w:vAlign w:val="center"/>
          </w:tcPr>
          <w:p w14:paraId="2C87D0C9">
            <w:pPr>
              <w:widowControl/>
              <w:kinsoku w:val="0"/>
              <w:autoSpaceDE w:val="0"/>
              <w:autoSpaceDN w:val="0"/>
              <w:adjustRightInd w:val="0"/>
              <w:snapToGrid w:val="0"/>
              <w:spacing w:before="116" w:line="228" w:lineRule="auto"/>
              <w:ind w:left="314"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spacing w:val="10"/>
                <w:kern w:val="0"/>
                <w:sz w:val="21"/>
                <w:szCs w:val="21"/>
              </w:rPr>
              <w:t>局</w:t>
            </w:r>
            <w:r>
              <w:rPr>
                <w:rFonts w:hint="default" w:ascii="Times New Roman" w:hAnsi="Times New Roman" w:eastAsia="宋体" w:cs="Times New Roman"/>
                <w:snapToGrid w:val="0"/>
                <w:color w:val="000000"/>
                <w:spacing w:val="9"/>
                <w:kern w:val="0"/>
                <w:sz w:val="21"/>
                <w:szCs w:val="21"/>
              </w:rPr>
              <w:t>部</w:t>
            </w:r>
          </w:p>
        </w:tc>
        <w:tc>
          <w:tcPr>
            <w:tcW w:w="1076" w:type="dxa"/>
            <w:tcBorders>
              <w:tl2br w:val="nil"/>
              <w:tr2bl w:val="nil"/>
            </w:tcBorders>
            <w:noWrap w:val="0"/>
            <w:vAlign w:val="center"/>
          </w:tcPr>
          <w:p w14:paraId="3C53BABA">
            <w:pPr>
              <w:widowControl/>
              <w:kinsoku w:val="0"/>
              <w:autoSpaceDE w:val="0"/>
              <w:autoSpaceDN w:val="0"/>
              <w:adjustRightInd w:val="0"/>
              <w:snapToGrid w:val="0"/>
              <w:spacing w:before="117" w:line="231" w:lineRule="auto"/>
              <w:ind w:left="406" w:firstLine="0" w:firstLineChars="0"/>
              <w:jc w:val="left"/>
              <w:textAlignment w:val="baseline"/>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napToGrid w:val="0"/>
                <w:color w:val="000000"/>
                <w:kern w:val="0"/>
                <w:sz w:val="21"/>
                <w:szCs w:val="21"/>
              </w:rPr>
              <w:t>可</w:t>
            </w:r>
          </w:p>
        </w:tc>
      </w:tr>
      <w:tr w14:paraId="40748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06" w:type="dxa"/>
            <w:tcBorders>
              <w:tl2br w:val="nil"/>
              <w:tr2bl w:val="nil"/>
            </w:tcBorders>
            <w:noWrap w:val="0"/>
            <w:vAlign w:val="center"/>
          </w:tcPr>
          <w:p w14:paraId="2BFD9750">
            <w:pPr>
              <w:spacing w:line="240" w:lineRule="auto"/>
              <w:ind w:firstLine="0" w:firstLineChars="0"/>
              <w:jc w:val="center"/>
              <w:rPr>
                <w:rFonts w:ascii="宋体" w:hAnsi="宋体" w:eastAsia="宋体" w:cs="Arial"/>
                <w:b/>
                <w:snapToGrid w:val="0"/>
                <w:color w:val="000000"/>
                <w:kern w:val="24"/>
                <w:sz w:val="21"/>
                <w:szCs w:val="21"/>
              </w:rPr>
            </w:pPr>
            <w:r>
              <w:rPr>
                <w:rFonts w:ascii="宋体" w:hAnsi="宋体" w:eastAsia="宋体" w:cs="Arial"/>
                <w:b/>
                <w:snapToGrid w:val="0"/>
                <w:color w:val="000000"/>
                <w:kern w:val="24"/>
                <w:sz w:val="21"/>
                <w:szCs w:val="21"/>
              </w:rPr>
              <w:t>运行期</w:t>
            </w:r>
          </w:p>
        </w:tc>
        <w:tc>
          <w:tcPr>
            <w:tcW w:w="1480" w:type="dxa"/>
            <w:tcBorders>
              <w:tl2br w:val="nil"/>
              <w:tr2bl w:val="nil"/>
            </w:tcBorders>
            <w:noWrap w:val="0"/>
            <w:vAlign w:val="center"/>
          </w:tcPr>
          <w:p w14:paraId="2CD6CFFC">
            <w:pPr>
              <w:widowControl/>
              <w:kinsoku w:val="0"/>
              <w:autoSpaceDE w:val="0"/>
              <w:autoSpaceDN w:val="0"/>
              <w:adjustRightInd w:val="0"/>
              <w:snapToGrid w:val="0"/>
              <w:spacing w:before="119" w:line="228" w:lineRule="auto"/>
              <w:ind w:left="265" w:leftChars="0" w:firstLine="0" w:firstLineChars="0"/>
              <w:jc w:val="left"/>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spacing w:val="16"/>
                <w:kern w:val="0"/>
                <w:sz w:val="21"/>
                <w:szCs w:val="21"/>
              </w:rPr>
              <w:t>生态环</w:t>
            </w:r>
            <w:r>
              <w:rPr>
                <w:rFonts w:hint="default" w:ascii="Times New Roman" w:hAnsi="Times New Roman" w:eastAsia="宋体" w:cs="Times New Roman"/>
                <w:snapToGrid w:val="0"/>
                <w:color w:val="000000"/>
                <w:spacing w:val="15"/>
                <w:kern w:val="0"/>
                <w:sz w:val="21"/>
                <w:szCs w:val="21"/>
              </w:rPr>
              <w:t>境</w:t>
            </w:r>
          </w:p>
        </w:tc>
        <w:tc>
          <w:tcPr>
            <w:tcW w:w="1183" w:type="dxa"/>
            <w:tcBorders>
              <w:tl2br w:val="nil"/>
              <w:tr2bl w:val="nil"/>
            </w:tcBorders>
            <w:noWrap w:val="0"/>
            <w:vAlign w:val="center"/>
          </w:tcPr>
          <w:p w14:paraId="0FBF3880">
            <w:pPr>
              <w:widowControl/>
              <w:kinsoku w:val="0"/>
              <w:autoSpaceDE w:val="0"/>
              <w:autoSpaceDN w:val="0"/>
              <w:adjustRightInd w:val="0"/>
              <w:snapToGrid w:val="0"/>
              <w:spacing w:before="81" w:line="281" w:lineRule="exact"/>
              <w:ind w:left="501" w:leftChars="0" w:firstLine="0" w:firstLineChars="0"/>
              <w:jc w:val="left"/>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spacing w:val="1"/>
                <w:kern w:val="0"/>
                <w:position w:val="2"/>
                <w:sz w:val="21"/>
                <w:szCs w:val="21"/>
              </w:rPr>
              <w:t>+</w:t>
            </w:r>
          </w:p>
        </w:tc>
        <w:tc>
          <w:tcPr>
            <w:tcW w:w="1332" w:type="dxa"/>
            <w:tcBorders>
              <w:tl2br w:val="nil"/>
              <w:tr2bl w:val="nil"/>
            </w:tcBorders>
            <w:noWrap w:val="0"/>
            <w:vAlign w:val="center"/>
          </w:tcPr>
          <w:p w14:paraId="46774AC7">
            <w:pPr>
              <w:widowControl/>
              <w:kinsoku w:val="0"/>
              <w:autoSpaceDE w:val="0"/>
              <w:autoSpaceDN w:val="0"/>
              <w:adjustRightInd w:val="0"/>
              <w:snapToGrid w:val="0"/>
              <w:spacing w:before="117" w:line="238" w:lineRule="auto"/>
              <w:ind w:left="418" w:leftChars="0" w:firstLine="0" w:firstLineChars="0"/>
              <w:jc w:val="left"/>
              <w:textAlignment w:val="baseline"/>
              <w:rPr>
                <w:rFonts w:hint="default" w:ascii="Times New Roman" w:hAnsi="Times New Roman" w:eastAsia="宋体" w:cs="Times New Roman"/>
                <w:snapToGrid w:val="0"/>
                <w:color w:val="000000"/>
                <w:spacing w:val="9"/>
                <w:kern w:val="0"/>
                <w:sz w:val="21"/>
                <w:szCs w:val="21"/>
                <w:lang w:val="en-US" w:eastAsia="zh-CN" w:bidi="ar-SA"/>
              </w:rPr>
            </w:pPr>
            <w:r>
              <w:rPr>
                <w:rFonts w:hint="default" w:ascii="Times New Roman" w:hAnsi="Times New Roman" w:eastAsia="宋体" w:cs="Times New Roman"/>
                <w:snapToGrid w:val="0"/>
                <w:color w:val="000000"/>
                <w:spacing w:val="9"/>
                <w:kern w:val="0"/>
                <w:sz w:val="21"/>
                <w:szCs w:val="21"/>
              </w:rPr>
              <w:t>较小</w:t>
            </w:r>
          </w:p>
        </w:tc>
        <w:tc>
          <w:tcPr>
            <w:tcW w:w="1236" w:type="dxa"/>
            <w:tcBorders>
              <w:tl2br w:val="nil"/>
              <w:tr2bl w:val="nil"/>
            </w:tcBorders>
            <w:noWrap w:val="0"/>
            <w:vAlign w:val="center"/>
          </w:tcPr>
          <w:p w14:paraId="1FD27D05">
            <w:pPr>
              <w:widowControl/>
              <w:kinsoku w:val="0"/>
              <w:autoSpaceDE w:val="0"/>
              <w:autoSpaceDN w:val="0"/>
              <w:adjustRightInd w:val="0"/>
              <w:snapToGrid w:val="0"/>
              <w:spacing w:before="119" w:line="228" w:lineRule="auto"/>
              <w:ind w:left="373" w:leftChars="0" w:firstLine="0" w:firstLineChars="0"/>
              <w:jc w:val="left"/>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spacing w:val="10"/>
                <w:kern w:val="0"/>
                <w:sz w:val="21"/>
                <w:szCs w:val="21"/>
              </w:rPr>
              <w:t>长期</w:t>
            </w:r>
          </w:p>
        </w:tc>
        <w:tc>
          <w:tcPr>
            <w:tcW w:w="1115" w:type="dxa"/>
            <w:tcBorders>
              <w:tl2br w:val="nil"/>
              <w:tr2bl w:val="nil"/>
            </w:tcBorders>
            <w:noWrap w:val="0"/>
            <w:vAlign w:val="center"/>
          </w:tcPr>
          <w:p w14:paraId="3DA5015D">
            <w:pPr>
              <w:widowControl/>
              <w:kinsoku w:val="0"/>
              <w:autoSpaceDE w:val="0"/>
              <w:autoSpaceDN w:val="0"/>
              <w:adjustRightInd w:val="0"/>
              <w:snapToGrid w:val="0"/>
              <w:spacing w:before="118" w:line="228" w:lineRule="auto"/>
              <w:ind w:left="314" w:leftChars="0" w:firstLine="0" w:firstLineChars="0"/>
              <w:jc w:val="left"/>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spacing w:val="10"/>
                <w:kern w:val="0"/>
                <w:sz w:val="21"/>
                <w:szCs w:val="21"/>
              </w:rPr>
              <w:t>局</w:t>
            </w:r>
            <w:r>
              <w:rPr>
                <w:rFonts w:hint="default" w:ascii="Times New Roman" w:hAnsi="Times New Roman" w:eastAsia="宋体" w:cs="Times New Roman"/>
                <w:snapToGrid w:val="0"/>
                <w:color w:val="000000"/>
                <w:spacing w:val="9"/>
                <w:kern w:val="0"/>
                <w:sz w:val="21"/>
                <w:szCs w:val="21"/>
              </w:rPr>
              <w:t>部</w:t>
            </w:r>
          </w:p>
        </w:tc>
        <w:tc>
          <w:tcPr>
            <w:tcW w:w="1076" w:type="dxa"/>
            <w:tcBorders>
              <w:tl2br w:val="nil"/>
              <w:tr2bl w:val="nil"/>
            </w:tcBorders>
            <w:noWrap w:val="0"/>
            <w:vAlign w:val="center"/>
          </w:tcPr>
          <w:p w14:paraId="2ABAA24A">
            <w:pPr>
              <w:widowControl/>
              <w:kinsoku w:val="0"/>
              <w:autoSpaceDE w:val="0"/>
              <w:autoSpaceDN w:val="0"/>
              <w:adjustRightInd w:val="0"/>
              <w:snapToGrid w:val="0"/>
              <w:spacing w:before="119" w:line="231" w:lineRule="auto"/>
              <w:ind w:left="406" w:leftChars="0" w:firstLine="0" w:firstLineChars="0"/>
              <w:jc w:val="left"/>
              <w:textAlignment w:val="baseline"/>
              <w:rPr>
                <w:rFonts w:hint="default" w:ascii="Times New Roman" w:hAnsi="Times New Roman" w:eastAsia="宋体" w:cs="Times New Roman"/>
                <w:snapToGrid w:val="0"/>
                <w:color w:val="000000"/>
                <w:kern w:val="0"/>
                <w:sz w:val="21"/>
                <w:szCs w:val="21"/>
                <w:lang w:val="en-US" w:eastAsia="zh-CN" w:bidi="ar-SA"/>
              </w:rPr>
            </w:pPr>
            <w:r>
              <w:rPr>
                <w:rFonts w:hint="default" w:ascii="Times New Roman" w:hAnsi="Times New Roman" w:eastAsia="宋体" w:cs="Times New Roman"/>
                <w:snapToGrid w:val="0"/>
                <w:color w:val="000000"/>
                <w:kern w:val="0"/>
                <w:sz w:val="21"/>
                <w:szCs w:val="21"/>
              </w:rPr>
              <w:t>可</w:t>
            </w:r>
          </w:p>
        </w:tc>
      </w:tr>
      <w:tr w14:paraId="037F44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828" w:type="dxa"/>
            <w:gridSpan w:val="7"/>
            <w:tcBorders>
              <w:tl2br w:val="nil"/>
              <w:tr2bl w:val="nil"/>
            </w:tcBorders>
            <w:noWrap w:val="0"/>
            <w:vAlign w:val="center"/>
          </w:tcPr>
          <w:p w14:paraId="12270F42">
            <w:pPr>
              <w:widowControl/>
              <w:kinsoku w:val="0"/>
              <w:autoSpaceDE w:val="0"/>
              <w:autoSpaceDN w:val="0"/>
              <w:adjustRightInd w:val="0"/>
              <w:snapToGrid w:val="0"/>
              <w:spacing w:before="115" w:line="230" w:lineRule="auto"/>
              <w:ind w:firstLine="0" w:firstLineChars="0"/>
              <w:jc w:val="left"/>
              <w:textAlignment w:val="baseline"/>
              <w:rPr>
                <w:rFonts w:ascii="宋体" w:hAnsi="宋体" w:eastAsia="宋体" w:cs="Arial"/>
                <w:snapToGrid w:val="0"/>
                <w:color w:val="000000"/>
                <w:kern w:val="0"/>
                <w:sz w:val="21"/>
                <w:szCs w:val="21"/>
              </w:rPr>
            </w:pPr>
            <w:r>
              <w:rPr>
                <w:rFonts w:ascii="宋体" w:hAnsi="宋体" w:eastAsia="宋体" w:cs="Arial"/>
                <w:snapToGrid w:val="0"/>
                <w:color w:val="000000"/>
                <w:spacing w:val="11"/>
                <w:kern w:val="0"/>
                <w:sz w:val="21"/>
                <w:szCs w:val="21"/>
              </w:rPr>
              <w:t>注：“＋”为有利影响</w:t>
            </w:r>
            <w:r>
              <w:rPr>
                <w:rFonts w:hint="eastAsia" w:ascii="宋体" w:hAnsi="宋体" w:eastAsia="宋体" w:cs="Arial"/>
                <w:snapToGrid w:val="0"/>
                <w:color w:val="000000"/>
                <w:spacing w:val="11"/>
                <w:kern w:val="0"/>
                <w:sz w:val="21"/>
                <w:szCs w:val="21"/>
              </w:rPr>
              <w:t>，</w:t>
            </w:r>
            <w:r>
              <w:rPr>
                <w:rFonts w:ascii="宋体" w:hAnsi="宋体" w:eastAsia="宋体" w:cs="Arial"/>
                <w:snapToGrid w:val="0"/>
                <w:color w:val="000000"/>
                <w:spacing w:val="11"/>
                <w:kern w:val="0"/>
                <w:sz w:val="21"/>
                <w:szCs w:val="21"/>
              </w:rPr>
              <w:t>“－”为不利影响</w:t>
            </w:r>
          </w:p>
        </w:tc>
      </w:tr>
    </w:tbl>
    <w:p w14:paraId="38C1BED3">
      <w:pPr>
        <w:pStyle w:val="15"/>
        <w:rPr>
          <w:rFonts w:hint="eastAsia"/>
          <w:color w:val="000000"/>
          <w:lang w:val="en-US" w:eastAsia="zh-CN"/>
        </w:rPr>
        <w:sectPr>
          <w:footerReference r:id="rId7" w:type="default"/>
          <w:pgSz w:w="11911" w:h="16838"/>
          <w:pgMar w:top="1417" w:right="1417" w:bottom="1417" w:left="1701" w:header="794" w:footer="1123" w:gutter="0"/>
          <w:pgBorders>
            <w:top w:val="none" w:sz="0" w:space="0"/>
            <w:left w:val="none" w:sz="0" w:space="0"/>
            <w:bottom w:val="none" w:sz="0" w:space="0"/>
            <w:right w:val="none" w:sz="0" w:space="0"/>
          </w:pgBorders>
          <w:pgNumType w:fmt="decimal" w:start="1"/>
          <w:cols w:space="720" w:num="1"/>
          <w:rtlGutter w:val="0"/>
          <w:docGrid w:linePitch="312" w:charSpace="0"/>
        </w:sectPr>
      </w:pPr>
    </w:p>
    <w:p w14:paraId="5439A910">
      <w:pPr>
        <w:pStyle w:val="5"/>
        <w:bidi w:val="0"/>
        <w:rPr>
          <w:rFonts w:hint="default"/>
          <w:color w:val="000000"/>
          <w:lang w:val="en-US" w:eastAsia="zh-CN"/>
        </w:rPr>
      </w:pPr>
      <w:bookmarkStart w:id="49" w:name="_Toc27949"/>
      <w:r>
        <w:rPr>
          <w:rFonts w:hint="eastAsia"/>
          <w:color w:val="000000"/>
          <w:lang w:val="en-US" w:eastAsia="zh-CN"/>
        </w:rPr>
        <w:t>1.3.2 评价因子</w:t>
      </w:r>
      <w:bookmarkEnd w:id="49"/>
    </w:p>
    <w:p w14:paraId="6C33C2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rPr>
      </w:pPr>
      <w:bookmarkStart w:id="50" w:name="_Toc31006"/>
      <w:r>
        <w:rPr>
          <w:b/>
          <w:bCs/>
          <w:color w:val="000000"/>
        </w:rPr>
        <w:t>表1.3-</w:t>
      </w:r>
      <w:r>
        <w:rPr>
          <w:rFonts w:hint="eastAsia"/>
          <w:b/>
          <w:bCs/>
          <w:color w:val="000000"/>
          <w:lang w:val="en-US" w:eastAsia="zh-CN"/>
        </w:rPr>
        <w:t>2</w:t>
      </w:r>
      <w:r>
        <w:rPr>
          <w:b/>
          <w:bCs/>
          <w:color w:val="000000"/>
        </w:rPr>
        <w:t xml:space="preserve"> 施工期生态影响评价因子筛选表</w:t>
      </w:r>
      <w:bookmarkEnd w:id="50"/>
    </w:p>
    <w:tbl>
      <w:tblPr>
        <w:tblStyle w:val="43"/>
        <w:tblW w:w="502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3"/>
        <w:gridCol w:w="1764"/>
        <w:gridCol w:w="7216"/>
        <w:gridCol w:w="915"/>
        <w:gridCol w:w="780"/>
        <w:gridCol w:w="888"/>
        <w:gridCol w:w="833"/>
        <w:gridCol w:w="551"/>
      </w:tblGrid>
      <w:tr w14:paraId="4C4B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vMerge w:val="restart"/>
            <w:tcBorders>
              <w:tl2br w:val="nil"/>
              <w:tr2bl w:val="nil"/>
            </w:tcBorders>
            <w:noWrap w:val="0"/>
            <w:vAlign w:val="center"/>
          </w:tcPr>
          <w:p w14:paraId="61DBA4BE">
            <w:pPr>
              <w:spacing w:line="240" w:lineRule="auto"/>
              <w:ind w:firstLine="0" w:firstLineChars="0"/>
              <w:jc w:val="center"/>
              <w:rPr>
                <w:rFonts w:ascii="Times New Roman" w:hAnsi="Times New Roman" w:eastAsia="宋体" w:cs="Times New Roman"/>
                <w:b/>
                <w:bCs/>
                <w:snapToGrid w:val="0"/>
                <w:color w:val="000000"/>
                <w:kern w:val="24"/>
                <w:sz w:val="21"/>
                <w:szCs w:val="21"/>
              </w:rPr>
            </w:pPr>
            <w:r>
              <w:rPr>
                <w:rFonts w:ascii="Times New Roman" w:hAnsi="Times New Roman" w:eastAsia="宋体" w:cs="Times New Roman"/>
                <w:b/>
                <w:bCs/>
                <w:snapToGrid w:val="0"/>
                <w:color w:val="000000"/>
                <w:kern w:val="24"/>
                <w:sz w:val="21"/>
                <w:szCs w:val="21"/>
              </w:rPr>
              <w:t>受影响对象</w:t>
            </w:r>
          </w:p>
        </w:tc>
        <w:tc>
          <w:tcPr>
            <w:tcW w:w="1905" w:type="dxa"/>
            <w:vMerge w:val="restart"/>
            <w:tcBorders>
              <w:tl2br w:val="nil"/>
              <w:tr2bl w:val="nil"/>
            </w:tcBorders>
            <w:noWrap w:val="0"/>
            <w:vAlign w:val="center"/>
          </w:tcPr>
          <w:p w14:paraId="500E8ADB">
            <w:pPr>
              <w:spacing w:line="240" w:lineRule="auto"/>
              <w:ind w:firstLine="0" w:firstLineChars="0"/>
              <w:jc w:val="center"/>
              <w:rPr>
                <w:rFonts w:ascii="Times New Roman" w:hAnsi="Times New Roman" w:eastAsia="宋体" w:cs="Times New Roman"/>
                <w:b/>
                <w:bCs/>
                <w:snapToGrid w:val="0"/>
                <w:color w:val="000000"/>
                <w:kern w:val="24"/>
                <w:sz w:val="21"/>
                <w:szCs w:val="21"/>
              </w:rPr>
            </w:pPr>
            <w:r>
              <w:rPr>
                <w:rFonts w:ascii="Times New Roman" w:hAnsi="Times New Roman" w:eastAsia="宋体" w:cs="Times New Roman"/>
                <w:b/>
                <w:bCs/>
                <w:snapToGrid w:val="0"/>
                <w:color w:val="000000"/>
                <w:kern w:val="24"/>
                <w:sz w:val="21"/>
                <w:szCs w:val="21"/>
              </w:rPr>
              <w:t>评价因子</w:t>
            </w:r>
          </w:p>
        </w:tc>
        <w:tc>
          <w:tcPr>
            <w:tcW w:w="7794" w:type="dxa"/>
            <w:vMerge w:val="restart"/>
            <w:tcBorders>
              <w:tl2br w:val="nil"/>
              <w:tr2bl w:val="nil"/>
            </w:tcBorders>
            <w:noWrap w:val="0"/>
            <w:vAlign w:val="center"/>
          </w:tcPr>
          <w:p w14:paraId="34EFE1C3">
            <w:pPr>
              <w:spacing w:line="240" w:lineRule="auto"/>
              <w:ind w:firstLine="0" w:firstLineChars="0"/>
              <w:jc w:val="center"/>
              <w:rPr>
                <w:rFonts w:ascii="Times New Roman" w:hAnsi="Times New Roman" w:eastAsia="宋体" w:cs="Times New Roman"/>
                <w:b/>
                <w:bCs/>
                <w:snapToGrid w:val="0"/>
                <w:color w:val="000000"/>
                <w:kern w:val="24"/>
                <w:sz w:val="21"/>
                <w:szCs w:val="21"/>
              </w:rPr>
            </w:pPr>
            <w:r>
              <w:rPr>
                <w:rFonts w:ascii="Times New Roman" w:hAnsi="Times New Roman" w:eastAsia="宋体" w:cs="Times New Roman"/>
                <w:b/>
                <w:bCs/>
                <w:snapToGrid w:val="0"/>
                <w:color w:val="000000"/>
                <w:kern w:val="24"/>
                <w:sz w:val="21"/>
                <w:szCs w:val="21"/>
              </w:rPr>
              <w:t>工作内容及影响方式</w:t>
            </w:r>
          </w:p>
        </w:tc>
        <w:tc>
          <w:tcPr>
            <w:tcW w:w="3691" w:type="dxa"/>
            <w:gridSpan w:val="4"/>
            <w:tcBorders>
              <w:tl2br w:val="nil"/>
              <w:tr2bl w:val="nil"/>
            </w:tcBorders>
            <w:noWrap w:val="0"/>
            <w:vAlign w:val="center"/>
          </w:tcPr>
          <w:p w14:paraId="50350FA3">
            <w:pPr>
              <w:spacing w:line="240" w:lineRule="auto"/>
              <w:ind w:firstLine="0" w:firstLineChars="0"/>
              <w:jc w:val="center"/>
              <w:rPr>
                <w:rFonts w:ascii="Times New Roman" w:hAnsi="Times New Roman" w:eastAsia="宋体" w:cs="Times New Roman"/>
                <w:b/>
                <w:bCs/>
                <w:snapToGrid w:val="0"/>
                <w:color w:val="000000"/>
                <w:kern w:val="24"/>
                <w:sz w:val="21"/>
                <w:szCs w:val="21"/>
              </w:rPr>
            </w:pPr>
            <w:r>
              <w:rPr>
                <w:rFonts w:ascii="Times New Roman" w:hAnsi="Times New Roman" w:eastAsia="宋体" w:cs="Times New Roman"/>
                <w:b/>
                <w:bCs/>
                <w:snapToGrid w:val="0"/>
                <w:color w:val="000000"/>
                <w:kern w:val="24"/>
                <w:sz w:val="21"/>
                <w:szCs w:val="21"/>
              </w:rPr>
              <w:t>影响性质</w:t>
            </w:r>
          </w:p>
        </w:tc>
        <w:tc>
          <w:tcPr>
            <w:tcW w:w="596" w:type="dxa"/>
            <w:vMerge w:val="restart"/>
            <w:tcBorders>
              <w:tl2br w:val="nil"/>
              <w:tr2bl w:val="nil"/>
            </w:tcBorders>
            <w:noWrap w:val="0"/>
            <w:vAlign w:val="center"/>
          </w:tcPr>
          <w:p w14:paraId="198B717A">
            <w:pPr>
              <w:spacing w:line="240" w:lineRule="auto"/>
              <w:ind w:firstLine="0" w:firstLineChars="0"/>
              <w:jc w:val="center"/>
              <w:rPr>
                <w:rFonts w:ascii="Times New Roman" w:hAnsi="Times New Roman" w:eastAsia="宋体" w:cs="Times New Roman"/>
                <w:b/>
                <w:bCs/>
                <w:snapToGrid w:val="0"/>
                <w:color w:val="000000"/>
                <w:kern w:val="24"/>
                <w:sz w:val="21"/>
                <w:szCs w:val="21"/>
              </w:rPr>
            </w:pPr>
            <w:r>
              <w:rPr>
                <w:rFonts w:ascii="Times New Roman" w:hAnsi="Times New Roman" w:eastAsia="宋体" w:cs="Times New Roman"/>
                <w:b/>
                <w:bCs/>
                <w:snapToGrid w:val="0"/>
                <w:color w:val="000000"/>
                <w:kern w:val="24"/>
                <w:sz w:val="21"/>
                <w:szCs w:val="21"/>
              </w:rPr>
              <w:t>影响程度</w:t>
            </w:r>
          </w:p>
        </w:tc>
      </w:tr>
      <w:tr w14:paraId="356D8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vMerge w:val="continue"/>
            <w:tcBorders>
              <w:tl2br w:val="nil"/>
              <w:tr2bl w:val="nil"/>
            </w:tcBorders>
            <w:noWrap w:val="0"/>
            <w:vAlign w:val="center"/>
          </w:tcPr>
          <w:p w14:paraId="019D41C2">
            <w:pPr>
              <w:spacing w:line="240" w:lineRule="auto"/>
              <w:ind w:firstLine="0" w:firstLineChars="0"/>
              <w:jc w:val="center"/>
              <w:rPr>
                <w:rFonts w:ascii="Times New Roman" w:hAnsi="Times New Roman" w:eastAsia="宋体" w:cs="Times New Roman"/>
                <w:b/>
                <w:snapToGrid w:val="0"/>
                <w:color w:val="000000"/>
                <w:kern w:val="24"/>
                <w:sz w:val="21"/>
                <w:szCs w:val="21"/>
              </w:rPr>
            </w:pPr>
          </w:p>
        </w:tc>
        <w:tc>
          <w:tcPr>
            <w:tcW w:w="1905" w:type="dxa"/>
            <w:vMerge w:val="continue"/>
            <w:tcBorders>
              <w:tl2br w:val="nil"/>
              <w:tr2bl w:val="nil"/>
            </w:tcBorders>
            <w:noWrap w:val="0"/>
            <w:vAlign w:val="center"/>
          </w:tcPr>
          <w:p w14:paraId="16A646E6">
            <w:pPr>
              <w:spacing w:line="240" w:lineRule="auto"/>
              <w:ind w:firstLine="0" w:firstLineChars="0"/>
              <w:jc w:val="center"/>
              <w:rPr>
                <w:rFonts w:ascii="Times New Roman" w:hAnsi="Times New Roman" w:eastAsia="宋体" w:cs="Times New Roman"/>
                <w:b/>
                <w:snapToGrid w:val="0"/>
                <w:color w:val="000000"/>
                <w:kern w:val="24"/>
                <w:sz w:val="21"/>
                <w:szCs w:val="21"/>
              </w:rPr>
            </w:pPr>
          </w:p>
        </w:tc>
        <w:tc>
          <w:tcPr>
            <w:tcW w:w="7794" w:type="dxa"/>
            <w:vMerge w:val="continue"/>
            <w:tcBorders>
              <w:tl2br w:val="nil"/>
              <w:tr2bl w:val="nil"/>
            </w:tcBorders>
            <w:noWrap w:val="0"/>
            <w:vAlign w:val="center"/>
          </w:tcPr>
          <w:p w14:paraId="7244F726">
            <w:pPr>
              <w:spacing w:line="240" w:lineRule="auto"/>
              <w:ind w:firstLine="0" w:firstLineChars="0"/>
              <w:jc w:val="center"/>
              <w:rPr>
                <w:rFonts w:ascii="Times New Roman" w:hAnsi="Times New Roman" w:eastAsia="宋体" w:cs="Times New Roman"/>
                <w:b/>
                <w:snapToGrid w:val="0"/>
                <w:color w:val="000000"/>
                <w:kern w:val="24"/>
                <w:sz w:val="21"/>
                <w:szCs w:val="21"/>
              </w:rPr>
            </w:pPr>
          </w:p>
        </w:tc>
        <w:tc>
          <w:tcPr>
            <w:tcW w:w="989" w:type="dxa"/>
            <w:tcBorders>
              <w:tl2br w:val="nil"/>
              <w:tr2bl w:val="nil"/>
            </w:tcBorders>
            <w:noWrap w:val="0"/>
            <w:vAlign w:val="center"/>
          </w:tcPr>
          <w:p w14:paraId="198390A5">
            <w:pPr>
              <w:spacing w:line="240" w:lineRule="auto"/>
              <w:ind w:firstLine="0" w:firstLineChars="0"/>
              <w:jc w:val="center"/>
              <w:rPr>
                <w:rFonts w:ascii="Times New Roman" w:hAnsi="Times New Roman" w:eastAsia="宋体" w:cs="Times New Roman"/>
                <w:b/>
                <w:snapToGrid w:val="0"/>
                <w:color w:val="000000"/>
                <w:kern w:val="24"/>
                <w:sz w:val="21"/>
                <w:szCs w:val="21"/>
              </w:rPr>
            </w:pPr>
            <w:r>
              <w:rPr>
                <w:rFonts w:ascii="Times New Roman" w:hAnsi="Times New Roman" w:eastAsia="宋体" w:cs="Times New Roman"/>
                <w:b/>
                <w:snapToGrid w:val="0"/>
                <w:color w:val="000000"/>
                <w:kern w:val="24"/>
                <w:sz w:val="21"/>
                <w:szCs w:val="21"/>
              </w:rPr>
              <w:t>性质</w:t>
            </w:r>
          </w:p>
        </w:tc>
        <w:tc>
          <w:tcPr>
            <w:tcW w:w="844" w:type="dxa"/>
            <w:tcBorders>
              <w:tl2br w:val="nil"/>
              <w:tr2bl w:val="nil"/>
            </w:tcBorders>
            <w:noWrap w:val="0"/>
            <w:vAlign w:val="center"/>
          </w:tcPr>
          <w:p w14:paraId="25D4977D">
            <w:pPr>
              <w:spacing w:line="240" w:lineRule="auto"/>
              <w:ind w:firstLine="0" w:firstLineChars="0"/>
              <w:jc w:val="center"/>
              <w:rPr>
                <w:rFonts w:ascii="Times New Roman" w:hAnsi="Times New Roman" w:eastAsia="宋体" w:cs="Times New Roman"/>
                <w:b/>
                <w:snapToGrid w:val="0"/>
                <w:color w:val="000000"/>
                <w:kern w:val="24"/>
                <w:sz w:val="21"/>
                <w:szCs w:val="21"/>
              </w:rPr>
            </w:pPr>
            <w:r>
              <w:rPr>
                <w:rFonts w:ascii="Times New Roman" w:hAnsi="Times New Roman" w:eastAsia="宋体" w:cs="Times New Roman"/>
                <w:b/>
                <w:snapToGrid w:val="0"/>
                <w:color w:val="000000"/>
                <w:kern w:val="24"/>
                <w:sz w:val="21"/>
                <w:szCs w:val="21"/>
              </w:rPr>
              <w:t>时间</w:t>
            </w:r>
          </w:p>
        </w:tc>
        <w:tc>
          <w:tcPr>
            <w:tcW w:w="959" w:type="dxa"/>
            <w:tcBorders>
              <w:tl2br w:val="nil"/>
              <w:tr2bl w:val="nil"/>
            </w:tcBorders>
            <w:noWrap w:val="0"/>
            <w:vAlign w:val="center"/>
          </w:tcPr>
          <w:p w14:paraId="7A91E702">
            <w:pPr>
              <w:spacing w:line="240" w:lineRule="auto"/>
              <w:ind w:firstLine="0" w:firstLineChars="0"/>
              <w:jc w:val="center"/>
              <w:rPr>
                <w:rFonts w:ascii="Times New Roman" w:hAnsi="Times New Roman" w:eastAsia="宋体" w:cs="Times New Roman"/>
                <w:b/>
                <w:snapToGrid w:val="0"/>
                <w:color w:val="000000"/>
                <w:kern w:val="24"/>
                <w:sz w:val="21"/>
                <w:szCs w:val="21"/>
              </w:rPr>
            </w:pPr>
            <w:r>
              <w:rPr>
                <w:rFonts w:ascii="Times New Roman" w:hAnsi="Times New Roman" w:eastAsia="宋体" w:cs="Times New Roman"/>
                <w:b/>
                <w:snapToGrid w:val="0"/>
                <w:color w:val="000000"/>
                <w:kern w:val="24"/>
                <w:sz w:val="21"/>
                <w:szCs w:val="21"/>
              </w:rPr>
              <w:t>范围</w:t>
            </w:r>
          </w:p>
        </w:tc>
        <w:tc>
          <w:tcPr>
            <w:tcW w:w="899" w:type="dxa"/>
            <w:tcBorders>
              <w:tl2br w:val="nil"/>
              <w:tr2bl w:val="nil"/>
            </w:tcBorders>
            <w:noWrap w:val="0"/>
            <w:vAlign w:val="center"/>
          </w:tcPr>
          <w:p w14:paraId="2B3DE805">
            <w:pPr>
              <w:spacing w:line="240" w:lineRule="auto"/>
              <w:ind w:firstLine="0" w:firstLineChars="0"/>
              <w:jc w:val="center"/>
              <w:rPr>
                <w:rFonts w:ascii="Times New Roman" w:hAnsi="Times New Roman" w:eastAsia="宋体" w:cs="Times New Roman"/>
                <w:b/>
                <w:snapToGrid w:val="0"/>
                <w:color w:val="000000"/>
                <w:kern w:val="24"/>
                <w:sz w:val="21"/>
                <w:szCs w:val="21"/>
              </w:rPr>
            </w:pPr>
            <w:r>
              <w:rPr>
                <w:rFonts w:ascii="Times New Roman" w:hAnsi="Times New Roman" w:eastAsia="宋体" w:cs="Times New Roman"/>
                <w:b/>
                <w:snapToGrid w:val="0"/>
                <w:color w:val="000000"/>
                <w:kern w:val="24"/>
                <w:sz w:val="21"/>
                <w:szCs w:val="21"/>
              </w:rPr>
              <w:t>可逆性</w:t>
            </w:r>
          </w:p>
        </w:tc>
        <w:tc>
          <w:tcPr>
            <w:tcW w:w="596" w:type="dxa"/>
            <w:vMerge w:val="continue"/>
            <w:tcBorders>
              <w:tl2br w:val="nil"/>
              <w:tr2bl w:val="nil"/>
            </w:tcBorders>
            <w:noWrap w:val="0"/>
            <w:vAlign w:val="center"/>
          </w:tcPr>
          <w:p w14:paraId="1900C786">
            <w:pPr>
              <w:spacing w:line="240" w:lineRule="auto"/>
              <w:ind w:firstLine="0" w:firstLineChars="0"/>
              <w:jc w:val="center"/>
              <w:rPr>
                <w:rFonts w:ascii="Times New Roman" w:hAnsi="Times New Roman" w:eastAsia="宋体" w:cs="Times New Roman"/>
                <w:b/>
                <w:snapToGrid w:val="0"/>
                <w:color w:val="000000"/>
                <w:kern w:val="24"/>
                <w:sz w:val="21"/>
                <w:szCs w:val="21"/>
              </w:rPr>
            </w:pPr>
          </w:p>
        </w:tc>
      </w:tr>
      <w:tr w14:paraId="1C7FCD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3770C389">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rPr>
            </w:pPr>
            <w:r>
              <w:rPr>
                <w:rFonts w:ascii="Times New Roman" w:hAnsi="Times New Roman" w:eastAsia="宋体" w:cs="Times New Roman"/>
                <w:snapToGrid w:val="0"/>
                <w:color w:val="000000"/>
                <w:kern w:val="24"/>
                <w:sz w:val="21"/>
                <w:szCs w:val="21"/>
              </w:rPr>
              <w:t>物种</w:t>
            </w:r>
          </w:p>
        </w:tc>
        <w:tc>
          <w:tcPr>
            <w:tcW w:w="1905" w:type="dxa"/>
            <w:tcBorders>
              <w:tl2br w:val="nil"/>
              <w:tr2bl w:val="nil"/>
            </w:tcBorders>
            <w:noWrap w:val="0"/>
            <w:vAlign w:val="center"/>
          </w:tcPr>
          <w:p w14:paraId="369C5113">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分布范围、种群数量、种群结构、行为等</w:t>
            </w:r>
          </w:p>
        </w:tc>
        <w:tc>
          <w:tcPr>
            <w:tcW w:w="7794" w:type="dxa"/>
            <w:tcBorders>
              <w:tl2br w:val="nil"/>
              <w:tr2bl w:val="nil"/>
            </w:tcBorders>
            <w:noWrap w:val="0"/>
            <w:vAlign w:val="center"/>
          </w:tcPr>
          <w:p w14:paraId="66F94823">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eastAsia" w:cs="Times New Roman"/>
                <w:snapToGrid w:val="0"/>
                <w:color w:val="000000"/>
                <w:kern w:val="24"/>
                <w:sz w:val="21"/>
                <w:szCs w:val="21"/>
                <w:lang w:val="en-US" w:eastAsia="zh-CN" w:bidi="ar-SA"/>
              </w:rPr>
              <w:t>施工清表、挖方、填土及施工期临时占地，直接导致区域植被减少，植被类型发生改变，动物</w:t>
            </w:r>
            <w:r>
              <w:rPr>
                <w:rFonts w:hint="default" w:ascii="Times New Roman" w:hAnsi="Times New Roman" w:eastAsia="宋体" w:cs="Times New Roman"/>
                <w:snapToGrid w:val="0"/>
                <w:color w:val="000000"/>
                <w:kern w:val="24"/>
                <w:sz w:val="21"/>
                <w:szCs w:val="21"/>
                <w:lang w:val="en-US" w:eastAsia="zh-CN" w:bidi="ar-SA"/>
              </w:rPr>
              <w:t>死亡</w:t>
            </w:r>
            <w:r>
              <w:rPr>
                <w:rFonts w:hint="eastAsia" w:cs="Times New Roman"/>
                <w:snapToGrid w:val="0"/>
                <w:color w:val="000000"/>
                <w:kern w:val="24"/>
                <w:sz w:val="21"/>
                <w:szCs w:val="21"/>
                <w:lang w:val="en-US" w:eastAsia="zh-CN" w:bidi="ar-SA"/>
              </w:rPr>
              <w:t>和动物远离施工范围区域；</w:t>
            </w:r>
            <w:r>
              <w:rPr>
                <w:rFonts w:hint="default" w:ascii="Times New Roman" w:hAnsi="Times New Roman" w:eastAsia="宋体" w:cs="Times New Roman"/>
                <w:snapToGrid w:val="0"/>
                <w:color w:val="000000"/>
                <w:kern w:val="24"/>
                <w:sz w:val="21"/>
                <w:szCs w:val="21"/>
                <w:lang w:val="en-US" w:eastAsia="zh-CN" w:bidi="ar-SA"/>
              </w:rPr>
              <w:t>施工</w:t>
            </w:r>
            <w:r>
              <w:rPr>
                <w:rFonts w:hint="eastAsia" w:cs="Times New Roman"/>
                <w:snapToGrid w:val="0"/>
                <w:color w:val="000000"/>
                <w:kern w:val="24"/>
                <w:sz w:val="21"/>
                <w:szCs w:val="21"/>
                <w:lang w:val="en-US" w:eastAsia="zh-CN" w:bidi="ar-SA"/>
              </w:rPr>
              <w:t>期</w:t>
            </w:r>
            <w:r>
              <w:rPr>
                <w:rFonts w:hint="default" w:ascii="Times New Roman" w:hAnsi="Times New Roman" w:eastAsia="宋体" w:cs="Times New Roman"/>
                <w:snapToGrid w:val="0"/>
                <w:color w:val="000000"/>
                <w:kern w:val="24"/>
                <w:sz w:val="21"/>
                <w:szCs w:val="21"/>
                <w:lang w:val="en-US" w:eastAsia="zh-CN" w:bidi="ar-SA"/>
              </w:rPr>
              <w:t>噪声</w:t>
            </w:r>
            <w:r>
              <w:rPr>
                <w:rFonts w:hint="eastAsia" w:ascii="Times New Roman" w:hAnsi="Times New Roman" w:eastAsia="宋体" w:cs="Times New Roman"/>
                <w:snapToGrid w:val="0"/>
                <w:color w:val="000000"/>
                <w:kern w:val="24"/>
                <w:sz w:val="21"/>
                <w:szCs w:val="21"/>
                <w:lang w:val="en-US" w:eastAsia="zh-CN" w:bidi="ar-SA"/>
              </w:rPr>
              <w:t>、</w:t>
            </w:r>
            <w:r>
              <w:rPr>
                <w:rFonts w:hint="default" w:ascii="Times New Roman" w:hAnsi="Times New Roman" w:eastAsia="宋体" w:cs="Times New Roman"/>
                <w:snapToGrid w:val="0"/>
                <w:color w:val="000000"/>
                <w:kern w:val="24"/>
                <w:sz w:val="21"/>
                <w:szCs w:val="21"/>
                <w:lang w:val="en-US" w:eastAsia="zh-CN" w:bidi="ar-SA"/>
              </w:rPr>
              <w:t>灯光等对野生动物行为产生干扰</w:t>
            </w:r>
            <w:r>
              <w:rPr>
                <w:rFonts w:hint="eastAsia" w:cs="Times New Roman"/>
                <w:snapToGrid w:val="0"/>
                <w:color w:val="000000"/>
                <w:kern w:val="24"/>
                <w:sz w:val="21"/>
                <w:szCs w:val="21"/>
                <w:lang w:val="en-US" w:eastAsia="zh-CN" w:bidi="ar-SA"/>
              </w:rPr>
              <w:t>；</w:t>
            </w:r>
          </w:p>
        </w:tc>
        <w:tc>
          <w:tcPr>
            <w:tcW w:w="989" w:type="dxa"/>
            <w:tcBorders>
              <w:tl2br w:val="nil"/>
              <w:tr2bl w:val="nil"/>
            </w:tcBorders>
            <w:noWrap w:val="0"/>
            <w:vAlign w:val="center"/>
          </w:tcPr>
          <w:p w14:paraId="70B1691A">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4F1A1804">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205CD642">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4F6D948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4EBA0D0F">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弱</w:t>
            </w:r>
          </w:p>
        </w:tc>
      </w:tr>
      <w:tr w14:paraId="3339A6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244515B9">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生境</w:t>
            </w:r>
          </w:p>
        </w:tc>
        <w:tc>
          <w:tcPr>
            <w:tcW w:w="1905" w:type="dxa"/>
            <w:tcBorders>
              <w:tl2br w:val="nil"/>
              <w:tr2bl w:val="nil"/>
            </w:tcBorders>
            <w:noWrap w:val="0"/>
            <w:vAlign w:val="center"/>
          </w:tcPr>
          <w:p w14:paraId="34CE4F12">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生境面积、质量、连通性等</w:t>
            </w:r>
          </w:p>
        </w:tc>
        <w:tc>
          <w:tcPr>
            <w:tcW w:w="7794" w:type="dxa"/>
            <w:tcBorders>
              <w:tl2br w:val="nil"/>
              <w:tr2bl w:val="nil"/>
            </w:tcBorders>
            <w:noWrap w:val="0"/>
            <w:vAlign w:val="center"/>
          </w:tcPr>
          <w:p w14:paraId="6B2306C8">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eastAsia" w:cs="Times New Roman"/>
                <w:snapToGrid w:val="0"/>
                <w:color w:val="000000"/>
                <w:kern w:val="24"/>
                <w:sz w:val="21"/>
                <w:szCs w:val="21"/>
                <w:lang w:val="en-US" w:eastAsia="zh-CN" w:bidi="ar-SA"/>
              </w:rPr>
              <w:t>工程施工永久工程、临时工程占地，造成生物生境面积减少。河道天然水体状态发生变化，导致动植物生境条件、水生系统发生变化，同时工程施工对水体的扰动，进一步造成生境质量下降。工程围堰的设置，对局部区域造成阻隔。</w:t>
            </w:r>
          </w:p>
        </w:tc>
        <w:tc>
          <w:tcPr>
            <w:tcW w:w="989" w:type="dxa"/>
            <w:tcBorders>
              <w:tl2br w:val="nil"/>
              <w:tr2bl w:val="nil"/>
            </w:tcBorders>
            <w:noWrap w:val="0"/>
            <w:vAlign w:val="center"/>
          </w:tcPr>
          <w:p w14:paraId="6AE0F637">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661B4F4C">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3590F735">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6F0CF6D5">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5A5DB8E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弱</w:t>
            </w:r>
          </w:p>
        </w:tc>
      </w:tr>
      <w:tr w14:paraId="031FC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7F83FC5A">
            <w:pPr>
              <w:spacing w:line="240" w:lineRule="auto"/>
              <w:ind w:firstLine="0" w:firstLineChars="0"/>
              <w:jc w:val="center"/>
              <w:rPr>
                <w:rFonts w:ascii="Times New Roman" w:hAnsi="Times New Roman" w:eastAsia="宋体" w:cs="Times New Roman"/>
                <w:snapToGrid w:val="0"/>
                <w:color w:val="000000"/>
                <w:kern w:val="24"/>
                <w:sz w:val="21"/>
                <w:szCs w:val="21"/>
              </w:rPr>
            </w:pPr>
            <w:r>
              <w:rPr>
                <w:rFonts w:hint="eastAsia" w:cs="Times New Roman"/>
                <w:snapToGrid w:val="0"/>
                <w:color w:val="000000"/>
                <w:kern w:val="24"/>
                <w:sz w:val="21"/>
                <w:szCs w:val="21"/>
                <w:lang w:val="en-US" w:eastAsia="zh-CN"/>
              </w:rPr>
              <w:t>生物群落</w:t>
            </w:r>
          </w:p>
        </w:tc>
        <w:tc>
          <w:tcPr>
            <w:tcW w:w="1905" w:type="dxa"/>
            <w:tcBorders>
              <w:tl2br w:val="nil"/>
              <w:tr2bl w:val="nil"/>
            </w:tcBorders>
            <w:noWrap w:val="0"/>
            <w:vAlign w:val="center"/>
          </w:tcPr>
          <w:p w14:paraId="69A2B986">
            <w:pPr>
              <w:spacing w:line="240" w:lineRule="auto"/>
              <w:ind w:firstLine="0" w:firstLineChars="0"/>
              <w:jc w:val="center"/>
              <w:rPr>
                <w:rFonts w:ascii="Times New Roman" w:hAnsi="Times New Roman" w:eastAsia="宋体" w:cs="Times New Roman"/>
                <w:snapToGrid w:val="0"/>
                <w:color w:val="000000"/>
                <w:kern w:val="24"/>
                <w:sz w:val="21"/>
                <w:szCs w:val="21"/>
              </w:rPr>
            </w:pPr>
            <w:r>
              <w:rPr>
                <w:rFonts w:hint="eastAsia" w:ascii="Times New Roman" w:hAnsi="Times New Roman" w:eastAsia="宋体" w:cs="Times New Roman"/>
                <w:snapToGrid w:val="0"/>
                <w:color w:val="000000"/>
                <w:kern w:val="24"/>
                <w:sz w:val="21"/>
                <w:szCs w:val="21"/>
              </w:rPr>
              <w:t>物种组成、群落结构等</w:t>
            </w:r>
          </w:p>
        </w:tc>
        <w:tc>
          <w:tcPr>
            <w:tcW w:w="7794" w:type="dxa"/>
            <w:tcBorders>
              <w:tl2br w:val="nil"/>
              <w:tr2bl w:val="nil"/>
            </w:tcBorders>
            <w:noWrap w:val="0"/>
            <w:vAlign w:val="center"/>
          </w:tcPr>
          <w:p w14:paraId="6B4416E3">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eastAsia" w:cs="Times New Roman"/>
                <w:snapToGrid w:val="0"/>
                <w:color w:val="000000"/>
                <w:kern w:val="24"/>
                <w:sz w:val="21"/>
                <w:szCs w:val="21"/>
                <w:lang w:val="en-US" w:eastAsia="zh-CN" w:bidi="ar-SA"/>
              </w:rPr>
              <w:t>动植物生境被破坏，施工扰动水体导致水环境质量下降，从而导致个体发生死亡、种群数量下降；植被减少以及植被类型的变化，导致种群结构或种群动态发生变化</w:t>
            </w:r>
          </w:p>
        </w:tc>
        <w:tc>
          <w:tcPr>
            <w:tcW w:w="989" w:type="dxa"/>
            <w:tcBorders>
              <w:tl2br w:val="nil"/>
              <w:tr2bl w:val="nil"/>
            </w:tcBorders>
            <w:noWrap w:val="0"/>
            <w:vAlign w:val="center"/>
          </w:tcPr>
          <w:p w14:paraId="201A34F3">
            <w:pPr>
              <w:spacing w:line="240" w:lineRule="auto"/>
              <w:ind w:firstLine="0" w:firstLineChars="0"/>
              <w:jc w:val="center"/>
              <w:rPr>
                <w:rFonts w:ascii="Times New Roman" w:hAnsi="Times New Roman" w:eastAsia="宋体" w:cs="Times New Roman"/>
                <w:snapToGrid w:val="0"/>
                <w:color w:val="000000"/>
                <w:kern w:val="24"/>
                <w:sz w:val="21"/>
                <w:szCs w:val="21"/>
                <w:lang w:val="en-US" w:eastAsia="zh-CN" w:bidi="ar-SA"/>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564A22CA">
            <w:pPr>
              <w:spacing w:line="240" w:lineRule="auto"/>
              <w:ind w:firstLine="0" w:firstLineChars="0"/>
              <w:jc w:val="center"/>
              <w:rPr>
                <w:rFonts w:ascii="Times New Roman" w:hAnsi="Times New Roman" w:eastAsia="宋体" w:cs="Times New Roman"/>
                <w:snapToGrid w:val="0"/>
                <w:color w:val="000000"/>
                <w:kern w:val="24"/>
                <w:sz w:val="21"/>
                <w:szCs w:val="21"/>
                <w:lang w:val="en-US" w:eastAsia="zh-CN" w:bidi="ar-SA"/>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463E2F40">
            <w:pPr>
              <w:spacing w:line="240" w:lineRule="auto"/>
              <w:ind w:firstLine="0" w:firstLineChars="0"/>
              <w:jc w:val="center"/>
              <w:rPr>
                <w:rFonts w:ascii="Times New Roman" w:hAnsi="Times New Roman" w:eastAsia="宋体" w:cs="Times New Roman"/>
                <w:snapToGrid w:val="0"/>
                <w:color w:val="000000"/>
                <w:kern w:val="24"/>
                <w:sz w:val="21"/>
                <w:szCs w:val="21"/>
                <w:lang w:val="en-US" w:eastAsia="zh-CN" w:bidi="ar-SA"/>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7FC71D62">
            <w:pPr>
              <w:spacing w:line="240" w:lineRule="auto"/>
              <w:ind w:firstLine="0" w:firstLineChars="0"/>
              <w:jc w:val="center"/>
              <w:rPr>
                <w:rFonts w:ascii="Times New Roman" w:hAnsi="Times New Roman" w:eastAsia="宋体" w:cs="Times New Roman"/>
                <w:snapToGrid w:val="0"/>
                <w:color w:val="000000"/>
                <w:kern w:val="24"/>
                <w:sz w:val="21"/>
                <w:szCs w:val="21"/>
                <w:lang w:val="en-US" w:eastAsia="zh-CN" w:bidi="ar-SA"/>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77C591C5">
            <w:pPr>
              <w:spacing w:line="240" w:lineRule="auto"/>
              <w:ind w:firstLine="0" w:firstLineChars="0"/>
              <w:jc w:val="center"/>
              <w:rPr>
                <w:rFonts w:ascii="Times New Roman" w:hAnsi="Times New Roman" w:eastAsia="宋体" w:cs="Times New Roman"/>
                <w:snapToGrid w:val="0"/>
                <w:color w:val="000000"/>
                <w:kern w:val="24"/>
                <w:sz w:val="21"/>
                <w:szCs w:val="21"/>
                <w:lang w:val="en-US" w:eastAsia="zh-CN" w:bidi="ar-SA"/>
              </w:rPr>
            </w:pPr>
            <w:r>
              <w:rPr>
                <w:rFonts w:ascii="Times New Roman" w:hAnsi="Times New Roman" w:eastAsia="宋体" w:cs="Times New Roman"/>
                <w:snapToGrid w:val="0"/>
                <w:color w:val="000000"/>
                <w:kern w:val="24"/>
                <w:sz w:val="21"/>
                <w:szCs w:val="21"/>
              </w:rPr>
              <w:t>弱</w:t>
            </w:r>
          </w:p>
        </w:tc>
      </w:tr>
      <w:tr w14:paraId="2D9ED5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39A7B534">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生态系统</w:t>
            </w:r>
          </w:p>
        </w:tc>
        <w:tc>
          <w:tcPr>
            <w:tcW w:w="1905" w:type="dxa"/>
            <w:tcBorders>
              <w:tl2br w:val="nil"/>
              <w:tr2bl w:val="nil"/>
            </w:tcBorders>
            <w:noWrap w:val="0"/>
            <w:vAlign w:val="center"/>
          </w:tcPr>
          <w:p w14:paraId="5A153BE3">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植被覆盖度、生产力、生物量、生态系统功能等</w:t>
            </w:r>
          </w:p>
        </w:tc>
        <w:tc>
          <w:tcPr>
            <w:tcW w:w="7794" w:type="dxa"/>
            <w:tcBorders>
              <w:tl2br w:val="nil"/>
              <w:tr2bl w:val="nil"/>
            </w:tcBorders>
            <w:noWrap w:val="0"/>
            <w:vAlign w:val="center"/>
          </w:tcPr>
          <w:p w14:paraId="07A949EB">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eastAsia" w:ascii="Times New Roman" w:hAnsi="Times New Roman" w:eastAsia="宋体" w:cs="Times New Roman"/>
                <w:snapToGrid w:val="0"/>
                <w:color w:val="000000"/>
                <w:kern w:val="24"/>
                <w:sz w:val="21"/>
                <w:szCs w:val="21"/>
                <w:lang w:val="en-US" w:eastAsia="zh-CN" w:bidi="ar-SA"/>
              </w:rPr>
              <w:t>施工期土地占用，造成水生、陆生植物破坏，生物量减少</w:t>
            </w:r>
            <w:r>
              <w:rPr>
                <w:rFonts w:hint="eastAsia" w:cs="Times New Roman"/>
                <w:snapToGrid w:val="0"/>
                <w:color w:val="000000"/>
                <w:kern w:val="24"/>
                <w:sz w:val="21"/>
                <w:szCs w:val="21"/>
                <w:lang w:val="en-US" w:eastAsia="zh-CN" w:bidi="ar-SA"/>
              </w:rPr>
              <w:t>，生境受到破坏。生态系统结构稳定性受到影响</w:t>
            </w:r>
            <w:r>
              <w:rPr>
                <w:rFonts w:hint="eastAsia" w:ascii="Times New Roman" w:hAnsi="Times New Roman" w:eastAsia="宋体" w:cs="Times New Roman"/>
                <w:snapToGrid w:val="0"/>
                <w:color w:val="000000"/>
                <w:kern w:val="24"/>
                <w:sz w:val="21"/>
                <w:szCs w:val="21"/>
                <w:lang w:val="en-US" w:eastAsia="zh-CN" w:bidi="ar-SA"/>
              </w:rPr>
              <w:t>，</w:t>
            </w:r>
          </w:p>
        </w:tc>
        <w:tc>
          <w:tcPr>
            <w:tcW w:w="989" w:type="dxa"/>
            <w:tcBorders>
              <w:tl2br w:val="nil"/>
              <w:tr2bl w:val="nil"/>
            </w:tcBorders>
            <w:noWrap w:val="0"/>
            <w:vAlign w:val="center"/>
          </w:tcPr>
          <w:p w14:paraId="36804F74">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0AAC2C07">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62B28FD1">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7A784530">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24CF73B4">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弱</w:t>
            </w:r>
          </w:p>
        </w:tc>
      </w:tr>
      <w:tr w14:paraId="2C49F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6A44185A">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生物多样性</w:t>
            </w:r>
          </w:p>
        </w:tc>
        <w:tc>
          <w:tcPr>
            <w:tcW w:w="1905" w:type="dxa"/>
            <w:tcBorders>
              <w:tl2br w:val="nil"/>
              <w:tr2bl w:val="nil"/>
            </w:tcBorders>
            <w:noWrap w:val="0"/>
            <w:vAlign w:val="center"/>
          </w:tcPr>
          <w:p w14:paraId="63610BF9">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物种丰富度、均匀度、优势度等</w:t>
            </w:r>
          </w:p>
        </w:tc>
        <w:tc>
          <w:tcPr>
            <w:tcW w:w="7794" w:type="dxa"/>
            <w:tcBorders>
              <w:tl2br w:val="nil"/>
              <w:tr2bl w:val="nil"/>
            </w:tcBorders>
            <w:noWrap w:val="0"/>
            <w:vAlign w:val="center"/>
          </w:tcPr>
          <w:p w14:paraId="2F4F2275">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default" w:ascii="Times New Roman" w:hAnsi="Times New Roman" w:eastAsia="宋体" w:cs="Times New Roman"/>
                <w:snapToGrid w:val="0"/>
                <w:color w:val="000000"/>
                <w:kern w:val="24"/>
                <w:sz w:val="21"/>
                <w:szCs w:val="21"/>
                <w:lang w:val="en-US" w:eastAsia="zh-CN" w:bidi="ar-SA"/>
              </w:rPr>
              <w:t>施工期间会造成生境面积的临时性缩小</w:t>
            </w:r>
            <w:r>
              <w:rPr>
                <w:rFonts w:hint="eastAsia" w:ascii="Times New Roman" w:hAnsi="Times New Roman" w:cs="Times New Roman"/>
                <w:snapToGrid w:val="0"/>
                <w:color w:val="000000"/>
                <w:kern w:val="24"/>
                <w:sz w:val="21"/>
                <w:szCs w:val="21"/>
                <w:lang w:val="en-US" w:eastAsia="zh-CN" w:bidi="ar-SA"/>
              </w:rPr>
              <w:t>和动物的</w:t>
            </w:r>
            <w:r>
              <w:rPr>
                <w:rFonts w:hint="default" w:ascii="Times New Roman" w:hAnsi="Times New Roman" w:eastAsia="宋体" w:cs="Times New Roman"/>
                <w:snapToGrid w:val="0"/>
                <w:color w:val="000000"/>
                <w:kern w:val="24"/>
                <w:sz w:val="21"/>
                <w:szCs w:val="21"/>
                <w:lang w:val="en-US" w:eastAsia="zh-CN" w:bidi="ar-SA"/>
              </w:rPr>
              <w:t>规避行为，导致物种的丰富度减小</w:t>
            </w:r>
          </w:p>
        </w:tc>
        <w:tc>
          <w:tcPr>
            <w:tcW w:w="989" w:type="dxa"/>
            <w:tcBorders>
              <w:tl2br w:val="nil"/>
              <w:tr2bl w:val="nil"/>
            </w:tcBorders>
            <w:noWrap w:val="0"/>
            <w:vAlign w:val="center"/>
          </w:tcPr>
          <w:p w14:paraId="703846B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21DFFA7A">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30E6063F">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52A37DD9">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6985F27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弱</w:t>
            </w:r>
          </w:p>
        </w:tc>
      </w:tr>
      <w:tr w14:paraId="3874BF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169021A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生态敏感区</w:t>
            </w:r>
          </w:p>
        </w:tc>
        <w:tc>
          <w:tcPr>
            <w:tcW w:w="1905" w:type="dxa"/>
            <w:tcBorders>
              <w:tl2br w:val="nil"/>
              <w:tr2bl w:val="nil"/>
            </w:tcBorders>
            <w:noWrap w:val="0"/>
            <w:vAlign w:val="center"/>
          </w:tcPr>
          <w:p w14:paraId="484786E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主要保护对象、生态功能等</w:t>
            </w:r>
          </w:p>
        </w:tc>
        <w:tc>
          <w:tcPr>
            <w:tcW w:w="7794" w:type="dxa"/>
            <w:tcBorders>
              <w:tl2br w:val="nil"/>
              <w:tr2bl w:val="nil"/>
            </w:tcBorders>
            <w:noWrap w:val="0"/>
            <w:vAlign w:val="center"/>
          </w:tcPr>
          <w:p w14:paraId="2F1038D7">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eastAsia" w:cs="Times New Roman"/>
                <w:snapToGrid w:val="0"/>
                <w:color w:val="000000"/>
                <w:kern w:val="24"/>
                <w:sz w:val="21"/>
                <w:szCs w:val="21"/>
                <w:lang w:val="en-US" w:eastAsia="zh-CN" w:bidi="ar-SA"/>
              </w:rPr>
              <w:t>施工期施工对动物、动物造成影响，间接</w:t>
            </w:r>
            <w:r>
              <w:rPr>
                <w:rFonts w:hint="default" w:ascii="Times New Roman" w:hAnsi="Times New Roman" w:eastAsia="宋体" w:cs="Times New Roman"/>
                <w:snapToGrid w:val="0"/>
                <w:color w:val="000000"/>
                <w:kern w:val="24"/>
                <w:sz w:val="21"/>
                <w:szCs w:val="21"/>
                <w:lang w:val="en-US" w:eastAsia="zh-CN" w:bidi="ar-SA"/>
              </w:rPr>
              <w:t>对</w:t>
            </w:r>
            <w:r>
              <w:rPr>
                <w:rFonts w:hint="eastAsia" w:ascii="Times New Roman" w:hAnsi="Times New Roman" w:eastAsia="宋体" w:cs="Times New Roman"/>
                <w:snapToGrid w:val="0"/>
                <w:color w:val="000000"/>
                <w:kern w:val="24"/>
                <w:sz w:val="21"/>
                <w:szCs w:val="21"/>
                <w:lang w:val="en-US" w:eastAsia="zh-CN" w:bidi="ar-SA"/>
              </w:rPr>
              <w:t>黄陂湖</w:t>
            </w:r>
            <w:r>
              <w:rPr>
                <w:rFonts w:hint="default" w:ascii="Times New Roman" w:hAnsi="Times New Roman" w:eastAsia="宋体" w:cs="Times New Roman"/>
                <w:snapToGrid w:val="0"/>
                <w:color w:val="000000"/>
                <w:kern w:val="24"/>
                <w:sz w:val="21"/>
                <w:szCs w:val="21"/>
                <w:lang w:val="en-US" w:eastAsia="zh-CN" w:bidi="ar-SA"/>
              </w:rPr>
              <w:t>的</w:t>
            </w:r>
            <w:r>
              <w:rPr>
                <w:rFonts w:hint="eastAsia" w:ascii="Times New Roman" w:hAnsi="Times New Roman" w:eastAsia="宋体" w:cs="Times New Roman"/>
                <w:snapToGrid w:val="0"/>
                <w:color w:val="000000"/>
                <w:kern w:val="24"/>
                <w:sz w:val="21"/>
                <w:szCs w:val="21"/>
                <w:lang w:val="en-US" w:eastAsia="zh-CN" w:bidi="ar-SA"/>
              </w:rPr>
              <w:t>生物多样性维持、水资源调控</w:t>
            </w:r>
            <w:r>
              <w:rPr>
                <w:rFonts w:hint="eastAsia" w:cs="Times New Roman"/>
                <w:snapToGrid w:val="0"/>
                <w:color w:val="000000"/>
                <w:kern w:val="24"/>
                <w:sz w:val="21"/>
                <w:szCs w:val="21"/>
                <w:lang w:val="en-US" w:eastAsia="zh-CN" w:bidi="ar-SA"/>
              </w:rPr>
              <w:t>产生</w:t>
            </w:r>
            <w:r>
              <w:rPr>
                <w:rFonts w:hint="eastAsia" w:ascii="Times New Roman" w:hAnsi="Times New Roman" w:eastAsia="宋体" w:cs="Times New Roman"/>
                <w:snapToGrid w:val="0"/>
                <w:color w:val="000000"/>
                <w:kern w:val="24"/>
                <w:sz w:val="21"/>
                <w:szCs w:val="21"/>
                <w:lang w:val="en-US" w:eastAsia="zh-CN" w:bidi="ar-SA"/>
              </w:rPr>
              <w:t>影响</w:t>
            </w:r>
          </w:p>
        </w:tc>
        <w:tc>
          <w:tcPr>
            <w:tcW w:w="989" w:type="dxa"/>
            <w:tcBorders>
              <w:tl2br w:val="nil"/>
              <w:tr2bl w:val="nil"/>
            </w:tcBorders>
            <w:noWrap w:val="0"/>
            <w:vAlign w:val="center"/>
          </w:tcPr>
          <w:p w14:paraId="065887E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792B0776">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046E59CF">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4DFF6DFA">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76D3D816">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弱</w:t>
            </w:r>
          </w:p>
        </w:tc>
      </w:tr>
      <w:tr w14:paraId="4AAD4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235" w:type="dxa"/>
            <w:tcBorders>
              <w:tl2br w:val="nil"/>
              <w:tr2bl w:val="nil"/>
            </w:tcBorders>
            <w:noWrap w:val="0"/>
            <w:vAlign w:val="center"/>
          </w:tcPr>
          <w:p w14:paraId="431066DA">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自然景观</w:t>
            </w:r>
          </w:p>
        </w:tc>
        <w:tc>
          <w:tcPr>
            <w:tcW w:w="1905" w:type="dxa"/>
            <w:tcBorders>
              <w:tl2br w:val="nil"/>
              <w:tr2bl w:val="nil"/>
            </w:tcBorders>
            <w:noWrap w:val="0"/>
            <w:vAlign w:val="center"/>
          </w:tcPr>
          <w:p w14:paraId="080D475D">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景观多样性、</w:t>
            </w:r>
          </w:p>
          <w:p w14:paraId="1B466754">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完整性等</w:t>
            </w:r>
          </w:p>
        </w:tc>
        <w:tc>
          <w:tcPr>
            <w:tcW w:w="7794" w:type="dxa"/>
            <w:tcBorders>
              <w:tl2br w:val="nil"/>
              <w:tr2bl w:val="nil"/>
            </w:tcBorders>
            <w:noWrap w:val="0"/>
            <w:vAlign w:val="center"/>
          </w:tcPr>
          <w:p w14:paraId="3547BA56">
            <w:pPr>
              <w:spacing w:line="240" w:lineRule="auto"/>
              <w:ind w:firstLine="0" w:firstLineChars="0"/>
              <w:jc w:val="center"/>
              <w:rPr>
                <w:rFonts w:hint="default" w:ascii="Times New Roman" w:hAnsi="Times New Roman" w:eastAsia="宋体" w:cs="Times New Roman"/>
                <w:snapToGrid w:val="0"/>
                <w:color w:val="000000"/>
                <w:kern w:val="24"/>
                <w:sz w:val="21"/>
                <w:szCs w:val="21"/>
                <w:lang w:val="en-US" w:eastAsia="zh-CN" w:bidi="ar-SA"/>
              </w:rPr>
            </w:pPr>
            <w:r>
              <w:rPr>
                <w:rFonts w:hint="default" w:ascii="Times New Roman" w:hAnsi="Times New Roman" w:eastAsia="宋体" w:cs="Times New Roman"/>
                <w:snapToGrid w:val="0"/>
                <w:color w:val="000000"/>
                <w:kern w:val="24"/>
                <w:sz w:val="21"/>
                <w:szCs w:val="21"/>
                <w:lang w:val="en-US" w:eastAsia="zh-CN" w:bidi="ar-SA"/>
              </w:rPr>
              <w:t>在一定程度上对自然景观造成了短期破坏</w:t>
            </w:r>
          </w:p>
        </w:tc>
        <w:tc>
          <w:tcPr>
            <w:tcW w:w="989" w:type="dxa"/>
            <w:tcBorders>
              <w:tl2br w:val="nil"/>
              <w:tr2bl w:val="nil"/>
            </w:tcBorders>
            <w:noWrap w:val="0"/>
            <w:vAlign w:val="center"/>
          </w:tcPr>
          <w:p w14:paraId="50CB21C9">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负效性</w:t>
            </w:r>
          </w:p>
        </w:tc>
        <w:tc>
          <w:tcPr>
            <w:tcW w:w="844" w:type="dxa"/>
            <w:tcBorders>
              <w:tl2br w:val="nil"/>
              <w:tr2bl w:val="nil"/>
            </w:tcBorders>
            <w:noWrap w:val="0"/>
            <w:vAlign w:val="center"/>
          </w:tcPr>
          <w:p w14:paraId="2A4155B9">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短期</w:t>
            </w:r>
          </w:p>
        </w:tc>
        <w:tc>
          <w:tcPr>
            <w:tcW w:w="959" w:type="dxa"/>
            <w:tcBorders>
              <w:tl2br w:val="nil"/>
              <w:tr2bl w:val="nil"/>
            </w:tcBorders>
            <w:noWrap w:val="0"/>
            <w:vAlign w:val="center"/>
          </w:tcPr>
          <w:p w14:paraId="569A603B">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局部</w:t>
            </w:r>
          </w:p>
        </w:tc>
        <w:tc>
          <w:tcPr>
            <w:tcW w:w="899" w:type="dxa"/>
            <w:tcBorders>
              <w:tl2br w:val="nil"/>
              <w:tr2bl w:val="nil"/>
            </w:tcBorders>
            <w:noWrap w:val="0"/>
            <w:vAlign w:val="center"/>
          </w:tcPr>
          <w:p w14:paraId="0B6A6E56">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可逆</w:t>
            </w:r>
          </w:p>
        </w:tc>
        <w:tc>
          <w:tcPr>
            <w:tcW w:w="596" w:type="dxa"/>
            <w:tcBorders>
              <w:tl2br w:val="nil"/>
              <w:tr2bl w:val="nil"/>
            </w:tcBorders>
            <w:noWrap w:val="0"/>
            <w:vAlign w:val="center"/>
          </w:tcPr>
          <w:p w14:paraId="366B35CE">
            <w:pPr>
              <w:spacing w:line="240" w:lineRule="auto"/>
              <w:ind w:firstLine="0" w:firstLineChars="0"/>
              <w:jc w:val="center"/>
              <w:rPr>
                <w:rFonts w:ascii="Times New Roman" w:hAnsi="Times New Roman" w:eastAsia="宋体" w:cs="Times New Roman"/>
                <w:snapToGrid w:val="0"/>
                <w:color w:val="000000"/>
                <w:kern w:val="24"/>
                <w:sz w:val="21"/>
                <w:szCs w:val="21"/>
              </w:rPr>
            </w:pPr>
            <w:r>
              <w:rPr>
                <w:rFonts w:ascii="Times New Roman" w:hAnsi="Times New Roman" w:eastAsia="宋体" w:cs="Times New Roman"/>
                <w:snapToGrid w:val="0"/>
                <w:color w:val="000000"/>
                <w:kern w:val="24"/>
                <w:sz w:val="21"/>
                <w:szCs w:val="21"/>
              </w:rPr>
              <w:t>弱</w:t>
            </w:r>
          </w:p>
        </w:tc>
      </w:tr>
    </w:tbl>
    <w:p w14:paraId="67AE7740">
      <w:pPr>
        <w:ind w:left="0" w:leftChars="0" w:firstLine="0" w:firstLineChars="0"/>
        <w:rPr>
          <w:rFonts w:hint="eastAsia"/>
          <w:color w:val="000000"/>
          <w:lang w:val="en-US" w:eastAsia="zh-CN"/>
        </w:rPr>
      </w:pPr>
    </w:p>
    <w:p w14:paraId="67AB4D03">
      <w:pPr>
        <w:pStyle w:val="4"/>
        <w:bidi w:val="0"/>
        <w:outlineLvl w:val="9"/>
        <w:rPr>
          <w:rFonts w:hint="eastAsia"/>
          <w:color w:val="000000"/>
          <w:lang w:val="en-US" w:eastAsia="zh-CN"/>
        </w:rPr>
      </w:pPr>
    </w:p>
    <w:p w14:paraId="70FF5CAB">
      <w:pPr>
        <w:pStyle w:val="4"/>
        <w:bidi w:val="0"/>
        <w:ind w:left="0" w:leftChars="0" w:firstLine="0" w:firstLineChars="0"/>
        <w:outlineLvl w:val="9"/>
        <w:rPr>
          <w:rFonts w:hint="eastAsia"/>
          <w:color w:val="000000"/>
          <w:lang w:val="en-US" w:eastAsia="zh-CN"/>
        </w:rPr>
        <w:sectPr>
          <w:pgSz w:w="16838" w:h="11911" w:orient="landscape"/>
          <w:pgMar w:top="1701" w:right="1417" w:bottom="1417" w:left="1417" w:header="794" w:footer="1123" w:gutter="0"/>
          <w:pgBorders>
            <w:top w:val="none" w:sz="0" w:space="0"/>
            <w:left w:val="none" w:sz="0" w:space="0"/>
            <w:bottom w:val="none" w:sz="0" w:space="0"/>
            <w:right w:val="none" w:sz="0" w:space="0"/>
          </w:pgBorders>
          <w:pgNumType w:fmt="decimal"/>
          <w:cols w:space="720" w:num="1"/>
          <w:rtlGutter w:val="0"/>
          <w:docGrid w:linePitch="312" w:charSpace="0"/>
        </w:sectPr>
      </w:pPr>
    </w:p>
    <w:p w14:paraId="6622E473">
      <w:pPr>
        <w:pStyle w:val="4"/>
        <w:bidi w:val="0"/>
        <w:rPr>
          <w:rFonts w:hint="eastAsia"/>
          <w:color w:val="000000"/>
          <w:lang w:val="en-US" w:eastAsia="zh-CN"/>
        </w:rPr>
      </w:pPr>
      <w:bookmarkStart w:id="51" w:name="_Toc29107"/>
      <w:bookmarkStart w:id="52" w:name="_Toc18634"/>
      <w:r>
        <w:rPr>
          <w:rFonts w:hint="eastAsia"/>
          <w:color w:val="000000"/>
          <w:lang w:val="en-US" w:eastAsia="zh-CN"/>
        </w:rPr>
        <w:t>1.4评价等级及评价范围</w:t>
      </w:r>
      <w:bookmarkEnd w:id="51"/>
      <w:bookmarkEnd w:id="52"/>
    </w:p>
    <w:p w14:paraId="7020DA74">
      <w:pPr>
        <w:pStyle w:val="5"/>
        <w:bidi w:val="0"/>
        <w:rPr>
          <w:color w:val="000000"/>
        </w:rPr>
      </w:pPr>
      <w:bookmarkStart w:id="53" w:name="_Toc23852"/>
      <w:r>
        <w:rPr>
          <w:color w:val="000000"/>
          <w:lang w:eastAsia="zh-CN"/>
        </w:rPr>
        <w:t>1.</w:t>
      </w:r>
      <w:r>
        <w:rPr>
          <w:rFonts w:hint="eastAsia"/>
          <w:color w:val="000000"/>
          <w:lang w:val="en-US" w:eastAsia="zh-CN"/>
        </w:rPr>
        <w:t>4</w:t>
      </w:r>
      <w:r>
        <w:rPr>
          <w:color w:val="000000"/>
        </w:rPr>
        <w:t>.</w:t>
      </w:r>
      <w:r>
        <w:rPr>
          <w:rFonts w:hint="eastAsia"/>
          <w:color w:val="000000"/>
          <w:lang w:val="en-US" w:eastAsia="zh-CN"/>
        </w:rPr>
        <w:t>1</w:t>
      </w:r>
      <w:r>
        <w:rPr>
          <w:rFonts w:hint="eastAsia"/>
          <w:color w:val="000000"/>
          <w:lang w:eastAsia="zh-CN"/>
        </w:rPr>
        <w:t>生态环境影响评价等级</w:t>
      </w:r>
      <w:bookmarkEnd w:id="53"/>
    </w:p>
    <w:p w14:paraId="4692C80F">
      <w:pPr>
        <w:ind w:firstLine="480"/>
        <w:rPr>
          <w:rFonts w:hint="eastAsia" w:eastAsia="宋体"/>
          <w:color w:val="000000"/>
          <w:lang w:eastAsia="zh-CN"/>
        </w:rPr>
      </w:pPr>
      <w:bookmarkStart w:id="54" w:name="_Toc23496"/>
      <w:r>
        <w:rPr>
          <w:rFonts w:hint="eastAsia"/>
          <w:color w:val="000000"/>
          <w:lang w:eastAsia="zh-CN"/>
        </w:rPr>
        <w:t>根据《环境影响评价技术导则 生态影响》（HJ19-2022）的评价等级判定原则中6.1.4建设项目同时涉及陆生、水生生态影响时，可针对陆生生态、水生生态分别判定评价等级。本项目同时涉及陆生、水生生态影响，且影响程度和涉及的生态敏感区域不同，因此，本项目生态影响针对陆生生态、水生生态分别判定评价等级。具体判定原则和等级判定情况见下表。</w:t>
      </w:r>
    </w:p>
    <w:p w14:paraId="2AA3BB99">
      <w:pPr>
        <w:pStyle w:val="7"/>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rFonts w:hint="eastAsia" w:eastAsia="宋体"/>
          <w:b/>
          <w:bCs/>
          <w:color w:val="000000"/>
          <w:lang w:eastAsia="zh-CN"/>
        </w:rPr>
      </w:pPr>
      <w:r>
        <w:rPr>
          <w:rFonts w:hint="eastAsia"/>
          <w:b/>
          <w:bCs/>
          <w:color w:val="000000"/>
        </w:rPr>
        <w:t>表</w:t>
      </w:r>
      <w:r>
        <w:rPr>
          <w:rFonts w:hint="eastAsia"/>
          <w:b/>
          <w:bCs/>
          <w:color w:val="000000"/>
          <w:lang w:val="en-US" w:eastAsia="zh-CN"/>
        </w:rPr>
        <w:t xml:space="preserve">1.4-1 </w:t>
      </w:r>
      <w:r>
        <w:rPr>
          <w:rFonts w:hint="eastAsia"/>
          <w:b/>
          <w:bCs/>
          <w:color w:val="000000"/>
        </w:rPr>
        <w:t>项目</w:t>
      </w:r>
      <w:r>
        <w:rPr>
          <w:rFonts w:hint="eastAsia"/>
          <w:b/>
          <w:bCs/>
          <w:color w:val="000000"/>
          <w:lang w:eastAsia="zh-CN"/>
        </w:rPr>
        <w:t>生态环境评价等级判定表</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99"/>
        <w:gridCol w:w="3093"/>
        <w:gridCol w:w="1426"/>
        <w:gridCol w:w="1426"/>
      </w:tblGrid>
      <w:tr w14:paraId="263C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632725AE">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b/>
                <w:color w:val="000000"/>
                <w:sz w:val="21"/>
                <w:szCs w:val="21"/>
              </w:rPr>
            </w:pPr>
            <w:r>
              <w:rPr>
                <w:rFonts w:hint="eastAsia" w:ascii="Times New Roman"/>
                <w:b/>
                <w:color w:val="000000"/>
                <w:sz w:val="21"/>
                <w:szCs w:val="21"/>
                <w:lang w:eastAsia="zh-CN"/>
              </w:rPr>
              <w:t>评价工作等级划分原则</w:t>
            </w:r>
          </w:p>
        </w:tc>
        <w:tc>
          <w:tcPr>
            <w:tcW w:w="1748" w:type="pct"/>
            <w:tcBorders>
              <w:tl2br w:val="nil"/>
              <w:tr2bl w:val="nil"/>
            </w:tcBorders>
            <w:noWrap w:val="0"/>
            <w:vAlign w:val="center"/>
          </w:tcPr>
          <w:p w14:paraId="29995D10">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b/>
                <w:color w:val="000000"/>
                <w:sz w:val="21"/>
                <w:szCs w:val="21"/>
                <w:lang w:eastAsia="zh-CN"/>
              </w:rPr>
            </w:pPr>
            <w:r>
              <w:rPr>
                <w:rFonts w:hint="eastAsia" w:ascii="Times New Roman"/>
                <w:b/>
                <w:color w:val="000000"/>
                <w:sz w:val="21"/>
                <w:szCs w:val="21"/>
                <w:lang w:eastAsia="zh-CN"/>
              </w:rPr>
              <w:t>本项目情况</w:t>
            </w:r>
          </w:p>
        </w:tc>
        <w:tc>
          <w:tcPr>
            <w:tcW w:w="806" w:type="pct"/>
            <w:tcBorders>
              <w:tl2br w:val="nil"/>
              <w:tr2bl w:val="nil"/>
            </w:tcBorders>
            <w:noWrap w:val="0"/>
            <w:vAlign w:val="center"/>
          </w:tcPr>
          <w:p w14:paraId="4B4581EC">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b/>
                <w:color w:val="000000"/>
                <w:sz w:val="21"/>
                <w:szCs w:val="21"/>
                <w:lang w:eastAsia="zh-CN"/>
              </w:rPr>
            </w:pPr>
            <w:r>
              <w:rPr>
                <w:rFonts w:hint="eastAsia" w:ascii="Times New Roman"/>
                <w:b/>
                <w:color w:val="000000"/>
                <w:sz w:val="21"/>
                <w:szCs w:val="21"/>
                <w:lang w:eastAsia="zh-CN"/>
              </w:rPr>
              <w:t>陆生生态评价等级</w:t>
            </w:r>
          </w:p>
        </w:tc>
        <w:tc>
          <w:tcPr>
            <w:tcW w:w="806" w:type="pct"/>
            <w:tcBorders>
              <w:tl2br w:val="nil"/>
              <w:tr2bl w:val="nil"/>
            </w:tcBorders>
            <w:noWrap w:val="0"/>
            <w:vAlign w:val="center"/>
          </w:tcPr>
          <w:p w14:paraId="39113BB8">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b/>
                <w:color w:val="000000"/>
                <w:sz w:val="21"/>
                <w:szCs w:val="21"/>
                <w:lang w:eastAsia="zh-CN"/>
              </w:rPr>
            </w:pPr>
            <w:r>
              <w:rPr>
                <w:rFonts w:hint="eastAsia" w:ascii="Times New Roman"/>
                <w:b/>
                <w:color w:val="000000"/>
                <w:sz w:val="21"/>
                <w:szCs w:val="21"/>
                <w:lang w:eastAsia="zh-CN"/>
              </w:rPr>
              <w:t>水生生态评价等级</w:t>
            </w:r>
          </w:p>
        </w:tc>
      </w:tr>
      <w:tr w14:paraId="3489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5D26D44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a）涉及国家公园、自然保护区、世界自然遗产、重要生境时，评价等级为一级；</w:t>
            </w:r>
          </w:p>
        </w:tc>
        <w:tc>
          <w:tcPr>
            <w:tcW w:w="1748" w:type="pct"/>
            <w:tcBorders>
              <w:tl2br w:val="nil"/>
              <w:tr2bl w:val="nil"/>
            </w:tcBorders>
            <w:noWrap w:val="0"/>
            <w:vAlign w:val="center"/>
          </w:tcPr>
          <w:p w14:paraId="1847FF5B">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color w:val="000000"/>
                <w:sz w:val="21"/>
                <w:szCs w:val="21"/>
                <w:lang w:eastAsia="zh-CN"/>
              </w:rPr>
            </w:pPr>
            <w:r>
              <w:rPr>
                <w:rFonts w:hint="eastAsia" w:ascii="Times New Roman" w:hAnsi="Times New Roman" w:eastAsia="宋体" w:cs="Times New Roman"/>
                <w:color w:val="000000"/>
                <w:sz w:val="21"/>
                <w:szCs w:val="21"/>
                <w:lang w:val="en-US" w:eastAsia="zh-CN"/>
              </w:rPr>
              <w:t>本项目不涉及</w:t>
            </w:r>
          </w:p>
        </w:tc>
        <w:tc>
          <w:tcPr>
            <w:tcW w:w="1426" w:type="dxa"/>
            <w:tcBorders>
              <w:tl2br w:val="nil"/>
              <w:tr2bl w:val="nil"/>
            </w:tcBorders>
            <w:noWrap w:val="0"/>
            <w:vAlign w:val="center"/>
          </w:tcPr>
          <w:p w14:paraId="14A633AD">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eastAsia="宋体"/>
                <w:color w:val="000000"/>
                <w:sz w:val="21"/>
                <w:szCs w:val="21"/>
                <w:lang w:val="en-US" w:eastAsia="zh-CN"/>
              </w:rPr>
            </w:pPr>
            <w:r>
              <w:rPr>
                <w:rFonts w:hint="eastAsia" w:ascii="Times New Roman"/>
                <w:color w:val="000000"/>
                <w:sz w:val="21"/>
                <w:szCs w:val="21"/>
                <w:lang w:eastAsia="zh-CN"/>
              </w:rPr>
              <w:t>/</w:t>
            </w:r>
          </w:p>
        </w:tc>
        <w:tc>
          <w:tcPr>
            <w:tcW w:w="1426" w:type="dxa"/>
            <w:tcBorders>
              <w:tl2br w:val="nil"/>
              <w:tr2bl w:val="nil"/>
            </w:tcBorders>
            <w:noWrap w:val="0"/>
            <w:vAlign w:val="center"/>
          </w:tcPr>
          <w:p w14:paraId="30943AB0">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color w:val="000000"/>
                <w:sz w:val="21"/>
                <w:szCs w:val="21"/>
                <w:lang w:val="en-US" w:eastAsia="zh-CN"/>
              </w:rPr>
            </w:pPr>
            <w:r>
              <w:rPr>
                <w:rFonts w:hint="eastAsia" w:ascii="Times New Roman"/>
                <w:color w:val="000000"/>
                <w:sz w:val="21"/>
                <w:szCs w:val="21"/>
                <w:lang w:eastAsia="zh-CN"/>
              </w:rPr>
              <w:t>/</w:t>
            </w:r>
          </w:p>
        </w:tc>
      </w:tr>
      <w:tr w14:paraId="10B8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16ACB65E">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b）涉及自然公园时，评价等级为二级；</w:t>
            </w:r>
          </w:p>
        </w:tc>
        <w:tc>
          <w:tcPr>
            <w:tcW w:w="1748" w:type="pct"/>
            <w:tcBorders>
              <w:tl2br w:val="nil"/>
              <w:tr2bl w:val="nil"/>
            </w:tcBorders>
            <w:noWrap w:val="0"/>
            <w:vAlign w:val="center"/>
          </w:tcPr>
          <w:p w14:paraId="0F6579E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本项目不涉及自然公园</w:t>
            </w:r>
          </w:p>
        </w:tc>
        <w:tc>
          <w:tcPr>
            <w:tcW w:w="1426" w:type="dxa"/>
            <w:tcBorders>
              <w:tl2br w:val="nil"/>
              <w:tr2bl w:val="nil"/>
            </w:tcBorders>
            <w:noWrap w:val="0"/>
            <w:vAlign w:val="center"/>
          </w:tcPr>
          <w:p w14:paraId="4E174914">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color w:val="000000"/>
                <w:sz w:val="21"/>
                <w:szCs w:val="21"/>
                <w:lang w:eastAsia="zh-CN"/>
              </w:rPr>
            </w:pPr>
            <w:r>
              <w:rPr>
                <w:rFonts w:hint="eastAsia" w:ascii="Times New Roman"/>
                <w:color w:val="000000"/>
                <w:sz w:val="21"/>
                <w:szCs w:val="21"/>
                <w:lang w:eastAsia="zh-CN"/>
              </w:rPr>
              <w:t>/</w:t>
            </w:r>
          </w:p>
        </w:tc>
        <w:tc>
          <w:tcPr>
            <w:tcW w:w="1426" w:type="dxa"/>
            <w:tcBorders>
              <w:tl2br w:val="nil"/>
              <w:tr2bl w:val="nil"/>
            </w:tcBorders>
            <w:noWrap w:val="0"/>
            <w:vAlign w:val="center"/>
          </w:tcPr>
          <w:p w14:paraId="2EFC4223">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w:t>
            </w:r>
          </w:p>
        </w:tc>
      </w:tr>
      <w:tr w14:paraId="2024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7C474C7B">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c）涉及生态保护红线时，评价等级不低于二级；</w:t>
            </w:r>
          </w:p>
        </w:tc>
        <w:tc>
          <w:tcPr>
            <w:tcW w:w="1748" w:type="pct"/>
            <w:tcBorders>
              <w:tl2br w:val="nil"/>
              <w:tr2bl w:val="nil"/>
            </w:tcBorders>
            <w:noWrap w:val="0"/>
            <w:vAlign w:val="center"/>
          </w:tcPr>
          <w:p w14:paraId="52AFFF2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eastAsia="zh-CN"/>
              </w:rPr>
              <w:t>本项目</w:t>
            </w:r>
            <w:r>
              <w:rPr>
                <w:rFonts w:hint="eastAsia" w:ascii="Times New Roman" w:hAnsi="Times New Roman" w:eastAsia="宋体" w:cs="Times New Roman"/>
                <w:color w:val="000000"/>
                <w:sz w:val="21"/>
                <w:szCs w:val="21"/>
                <w:lang w:val="en-US" w:eastAsia="zh-CN"/>
              </w:rPr>
              <w:t>影响范围</w:t>
            </w:r>
            <w:r>
              <w:rPr>
                <w:rFonts w:hint="eastAsia" w:ascii="Times New Roman" w:hAnsi="Times New Roman" w:eastAsia="宋体" w:cs="Times New Roman"/>
                <w:color w:val="000000"/>
                <w:sz w:val="21"/>
                <w:szCs w:val="21"/>
                <w:lang w:eastAsia="zh-CN"/>
              </w:rPr>
              <w:t>涉及生态保护红线</w:t>
            </w:r>
          </w:p>
        </w:tc>
        <w:tc>
          <w:tcPr>
            <w:tcW w:w="806" w:type="pct"/>
            <w:tcBorders>
              <w:tl2br w:val="nil"/>
              <w:tr2bl w:val="nil"/>
            </w:tcBorders>
            <w:noWrap w:val="0"/>
            <w:vAlign w:val="center"/>
          </w:tcPr>
          <w:p w14:paraId="3361FD4F">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val="en-US" w:eastAsia="zh-CN"/>
              </w:rPr>
              <w:t>二级</w:t>
            </w:r>
          </w:p>
        </w:tc>
        <w:tc>
          <w:tcPr>
            <w:tcW w:w="806" w:type="pct"/>
            <w:tcBorders>
              <w:tl2br w:val="nil"/>
              <w:tr2bl w:val="nil"/>
            </w:tcBorders>
            <w:noWrap w:val="0"/>
            <w:vAlign w:val="center"/>
          </w:tcPr>
          <w:p w14:paraId="0F258115">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w:t>
            </w:r>
          </w:p>
        </w:tc>
      </w:tr>
      <w:tr w14:paraId="7AC6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70096170">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d）根据 HJ 2.3判断属于水文要素影响型且地表水评价等级不低于二级的建设项目，生态影响评价等级不低于二级；</w:t>
            </w:r>
          </w:p>
        </w:tc>
        <w:tc>
          <w:tcPr>
            <w:tcW w:w="1748" w:type="pct"/>
            <w:tcBorders>
              <w:tl2br w:val="nil"/>
              <w:tr2bl w:val="nil"/>
            </w:tcBorders>
            <w:noWrap w:val="0"/>
            <w:vAlign w:val="center"/>
          </w:tcPr>
          <w:p w14:paraId="1AA2B12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本项目属于水文要素影响型，地表水评价等级为</w:t>
            </w:r>
            <w:r>
              <w:rPr>
                <w:rFonts w:hint="eastAsia" w:ascii="Times New Roman" w:hAnsi="Times New Roman" w:eastAsia="宋体" w:cs="Times New Roman"/>
                <w:color w:val="000000"/>
                <w:sz w:val="21"/>
                <w:szCs w:val="21"/>
                <w:lang w:eastAsia="zh-CN"/>
              </w:rPr>
              <w:t>二</w:t>
            </w:r>
            <w:r>
              <w:rPr>
                <w:rFonts w:hint="eastAsia" w:ascii="Times New Roman" w:hAnsi="Times New Roman" w:eastAsia="宋体" w:cs="Times New Roman"/>
                <w:color w:val="000000"/>
                <w:sz w:val="21"/>
                <w:szCs w:val="21"/>
              </w:rPr>
              <w:t>级</w:t>
            </w:r>
          </w:p>
        </w:tc>
        <w:tc>
          <w:tcPr>
            <w:tcW w:w="806" w:type="pct"/>
            <w:tcBorders>
              <w:tl2br w:val="nil"/>
              <w:tr2bl w:val="nil"/>
            </w:tcBorders>
            <w:noWrap w:val="0"/>
            <w:vAlign w:val="center"/>
          </w:tcPr>
          <w:p w14:paraId="45496A00">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color w:val="000000"/>
                <w:sz w:val="21"/>
                <w:szCs w:val="21"/>
                <w:lang w:val="en-US" w:eastAsia="zh-CN"/>
              </w:rPr>
            </w:pPr>
            <w:r>
              <w:rPr>
                <w:rFonts w:hint="eastAsia" w:ascii="Times New Roman"/>
                <w:color w:val="000000"/>
                <w:sz w:val="21"/>
                <w:szCs w:val="21"/>
                <w:lang w:val="en-US" w:eastAsia="zh-CN"/>
              </w:rPr>
              <w:t>/</w:t>
            </w:r>
          </w:p>
        </w:tc>
        <w:tc>
          <w:tcPr>
            <w:tcW w:w="806" w:type="pct"/>
            <w:tcBorders>
              <w:tl2br w:val="nil"/>
              <w:tr2bl w:val="nil"/>
            </w:tcBorders>
            <w:noWrap w:val="0"/>
            <w:vAlign w:val="center"/>
          </w:tcPr>
          <w:p w14:paraId="680CC96A">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color w:val="000000"/>
                <w:sz w:val="21"/>
                <w:szCs w:val="21"/>
                <w:lang w:eastAsia="zh-CN"/>
              </w:rPr>
            </w:pPr>
            <w:r>
              <w:rPr>
                <w:rFonts w:hint="eastAsia" w:ascii="Times New Roman"/>
                <w:color w:val="000000"/>
                <w:sz w:val="21"/>
                <w:szCs w:val="21"/>
                <w:lang w:eastAsia="zh-CN"/>
              </w:rPr>
              <w:t>二级</w:t>
            </w:r>
          </w:p>
        </w:tc>
      </w:tr>
      <w:tr w14:paraId="229C9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12BB4F0C">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e）根据HJ610、HJ964判断地下水水位或土壤影响范围内分布有天然林、公益林、湿地等生态保护目标的建设项目，生态影响评价等级不低于二级；</w:t>
            </w:r>
          </w:p>
        </w:tc>
        <w:tc>
          <w:tcPr>
            <w:tcW w:w="1748" w:type="pct"/>
            <w:tcBorders>
              <w:tl2br w:val="nil"/>
              <w:tr2bl w:val="nil"/>
            </w:tcBorders>
            <w:noWrap w:val="0"/>
            <w:vAlign w:val="center"/>
          </w:tcPr>
          <w:p w14:paraId="59657850">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本项目不涉及</w:t>
            </w:r>
          </w:p>
        </w:tc>
        <w:tc>
          <w:tcPr>
            <w:tcW w:w="1426" w:type="dxa"/>
            <w:tcBorders>
              <w:tl2br w:val="nil"/>
              <w:tr2bl w:val="nil"/>
            </w:tcBorders>
            <w:noWrap w:val="0"/>
            <w:vAlign w:val="center"/>
          </w:tcPr>
          <w:p w14:paraId="463982F8">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w:t>
            </w:r>
          </w:p>
        </w:tc>
        <w:tc>
          <w:tcPr>
            <w:tcW w:w="1426" w:type="dxa"/>
            <w:tcBorders>
              <w:tl2br w:val="nil"/>
              <w:tr2bl w:val="nil"/>
            </w:tcBorders>
            <w:noWrap w:val="0"/>
            <w:vAlign w:val="center"/>
          </w:tcPr>
          <w:p w14:paraId="6D2031EF">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w:t>
            </w:r>
          </w:p>
        </w:tc>
      </w:tr>
      <w:tr w14:paraId="239B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58CB1034">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f）当工程占地规模大于20km</w:t>
            </w:r>
            <w:r>
              <w:rPr>
                <w:rFonts w:hint="default" w:ascii="Times New Roman" w:hAnsi="Times New Roman" w:eastAsia="宋体" w:cs="Times New Roman"/>
                <w:color w:val="000000"/>
                <w:sz w:val="21"/>
                <w:szCs w:val="21"/>
                <w:vertAlign w:val="superscript"/>
              </w:rPr>
              <w:t>2</w:t>
            </w:r>
            <w:r>
              <w:rPr>
                <w:rFonts w:hint="default" w:ascii="Times New Roman" w:hAnsi="Times New Roman" w:eastAsia="宋体" w:cs="Times New Roman"/>
                <w:color w:val="000000"/>
                <w:sz w:val="21"/>
                <w:szCs w:val="21"/>
              </w:rPr>
              <w:t>时（包括永久和临时占用陆域和水域），评价等级不低于二级；改扩建项目的占地范围以新增占地（包括陆域和水域）确定；</w:t>
            </w:r>
          </w:p>
        </w:tc>
        <w:tc>
          <w:tcPr>
            <w:tcW w:w="1748" w:type="pct"/>
            <w:tcBorders>
              <w:tl2br w:val="nil"/>
              <w:tr2bl w:val="nil"/>
            </w:tcBorders>
            <w:noWrap w:val="0"/>
            <w:vAlign w:val="center"/>
          </w:tcPr>
          <w:p w14:paraId="3067C3AE">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本项目工程占地规模</w:t>
            </w:r>
            <w:r>
              <w:rPr>
                <w:rFonts w:hint="eastAsia" w:ascii="Times New Roman" w:hAnsi="Times New Roman" w:eastAsia="宋体" w:cs="Times New Roman"/>
                <w:color w:val="000000"/>
                <w:sz w:val="21"/>
                <w:szCs w:val="21"/>
                <w:lang w:eastAsia="zh-CN"/>
              </w:rPr>
              <w:t>小</w:t>
            </w:r>
            <w:r>
              <w:rPr>
                <w:rFonts w:hint="eastAsia" w:ascii="Times New Roman" w:hAnsi="Times New Roman" w:eastAsia="宋体" w:cs="Times New Roman"/>
                <w:color w:val="000000"/>
                <w:sz w:val="21"/>
                <w:szCs w:val="21"/>
              </w:rPr>
              <w:t>于20km</w:t>
            </w:r>
            <w:r>
              <w:rPr>
                <w:rFonts w:hint="eastAsia" w:ascii="Times New Roman" w:hAnsi="Times New Roman" w:eastAsia="宋体" w:cs="Times New Roman"/>
                <w:color w:val="000000"/>
                <w:sz w:val="21"/>
                <w:szCs w:val="21"/>
                <w:vertAlign w:val="superscript"/>
              </w:rPr>
              <w:t>2</w:t>
            </w:r>
          </w:p>
        </w:tc>
        <w:tc>
          <w:tcPr>
            <w:tcW w:w="1426" w:type="dxa"/>
            <w:tcBorders>
              <w:tl2br w:val="nil"/>
              <w:tr2bl w:val="nil"/>
            </w:tcBorders>
            <w:noWrap w:val="0"/>
            <w:vAlign w:val="center"/>
          </w:tcPr>
          <w:p w14:paraId="225CEB8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w:t>
            </w:r>
          </w:p>
        </w:tc>
        <w:tc>
          <w:tcPr>
            <w:tcW w:w="1426" w:type="dxa"/>
            <w:tcBorders>
              <w:tl2br w:val="nil"/>
              <w:tr2bl w:val="nil"/>
            </w:tcBorders>
            <w:noWrap w:val="0"/>
            <w:vAlign w:val="center"/>
          </w:tcPr>
          <w:p w14:paraId="2F8C232F">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w:t>
            </w:r>
          </w:p>
        </w:tc>
      </w:tr>
      <w:tr w14:paraId="5845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3653803F">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g）除本条a)、b)、c)、d)、e)、f</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以外的情况，评价等级为三级；</w:t>
            </w:r>
          </w:p>
        </w:tc>
        <w:tc>
          <w:tcPr>
            <w:tcW w:w="1748" w:type="pct"/>
            <w:tcBorders>
              <w:tl2br w:val="nil"/>
              <w:tr2bl w:val="nil"/>
            </w:tcBorders>
            <w:noWrap w:val="0"/>
            <w:vAlign w:val="center"/>
          </w:tcPr>
          <w:p w14:paraId="173F02E0">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hAnsi="Times New Roman" w:eastAsia="宋体" w:cs="Times New Roman"/>
                <w:color w:val="000000"/>
                <w:sz w:val="21"/>
                <w:szCs w:val="21"/>
                <w:lang w:eastAsia="zh-CN"/>
              </w:rPr>
            </w:pPr>
            <w:r>
              <w:rPr>
                <w:rFonts w:hint="eastAsia" w:ascii="Times New Roman" w:hAnsi="Times New Roman" w:eastAsia="宋体" w:cs="Times New Roman"/>
                <w:color w:val="000000"/>
                <w:sz w:val="21"/>
                <w:szCs w:val="21"/>
                <w:lang w:eastAsia="zh-CN"/>
              </w:rPr>
              <w:t>本项目满足本条</w:t>
            </w:r>
            <w:r>
              <w:rPr>
                <w:rFonts w:hint="default" w:ascii="Times New Roman" w:hAnsi="Times New Roman" w:eastAsia="宋体" w:cs="Times New Roman"/>
                <w:color w:val="000000"/>
                <w:sz w:val="21"/>
                <w:szCs w:val="21"/>
              </w:rPr>
              <w:t>d)</w:t>
            </w:r>
          </w:p>
        </w:tc>
        <w:tc>
          <w:tcPr>
            <w:tcW w:w="806" w:type="pct"/>
            <w:tcBorders>
              <w:tl2br w:val="nil"/>
              <w:tr2bl w:val="nil"/>
            </w:tcBorders>
            <w:noWrap w:val="0"/>
            <w:vAlign w:val="center"/>
          </w:tcPr>
          <w:p w14:paraId="25BA8D49">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val="en-US" w:eastAsia="zh-CN"/>
              </w:rPr>
              <w:t>/</w:t>
            </w:r>
          </w:p>
        </w:tc>
        <w:tc>
          <w:tcPr>
            <w:tcW w:w="806" w:type="pct"/>
            <w:tcBorders>
              <w:tl2br w:val="nil"/>
              <w:tr2bl w:val="nil"/>
            </w:tcBorders>
            <w:noWrap w:val="0"/>
            <w:vAlign w:val="center"/>
          </w:tcPr>
          <w:p w14:paraId="7BD5A9CD">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val="en-US" w:eastAsia="zh-CN"/>
              </w:rPr>
              <w:t>/</w:t>
            </w:r>
          </w:p>
        </w:tc>
      </w:tr>
      <w:tr w14:paraId="3800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38" w:type="pct"/>
            <w:tcBorders>
              <w:tl2br w:val="nil"/>
              <w:tr2bl w:val="nil"/>
            </w:tcBorders>
            <w:noWrap w:val="0"/>
            <w:vAlign w:val="center"/>
          </w:tcPr>
          <w:p w14:paraId="08184E5F">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h）当评价等级判定同时符合上述多种情况时，应采用其中最高的评价等级。</w:t>
            </w:r>
          </w:p>
        </w:tc>
        <w:tc>
          <w:tcPr>
            <w:tcW w:w="1748" w:type="pct"/>
            <w:tcBorders>
              <w:tl2br w:val="nil"/>
              <w:tr2bl w:val="nil"/>
            </w:tcBorders>
            <w:noWrap w:val="0"/>
            <w:vAlign w:val="center"/>
          </w:tcPr>
          <w:p w14:paraId="6068DC0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eastAsia="zh-CN"/>
              </w:rPr>
              <w:t>取最高评价等级</w:t>
            </w:r>
          </w:p>
        </w:tc>
        <w:tc>
          <w:tcPr>
            <w:tcW w:w="806" w:type="pct"/>
            <w:tcBorders>
              <w:tl2br w:val="nil"/>
              <w:tr2bl w:val="nil"/>
            </w:tcBorders>
            <w:noWrap w:val="0"/>
            <w:vAlign w:val="center"/>
          </w:tcPr>
          <w:p w14:paraId="41F5A1C6">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eastAsia" w:ascii="Times New Roman" w:eastAsia="宋体"/>
                <w:color w:val="000000"/>
                <w:sz w:val="21"/>
                <w:szCs w:val="21"/>
                <w:lang w:eastAsia="zh-CN"/>
              </w:rPr>
            </w:pPr>
            <w:r>
              <w:rPr>
                <w:rFonts w:hint="eastAsia" w:ascii="Times New Roman"/>
                <w:color w:val="000000"/>
                <w:sz w:val="21"/>
                <w:szCs w:val="21"/>
                <w:lang w:val="en-US" w:eastAsia="zh-CN"/>
              </w:rPr>
              <w:t>二级</w:t>
            </w:r>
          </w:p>
        </w:tc>
        <w:tc>
          <w:tcPr>
            <w:tcW w:w="806" w:type="pct"/>
            <w:tcBorders>
              <w:tl2br w:val="nil"/>
              <w:tr2bl w:val="nil"/>
            </w:tcBorders>
            <w:noWrap w:val="0"/>
            <w:vAlign w:val="center"/>
          </w:tcPr>
          <w:p w14:paraId="6B12B12C">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二级</w:t>
            </w:r>
          </w:p>
        </w:tc>
      </w:tr>
    </w:tbl>
    <w:p w14:paraId="62AFD6B4">
      <w:pPr>
        <w:ind w:firstLine="480"/>
        <w:rPr>
          <w:rFonts w:hint="eastAsia" w:eastAsia="宋体"/>
          <w:color w:val="000000"/>
          <w:highlight w:val="none"/>
          <w:lang w:eastAsia="zh-CN"/>
        </w:rPr>
      </w:pPr>
      <w:r>
        <w:rPr>
          <w:rFonts w:hint="eastAsia"/>
          <w:color w:val="000000"/>
          <w:highlight w:val="none"/>
          <w:lang w:val="en-US" w:eastAsia="zh-CN"/>
        </w:rPr>
        <w:t>本项目影响范围涉及生态保护红线，</w:t>
      </w:r>
      <w:r>
        <w:rPr>
          <w:color w:val="000000"/>
          <w:highlight w:val="none"/>
        </w:rPr>
        <w:t>所以评价等级为</w:t>
      </w:r>
      <w:r>
        <w:rPr>
          <w:rFonts w:hint="eastAsia"/>
          <w:color w:val="000000"/>
          <w:highlight w:val="none"/>
          <w:lang w:val="en-US" w:eastAsia="zh-CN"/>
        </w:rPr>
        <w:t>二</w:t>
      </w:r>
      <w:r>
        <w:rPr>
          <w:color w:val="000000"/>
          <w:highlight w:val="none"/>
        </w:rPr>
        <w:t>级</w:t>
      </w:r>
      <w:r>
        <w:rPr>
          <w:rFonts w:hint="eastAsia"/>
          <w:color w:val="000000"/>
          <w:highlight w:val="none"/>
          <w:lang w:eastAsia="zh-CN"/>
        </w:rPr>
        <w:t>。</w:t>
      </w:r>
    </w:p>
    <w:p w14:paraId="2920B79B">
      <w:pPr>
        <w:pStyle w:val="5"/>
        <w:bidi w:val="0"/>
        <w:rPr>
          <w:color w:val="000000"/>
          <w:lang w:eastAsia="zh-CN"/>
        </w:rPr>
      </w:pPr>
      <w:r>
        <w:rPr>
          <w:color w:val="000000"/>
          <w:lang w:eastAsia="zh-CN"/>
        </w:rPr>
        <w:br w:type="page"/>
      </w:r>
      <w:r>
        <w:rPr>
          <w:color w:val="000000"/>
          <w:lang w:eastAsia="zh-CN"/>
        </w:rPr>
        <w:t>1.</w:t>
      </w:r>
      <w:r>
        <w:rPr>
          <w:rFonts w:hint="eastAsia"/>
          <w:color w:val="000000"/>
          <w:lang w:val="en-US" w:eastAsia="zh-CN"/>
        </w:rPr>
        <w:t>4.2</w:t>
      </w:r>
      <w:r>
        <w:rPr>
          <w:color w:val="000000"/>
          <w:lang w:eastAsia="zh-CN"/>
        </w:rPr>
        <w:t xml:space="preserve"> 评价</w:t>
      </w:r>
      <w:r>
        <w:rPr>
          <w:rFonts w:hint="eastAsia"/>
          <w:color w:val="000000"/>
          <w:lang w:eastAsia="zh-CN"/>
        </w:rPr>
        <w:t>范围及时段</w:t>
      </w:r>
      <w:bookmarkEnd w:id="54"/>
    </w:p>
    <w:p w14:paraId="1AFCE614">
      <w:pPr>
        <w:pStyle w:val="61"/>
        <w:rPr>
          <w:rFonts w:cs="Times New Roman"/>
          <w:color w:val="000000"/>
        </w:rPr>
      </w:pPr>
      <w:r>
        <w:rPr>
          <w:rFonts w:hint="eastAsia" w:cs="Times New Roman"/>
          <w:color w:val="000000"/>
        </w:rPr>
        <w:t>评价范围及时段见下表</w:t>
      </w:r>
      <w:r>
        <w:rPr>
          <w:rFonts w:cs="Times New Roman"/>
          <w:color w:val="000000"/>
        </w:rPr>
        <w:t>。</w:t>
      </w:r>
    </w:p>
    <w:p w14:paraId="053089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000000"/>
        </w:rPr>
      </w:pPr>
      <w:bookmarkStart w:id="55" w:name="_Toc6862"/>
      <w:r>
        <w:rPr>
          <w:rFonts w:hint="eastAsia"/>
          <w:b/>
          <w:bCs/>
          <w:color w:val="000000"/>
        </w:rPr>
        <w:t>表</w:t>
      </w:r>
      <w:r>
        <w:rPr>
          <w:b/>
          <w:bCs/>
          <w:color w:val="000000"/>
        </w:rPr>
        <w:t>1.</w:t>
      </w:r>
      <w:r>
        <w:rPr>
          <w:rFonts w:hint="eastAsia"/>
          <w:b/>
          <w:bCs/>
          <w:color w:val="000000"/>
          <w:lang w:val="en-US" w:eastAsia="zh-CN"/>
        </w:rPr>
        <w:t>4</w:t>
      </w:r>
      <w:r>
        <w:rPr>
          <w:rFonts w:hint="eastAsia"/>
          <w:b/>
          <w:bCs/>
          <w:color w:val="000000"/>
        </w:rPr>
        <w:t>-</w:t>
      </w:r>
      <w:r>
        <w:rPr>
          <w:rFonts w:hint="eastAsia"/>
          <w:b/>
          <w:bCs/>
          <w:color w:val="000000"/>
          <w:lang w:val="en-US" w:eastAsia="zh-CN"/>
        </w:rPr>
        <w:t>2</w:t>
      </w:r>
      <w:r>
        <w:rPr>
          <w:rFonts w:hint="eastAsia"/>
          <w:b/>
          <w:bCs/>
          <w:color w:val="000000"/>
        </w:rPr>
        <w:t xml:space="preserve"> 项目评价范围及时段一览表</w:t>
      </w:r>
      <w:bookmarkEnd w:id="55"/>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85"/>
        <w:gridCol w:w="1063"/>
        <w:gridCol w:w="4810"/>
        <w:gridCol w:w="1786"/>
      </w:tblGrid>
      <w:tr w14:paraId="6A7A6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tcBorders>
              <w:tl2br w:val="nil"/>
              <w:tr2bl w:val="nil"/>
            </w:tcBorders>
            <w:noWrap w:val="0"/>
            <w:vAlign w:val="center"/>
          </w:tcPr>
          <w:p w14:paraId="6054345E">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b/>
                <w:color w:val="000000"/>
                <w:sz w:val="21"/>
                <w:szCs w:val="21"/>
              </w:rPr>
            </w:pPr>
            <w:r>
              <w:rPr>
                <w:rFonts w:ascii="Times New Roman"/>
                <w:b/>
                <w:color w:val="000000"/>
                <w:sz w:val="21"/>
                <w:szCs w:val="21"/>
              </w:rPr>
              <w:t>评价因子</w:t>
            </w:r>
          </w:p>
        </w:tc>
        <w:tc>
          <w:tcPr>
            <w:tcW w:w="601" w:type="pct"/>
            <w:tcBorders>
              <w:tl2br w:val="nil"/>
              <w:tr2bl w:val="nil"/>
            </w:tcBorders>
            <w:noWrap w:val="0"/>
            <w:vAlign w:val="center"/>
          </w:tcPr>
          <w:p w14:paraId="4B0CF119">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b/>
                <w:color w:val="000000"/>
                <w:sz w:val="21"/>
                <w:szCs w:val="21"/>
              </w:rPr>
            </w:pPr>
            <w:r>
              <w:rPr>
                <w:rFonts w:ascii="Times New Roman"/>
                <w:b/>
                <w:color w:val="000000"/>
                <w:sz w:val="21"/>
                <w:szCs w:val="21"/>
              </w:rPr>
              <w:t>评价等级</w:t>
            </w:r>
          </w:p>
        </w:tc>
        <w:tc>
          <w:tcPr>
            <w:tcW w:w="2718" w:type="pct"/>
            <w:tcBorders>
              <w:tl2br w:val="nil"/>
              <w:tr2bl w:val="nil"/>
            </w:tcBorders>
            <w:noWrap w:val="0"/>
            <w:vAlign w:val="center"/>
          </w:tcPr>
          <w:p w14:paraId="658442A3">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b/>
                <w:color w:val="000000"/>
                <w:sz w:val="21"/>
                <w:szCs w:val="21"/>
              </w:rPr>
            </w:pPr>
            <w:r>
              <w:rPr>
                <w:rFonts w:ascii="Times New Roman"/>
                <w:b/>
                <w:color w:val="000000"/>
                <w:sz w:val="21"/>
                <w:szCs w:val="21"/>
              </w:rPr>
              <w:t>评价范围</w:t>
            </w:r>
          </w:p>
        </w:tc>
        <w:tc>
          <w:tcPr>
            <w:tcW w:w="1009" w:type="pct"/>
            <w:tcBorders>
              <w:tl2br w:val="nil"/>
              <w:tr2bl w:val="nil"/>
            </w:tcBorders>
            <w:noWrap w:val="0"/>
            <w:vAlign w:val="center"/>
          </w:tcPr>
          <w:p w14:paraId="03302313">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b/>
                <w:color w:val="000000"/>
                <w:sz w:val="21"/>
                <w:szCs w:val="21"/>
              </w:rPr>
            </w:pPr>
            <w:r>
              <w:rPr>
                <w:rFonts w:ascii="Times New Roman"/>
                <w:b/>
                <w:color w:val="000000"/>
                <w:sz w:val="21"/>
                <w:szCs w:val="21"/>
              </w:rPr>
              <w:t>评价时段</w:t>
            </w:r>
          </w:p>
        </w:tc>
      </w:tr>
      <w:tr w14:paraId="4BDA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70" w:type="pct"/>
            <w:tcBorders>
              <w:tl2br w:val="nil"/>
              <w:tr2bl w:val="nil"/>
            </w:tcBorders>
            <w:noWrap w:val="0"/>
            <w:vAlign w:val="center"/>
          </w:tcPr>
          <w:p w14:paraId="57CBA8C8">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ascii="Times New Roman"/>
                <w:color w:val="000000"/>
                <w:sz w:val="21"/>
                <w:szCs w:val="21"/>
              </w:rPr>
              <w:t>生态环境</w:t>
            </w:r>
          </w:p>
        </w:tc>
        <w:tc>
          <w:tcPr>
            <w:tcW w:w="601" w:type="pct"/>
            <w:tcBorders>
              <w:tl2br w:val="nil"/>
              <w:tr2bl w:val="nil"/>
            </w:tcBorders>
            <w:noWrap w:val="0"/>
            <w:vAlign w:val="center"/>
          </w:tcPr>
          <w:p w14:paraId="7156FB14">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lang w:eastAsia="zh-CN"/>
              </w:rPr>
              <w:t>二</w:t>
            </w:r>
            <w:r>
              <w:rPr>
                <w:rFonts w:hint="eastAsia" w:ascii="Times New Roman"/>
                <w:color w:val="000000"/>
                <w:sz w:val="21"/>
                <w:szCs w:val="21"/>
              </w:rPr>
              <w:t>级</w:t>
            </w:r>
          </w:p>
        </w:tc>
        <w:tc>
          <w:tcPr>
            <w:tcW w:w="2718" w:type="pct"/>
            <w:tcBorders>
              <w:tl2br w:val="nil"/>
              <w:tr2bl w:val="nil"/>
            </w:tcBorders>
            <w:noWrap w:val="0"/>
            <w:vAlign w:val="center"/>
          </w:tcPr>
          <w:p w14:paraId="7AB7E557">
            <w:pPr>
              <w:pStyle w:val="62"/>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ascii="Times New Roman"/>
                <w:color w:val="000000"/>
                <w:sz w:val="21"/>
                <w:szCs w:val="21"/>
              </w:rPr>
              <w:t>工程涉及区、工程运输沿线周围200m范围</w:t>
            </w:r>
          </w:p>
        </w:tc>
        <w:tc>
          <w:tcPr>
            <w:tcW w:w="1009" w:type="pct"/>
            <w:tcBorders>
              <w:tl2br w:val="nil"/>
              <w:tr2bl w:val="nil"/>
            </w:tcBorders>
            <w:noWrap w:val="0"/>
            <w:vAlign w:val="center"/>
          </w:tcPr>
          <w:p w14:paraId="2A0B96D2">
            <w:pPr>
              <w:pStyle w:val="63"/>
              <w:keepNext w:val="0"/>
              <w:keepLines w:val="0"/>
              <w:suppressLineNumbers w:val="0"/>
              <w:autoSpaceDE w:val="0"/>
              <w:autoSpaceDN w:val="0"/>
              <w:spacing w:before="0" w:beforeAutospacing="0" w:after="0" w:afterAutospacing="0" w:line="240" w:lineRule="auto"/>
              <w:ind w:left="0" w:right="0"/>
              <w:jc w:val="center"/>
              <w:textAlignment w:val="bottom"/>
              <w:rPr>
                <w:rFonts w:hint="default" w:ascii="Times New Roman"/>
                <w:color w:val="000000"/>
                <w:sz w:val="21"/>
                <w:szCs w:val="21"/>
              </w:rPr>
            </w:pPr>
            <w:r>
              <w:rPr>
                <w:rFonts w:hint="eastAsia" w:ascii="Times New Roman"/>
                <w:color w:val="000000"/>
                <w:sz w:val="21"/>
                <w:szCs w:val="21"/>
              </w:rPr>
              <w:t>施工期</w:t>
            </w:r>
          </w:p>
        </w:tc>
      </w:tr>
    </w:tbl>
    <w:p w14:paraId="2182C6EE">
      <w:pPr>
        <w:bidi w:val="0"/>
        <w:ind w:left="0" w:leftChars="0" w:firstLine="0" w:firstLineChars="0"/>
        <w:outlineLvl w:val="1"/>
        <w:rPr>
          <w:color w:val="000000"/>
          <w:lang w:eastAsia="zh-CN"/>
        </w:rPr>
      </w:pPr>
      <w:bookmarkStart w:id="56" w:name="_Toc22056"/>
      <w:bookmarkStart w:id="57" w:name="_Toc119915350"/>
      <w:bookmarkStart w:id="58" w:name="_Toc29528"/>
      <w:r>
        <w:rPr>
          <w:rStyle w:val="59"/>
          <w:rFonts w:hint="eastAsia"/>
          <w:color w:val="000000"/>
          <w:lang w:val="en-US" w:eastAsia="zh-CN"/>
        </w:rPr>
        <w:t xml:space="preserve">1.5 </w:t>
      </w:r>
      <w:r>
        <w:rPr>
          <w:rStyle w:val="59"/>
          <w:rFonts w:hint="eastAsia"/>
          <w:color w:val="000000"/>
          <w:lang w:eastAsia="zh-CN"/>
        </w:rPr>
        <w:t>生态环境保护目标</w:t>
      </w:r>
      <w:bookmarkEnd w:id="56"/>
      <w:bookmarkEnd w:id="57"/>
      <w:bookmarkEnd w:id="58"/>
    </w:p>
    <w:p w14:paraId="2F37EEF2">
      <w:pPr>
        <w:bidi w:val="0"/>
        <w:rPr>
          <w:color w:val="000000"/>
        </w:rPr>
      </w:pPr>
      <w:r>
        <w:rPr>
          <w:color w:val="000000"/>
        </w:rPr>
        <w:t>根据项目周围环境敏感目标的分布和项目污染的特点，结合建设区自然、社会环境特征，评价区域主要环境敏感点见</w:t>
      </w:r>
      <w:r>
        <w:rPr>
          <w:rFonts w:hint="eastAsia"/>
          <w:color w:val="000000"/>
        </w:rPr>
        <w:t>下表</w:t>
      </w:r>
      <w:r>
        <w:rPr>
          <w:color w:val="000000"/>
        </w:rPr>
        <w:t>。</w:t>
      </w:r>
    </w:p>
    <w:p w14:paraId="75D56794">
      <w:pPr>
        <w:pStyle w:val="7"/>
        <w:keepNext/>
        <w:keepLines/>
        <w:pageBreakBefore w:val="0"/>
        <w:widowControl w:val="0"/>
        <w:kinsoku/>
        <w:wordWrap/>
        <w:overflowPunct/>
        <w:topLinePunct w:val="0"/>
        <w:autoSpaceDE/>
        <w:autoSpaceDN/>
        <w:bidi w:val="0"/>
        <w:adjustRightInd/>
        <w:snapToGrid/>
        <w:spacing w:line="240" w:lineRule="auto"/>
        <w:jc w:val="center"/>
        <w:textAlignment w:val="auto"/>
        <w:outlineLvl w:val="2"/>
        <w:rPr>
          <w:b/>
          <w:bCs/>
          <w:color w:val="000000"/>
        </w:rPr>
      </w:pPr>
      <w:bookmarkStart w:id="59" w:name="_Toc5716"/>
      <w:r>
        <w:rPr>
          <w:b/>
          <w:bCs/>
          <w:color w:val="000000"/>
        </w:rPr>
        <w:t>表1.</w:t>
      </w:r>
      <w:r>
        <w:rPr>
          <w:rFonts w:hint="eastAsia"/>
          <w:b/>
          <w:bCs/>
          <w:color w:val="000000"/>
          <w:lang w:val="en-US" w:eastAsia="zh-CN"/>
        </w:rPr>
        <w:t>5</w:t>
      </w:r>
      <w:r>
        <w:rPr>
          <w:b/>
          <w:bCs/>
          <w:color w:val="000000"/>
        </w:rPr>
        <w:t>-1  主要环境保护目标</w:t>
      </w:r>
      <w:bookmarkEnd w:id="59"/>
    </w:p>
    <w:tbl>
      <w:tblPr>
        <w:tblStyle w:val="2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1300"/>
        <w:gridCol w:w="1188"/>
        <w:gridCol w:w="1102"/>
        <w:gridCol w:w="1632"/>
        <w:gridCol w:w="1575"/>
        <w:gridCol w:w="1238"/>
      </w:tblGrid>
      <w:tr w14:paraId="791C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noWrap w:val="0"/>
            <w:vAlign w:val="center"/>
          </w:tcPr>
          <w:p w14:paraId="283FB1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环境要素</w:t>
            </w:r>
          </w:p>
        </w:tc>
        <w:tc>
          <w:tcPr>
            <w:tcW w:w="721" w:type="pct"/>
            <w:vMerge w:val="restart"/>
            <w:noWrap w:val="0"/>
            <w:vAlign w:val="center"/>
          </w:tcPr>
          <w:p w14:paraId="17A0DF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环境保护目标</w:t>
            </w:r>
          </w:p>
        </w:tc>
        <w:tc>
          <w:tcPr>
            <w:tcW w:w="1271" w:type="pct"/>
            <w:gridSpan w:val="2"/>
            <w:noWrap w:val="0"/>
            <w:vAlign w:val="center"/>
          </w:tcPr>
          <w:p w14:paraId="0EB9B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rPr>
            </w:pPr>
            <w:r>
              <w:rPr>
                <w:rFonts w:hint="default" w:ascii="Times New Roman" w:hAnsi="Times New Roman" w:eastAsia="宋体" w:cs="Times New Roman"/>
                <w:b/>
                <w:bCs/>
                <w:color w:val="000000"/>
                <w:sz w:val="21"/>
                <w:szCs w:val="21"/>
                <w:vertAlign w:val="baseline"/>
                <w:lang w:eastAsia="zh-CN"/>
              </w:rPr>
              <w:t>坐标</w:t>
            </w:r>
          </w:p>
        </w:tc>
        <w:tc>
          <w:tcPr>
            <w:tcW w:w="906" w:type="pct"/>
            <w:vMerge w:val="restart"/>
            <w:noWrap w:val="0"/>
            <w:vAlign w:val="center"/>
          </w:tcPr>
          <w:p w14:paraId="6D09FA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保护对象</w:t>
            </w:r>
          </w:p>
        </w:tc>
        <w:tc>
          <w:tcPr>
            <w:tcW w:w="874" w:type="pct"/>
            <w:vMerge w:val="restart"/>
            <w:noWrap w:val="0"/>
            <w:vAlign w:val="center"/>
          </w:tcPr>
          <w:p w14:paraId="2633A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eastAsia="zh-CN"/>
              </w:rPr>
              <w:t>保护内容</w:t>
            </w:r>
          </w:p>
        </w:tc>
        <w:tc>
          <w:tcPr>
            <w:tcW w:w="687" w:type="pct"/>
            <w:vMerge w:val="restart"/>
            <w:noWrap w:val="0"/>
            <w:vAlign w:val="center"/>
          </w:tcPr>
          <w:p w14:paraId="7DB844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环境功能</w:t>
            </w:r>
          </w:p>
        </w:tc>
      </w:tr>
      <w:tr w14:paraId="4821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5F4CC4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721" w:type="pct"/>
            <w:vMerge w:val="continue"/>
            <w:noWrap w:val="0"/>
            <w:vAlign w:val="center"/>
          </w:tcPr>
          <w:p w14:paraId="01D1B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rPr>
            </w:pPr>
          </w:p>
        </w:tc>
        <w:tc>
          <w:tcPr>
            <w:tcW w:w="659" w:type="pct"/>
            <w:noWrap w:val="0"/>
            <w:vAlign w:val="center"/>
          </w:tcPr>
          <w:p w14:paraId="086F0F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北纬</w:t>
            </w:r>
          </w:p>
        </w:tc>
        <w:tc>
          <w:tcPr>
            <w:tcW w:w="611" w:type="pct"/>
            <w:noWrap w:val="0"/>
            <w:vAlign w:val="center"/>
          </w:tcPr>
          <w:p w14:paraId="6A4C11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vertAlign w:val="baseline"/>
                <w:lang w:eastAsia="zh-CN"/>
              </w:rPr>
            </w:pPr>
            <w:r>
              <w:rPr>
                <w:rFonts w:hint="default" w:ascii="Times New Roman" w:hAnsi="Times New Roman" w:eastAsia="宋体" w:cs="Times New Roman"/>
                <w:b/>
                <w:bCs/>
                <w:color w:val="000000"/>
                <w:sz w:val="21"/>
                <w:szCs w:val="21"/>
                <w:vertAlign w:val="baseline"/>
                <w:lang w:eastAsia="zh-CN"/>
              </w:rPr>
              <w:t>东经</w:t>
            </w:r>
          </w:p>
        </w:tc>
        <w:tc>
          <w:tcPr>
            <w:tcW w:w="906" w:type="pct"/>
            <w:vMerge w:val="continue"/>
            <w:noWrap w:val="0"/>
            <w:vAlign w:val="center"/>
          </w:tcPr>
          <w:p w14:paraId="42879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rPr>
            </w:pPr>
          </w:p>
        </w:tc>
        <w:tc>
          <w:tcPr>
            <w:tcW w:w="874" w:type="pct"/>
            <w:vMerge w:val="continue"/>
            <w:noWrap w:val="0"/>
            <w:vAlign w:val="center"/>
          </w:tcPr>
          <w:p w14:paraId="60C9A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rPr>
            </w:pPr>
          </w:p>
        </w:tc>
        <w:tc>
          <w:tcPr>
            <w:tcW w:w="687" w:type="pct"/>
            <w:vMerge w:val="continue"/>
            <w:noWrap w:val="0"/>
            <w:vAlign w:val="center"/>
          </w:tcPr>
          <w:p w14:paraId="692590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rPr>
            </w:pPr>
          </w:p>
        </w:tc>
      </w:tr>
      <w:tr w14:paraId="0EA6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restart"/>
            <w:noWrap w:val="0"/>
            <w:vAlign w:val="center"/>
          </w:tcPr>
          <w:p w14:paraId="2007BC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地表水环境</w:t>
            </w:r>
          </w:p>
        </w:tc>
        <w:tc>
          <w:tcPr>
            <w:tcW w:w="721" w:type="pct"/>
            <w:noWrap w:val="0"/>
            <w:vAlign w:val="center"/>
          </w:tcPr>
          <w:p w14:paraId="24718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kern w:val="2"/>
                <w:sz w:val="21"/>
                <w:szCs w:val="21"/>
                <w:lang w:val="en-US" w:eastAsia="zh-CN" w:bidi="ar-SA"/>
              </w:rPr>
              <w:t>东淠河</w:t>
            </w:r>
          </w:p>
        </w:tc>
        <w:tc>
          <w:tcPr>
            <w:tcW w:w="659" w:type="pct"/>
            <w:noWrap w:val="0"/>
            <w:vAlign w:val="center"/>
          </w:tcPr>
          <w:p w14:paraId="03AC0A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1E5BD8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restart"/>
            <w:noWrap w:val="0"/>
            <w:vAlign w:val="center"/>
          </w:tcPr>
          <w:p w14:paraId="0DF36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水环境功能</w:t>
            </w:r>
          </w:p>
        </w:tc>
        <w:tc>
          <w:tcPr>
            <w:tcW w:w="874" w:type="pct"/>
            <w:vMerge w:val="restart"/>
            <w:noWrap w:val="0"/>
            <w:vAlign w:val="center"/>
          </w:tcPr>
          <w:p w14:paraId="7C175D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rPr>
            </w:pPr>
            <w:r>
              <w:rPr>
                <w:rFonts w:hint="default" w:ascii="Times New Roman" w:hAnsi="Times New Roman" w:eastAsia="宋体" w:cs="Times New Roman"/>
                <w:b w:val="0"/>
                <w:bCs w:val="0"/>
                <w:color w:val="000000"/>
                <w:sz w:val="21"/>
                <w:szCs w:val="21"/>
                <w:vertAlign w:val="baseline"/>
                <w:lang w:eastAsia="zh-CN"/>
              </w:rPr>
              <w:t>水质</w:t>
            </w:r>
          </w:p>
        </w:tc>
        <w:tc>
          <w:tcPr>
            <w:tcW w:w="687" w:type="pct"/>
            <w:vMerge w:val="restart"/>
            <w:noWrap w:val="0"/>
            <w:vAlign w:val="center"/>
          </w:tcPr>
          <w:p w14:paraId="75A013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rPr>
            </w:pPr>
            <w:r>
              <w:rPr>
                <w:rFonts w:hint="default" w:ascii="Times New Roman" w:hAnsi="Times New Roman" w:eastAsia="宋体" w:cs="Times New Roman"/>
                <w:b w:val="0"/>
                <w:bCs w:val="0"/>
                <w:color w:val="000000"/>
                <w:sz w:val="21"/>
                <w:szCs w:val="21"/>
                <w:vertAlign w:val="baseline"/>
                <w:lang w:eastAsia="zh-CN"/>
              </w:rPr>
              <w:t>地表水</w:t>
            </w:r>
            <w:r>
              <w:rPr>
                <w:rFonts w:hint="default" w:ascii="Times New Roman" w:hAnsi="Times New Roman" w:eastAsia="宋体" w:cs="Times New Roman"/>
                <w:b w:val="0"/>
                <w:bCs w:val="0"/>
                <w:color w:val="000000"/>
                <w:sz w:val="21"/>
                <w:szCs w:val="21"/>
                <w:vertAlign w:val="baseline"/>
                <w:lang w:val="en-US" w:eastAsia="zh-CN"/>
              </w:rPr>
              <w:t>III类</w:t>
            </w:r>
          </w:p>
        </w:tc>
      </w:tr>
      <w:tr w14:paraId="6E5B9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continue"/>
            <w:noWrap w:val="0"/>
            <w:vAlign w:val="center"/>
          </w:tcPr>
          <w:p w14:paraId="74C78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000000"/>
              </w:rPr>
            </w:pPr>
          </w:p>
        </w:tc>
        <w:tc>
          <w:tcPr>
            <w:tcW w:w="721" w:type="pct"/>
            <w:noWrap w:val="0"/>
            <w:vAlign w:val="center"/>
          </w:tcPr>
          <w:p w14:paraId="25FCAE7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kern w:val="2"/>
                <w:sz w:val="21"/>
                <w:szCs w:val="21"/>
                <w:lang w:val="en-US" w:eastAsia="zh-CN" w:bidi="ar-SA"/>
              </w:rPr>
              <w:t>幽芳河</w:t>
            </w:r>
          </w:p>
        </w:tc>
        <w:tc>
          <w:tcPr>
            <w:tcW w:w="659" w:type="pct"/>
            <w:noWrap w:val="0"/>
            <w:vAlign w:val="center"/>
          </w:tcPr>
          <w:p w14:paraId="7F815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3D28CE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continue"/>
            <w:noWrap w:val="0"/>
            <w:vAlign w:val="center"/>
          </w:tcPr>
          <w:p w14:paraId="58EC24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874" w:type="pct"/>
            <w:vMerge w:val="continue"/>
            <w:noWrap w:val="0"/>
            <w:vAlign w:val="center"/>
          </w:tcPr>
          <w:p w14:paraId="49AD8A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687" w:type="pct"/>
            <w:vMerge w:val="continue"/>
            <w:noWrap w:val="0"/>
            <w:vAlign w:val="center"/>
          </w:tcPr>
          <w:p w14:paraId="192D8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r>
      <w:tr w14:paraId="33F02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continue"/>
            <w:noWrap w:val="0"/>
            <w:vAlign w:val="center"/>
          </w:tcPr>
          <w:p w14:paraId="4A04F4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721" w:type="pct"/>
            <w:noWrap w:val="0"/>
            <w:vAlign w:val="center"/>
          </w:tcPr>
          <w:p w14:paraId="77243BB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kern w:val="2"/>
                <w:sz w:val="21"/>
                <w:szCs w:val="21"/>
                <w:lang w:val="en-US" w:eastAsia="zh-CN" w:bidi="ar-SA"/>
              </w:rPr>
              <w:t>高庙河</w:t>
            </w:r>
          </w:p>
        </w:tc>
        <w:tc>
          <w:tcPr>
            <w:tcW w:w="659" w:type="pct"/>
            <w:noWrap w:val="0"/>
            <w:vAlign w:val="center"/>
          </w:tcPr>
          <w:p w14:paraId="3BF077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68706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continue"/>
            <w:noWrap w:val="0"/>
            <w:vAlign w:val="center"/>
          </w:tcPr>
          <w:p w14:paraId="02818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874" w:type="pct"/>
            <w:vMerge w:val="continue"/>
            <w:noWrap w:val="0"/>
            <w:vAlign w:val="center"/>
          </w:tcPr>
          <w:p w14:paraId="699F9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687" w:type="pct"/>
            <w:vMerge w:val="continue"/>
            <w:noWrap w:val="0"/>
            <w:vAlign w:val="center"/>
          </w:tcPr>
          <w:p w14:paraId="64020B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r>
      <w:tr w14:paraId="370F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538" w:type="pct"/>
            <w:vMerge w:val="continue"/>
            <w:noWrap w:val="0"/>
            <w:vAlign w:val="center"/>
          </w:tcPr>
          <w:p w14:paraId="4336A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721" w:type="pct"/>
            <w:noWrap w:val="0"/>
            <w:vAlign w:val="center"/>
          </w:tcPr>
          <w:p w14:paraId="312DEDA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eastAsia" w:ascii="Times New Roman" w:hAnsi="Times New Roman" w:eastAsia="宋体" w:cs="黑体"/>
                <w:color w:val="000000"/>
                <w:kern w:val="2"/>
                <w:sz w:val="21"/>
                <w:szCs w:val="21"/>
                <w:lang w:val="en-US" w:eastAsia="zh-CN" w:bidi="ar-SA"/>
              </w:rPr>
              <w:t>柳林河</w:t>
            </w:r>
          </w:p>
        </w:tc>
        <w:tc>
          <w:tcPr>
            <w:tcW w:w="659" w:type="pct"/>
            <w:noWrap w:val="0"/>
            <w:vAlign w:val="center"/>
          </w:tcPr>
          <w:p w14:paraId="4C5F54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611" w:type="pct"/>
            <w:noWrap w:val="0"/>
            <w:vAlign w:val="center"/>
          </w:tcPr>
          <w:p w14:paraId="65405C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val="en-US" w:eastAsia="zh-CN"/>
              </w:rPr>
            </w:pPr>
            <w:r>
              <w:rPr>
                <w:rFonts w:hint="eastAsia" w:cs="Times New Roman"/>
                <w:b w:val="0"/>
                <w:bCs w:val="0"/>
                <w:color w:val="000000"/>
                <w:sz w:val="21"/>
                <w:szCs w:val="21"/>
                <w:vertAlign w:val="baseline"/>
                <w:lang w:val="en-US" w:eastAsia="zh-CN"/>
              </w:rPr>
              <w:t>/</w:t>
            </w:r>
          </w:p>
        </w:tc>
        <w:tc>
          <w:tcPr>
            <w:tcW w:w="906" w:type="pct"/>
            <w:vMerge w:val="continue"/>
            <w:noWrap w:val="0"/>
            <w:vAlign w:val="center"/>
          </w:tcPr>
          <w:p w14:paraId="27236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874" w:type="pct"/>
            <w:vMerge w:val="continue"/>
            <w:noWrap w:val="0"/>
            <w:vAlign w:val="center"/>
          </w:tcPr>
          <w:p w14:paraId="0626D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687" w:type="pct"/>
            <w:vMerge w:val="continue"/>
            <w:noWrap w:val="0"/>
            <w:vAlign w:val="center"/>
          </w:tcPr>
          <w:p w14:paraId="12507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r>
      <w:tr w14:paraId="5791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restart"/>
            <w:noWrap w:val="0"/>
            <w:vAlign w:val="center"/>
          </w:tcPr>
          <w:p w14:paraId="558589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生态</w:t>
            </w:r>
          </w:p>
          <w:p w14:paraId="6A12F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vertAlign w:val="baseline"/>
                <w:lang w:eastAsia="zh-CN"/>
              </w:rPr>
              <w:t>环境</w:t>
            </w:r>
          </w:p>
        </w:tc>
        <w:tc>
          <w:tcPr>
            <w:tcW w:w="1300" w:type="dxa"/>
            <w:noWrap w:val="0"/>
            <w:vAlign w:val="center"/>
          </w:tcPr>
          <w:p w14:paraId="40A3115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color w:val="000000"/>
                <w:kern w:val="0"/>
                <w:sz w:val="21"/>
                <w:szCs w:val="21"/>
                <w:highlight w:val="none"/>
                <w:lang w:val="en-US" w:eastAsia="zh-CN"/>
              </w:rPr>
              <w:t>陆域生态</w:t>
            </w:r>
          </w:p>
        </w:tc>
        <w:tc>
          <w:tcPr>
            <w:tcW w:w="6735" w:type="dxa"/>
            <w:gridSpan w:val="5"/>
            <w:noWrap w:val="0"/>
            <w:vAlign w:val="center"/>
          </w:tcPr>
          <w:p w14:paraId="057CEBCD">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color w:val="000000"/>
                <w:kern w:val="0"/>
                <w:sz w:val="21"/>
                <w:szCs w:val="21"/>
                <w:highlight w:val="none"/>
                <w:lang w:val="en-US" w:eastAsia="zh-CN"/>
              </w:rPr>
              <w:t>项目评价范围内无自然保护区、风景名胜区、文物古迹等特殊生态保护区，生态环境保护</w:t>
            </w:r>
            <w:r>
              <w:rPr>
                <w:rFonts w:hint="eastAsia" w:cs="Times New Roman"/>
                <w:color w:val="000000"/>
                <w:kern w:val="0"/>
                <w:sz w:val="21"/>
                <w:szCs w:val="21"/>
                <w:highlight w:val="none"/>
                <w:lang w:val="en-US" w:eastAsia="zh-CN"/>
              </w:rPr>
              <w:t>目标为</w:t>
            </w:r>
            <w:r>
              <w:rPr>
                <w:rFonts w:hint="default" w:ascii="Times New Roman" w:hAnsi="Times New Roman" w:eastAsia="宋体" w:cs="Times New Roman"/>
                <w:color w:val="000000"/>
                <w:kern w:val="0"/>
                <w:sz w:val="21"/>
                <w:szCs w:val="21"/>
                <w:highlight w:val="none"/>
                <w:lang w:val="en-US" w:eastAsia="zh-CN"/>
              </w:rPr>
              <w:t>可能受项目施工活动影响及运输路线周边的植被</w:t>
            </w:r>
            <w:r>
              <w:rPr>
                <w:rFonts w:hint="eastAsia" w:cs="Times New Roman"/>
                <w:color w:val="000000"/>
                <w:kern w:val="0"/>
                <w:sz w:val="21"/>
                <w:szCs w:val="21"/>
                <w:highlight w:val="none"/>
                <w:lang w:val="en-US" w:eastAsia="zh-CN"/>
              </w:rPr>
              <w:t>、动物</w:t>
            </w:r>
            <w:r>
              <w:rPr>
                <w:rFonts w:hint="default" w:ascii="Times New Roman" w:hAnsi="Times New Roman" w:eastAsia="宋体" w:cs="Times New Roman"/>
                <w:color w:val="000000"/>
                <w:kern w:val="0"/>
                <w:sz w:val="21"/>
                <w:szCs w:val="21"/>
                <w:highlight w:val="none"/>
                <w:lang w:val="en-US" w:eastAsia="zh-CN"/>
              </w:rPr>
              <w:t>及区域内的鸟类。施工过程中，为防止水土流失，不随意开挖，减少地表扰动，对临时占地区域，采取临时拦挡，排水措施，减少冲刷。施工结束后除采取水土保持措施外，还应从恢复和提高其生态、景观角度出发，选择该地区地带性植被类型植被群落的优势种类作为恢复植被的主要物种。加强对施工人员进行生态保护教育。在施工边界竖立防火、随意开挖，预防和杜绝森林火灾发生。</w:t>
            </w:r>
          </w:p>
        </w:tc>
      </w:tr>
      <w:tr w14:paraId="63A09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38" w:type="pct"/>
            <w:vMerge w:val="continue"/>
            <w:noWrap w:val="0"/>
            <w:vAlign w:val="center"/>
          </w:tcPr>
          <w:p w14:paraId="5605C8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sz w:val="21"/>
                <w:szCs w:val="21"/>
                <w:vertAlign w:val="baseline"/>
                <w:lang w:eastAsia="zh-CN"/>
              </w:rPr>
            </w:pPr>
          </w:p>
        </w:tc>
        <w:tc>
          <w:tcPr>
            <w:tcW w:w="1300" w:type="dxa"/>
            <w:noWrap w:val="0"/>
            <w:vAlign w:val="center"/>
          </w:tcPr>
          <w:p w14:paraId="3FFD6FBE">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default" w:ascii="Times New Roman" w:hAnsi="Times New Roman" w:eastAsia="宋体" w:cs="Times New Roman"/>
                <w:color w:val="000000"/>
                <w:kern w:val="0"/>
                <w:sz w:val="21"/>
                <w:szCs w:val="21"/>
                <w:highlight w:val="none"/>
                <w:lang w:val="en-US" w:eastAsia="zh-CN"/>
              </w:rPr>
              <w:t>水生生态</w:t>
            </w:r>
          </w:p>
        </w:tc>
        <w:tc>
          <w:tcPr>
            <w:tcW w:w="6735" w:type="dxa"/>
            <w:gridSpan w:val="5"/>
            <w:noWrap w:val="0"/>
            <w:vAlign w:val="center"/>
          </w:tcPr>
          <w:p w14:paraId="6315B801">
            <w:pPr>
              <w:keepNext w:val="0"/>
              <w:keepLines w:val="0"/>
              <w:pageBreakBefore w:val="0"/>
              <w:suppressLineNumbers w:val="0"/>
              <w:kinsoku/>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val="0"/>
                <w:bCs w:val="0"/>
                <w:color w:val="000000"/>
                <w:kern w:val="2"/>
                <w:sz w:val="21"/>
                <w:szCs w:val="21"/>
                <w:vertAlign w:val="baseline"/>
                <w:lang w:val="en-US" w:eastAsia="zh-CN" w:bidi="ar-SA"/>
              </w:rPr>
            </w:pPr>
            <w:r>
              <w:rPr>
                <w:rFonts w:hint="eastAsia" w:cs="Times New Roman"/>
                <w:color w:val="000000"/>
                <w:kern w:val="0"/>
                <w:sz w:val="21"/>
                <w:szCs w:val="21"/>
                <w:highlight w:val="none"/>
                <w:lang w:val="en-US" w:eastAsia="zh-CN"/>
              </w:rPr>
              <w:t>施工</w:t>
            </w:r>
            <w:r>
              <w:rPr>
                <w:rFonts w:hint="default" w:ascii="Times New Roman" w:hAnsi="Times New Roman" w:eastAsia="宋体" w:cs="Times New Roman"/>
                <w:color w:val="000000"/>
                <w:kern w:val="0"/>
                <w:sz w:val="21"/>
                <w:szCs w:val="21"/>
                <w:highlight w:val="none"/>
                <w:lang w:val="en-US" w:eastAsia="zh-CN"/>
              </w:rPr>
              <w:t>河道内的水生生物。对施工人员加强宣传，增强施工人员的环保意识。加强监管，严禁捕鱼，按环保要求施工，施工废水进行达标处理，不得随意排放，防止污染河道水质</w:t>
            </w:r>
          </w:p>
        </w:tc>
      </w:tr>
    </w:tbl>
    <w:p w14:paraId="08A7A4CC">
      <w:pPr>
        <w:pStyle w:val="4"/>
        <w:bidi w:val="0"/>
        <w:ind w:left="0" w:leftChars="0" w:firstLine="0" w:firstLineChars="0"/>
        <w:rPr>
          <w:rFonts w:hint="eastAsia"/>
          <w:color w:val="000000"/>
          <w:lang w:val="en-US" w:eastAsia="zh-CN"/>
        </w:rPr>
      </w:pPr>
      <w:bookmarkStart w:id="60" w:name="_Toc8003"/>
      <w:bookmarkStart w:id="61" w:name="_Toc9518"/>
      <w:r>
        <w:rPr>
          <w:rFonts w:hint="eastAsia"/>
          <w:color w:val="000000"/>
          <w:lang w:val="en-US" w:eastAsia="zh-CN"/>
        </w:rPr>
        <w:t>1.6评价内容</w:t>
      </w:r>
      <w:bookmarkEnd w:id="60"/>
      <w:bookmarkEnd w:id="61"/>
    </w:p>
    <w:p w14:paraId="0454692A">
      <w:pPr>
        <w:rPr>
          <w:rFonts w:hint="eastAsia"/>
          <w:color w:val="000000"/>
          <w:lang w:val="en-US" w:eastAsia="zh-CN"/>
        </w:rPr>
      </w:pPr>
      <w:r>
        <w:rPr>
          <w:rFonts w:hint="eastAsia"/>
          <w:color w:val="000000"/>
          <w:lang w:val="en-US" w:eastAsia="zh-CN"/>
        </w:rPr>
        <w:t>1、对建设项目的建设概况及工程分析；</w:t>
      </w:r>
    </w:p>
    <w:p w14:paraId="6781ABA1">
      <w:pPr>
        <w:rPr>
          <w:rFonts w:hint="eastAsia"/>
          <w:color w:val="000000"/>
          <w:lang w:val="en-US" w:eastAsia="zh-CN"/>
        </w:rPr>
      </w:pPr>
      <w:r>
        <w:rPr>
          <w:rFonts w:hint="eastAsia"/>
          <w:color w:val="000000"/>
          <w:lang w:val="en-US" w:eastAsia="zh-CN"/>
        </w:rPr>
        <w:t>2、生态环境现状调查及评价；</w:t>
      </w:r>
    </w:p>
    <w:p w14:paraId="6E53FDFF">
      <w:pPr>
        <w:pStyle w:val="15"/>
        <w:rPr>
          <w:rFonts w:hint="default"/>
          <w:color w:val="000000"/>
          <w:lang w:val="en-US" w:eastAsia="zh-CN"/>
        </w:rPr>
      </w:pPr>
      <w:r>
        <w:rPr>
          <w:rFonts w:hint="eastAsia"/>
          <w:color w:val="000000"/>
          <w:lang w:val="en-US" w:eastAsia="zh-CN"/>
        </w:rPr>
        <w:t>3、生态环境影响预测及评价</w:t>
      </w:r>
    </w:p>
    <w:p w14:paraId="63DFCDA7">
      <w:pPr>
        <w:rPr>
          <w:rFonts w:hint="eastAsia"/>
          <w:color w:val="000000"/>
          <w:lang w:val="en-US" w:eastAsia="zh-CN"/>
        </w:rPr>
      </w:pPr>
      <w:r>
        <w:rPr>
          <w:rFonts w:hint="eastAsia"/>
          <w:color w:val="000000"/>
          <w:lang w:val="en-US" w:eastAsia="zh-CN"/>
        </w:rPr>
        <w:t>4、主要生态环境影响及保护措施；</w:t>
      </w:r>
    </w:p>
    <w:p w14:paraId="509178B5">
      <w:pPr>
        <w:ind w:left="0" w:leftChars="0" w:firstLine="0" w:firstLineChars="0"/>
        <w:rPr>
          <w:b/>
          <w:color w:val="000000"/>
          <w:highlight w:val="yellow"/>
        </w:rPr>
        <w:sectPr>
          <w:pgSz w:w="11911" w:h="16838"/>
          <w:pgMar w:top="850" w:right="1417" w:bottom="850" w:left="1701" w:header="794" w:footer="1123" w:gutter="0"/>
          <w:pgBorders>
            <w:top w:val="none" w:sz="0" w:space="0"/>
            <w:left w:val="none" w:sz="0" w:space="0"/>
            <w:bottom w:val="none" w:sz="0" w:space="0"/>
            <w:right w:val="none" w:sz="0" w:space="0"/>
          </w:pgBorders>
          <w:pgNumType w:fmt="decimal"/>
          <w:cols w:space="720" w:num="1"/>
          <w:rtlGutter w:val="0"/>
          <w:docGrid w:linePitch="326" w:charSpace="0"/>
        </w:sectPr>
      </w:pPr>
    </w:p>
    <w:p w14:paraId="66B9CB15">
      <w:pPr>
        <w:pStyle w:val="4"/>
        <w:bidi w:val="0"/>
        <w:rPr>
          <w:rFonts w:hint="eastAsia"/>
          <w:color w:val="000000"/>
          <w:lang w:val="en-US" w:eastAsia="zh-CN"/>
        </w:rPr>
      </w:pPr>
      <w:bookmarkStart w:id="62" w:name="_Toc1987"/>
      <w:bookmarkStart w:id="63" w:name="_Toc5161"/>
      <w:r>
        <w:rPr>
          <w:rFonts w:hint="eastAsia"/>
          <w:color w:val="000000"/>
          <w:lang w:val="en-US" w:eastAsia="zh-CN"/>
        </w:rPr>
        <w:t>1.7 生态环境影响评价路线</w:t>
      </w:r>
      <w:bookmarkEnd w:id="62"/>
      <w:bookmarkEnd w:id="63"/>
    </w:p>
    <w:p w14:paraId="689478C8">
      <w:pPr>
        <w:ind w:left="0" w:leftChars="0" w:firstLine="0" w:firstLineChars="0"/>
        <w:jc w:val="center"/>
        <w:rPr>
          <w:color w:val="000000"/>
        </w:rPr>
      </w:pPr>
      <w:r>
        <w:rPr>
          <w:color w:val="000000"/>
        </w:rPr>
        <w:pict>
          <v:shape id="_x0000_i1025" o:spt="75" type="#_x0000_t75" style="height:372.15pt;width:439.1pt;" filled="f" stroked="f" coordsize="21600,21600">
            <v:path/>
            <v:fill on="f" focussize="0,0"/>
            <v:stroke on="f"/>
            <v:imagedata r:id="rId45" o:title=""/>
            <o:lock v:ext="edit" aspectratio="t"/>
            <w10:wrap type="none"/>
            <w10:anchorlock/>
          </v:shape>
        </w:pict>
      </w:r>
    </w:p>
    <w:p w14:paraId="25C46AB0">
      <w:pPr>
        <w:ind w:left="0" w:leftChars="0" w:firstLine="0" w:firstLineChars="0"/>
        <w:jc w:val="center"/>
        <w:outlineLvl w:val="9"/>
        <w:rPr>
          <w:rFonts w:hint="eastAsia"/>
          <w:b/>
          <w:bCs/>
          <w:color w:val="000000"/>
          <w:lang w:val="en-US" w:eastAsia="zh-CN"/>
        </w:rPr>
      </w:pPr>
      <w:r>
        <w:rPr>
          <w:rFonts w:hint="eastAsia"/>
          <w:b/>
          <w:bCs/>
          <w:color w:val="000000"/>
          <w:lang w:eastAsia="zh-CN"/>
        </w:rPr>
        <w:t>图</w:t>
      </w:r>
      <w:r>
        <w:rPr>
          <w:rFonts w:hint="eastAsia"/>
          <w:b/>
          <w:bCs/>
          <w:color w:val="000000"/>
          <w:lang w:val="en-US" w:eastAsia="zh-CN"/>
        </w:rPr>
        <w:t>1.6-1 生态环境影响评价工作程序</w:t>
      </w:r>
    </w:p>
    <w:p w14:paraId="6D5AA6FA">
      <w:pPr>
        <w:ind w:left="0" w:leftChars="0" w:firstLine="0" w:firstLineChars="0"/>
        <w:jc w:val="center"/>
        <w:outlineLvl w:val="9"/>
        <w:rPr>
          <w:rFonts w:hint="eastAsia"/>
          <w:color w:val="000000"/>
          <w:lang w:val="en-US" w:eastAsia="zh-CN"/>
        </w:rPr>
      </w:pPr>
      <w:r>
        <w:rPr>
          <w:rFonts w:hint="eastAsia"/>
          <w:color w:val="000000"/>
          <w:lang w:val="en-US" w:eastAsia="zh-CN"/>
        </w:rPr>
        <w:br w:type="page"/>
      </w:r>
      <w:bookmarkStart w:id="64" w:name="_Toc11974"/>
      <w:r>
        <w:rPr>
          <w:rStyle w:val="58"/>
          <w:rFonts w:hint="eastAsia"/>
          <w:color w:val="000000"/>
          <w:lang w:val="en-US" w:eastAsia="zh-CN"/>
        </w:rPr>
        <w:t>2 建设项目概况</w:t>
      </w:r>
      <w:bookmarkEnd w:id="64"/>
    </w:p>
    <w:p w14:paraId="26F4F351">
      <w:pPr>
        <w:ind w:left="0" w:leftChars="0" w:firstLine="0" w:firstLineChars="0"/>
        <w:jc w:val="left"/>
        <w:outlineLvl w:val="1"/>
        <w:rPr>
          <w:rStyle w:val="59"/>
          <w:rFonts w:hint="eastAsia"/>
          <w:color w:val="000000"/>
          <w:lang w:val="en-US" w:eastAsia="zh-CN"/>
        </w:rPr>
      </w:pPr>
      <w:bookmarkStart w:id="65" w:name="_Toc31119"/>
      <w:bookmarkStart w:id="66" w:name="_Toc30004"/>
      <w:r>
        <w:rPr>
          <w:rStyle w:val="59"/>
          <w:rFonts w:hint="eastAsia"/>
          <w:color w:val="000000"/>
          <w:lang w:val="en-US" w:eastAsia="zh-CN"/>
        </w:rPr>
        <w:t>2.1 项目基本情况</w:t>
      </w:r>
      <w:bookmarkEnd w:id="65"/>
      <w:bookmarkEnd w:id="66"/>
    </w:p>
    <w:p w14:paraId="65736E4C">
      <w:pPr>
        <w:pStyle w:val="5"/>
        <w:bidi w:val="0"/>
        <w:rPr>
          <w:rFonts w:hint="eastAsia"/>
          <w:color w:val="000000"/>
          <w:lang w:val="en-US" w:eastAsia="zh-CN"/>
        </w:rPr>
      </w:pPr>
      <w:bookmarkStart w:id="67" w:name="_Toc17074"/>
      <w:r>
        <w:rPr>
          <w:rFonts w:hint="eastAsia"/>
          <w:color w:val="000000"/>
          <w:lang w:val="en-US" w:eastAsia="zh-CN"/>
        </w:rPr>
        <w:t>2.1.1基本情况</w:t>
      </w:r>
      <w:bookmarkEnd w:id="67"/>
    </w:p>
    <w:p w14:paraId="267FAF46">
      <w:pPr>
        <w:numPr>
          <w:ilvl w:val="0"/>
          <w:numId w:val="10"/>
        </w:numPr>
        <w:rPr>
          <w:rFonts w:hint="eastAsia"/>
          <w:color w:val="000000"/>
          <w:lang w:val="en-US" w:eastAsia="zh-CN"/>
        </w:rPr>
      </w:pPr>
      <w:r>
        <w:rPr>
          <w:rFonts w:hint="eastAsia"/>
          <w:color w:val="000000"/>
          <w:lang w:val="en-US" w:eastAsia="zh-CN"/>
        </w:rPr>
        <w:t>项目名称：六安市霍山县排水防涝能力提升项目；</w:t>
      </w:r>
    </w:p>
    <w:p w14:paraId="5FFB5975">
      <w:pPr>
        <w:numPr>
          <w:ilvl w:val="0"/>
          <w:numId w:val="10"/>
        </w:numPr>
        <w:ind w:left="0" w:leftChars="0" w:firstLine="480" w:firstLineChars="200"/>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项目性质：新建；</w:t>
      </w:r>
    </w:p>
    <w:p w14:paraId="6B527E73">
      <w:pPr>
        <w:pStyle w:val="15"/>
        <w:numPr>
          <w:ilvl w:val="0"/>
          <w:numId w:val="10"/>
        </w:numPr>
        <w:ind w:left="0" w:leftChars="0" w:firstLine="480" w:firstLineChars="200"/>
        <w:rPr>
          <w:rFonts w:hint="default"/>
          <w:color w:val="000000"/>
          <w:lang w:val="en-US" w:eastAsia="zh-CN"/>
        </w:rPr>
      </w:pPr>
      <w:r>
        <w:rPr>
          <w:rFonts w:hint="eastAsia"/>
          <w:color w:val="000000"/>
          <w:lang w:val="en-US" w:eastAsia="zh-CN"/>
        </w:rPr>
        <w:t>建设单位：</w:t>
      </w:r>
      <w:r>
        <w:rPr>
          <w:rFonts w:hint="eastAsia" w:cs="Times New Roman"/>
          <w:i w:val="0"/>
          <w:iCs w:val="0"/>
          <w:caps w:val="0"/>
          <w:color w:val="000000"/>
          <w:spacing w:val="0"/>
          <w:sz w:val="24"/>
          <w:szCs w:val="24"/>
          <w:shd w:val="clear" w:color="auto" w:fill="FFFFFF"/>
          <w:lang w:eastAsia="zh-CN"/>
        </w:rPr>
        <w:t>霍山县水务局；</w:t>
      </w:r>
    </w:p>
    <w:p w14:paraId="5BF401D1">
      <w:pPr>
        <w:numPr>
          <w:ilvl w:val="0"/>
          <w:numId w:val="10"/>
        </w:numPr>
        <w:ind w:left="0" w:leftChars="0" w:firstLine="480" w:firstLineChars="200"/>
        <w:rPr>
          <w:rFonts w:hint="eastAsia" w:cs="Times New Roman"/>
          <w:i w:val="0"/>
          <w:iCs w:val="0"/>
          <w:caps w:val="0"/>
          <w:color w:val="000000"/>
          <w:spacing w:val="0"/>
          <w:sz w:val="24"/>
          <w:szCs w:val="24"/>
          <w:shd w:val="clear" w:color="auto" w:fill="FFFFFF"/>
          <w:lang w:eastAsia="zh-CN"/>
        </w:rPr>
      </w:pPr>
      <w:r>
        <w:rPr>
          <w:rFonts w:hint="eastAsia" w:cs="Times New Roman"/>
          <w:i w:val="0"/>
          <w:iCs w:val="0"/>
          <w:caps w:val="0"/>
          <w:color w:val="000000"/>
          <w:spacing w:val="0"/>
          <w:sz w:val="24"/>
          <w:szCs w:val="24"/>
          <w:shd w:val="clear" w:color="auto" w:fill="FFFFFF"/>
          <w:lang w:eastAsia="zh-CN"/>
        </w:rPr>
        <w:t>建设地点：</w:t>
      </w:r>
      <w:r>
        <w:rPr>
          <w:rFonts w:hint="default" w:ascii="Times New Roman" w:hAnsi="Times New Roman" w:eastAsia="宋体" w:cs="Times New Roman"/>
          <w:i w:val="0"/>
          <w:iCs w:val="0"/>
          <w:caps w:val="0"/>
          <w:color w:val="000000"/>
          <w:spacing w:val="0"/>
          <w:sz w:val="24"/>
          <w:szCs w:val="24"/>
          <w:shd w:val="clear" w:color="auto" w:fill="FFFFFF"/>
        </w:rPr>
        <w:t>位</w:t>
      </w:r>
      <w:r>
        <w:rPr>
          <w:rFonts w:hint="eastAsia" w:cs="Times New Roman"/>
          <w:i w:val="0"/>
          <w:iCs w:val="0"/>
          <w:caps w:val="0"/>
          <w:color w:val="000000"/>
          <w:spacing w:val="0"/>
          <w:sz w:val="24"/>
          <w:szCs w:val="24"/>
          <w:shd w:val="clear" w:color="auto" w:fill="FFFFFF"/>
          <w:lang w:eastAsia="zh-CN"/>
        </w:rPr>
        <w:t>于霍山县佛子岭镇、衡山镇、黑石渡镇境内；</w:t>
      </w:r>
    </w:p>
    <w:p w14:paraId="126225F3">
      <w:pPr>
        <w:pStyle w:val="15"/>
        <w:numPr>
          <w:ilvl w:val="0"/>
          <w:numId w:val="10"/>
        </w:numPr>
        <w:ind w:left="0" w:leftChars="0" w:firstLine="480" w:firstLineChars="200"/>
        <w:rPr>
          <w:rFonts w:hint="eastAsia"/>
          <w:color w:val="000000"/>
          <w:highlight w:val="none"/>
          <w:lang w:val="en-US" w:eastAsia="zh-CN"/>
        </w:rPr>
      </w:pPr>
      <w:r>
        <w:rPr>
          <w:rFonts w:hint="eastAsia"/>
          <w:color w:val="000000"/>
          <w:lang w:val="en-US" w:eastAsia="zh-CN"/>
        </w:rPr>
        <w:t>项目投资：</w:t>
      </w:r>
      <w:r>
        <w:rPr>
          <w:rFonts w:hint="eastAsia" w:ascii="Times New Roman" w:hAnsi="Times New Roman" w:cs="Times New Roman"/>
          <w:i w:val="0"/>
          <w:iCs w:val="0"/>
          <w:caps w:val="0"/>
          <w:color w:val="000000"/>
          <w:spacing w:val="0"/>
          <w:sz w:val="24"/>
          <w:szCs w:val="24"/>
          <w:shd w:val="clear" w:color="auto" w:fill="FFFFFF"/>
          <w:lang w:val="en-US" w:eastAsia="zh-CN"/>
        </w:rPr>
        <w:t>项目</w:t>
      </w:r>
      <w:r>
        <w:rPr>
          <w:rFonts w:hint="default" w:ascii="Times New Roman" w:hAnsi="Times New Roman" w:eastAsia="宋体" w:cs="Times New Roman"/>
          <w:color w:val="000000"/>
          <w:kern w:val="0"/>
          <w:sz w:val="24"/>
        </w:rPr>
        <w:t>总投资为</w:t>
      </w:r>
      <w:r>
        <w:rPr>
          <w:rFonts w:hint="eastAsia" w:eastAsia="宋体" w:cs="Times New Roman"/>
          <w:color w:val="000000"/>
          <w:kern w:val="0"/>
          <w:sz w:val="24"/>
          <w:lang w:val="en-US" w:eastAsia="zh-CN"/>
        </w:rPr>
        <w:t>39550.68</w:t>
      </w:r>
      <w:r>
        <w:rPr>
          <w:rFonts w:hint="default" w:ascii="Times New Roman" w:hAnsi="Times New Roman" w:eastAsia="宋体" w:cs="Times New Roman"/>
          <w:color w:val="000000"/>
          <w:kern w:val="0"/>
          <w:sz w:val="24"/>
        </w:rPr>
        <w:t>万元，其中环保投资</w:t>
      </w:r>
      <w:r>
        <w:rPr>
          <w:rFonts w:hint="eastAsia" w:eastAsia="宋体" w:cs="Times New Roman"/>
          <w:color w:val="000000"/>
          <w:kern w:val="0"/>
          <w:sz w:val="24"/>
          <w:lang w:val="en-US" w:eastAsia="zh-CN"/>
        </w:rPr>
        <w:t>490</w:t>
      </w:r>
      <w:r>
        <w:rPr>
          <w:rFonts w:hint="default" w:ascii="Times New Roman" w:hAnsi="Times New Roman" w:eastAsia="宋体" w:cs="Times New Roman"/>
          <w:color w:val="000000"/>
          <w:kern w:val="0"/>
          <w:sz w:val="24"/>
          <w:lang w:val="en-US" w:eastAsia="zh-CN"/>
        </w:rPr>
        <w:t>万元</w:t>
      </w:r>
      <w:r>
        <w:rPr>
          <w:rFonts w:hint="default" w:ascii="Times New Roman" w:hAnsi="Times New Roman" w:eastAsia="宋体" w:cs="Times New Roman"/>
          <w:color w:val="000000"/>
          <w:kern w:val="0"/>
          <w:sz w:val="24"/>
        </w:rPr>
        <w:t>，占总投资的</w:t>
      </w:r>
      <w:r>
        <w:rPr>
          <w:rFonts w:hint="eastAsia" w:eastAsia="宋体" w:cs="Times New Roman"/>
          <w:color w:val="000000"/>
          <w:kern w:val="0"/>
          <w:sz w:val="24"/>
          <w:lang w:val="en-US" w:eastAsia="zh-CN"/>
        </w:rPr>
        <w:t>1.24</w:t>
      </w:r>
      <w:r>
        <w:rPr>
          <w:rFonts w:hint="default" w:ascii="Times New Roman" w:hAnsi="Times New Roman" w:eastAsia="宋体" w:cs="Times New Roman"/>
          <w:color w:val="000000"/>
          <w:kern w:val="0"/>
          <w:sz w:val="24"/>
        </w:rPr>
        <w:t>%</w:t>
      </w:r>
      <w:r>
        <w:rPr>
          <w:rFonts w:hint="eastAsia" w:cs="Times New Roman"/>
          <w:i w:val="0"/>
          <w:iCs w:val="0"/>
          <w:caps w:val="0"/>
          <w:color w:val="000000"/>
          <w:spacing w:val="0"/>
          <w:sz w:val="24"/>
          <w:szCs w:val="24"/>
          <w:highlight w:val="none"/>
          <w:shd w:val="clear" w:color="auto" w:fill="FFFFFF"/>
          <w:lang w:val="en-US" w:eastAsia="zh-CN"/>
        </w:rPr>
        <w:t>；</w:t>
      </w:r>
    </w:p>
    <w:p w14:paraId="2C6D80A2">
      <w:pPr>
        <w:rPr>
          <w:rFonts w:hint="eastAsia"/>
          <w:color w:val="000000"/>
          <w:highlight w:val="none"/>
          <w:lang w:val="en-US" w:eastAsia="zh-CN"/>
        </w:rPr>
      </w:pPr>
      <w:r>
        <w:rPr>
          <w:rFonts w:hint="eastAsia" w:cs="Times New Roman"/>
          <w:i w:val="0"/>
          <w:iCs w:val="0"/>
          <w:caps w:val="0"/>
          <w:color w:val="000000"/>
          <w:spacing w:val="0"/>
          <w:sz w:val="24"/>
          <w:szCs w:val="24"/>
          <w:highlight w:val="none"/>
          <w:shd w:val="clear" w:color="auto" w:fill="FFFFFF"/>
          <w:lang w:val="en-US" w:eastAsia="zh-CN"/>
        </w:rPr>
        <w:t>（6）建设工期：</w:t>
      </w:r>
      <w:r>
        <w:rPr>
          <w:rFonts w:hint="default" w:ascii="Times New Roman" w:hAnsi="Times New Roman" w:eastAsia="宋体" w:cs="Times New Roman"/>
          <w:b w:val="0"/>
          <w:bCs w:val="0"/>
          <w:color w:val="000000"/>
          <w:kern w:val="2"/>
          <w:sz w:val="24"/>
          <w:szCs w:val="24"/>
          <w:highlight w:val="none"/>
          <w:lang w:val="en-US" w:eastAsia="zh-CN" w:bidi="ar-SA"/>
        </w:rPr>
        <w:t>项目工程</w:t>
      </w:r>
      <w:r>
        <w:rPr>
          <w:rFonts w:hint="default" w:ascii="Times New Roman" w:hAnsi="Times New Roman" w:eastAsia="宋体" w:cs="Times New Roman"/>
          <w:color w:val="000000"/>
          <w:kern w:val="2"/>
          <w:sz w:val="24"/>
          <w:szCs w:val="24"/>
          <w:highlight w:val="none"/>
          <w:lang w:val="en-US" w:eastAsia="zh-CN" w:bidi="ar-SA"/>
        </w:rPr>
        <w:t>建设工期为2026年10月至2027年12月</w:t>
      </w:r>
      <w:r>
        <w:rPr>
          <w:rFonts w:hint="eastAsia" w:ascii="Times New Roman" w:hAnsi="Times New Roman" w:eastAsia="宋体" w:cs="Times New Roman"/>
          <w:color w:val="000000"/>
          <w:kern w:val="2"/>
          <w:sz w:val="24"/>
          <w:szCs w:val="24"/>
          <w:highlight w:val="none"/>
          <w:lang w:val="en-US" w:eastAsia="zh-CN" w:bidi="ar-SA"/>
        </w:rPr>
        <w:t>，共</w:t>
      </w:r>
      <w:r>
        <w:rPr>
          <w:rFonts w:hint="eastAsia" w:eastAsia="宋体" w:cs="Times New Roman"/>
          <w:b w:val="0"/>
          <w:bCs w:val="0"/>
          <w:color w:val="000000"/>
          <w:kern w:val="2"/>
          <w:sz w:val="24"/>
          <w:szCs w:val="24"/>
          <w:highlight w:val="none"/>
          <w:lang w:val="en-US" w:eastAsia="zh-CN" w:bidi="ar-SA"/>
        </w:rPr>
        <w:t>14</w:t>
      </w:r>
      <w:r>
        <w:rPr>
          <w:rFonts w:hint="default" w:ascii="Times New Roman" w:hAnsi="Times New Roman" w:eastAsia="宋体" w:cs="Times New Roman"/>
          <w:b w:val="0"/>
          <w:bCs w:val="0"/>
          <w:color w:val="000000"/>
          <w:kern w:val="2"/>
          <w:sz w:val="24"/>
          <w:szCs w:val="24"/>
          <w:highlight w:val="none"/>
          <w:lang w:val="en-US" w:eastAsia="zh-CN" w:bidi="ar-SA"/>
        </w:rPr>
        <w:t>个月</w:t>
      </w:r>
      <w:r>
        <w:rPr>
          <w:rFonts w:hint="eastAsia" w:cs="Times New Roman"/>
          <w:i w:val="0"/>
          <w:iCs w:val="0"/>
          <w:caps w:val="0"/>
          <w:color w:val="000000"/>
          <w:spacing w:val="0"/>
          <w:sz w:val="24"/>
          <w:szCs w:val="24"/>
          <w:highlight w:val="none"/>
          <w:shd w:val="clear" w:color="auto" w:fill="FFFFFF"/>
          <w:lang w:val="en-US" w:eastAsia="zh-CN"/>
        </w:rPr>
        <w:t>；</w:t>
      </w:r>
    </w:p>
    <w:p w14:paraId="7BD97BCA">
      <w:pPr>
        <w:rPr>
          <w:rFonts w:hint="eastAsia" w:cs="Times New Roman"/>
          <w:i w:val="0"/>
          <w:iCs w:val="0"/>
          <w:caps w:val="0"/>
          <w:color w:val="000000"/>
          <w:spacing w:val="0"/>
          <w:sz w:val="24"/>
          <w:szCs w:val="24"/>
          <w:shd w:val="clear" w:color="auto" w:fill="FFFFFF"/>
          <w:lang w:eastAsia="zh-CN"/>
        </w:rPr>
      </w:pPr>
      <w:r>
        <w:rPr>
          <w:rFonts w:hint="eastAsia" w:cs="Times New Roman"/>
          <w:i w:val="0"/>
          <w:iCs w:val="0"/>
          <w:caps w:val="0"/>
          <w:color w:val="000000"/>
          <w:spacing w:val="0"/>
          <w:sz w:val="24"/>
          <w:szCs w:val="24"/>
          <w:shd w:val="clear" w:color="auto" w:fill="FFFFFF"/>
          <w:lang w:val="en-US" w:eastAsia="zh-CN"/>
        </w:rPr>
        <w:t>（7）工程规模：</w:t>
      </w:r>
      <w:r>
        <w:rPr>
          <w:rFonts w:hint="default" w:ascii="Times New Roman" w:hAnsi="Times New Roman" w:eastAsia="宋体" w:cs="Times New Roman"/>
          <w:color w:val="000000"/>
        </w:rPr>
        <w:t>新建排水管网30.80公里，其中:幽芳河及柳林河片排水管网长19.34公里，南岳花都片排水管网长0.46公里，衡山工业园片排水管网长11.00公里，配套建设检查井及提升泵站</w:t>
      </w:r>
      <w:r>
        <w:rPr>
          <w:rFonts w:hint="eastAsia" w:cs="Times New Roman"/>
          <w:color w:val="000000"/>
          <w:lang w:eastAsia="zh-CN"/>
        </w:rPr>
        <w:t>；</w:t>
      </w:r>
      <w:r>
        <w:rPr>
          <w:rFonts w:hint="default" w:ascii="Times New Roman" w:hAnsi="Times New Roman" w:eastAsia="宋体" w:cs="Times New Roman"/>
          <w:color w:val="000000"/>
        </w:rPr>
        <w:t>迎驾厂排涝片新建西部新城排涝泵站1座，排涝面积5.3平方公里，配套改造区内排涝沟总长10.07公里</w:t>
      </w:r>
      <w:r>
        <w:rPr>
          <w:rFonts w:hint="eastAsia" w:cs="Times New Roman"/>
          <w:color w:val="000000"/>
          <w:lang w:eastAsia="zh-CN"/>
        </w:rPr>
        <w:t>；</w:t>
      </w:r>
      <w:r>
        <w:rPr>
          <w:rFonts w:hint="default" w:ascii="Times New Roman" w:hAnsi="Times New Roman" w:eastAsia="宋体" w:cs="Times New Roman"/>
          <w:color w:val="000000"/>
        </w:rPr>
        <w:t>戴家河排涝片改造排涝沟总长1.43公里，配套建设穿堤路涵</w:t>
      </w:r>
      <w:r>
        <w:rPr>
          <w:rFonts w:hint="eastAsia" w:cs="Times New Roman"/>
          <w:color w:val="000000"/>
          <w:lang w:eastAsia="zh-CN"/>
        </w:rPr>
        <w:t>；</w:t>
      </w:r>
      <w:r>
        <w:rPr>
          <w:rFonts w:hint="default" w:ascii="Times New Roman" w:hAnsi="Times New Roman" w:eastAsia="宋体" w:cs="Times New Roman"/>
          <w:color w:val="000000"/>
        </w:rPr>
        <w:t>整治四条排涝通道，总长度25.62公里，其中:幽芳河排涝通道长6.36公里，高庙河排涝通道长5.65公里，柳林河排涝通道长11:10公里，新店河排涝通道长2.51公里，主要内容为清淤疏浚、新建加固护坡护岸等</w:t>
      </w:r>
      <w:r>
        <w:rPr>
          <w:rFonts w:hint="default" w:ascii="Times New Roman" w:hAnsi="Times New Roman" w:eastAsia="宋体" w:cs="Times New Roman"/>
          <w:i w:val="0"/>
          <w:iCs w:val="0"/>
          <w:caps w:val="0"/>
          <w:color w:val="000000"/>
          <w:spacing w:val="0"/>
          <w:sz w:val="24"/>
          <w:szCs w:val="24"/>
          <w:shd w:val="clear" w:color="auto" w:fill="FFFFFF"/>
        </w:rPr>
        <w:t>。</w:t>
      </w:r>
    </w:p>
    <w:p w14:paraId="54B38D18">
      <w:pPr>
        <w:pStyle w:val="5"/>
        <w:bidi w:val="0"/>
        <w:rPr>
          <w:rFonts w:hint="eastAsia"/>
          <w:color w:val="000000"/>
          <w:lang w:val="en-US" w:eastAsia="zh-CN"/>
        </w:rPr>
      </w:pPr>
      <w:r>
        <w:rPr>
          <w:rFonts w:hint="eastAsia"/>
          <w:color w:val="000000"/>
          <w:lang w:val="en-US" w:eastAsia="zh-CN"/>
        </w:rPr>
        <w:t>2.1.2主要建设内容及建设规模</w:t>
      </w:r>
    </w:p>
    <w:p w14:paraId="57A3822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kern w:val="0"/>
          <w:sz w:val="24"/>
          <w:highlight w:val="none"/>
          <w:lang w:val="en-US" w:eastAsia="zh-CN"/>
        </w:rPr>
      </w:pPr>
      <w:r>
        <w:rPr>
          <w:rFonts w:hint="default" w:ascii="Times New Roman" w:hAnsi="Times New Roman" w:eastAsia="宋体" w:cs="Times New Roman"/>
          <w:b/>
          <w:bCs/>
          <w:color w:val="000000"/>
          <w:kern w:val="0"/>
          <w:sz w:val="24"/>
          <w:highlight w:val="none"/>
          <w:lang w:val="en-US" w:eastAsia="zh-CN"/>
        </w:rPr>
        <w:t>（1）区域排涝能力提升工程</w:t>
      </w:r>
    </w:p>
    <w:p w14:paraId="53726B4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本次工程迎驾厂排涝片拟新建西部新城排涝泵站1座，配套改造区内排涝沟总长10.065km；戴家河排涝片改造排涝沟总长1.425km</w:t>
      </w:r>
      <w:r>
        <w:rPr>
          <w:rFonts w:hint="default" w:ascii="Times New Roman" w:hAnsi="Times New Roman" w:eastAsia="宋体" w:cs="Times New Roman"/>
          <w:color w:val="000000"/>
        </w:rPr>
        <w:t>，配套建设穿堤路涵</w:t>
      </w:r>
      <w:r>
        <w:rPr>
          <w:rFonts w:hint="default" w:ascii="Times New Roman" w:hAnsi="Times New Roman" w:eastAsia="宋体" w:cs="Times New Roman"/>
          <w:color w:val="000000"/>
          <w:kern w:val="0"/>
          <w:sz w:val="24"/>
          <w:highlight w:val="none"/>
          <w:lang w:val="en-US" w:eastAsia="zh-CN"/>
        </w:rPr>
        <w:t>。具体建设内容如下：</w:t>
      </w:r>
    </w:p>
    <w:p w14:paraId="48760EE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1）在迎驾厂片新建西部新城排涝泵站1座，设计排涝面积为5.3km</w:t>
      </w:r>
      <w:r>
        <w:rPr>
          <w:rFonts w:hint="default" w:ascii="Times New Roman" w:hAnsi="Times New Roman" w:eastAsia="宋体" w:cs="Times New Roman"/>
          <w:color w:val="000000"/>
          <w:kern w:val="0"/>
          <w:sz w:val="24"/>
          <w:highlight w:val="none"/>
          <w:vertAlign w:val="superscript"/>
          <w:lang w:val="en-US" w:eastAsia="zh-CN"/>
        </w:rPr>
        <w:t>2</w:t>
      </w:r>
      <w:r>
        <w:rPr>
          <w:rFonts w:hint="default" w:ascii="Times New Roman" w:hAnsi="Times New Roman" w:eastAsia="宋体" w:cs="Times New Roman"/>
          <w:color w:val="000000"/>
          <w:kern w:val="0"/>
          <w:sz w:val="24"/>
          <w:highlight w:val="none"/>
          <w:lang w:val="en-US" w:eastAsia="zh-CN"/>
        </w:rPr>
        <w:t>，配备先进排水设备以满足高峰流量需求。同时，配套改建区内的多条排涝沟，包括北侧边沟、六佛路排涝沟、中心排涝沟以及项家院排涝沟等，总长度达10.065km；改建涉及沟渠的拓宽、加深及加固处理，以提升抗洪能力，确保排水通道畅通无阻。</w:t>
      </w:r>
    </w:p>
    <w:p w14:paraId="4D53D2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2）在戴家河排涝片扩挖截流沟、疏通区内农田沟，扩大S332穿路涵等工程措施。</w:t>
      </w:r>
    </w:p>
    <w:p w14:paraId="0251C8F0">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sz w:val="24"/>
          <w:szCs w:val="24"/>
          <w:lang w:val="en-US" w:eastAsia="zh-CN"/>
        </w:rPr>
      </w:pPr>
    </w:p>
    <w:p w14:paraId="0286028D">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sz w:val="24"/>
          <w:szCs w:val="24"/>
          <w:lang w:val="en-US" w:eastAsia="zh-CN"/>
        </w:rPr>
      </w:pPr>
    </w:p>
    <w:p w14:paraId="60ED8C76">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sz w:val="24"/>
          <w:szCs w:val="24"/>
          <w:lang w:val="en-US" w:eastAsia="zh-CN"/>
        </w:rPr>
      </w:pPr>
    </w:p>
    <w:p w14:paraId="2C4F03FD">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表2</w:t>
      </w:r>
      <w:r>
        <w:rPr>
          <w:rFonts w:hint="eastAsia" w:ascii="Times New Roman" w:hAnsi="Times New Roman" w:eastAsia="宋体" w:cs="Times New Roman"/>
          <w:b/>
          <w:color w:val="000000"/>
          <w:sz w:val="24"/>
          <w:szCs w:val="24"/>
          <w:lang w:val="en-US" w:eastAsia="zh-CN"/>
        </w:rPr>
        <w:t>.1-1</w:t>
      </w:r>
      <w:r>
        <w:rPr>
          <w:rFonts w:hint="default" w:ascii="Times New Roman" w:hAnsi="Times New Roman" w:eastAsia="宋体" w:cs="Times New Roman"/>
          <w:b/>
          <w:color w:val="000000"/>
          <w:sz w:val="24"/>
          <w:szCs w:val="24"/>
          <w:lang w:val="en-US" w:eastAsia="zh-CN"/>
        </w:rPr>
        <w:t xml:space="preserve">  区域排涝能力提升工程建设内容详表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06"/>
        <w:gridCol w:w="1014"/>
        <w:gridCol w:w="1505"/>
        <w:gridCol w:w="1391"/>
        <w:gridCol w:w="4387"/>
      </w:tblGrid>
      <w:tr w14:paraId="0526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4513402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930" w:type="dxa"/>
            <w:noWrap w:val="0"/>
            <w:vAlign w:val="center"/>
          </w:tcPr>
          <w:p w14:paraId="2279E6E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工程项目名称</w:t>
            </w:r>
          </w:p>
        </w:tc>
        <w:tc>
          <w:tcPr>
            <w:tcW w:w="1380" w:type="dxa"/>
            <w:noWrap w:val="0"/>
            <w:vAlign w:val="center"/>
          </w:tcPr>
          <w:p w14:paraId="7733CDB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建设地点</w:t>
            </w:r>
          </w:p>
        </w:tc>
        <w:tc>
          <w:tcPr>
            <w:tcW w:w="1275" w:type="dxa"/>
            <w:noWrap w:val="0"/>
            <w:vAlign w:val="center"/>
          </w:tcPr>
          <w:p w14:paraId="567D954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建设内容</w:t>
            </w:r>
          </w:p>
        </w:tc>
        <w:tc>
          <w:tcPr>
            <w:tcW w:w="4022" w:type="dxa"/>
            <w:noWrap w:val="0"/>
            <w:vAlign w:val="center"/>
          </w:tcPr>
          <w:p w14:paraId="009B5E69">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设计主要参数</w:t>
            </w:r>
          </w:p>
        </w:tc>
      </w:tr>
      <w:tr w14:paraId="1EB0B7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0C6ACB2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1</w:t>
            </w:r>
          </w:p>
        </w:tc>
        <w:tc>
          <w:tcPr>
            <w:tcW w:w="930" w:type="dxa"/>
            <w:noWrap w:val="0"/>
            <w:vAlign w:val="center"/>
          </w:tcPr>
          <w:p w14:paraId="6C58FD3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西部新城排涝站</w:t>
            </w:r>
          </w:p>
        </w:tc>
        <w:tc>
          <w:tcPr>
            <w:tcW w:w="1380" w:type="dxa"/>
            <w:noWrap w:val="0"/>
            <w:vAlign w:val="center"/>
          </w:tcPr>
          <w:p w14:paraId="1854DB9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衡山镇永康桥村/柳林河堤防</w:t>
            </w:r>
          </w:p>
        </w:tc>
        <w:tc>
          <w:tcPr>
            <w:tcW w:w="1275" w:type="dxa"/>
            <w:noWrap w:val="0"/>
            <w:vAlign w:val="center"/>
          </w:tcPr>
          <w:p w14:paraId="73574A5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新建泵站1座</w:t>
            </w:r>
          </w:p>
        </w:tc>
        <w:tc>
          <w:tcPr>
            <w:tcW w:w="4022" w:type="dxa"/>
            <w:noWrap w:val="0"/>
            <w:vAlign w:val="center"/>
          </w:tcPr>
          <w:p w14:paraId="44F7EB4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泵站设计流量10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/s，选用4台立式轴流泵，单泵流量2.5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/s，总装机功率740kw。</w:t>
            </w:r>
          </w:p>
        </w:tc>
      </w:tr>
      <w:tr w14:paraId="5E764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41EF275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2</w:t>
            </w:r>
          </w:p>
        </w:tc>
        <w:tc>
          <w:tcPr>
            <w:tcW w:w="930" w:type="dxa"/>
            <w:noWrap w:val="0"/>
            <w:vAlign w:val="center"/>
          </w:tcPr>
          <w:p w14:paraId="502B5E0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北侧边沟</w:t>
            </w:r>
          </w:p>
        </w:tc>
        <w:tc>
          <w:tcPr>
            <w:tcW w:w="1380" w:type="dxa"/>
            <w:noWrap w:val="0"/>
            <w:vAlign w:val="center"/>
          </w:tcPr>
          <w:p w14:paraId="7EBB69B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东淠河堤后</w:t>
            </w:r>
          </w:p>
        </w:tc>
        <w:tc>
          <w:tcPr>
            <w:tcW w:w="1275" w:type="dxa"/>
            <w:noWrap w:val="0"/>
            <w:vAlign w:val="center"/>
          </w:tcPr>
          <w:p w14:paraId="6CD6767A">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24FB858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3.7k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10753D9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矩形排涝沟长</w:t>
            </w:r>
            <w:r>
              <w:rPr>
                <w:rFonts w:hint="default" w:ascii="Times New Roman" w:hAnsi="Times New Roman" w:eastAsia="宋体" w:cs="Times New Roman"/>
                <w:color w:val="000000"/>
                <w:sz w:val="21"/>
                <w:szCs w:val="21"/>
              </w:rPr>
              <w:t>1.65k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5"/>
                <w:sz w:val="21"/>
                <w:szCs w:val="21"/>
              </w:rPr>
              <w:t>，净宽</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p w14:paraId="669602B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梯形断面排涝沟长2.05k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，底宽2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1"/>
                <w:sz w:val="21"/>
                <w:szCs w:val="21"/>
              </w:rPr>
              <w:t>，口宽约</w:t>
            </w:r>
            <w:r>
              <w:rPr>
                <w:rFonts w:hint="default" w:ascii="Times New Roman" w:hAnsi="Times New Roman" w:eastAsia="宋体" w:cs="Times New Roman"/>
                <w:color w:val="000000"/>
                <w:sz w:val="21"/>
                <w:szCs w:val="21"/>
              </w:rPr>
              <w:t>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5"/>
                <w:sz w:val="21"/>
                <w:szCs w:val="21"/>
              </w:rPr>
              <w:t>，边坡</w:t>
            </w:r>
            <w:r>
              <w:rPr>
                <w:rFonts w:hint="default" w:ascii="Times New Roman" w:hAnsi="Times New Roman" w:eastAsia="宋体" w:cs="Times New Roman"/>
                <w:color w:val="000000"/>
                <w:sz w:val="21"/>
                <w:szCs w:val="21"/>
              </w:rPr>
              <w:t>1：1.5，采用联锁块护坡。</w:t>
            </w:r>
          </w:p>
        </w:tc>
      </w:tr>
      <w:tr w14:paraId="7FDDCB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5CF42BD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3</w:t>
            </w:r>
          </w:p>
        </w:tc>
        <w:tc>
          <w:tcPr>
            <w:tcW w:w="930" w:type="dxa"/>
            <w:noWrap w:val="0"/>
            <w:vAlign w:val="center"/>
          </w:tcPr>
          <w:p w14:paraId="14295AC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六佛路排涝沟</w:t>
            </w:r>
          </w:p>
        </w:tc>
        <w:tc>
          <w:tcPr>
            <w:tcW w:w="1380" w:type="dxa"/>
            <w:noWrap w:val="0"/>
            <w:vAlign w:val="center"/>
          </w:tcPr>
          <w:p w14:paraId="4A5987B1">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永康桥村六佛路南侧</w:t>
            </w:r>
          </w:p>
        </w:tc>
        <w:tc>
          <w:tcPr>
            <w:tcW w:w="1275" w:type="dxa"/>
            <w:noWrap w:val="0"/>
            <w:vAlign w:val="center"/>
          </w:tcPr>
          <w:p w14:paraId="4F1E405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1AEB81A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2.58k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63BAAF4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矩形断面，净宽2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4B29A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7D0168F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4</w:t>
            </w:r>
          </w:p>
        </w:tc>
        <w:tc>
          <w:tcPr>
            <w:tcW w:w="930" w:type="dxa"/>
            <w:noWrap w:val="0"/>
            <w:vAlign w:val="center"/>
          </w:tcPr>
          <w:p w14:paraId="38CA1BC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中心排涝沟</w:t>
            </w:r>
          </w:p>
        </w:tc>
        <w:tc>
          <w:tcPr>
            <w:tcW w:w="1380" w:type="dxa"/>
            <w:noWrap w:val="0"/>
            <w:vAlign w:val="center"/>
          </w:tcPr>
          <w:p w14:paraId="65B13E7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永康桥村</w:t>
            </w:r>
          </w:p>
        </w:tc>
        <w:tc>
          <w:tcPr>
            <w:tcW w:w="1275" w:type="dxa"/>
            <w:noWrap w:val="0"/>
            <w:vAlign w:val="center"/>
          </w:tcPr>
          <w:p w14:paraId="7E089E1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1ECA194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2.585k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198C370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6"/>
                <w:sz w:val="21"/>
                <w:szCs w:val="21"/>
              </w:rPr>
              <w:t>矩形断面，分为规格</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4"/>
                <w:sz w:val="21"/>
                <w:szCs w:val="21"/>
              </w:rPr>
              <w:t>：净宽</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；规格</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pacing w:val="-15"/>
                <w:sz w:val="21"/>
                <w:szCs w:val="21"/>
              </w:rPr>
              <w:t>：净宽</w:t>
            </w:r>
            <w:r>
              <w:rPr>
                <w:rFonts w:hint="default" w:ascii="Times New Roman" w:hAnsi="Times New Roman" w:eastAsia="宋体" w:cs="Times New Roman"/>
                <w:color w:val="000000"/>
                <w:sz w:val="21"/>
                <w:szCs w:val="21"/>
              </w:rPr>
              <w:t>4.5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8"/>
                <w:sz w:val="21"/>
                <w:szCs w:val="21"/>
              </w:rPr>
              <w:t>、深</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15B2C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36D98DA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5</w:t>
            </w:r>
          </w:p>
        </w:tc>
        <w:tc>
          <w:tcPr>
            <w:tcW w:w="930" w:type="dxa"/>
            <w:noWrap w:val="0"/>
            <w:vAlign w:val="center"/>
          </w:tcPr>
          <w:p w14:paraId="5E22CA4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项家院排涝沟</w:t>
            </w:r>
          </w:p>
        </w:tc>
        <w:tc>
          <w:tcPr>
            <w:tcW w:w="1380" w:type="dxa"/>
            <w:noWrap w:val="0"/>
            <w:vAlign w:val="center"/>
          </w:tcPr>
          <w:p w14:paraId="0D99BC3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永康桥村</w:t>
            </w:r>
          </w:p>
        </w:tc>
        <w:tc>
          <w:tcPr>
            <w:tcW w:w="1275" w:type="dxa"/>
            <w:noWrap w:val="0"/>
            <w:vAlign w:val="center"/>
          </w:tcPr>
          <w:p w14:paraId="56D0273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改造排涝沟</w:t>
            </w:r>
          </w:p>
          <w:p w14:paraId="62E1BDD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1.2k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4A42F91E">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梯形断面，底宽</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1"/>
                <w:sz w:val="21"/>
                <w:szCs w:val="21"/>
              </w:rPr>
              <w:t>，口宽约</w:t>
            </w:r>
            <w:r>
              <w:rPr>
                <w:rFonts w:hint="default" w:ascii="Times New Roman" w:hAnsi="Times New Roman" w:eastAsia="宋体" w:cs="Times New Roman"/>
                <w:color w:val="000000"/>
                <w:sz w:val="21"/>
                <w:szCs w:val="21"/>
              </w:rPr>
              <w:t>6~8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7"/>
                <w:sz w:val="21"/>
                <w:szCs w:val="21"/>
              </w:rPr>
              <w:t>边坡</w:t>
            </w:r>
            <w:r>
              <w:rPr>
                <w:rFonts w:hint="default" w:ascii="Times New Roman" w:hAnsi="Times New Roman" w:eastAsia="宋体" w:cs="Times New Roman"/>
                <w:color w:val="000000"/>
                <w:sz w:val="21"/>
                <w:szCs w:val="21"/>
              </w:rPr>
              <w:t>1：1.5，采用联锁块护坡。</w:t>
            </w:r>
          </w:p>
        </w:tc>
      </w:tr>
      <w:tr w14:paraId="381FF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64" w:type="dxa"/>
            <w:noWrap w:val="0"/>
            <w:vAlign w:val="center"/>
          </w:tcPr>
          <w:p w14:paraId="3D73B58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p>
          <w:p w14:paraId="70AEB7D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p>
          <w:p w14:paraId="28ECCD9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p>
          <w:p w14:paraId="6373C805">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p>
          <w:p w14:paraId="1575415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p>
          <w:p w14:paraId="3F5E8504">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6</w:t>
            </w:r>
          </w:p>
        </w:tc>
        <w:tc>
          <w:tcPr>
            <w:tcW w:w="930" w:type="dxa"/>
            <w:noWrap w:val="0"/>
            <w:vAlign w:val="center"/>
          </w:tcPr>
          <w:p w14:paraId="240DB166">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戴家河排涝片</w:t>
            </w:r>
          </w:p>
        </w:tc>
        <w:tc>
          <w:tcPr>
            <w:tcW w:w="1380" w:type="dxa"/>
            <w:noWrap w:val="0"/>
            <w:vAlign w:val="center"/>
          </w:tcPr>
          <w:p w14:paraId="7695DFB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戴家河</w:t>
            </w:r>
          </w:p>
        </w:tc>
        <w:tc>
          <w:tcPr>
            <w:tcW w:w="1275" w:type="dxa"/>
            <w:noWrap w:val="0"/>
            <w:vAlign w:val="center"/>
          </w:tcPr>
          <w:p w14:paraId="2B03216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拆建穿路涵13座，改造排涝沟总长1.425k</w:t>
            </w:r>
            <w:r>
              <w:rPr>
                <w:rFonts w:hint="default" w:ascii="Times New Roman" w:hAnsi="Times New Roman" w:eastAsia="宋体" w:cs="Times New Roman"/>
                <w:color w:val="000000"/>
                <w:sz w:val="21"/>
                <w:szCs w:val="21"/>
                <w:lang w:eastAsia="zh-CN"/>
              </w:rPr>
              <w:t>m</w:t>
            </w:r>
          </w:p>
        </w:tc>
        <w:tc>
          <w:tcPr>
            <w:tcW w:w="4022" w:type="dxa"/>
            <w:noWrap w:val="0"/>
            <w:vAlign w:val="center"/>
          </w:tcPr>
          <w:p w14:paraId="3155EAFB">
            <w:pPr>
              <w:pStyle w:val="39"/>
              <w:keepNext w:val="0"/>
              <w:keepLines w:val="0"/>
              <w:numPr>
                <w:ilvl w:val="0"/>
                <w:numId w:val="2"/>
              </w:numPr>
              <w:suppressLineNumbers w:val="0"/>
              <w:tabs>
                <w:tab w:val="left" w:pos="634"/>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8"/>
                <w:sz w:val="21"/>
                <w:szCs w:val="21"/>
              </w:rPr>
              <w:t>拆建穿路涵共计</w:t>
            </w:r>
            <w:r>
              <w:rPr>
                <w:rFonts w:hint="default" w:ascii="Times New Roman" w:hAnsi="Times New Roman" w:eastAsia="宋体" w:cs="Times New Roman"/>
                <w:color w:val="000000"/>
                <w:sz w:val="21"/>
                <w:szCs w:val="21"/>
              </w:rPr>
              <w:t>13座，其中：S332</w:t>
            </w:r>
            <w:r>
              <w:rPr>
                <w:rFonts w:hint="default" w:ascii="Times New Roman" w:hAnsi="Times New Roman" w:eastAsia="宋体" w:cs="Times New Roman"/>
                <w:color w:val="000000"/>
                <w:spacing w:val="-14"/>
                <w:sz w:val="21"/>
                <w:szCs w:val="21"/>
              </w:rPr>
              <w:t>穿路涵</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1"/>
                <w:sz w:val="21"/>
                <w:szCs w:val="21"/>
              </w:rPr>
              <w:t>座，尺寸</w:t>
            </w:r>
            <w:r>
              <w:rPr>
                <w:rFonts w:hint="default" w:ascii="Times New Roman" w:hAnsi="Times New Roman" w:eastAsia="宋体" w:cs="Times New Roman"/>
                <w:color w:val="000000"/>
                <w:sz w:val="21"/>
                <w:szCs w:val="21"/>
              </w:rPr>
              <w:t>3×1.8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，长37</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；1#、2#、3#</w:t>
            </w:r>
            <w:r>
              <w:rPr>
                <w:rFonts w:hint="default" w:ascii="Times New Roman" w:hAnsi="Times New Roman" w:eastAsia="宋体" w:cs="Times New Roman"/>
                <w:color w:val="000000"/>
                <w:spacing w:val="-14"/>
                <w:sz w:val="21"/>
                <w:szCs w:val="21"/>
              </w:rPr>
              <w:t>穿路涵</w:t>
            </w:r>
            <w:r>
              <w:rPr>
                <w:rFonts w:hint="default" w:ascii="Times New Roman" w:hAnsi="Times New Roman" w:eastAsia="宋体" w:cs="Times New Roman"/>
                <w:color w:val="000000"/>
                <w:sz w:val="21"/>
                <w:szCs w:val="21"/>
              </w:rPr>
              <w:t>3座，尺寸3×1.8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，长9</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；4#穿路涵1座，尺寸3×3.8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，长7.3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。另拆建穿路管涵8座，管径0.5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p w14:paraId="57AA21BB">
            <w:pPr>
              <w:pStyle w:val="39"/>
              <w:keepNext w:val="0"/>
              <w:keepLines w:val="0"/>
              <w:numPr>
                <w:ilvl w:val="0"/>
                <w:numId w:val="2"/>
              </w:numPr>
              <w:suppressLineNumbers w:val="0"/>
              <w:tabs>
                <w:tab w:val="left" w:pos="634"/>
              </w:tabs>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8"/>
                <w:sz w:val="21"/>
                <w:szCs w:val="21"/>
              </w:rPr>
              <w:t>拆建</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3"/>
                <w:sz w:val="21"/>
                <w:szCs w:val="21"/>
              </w:rPr>
              <w:t>排涝沟</w:t>
            </w:r>
            <w:r>
              <w:rPr>
                <w:rFonts w:hint="default" w:ascii="Times New Roman" w:hAnsi="Times New Roman" w:eastAsia="宋体" w:cs="Times New Roman"/>
                <w:color w:val="000000"/>
                <w:sz w:val="21"/>
                <w:szCs w:val="21"/>
              </w:rPr>
              <w:t>135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，尺寸1.5×1.5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；新建</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pacing w:val="-15"/>
                <w:sz w:val="21"/>
                <w:szCs w:val="21"/>
              </w:rPr>
              <w:t>排涝沟</w:t>
            </w:r>
            <w:r>
              <w:rPr>
                <w:rFonts w:hint="default" w:ascii="Times New Roman" w:hAnsi="Times New Roman" w:eastAsia="宋体" w:cs="Times New Roman"/>
                <w:color w:val="000000"/>
                <w:sz w:val="21"/>
                <w:szCs w:val="21"/>
              </w:rPr>
              <w:t>630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，尺寸2×1.8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0"/>
                <w:sz w:val="21"/>
                <w:szCs w:val="21"/>
              </w:rPr>
              <w:t>；清淤护砌</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pacing w:val="-14"/>
                <w:sz w:val="21"/>
                <w:szCs w:val="21"/>
              </w:rPr>
              <w:t>排涝沟</w:t>
            </w:r>
            <w:r>
              <w:rPr>
                <w:rFonts w:hint="default" w:ascii="Times New Roman" w:hAnsi="Times New Roman" w:eastAsia="宋体" w:cs="Times New Roman"/>
                <w:color w:val="000000"/>
                <w:sz w:val="21"/>
                <w:szCs w:val="21"/>
              </w:rPr>
              <w:t>630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8"/>
                <w:sz w:val="21"/>
                <w:szCs w:val="21"/>
              </w:rPr>
              <w:t>新建</w:t>
            </w:r>
            <w:r>
              <w:rPr>
                <w:rFonts w:hint="default" w:ascii="Times New Roman" w:hAnsi="Times New Roman" w:eastAsia="宋体" w:cs="Times New Roman"/>
                <w:color w:val="000000"/>
                <w:sz w:val="21"/>
                <w:szCs w:val="21"/>
              </w:rPr>
              <w:t>4#</w:t>
            </w:r>
            <w:r>
              <w:rPr>
                <w:rFonts w:hint="default" w:ascii="Times New Roman" w:hAnsi="Times New Roman" w:eastAsia="宋体" w:cs="Times New Roman"/>
                <w:color w:val="000000"/>
                <w:spacing w:val="-14"/>
                <w:sz w:val="21"/>
                <w:szCs w:val="21"/>
              </w:rPr>
              <w:t>排涝沟</w:t>
            </w:r>
            <w:r>
              <w:rPr>
                <w:rFonts w:hint="default" w:ascii="Times New Roman" w:hAnsi="Times New Roman" w:eastAsia="宋体" w:cs="Times New Roman"/>
                <w:color w:val="000000"/>
                <w:sz w:val="21"/>
                <w:szCs w:val="21"/>
              </w:rPr>
              <w:t>30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，尺寸</w:t>
            </w:r>
            <w:r>
              <w:rPr>
                <w:rFonts w:hint="default" w:ascii="Times New Roman" w:hAnsi="Times New Roman" w:eastAsia="宋体" w:cs="Times New Roman"/>
                <w:color w:val="000000"/>
                <w:sz w:val="21"/>
                <w:szCs w:val="21"/>
              </w:rPr>
              <w:t>4×1.8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。（4#排涝沟与3#穿路涵衔接）。</w:t>
            </w:r>
          </w:p>
        </w:tc>
      </w:tr>
    </w:tbl>
    <w:p w14:paraId="2976BBD2">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rPr>
      </w:pPr>
      <w:r>
        <w:rPr>
          <w:rFonts w:hint="default" w:ascii="Times New Roman" w:hAnsi="Times New Roman" w:eastAsia="宋体" w:cs="Times New Roman"/>
          <w:b/>
          <w:bCs/>
          <w:color w:val="000000"/>
          <w:kern w:val="0"/>
          <w:sz w:val="24"/>
          <w:szCs w:val="24"/>
          <w:lang w:val="en-US" w:eastAsia="zh-CN" w:bidi="ar"/>
        </w:rPr>
        <w:t>（2）城区排涝通道整治工程</w:t>
      </w:r>
    </w:p>
    <w:p w14:paraId="766B9BEC">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left"/>
        <w:textAlignment w:val="auto"/>
        <w:rPr>
          <w:rFonts w:hint="default" w:ascii="Times New Roman" w:hAnsi="Times New Roman" w:eastAsia="宋体" w:cs="Times New Roman"/>
          <w:b/>
          <w:color w:val="000000"/>
          <w:sz w:val="21"/>
        </w:rPr>
      </w:pPr>
      <w:r>
        <w:rPr>
          <w:rFonts w:hint="default" w:ascii="Times New Roman" w:hAnsi="Times New Roman" w:eastAsia="宋体" w:cs="Times New Roman"/>
          <w:color w:val="000000"/>
        </w:rPr>
        <w:t>本次工程重点整治城区幽芳河、高庙河、柳林河、新店河等4条排涝通道，总长25.62k</w:t>
      </w:r>
      <w:r>
        <w:rPr>
          <w:rFonts w:hint="default" w:ascii="Times New Roman" w:hAnsi="Times New Roman" w:eastAsia="宋体" w:cs="Times New Roman"/>
          <w:color w:val="000000"/>
          <w:lang w:eastAsia="zh-CN"/>
        </w:rPr>
        <w:t>m</w:t>
      </w:r>
      <w:r>
        <w:rPr>
          <w:rFonts w:hint="default" w:ascii="Times New Roman" w:hAnsi="Times New Roman" w:eastAsia="宋体" w:cs="Times New Roman"/>
          <w:color w:val="000000"/>
        </w:rPr>
        <w:t>，建设内容包括河道疏浚、护岸加固、新（拆）建蓄水建筑物等</w:t>
      </w:r>
      <w:r>
        <w:rPr>
          <w:rFonts w:hint="default" w:ascii="Times New Roman" w:hAnsi="Times New Roman" w:eastAsia="宋体" w:cs="Times New Roman"/>
          <w:color w:val="000000"/>
          <w:kern w:val="0"/>
          <w:sz w:val="24"/>
          <w:szCs w:val="24"/>
          <w:lang w:val="en-US" w:eastAsia="zh-CN" w:bidi="ar"/>
        </w:rPr>
        <w:t>。</w:t>
      </w:r>
    </w:p>
    <w:p w14:paraId="5BE0FABB">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 2</w:t>
      </w:r>
      <w:r>
        <w:rPr>
          <w:rFonts w:hint="eastAsia"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lang w:val="en-US" w:eastAsia="zh-CN"/>
        </w:rPr>
        <w:t>-</w:t>
      </w:r>
      <w:r>
        <w:rPr>
          <w:rFonts w:hint="eastAsia" w:ascii="Times New Roman" w:hAnsi="Times New Roman" w:eastAsia="宋体" w:cs="Times New Roman"/>
          <w:b/>
          <w:color w:val="000000"/>
          <w:sz w:val="24"/>
          <w:szCs w:val="24"/>
          <w:lang w:val="en-US" w:eastAsia="zh-CN"/>
        </w:rPr>
        <w:t>2</w:t>
      </w:r>
      <w:r>
        <w:rPr>
          <w:rFonts w:hint="default" w:ascii="Times New Roman" w:hAnsi="Times New Roman" w:eastAsia="宋体" w:cs="Times New Roman"/>
          <w:b/>
          <w:color w:val="000000"/>
          <w:sz w:val="24"/>
          <w:szCs w:val="24"/>
          <w:lang w:val="en-US" w:eastAsia="zh-CN"/>
        </w:rPr>
        <w:t xml:space="preserve">  </w:t>
      </w:r>
      <w:r>
        <w:rPr>
          <w:rFonts w:hint="default" w:ascii="Times New Roman" w:hAnsi="Times New Roman" w:eastAsia="宋体" w:cs="Times New Roman"/>
          <w:b/>
          <w:color w:val="000000"/>
          <w:sz w:val="24"/>
          <w:szCs w:val="24"/>
          <w:lang w:val="en-US" w:eastAsia="zh-CN"/>
        </w:rPr>
        <w:tab/>
      </w:r>
      <w:r>
        <w:rPr>
          <w:rFonts w:hint="default" w:ascii="Times New Roman" w:hAnsi="Times New Roman" w:eastAsia="宋体" w:cs="Times New Roman"/>
          <w:b/>
          <w:color w:val="000000"/>
          <w:sz w:val="24"/>
          <w:szCs w:val="24"/>
          <w:lang w:val="en-US" w:eastAsia="zh-CN"/>
        </w:rPr>
        <w:t>城区排涝通道整治工程建设内容详表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1"/>
        <w:gridCol w:w="915"/>
        <w:gridCol w:w="1342"/>
        <w:gridCol w:w="2160"/>
        <w:gridCol w:w="3805"/>
      </w:tblGrid>
      <w:tr w14:paraId="7D989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40A4925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w w:val="99"/>
                <w:sz w:val="21"/>
                <w:szCs w:val="21"/>
              </w:rPr>
              <w:t>序号</w:t>
            </w:r>
          </w:p>
        </w:tc>
        <w:tc>
          <w:tcPr>
            <w:tcW w:w="839" w:type="dxa"/>
            <w:noWrap w:val="0"/>
            <w:vAlign w:val="center"/>
          </w:tcPr>
          <w:p w14:paraId="25882DE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工程项目名称</w:t>
            </w:r>
          </w:p>
        </w:tc>
        <w:tc>
          <w:tcPr>
            <w:tcW w:w="1230" w:type="dxa"/>
            <w:noWrap w:val="0"/>
            <w:vAlign w:val="center"/>
          </w:tcPr>
          <w:p w14:paraId="4C72B865">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工程范围</w:t>
            </w:r>
          </w:p>
        </w:tc>
        <w:tc>
          <w:tcPr>
            <w:tcW w:w="1980" w:type="dxa"/>
            <w:noWrap w:val="0"/>
            <w:vAlign w:val="center"/>
          </w:tcPr>
          <w:p w14:paraId="0200CF7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建设内容</w:t>
            </w:r>
          </w:p>
        </w:tc>
        <w:tc>
          <w:tcPr>
            <w:tcW w:w="3489" w:type="dxa"/>
            <w:noWrap w:val="0"/>
            <w:vAlign w:val="center"/>
          </w:tcPr>
          <w:p w14:paraId="0BD0F3EB">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设计主要参数</w:t>
            </w:r>
          </w:p>
        </w:tc>
      </w:tr>
      <w:tr w14:paraId="3AB9F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75E524F1">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1</w:t>
            </w:r>
          </w:p>
        </w:tc>
        <w:tc>
          <w:tcPr>
            <w:tcW w:w="839" w:type="dxa"/>
            <w:noWrap w:val="0"/>
            <w:vAlign w:val="center"/>
          </w:tcPr>
          <w:p w14:paraId="715A0AD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幽芳河排涝通道整治</w:t>
            </w:r>
          </w:p>
        </w:tc>
        <w:tc>
          <w:tcPr>
            <w:tcW w:w="1230" w:type="dxa"/>
            <w:noWrap w:val="0"/>
            <w:vAlign w:val="center"/>
          </w:tcPr>
          <w:p w14:paraId="4B74B98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东石门水库~高庙河，长6.36k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52F1CC5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2"/>
                <w:sz w:val="21"/>
                <w:szCs w:val="21"/>
              </w:rPr>
              <w:t>河道疏拓</w:t>
            </w:r>
            <w:r>
              <w:rPr>
                <w:rFonts w:hint="default" w:ascii="Times New Roman" w:hAnsi="Times New Roman" w:eastAsia="宋体" w:cs="Times New Roman"/>
                <w:color w:val="000000"/>
                <w:sz w:val="21"/>
                <w:szCs w:val="21"/>
              </w:rPr>
              <w:t>6.36k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，防</w:t>
            </w:r>
            <w:r>
              <w:rPr>
                <w:rFonts w:hint="default" w:ascii="Times New Roman" w:hAnsi="Times New Roman" w:eastAsia="宋体" w:cs="Times New Roman"/>
                <w:color w:val="000000"/>
                <w:spacing w:val="-15"/>
                <w:sz w:val="21"/>
                <w:szCs w:val="21"/>
              </w:rPr>
              <w:t>洪达标</w:t>
            </w:r>
            <w:r>
              <w:rPr>
                <w:rFonts w:hint="default" w:ascii="Times New Roman" w:hAnsi="Times New Roman" w:eastAsia="宋体" w:cs="Times New Roman"/>
                <w:color w:val="000000"/>
                <w:sz w:val="21"/>
                <w:szCs w:val="21"/>
              </w:rPr>
              <w:t>2.4k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，护岸加</w:t>
            </w:r>
            <w:r>
              <w:rPr>
                <w:rFonts w:hint="default" w:ascii="Times New Roman" w:hAnsi="Times New Roman" w:eastAsia="宋体" w:cs="Times New Roman"/>
                <w:color w:val="000000"/>
                <w:spacing w:val="-29"/>
                <w:sz w:val="21"/>
                <w:szCs w:val="21"/>
              </w:rPr>
              <w:t>固</w:t>
            </w:r>
            <w:r>
              <w:rPr>
                <w:rFonts w:hint="default" w:ascii="Times New Roman" w:hAnsi="Times New Roman" w:eastAsia="宋体" w:cs="Times New Roman"/>
                <w:color w:val="000000"/>
                <w:sz w:val="21"/>
                <w:szCs w:val="21"/>
              </w:rPr>
              <w:t>12.72k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w:t>
            </w:r>
            <w:r>
              <w:rPr>
                <w:rFonts w:hint="default" w:ascii="Times New Roman" w:hAnsi="Times New Roman" w:eastAsia="宋体" w:cs="Times New Roman"/>
                <w:color w:val="000000"/>
                <w:spacing w:val="-8"/>
                <w:sz w:val="21"/>
                <w:szCs w:val="21"/>
              </w:rPr>
              <w:t>建蓄水建筑物</w:t>
            </w:r>
            <w:r>
              <w:rPr>
                <w:rFonts w:hint="default" w:ascii="Times New Roman" w:hAnsi="Times New Roman" w:eastAsia="宋体" w:cs="Times New Roman"/>
                <w:color w:val="000000"/>
                <w:sz w:val="21"/>
                <w:szCs w:val="21"/>
              </w:rPr>
              <w:t>7</w:t>
            </w:r>
            <w:r>
              <w:rPr>
                <w:rFonts w:hint="default" w:ascii="Times New Roman" w:hAnsi="Times New Roman" w:eastAsia="宋体" w:cs="Times New Roman"/>
                <w:color w:val="000000"/>
                <w:spacing w:val="-5"/>
                <w:sz w:val="21"/>
                <w:szCs w:val="21"/>
              </w:rPr>
              <w:t>座，改</w:t>
            </w:r>
            <w:r>
              <w:rPr>
                <w:rFonts w:hint="default" w:ascii="Times New Roman" w:hAnsi="Times New Roman" w:eastAsia="宋体" w:cs="Times New Roman"/>
                <w:color w:val="000000"/>
                <w:spacing w:val="-10"/>
                <w:sz w:val="21"/>
                <w:szCs w:val="21"/>
              </w:rPr>
              <w:t>造防汛道路</w:t>
            </w:r>
            <w:r>
              <w:rPr>
                <w:rFonts w:hint="default" w:ascii="Times New Roman" w:hAnsi="Times New Roman" w:eastAsia="宋体" w:cs="Times New Roman"/>
                <w:color w:val="000000"/>
                <w:sz w:val="21"/>
                <w:szCs w:val="21"/>
              </w:rPr>
              <w:t>1.8k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c>
          <w:tcPr>
            <w:tcW w:w="3489" w:type="dxa"/>
            <w:noWrap w:val="0"/>
            <w:vAlign w:val="center"/>
          </w:tcPr>
          <w:p w14:paraId="45EA925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①防洪达标采用挡浪墙，墙高1.0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左右。②护岸采用生态挡墙6.813k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，格宾石笼护脚3.727k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，岸坡清杂1.03k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，预制块护坡1.15k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。③拆建拦河坝1座，改造拦河坝2座，新建拦河坝2座，坝高0.8~1.74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9"/>
                <w:sz w:val="21"/>
                <w:szCs w:val="21"/>
              </w:rPr>
              <w:t>④新建气盾坝</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1"/>
                <w:sz w:val="21"/>
                <w:szCs w:val="21"/>
              </w:rPr>
              <w:t>座，坝高</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，拦</w:t>
            </w:r>
            <w:r>
              <w:rPr>
                <w:rFonts w:hint="default" w:ascii="Times New Roman" w:hAnsi="Times New Roman" w:eastAsia="宋体" w:cs="Times New Roman"/>
                <w:color w:val="000000"/>
                <w:spacing w:val="-3"/>
                <w:sz w:val="21"/>
                <w:szCs w:val="21"/>
              </w:rPr>
              <w:t>河坝拆建为气盾坝</w:t>
            </w:r>
            <w:r>
              <w:rPr>
                <w:rFonts w:hint="default" w:ascii="Times New Roman" w:hAnsi="Times New Roman" w:eastAsia="宋体" w:cs="Times New Roman"/>
                <w:color w:val="000000"/>
                <w:sz w:val="21"/>
                <w:szCs w:val="21"/>
              </w:rPr>
              <w:t>1座，坝高1.5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。⑤堤顶防汛道路白改黑长1.8k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，净宽4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32F7E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15C403B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2</w:t>
            </w:r>
          </w:p>
        </w:tc>
        <w:tc>
          <w:tcPr>
            <w:tcW w:w="839" w:type="dxa"/>
            <w:noWrap w:val="0"/>
            <w:vAlign w:val="center"/>
          </w:tcPr>
          <w:p w14:paraId="699728B3">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高庙河排涝通道整治</w:t>
            </w:r>
          </w:p>
        </w:tc>
        <w:tc>
          <w:tcPr>
            <w:tcW w:w="1230" w:type="dxa"/>
            <w:noWrap w:val="0"/>
            <w:vAlign w:val="center"/>
          </w:tcPr>
          <w:p w14:paraId="2C35B9FF">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牛角冲水库~东淠河，长5.65k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52AD8840">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新建护岸7.22k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，石笼固脚3.19k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，拆（新）建蓄水建筑物4座，新建巡查便道0.525k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，新建防洪墙0.8k</w:t>
            </w:r>
            <w:r>
              <w:rPr>
                <w:rFonts w:hint="default" w:ascii="Times New Roman" w:hAnsi="Times New Roman" w:eastAsia="宋体" w:cs="Times New Roman"/>
                <w:color w:val="000000"/>
                <w:sz w:val="21"/>
                <w:szCs w:val="21"/>
                <w:lang w:eastAsia="zh-CN"/>
              </w:rPr>
              <w:t>m</w:t>
            </w:r>
          </w:p>
        </w:tc>
        <w:tc>
          <w:tcPr>
            <w:tcW w:w="3489" w:type="dxa"/>
            <w:noWrap w:val="0"/>
            <w:vAlign w:val="center"/>
          </w:tcPr>
          <w:p w14:paraId="101A418C">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7"/>
                <w:sz w:val="21"/>
                <w:szCs w:val="21"/>
              </w:rPr>
              <w:t>①仰斜式挡墙护岸</w:t>
            </w:r>
            <w:r>
              <w:rPr>
                <w:rFonts w:hint="default" w:ascii="Times New Roman" w:hAnsi="Times New Roman" w:eastAsia="宋体" w:cs="Times New Roman"/>
                <w:color w:val="000000"/>
                <w:sz w:val="21"/>
                <w:szCs w:val="21"/>
              </w:rPr>
              <w:t>1580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，阶梯式</w:t>
            </w:r>
            <w:r>
              <w:rPr>
                <w:rFonts w:hint="default" w:ascii="Times New Roman" w:hAnsi="Times New Roman" w:eastAsia="宋体" w:cs="Times New Roman"/>
                <w:color w:val="000000"/>
                <w:spacing w:val="-8"/>
                <w:sz w:val="21"/>
                <w:szCs w:val="21"/>
              </w:rPr>
              <w:t>生态挡墙护岸</w:t>
            </w:r>
            <w:r>
              <w:rPr>
                <w:rFonts w:hint="default" w:ascii="Times New Roman" w:hAnsi="Times New Roman" w:eastAsia="宋体" w:cs="Times New Roman"/>
                <w:color w:val="000000"/>
                <w:sz w:val="21"/>
                <w:szCs w:val="21"/>
              </w:rPr>
              <w:t>4080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，浆砌石挡墙200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8"/>
                <w:sz w:val="21"/>
                <w:szCs w:val="21"/>
              </w:rPr>
              <w:t>，格宾石笼挡墙</w:t>
            </w:r>
            <w:r>
              <w:rPr>
                <w:rFonts w:hint="default" w:ascii="Times New Roman" w:hAnsi="Times New Roman" w:eastAsia="宋体" w:cs="Times New Roman"/>
                <w:color w:val="000000"/>
                <w:sz w:val="21"/>
                <w:szCs w:val="21"/>
              </w:rPr>
              <w:t>1180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，雷诺</w:t>
            </w:r>
            <w:r>
              <w:rPr>
                <w:rFonts w:hint="default" w:ascii="Times New Roman" w:hAnsi="Times New Roman" w:eastAsia="宋体" w:cs="Times New Roman"/>
                <w:color w:val="000000"/>
                <w:spacing w:val="-11"/>
                <w:sz w:val="21"/>
                <w:szCs w:val="21"/>
              </w:rPr>
              <w:t>护垫护坡</w:t>
            </w:r>
            <w:r>
              <w:rPr>
                <w:rFonts w:hint="default" w:ascii="Times New Roman" w:hAnsi="Times New Roman" w:eastAsia="宋体" w:cs="Times New Roman"/>
                <w:color w:val="000000"/>
                <w:sz w:val="21"/>
                <w:szCs w:val="21"/>
              </w:rPr>
              <w:t>200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，格宾石笼固脚3152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7"/>
                <w:sz w:val="21"/>
                <w:szCs w:val="21"/>
              </w:rPr>
              <w:t>。②拆建拦河坝</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pacing w:val="-3"/>
                <w:sz w:val="21"/>
                <w:szCs w:val="21"/>
              </w:rPr>
              <w:t>座，新建拦</w:t>
            </w:r>
            <w:r>
              <w:rPr>
                <w:rFonts w:hint="default" w:ascii="Times New Roman" w:hAnsi="Times New Roman" w:eastAsia="宋体" w:cs="Times New Roman"/>
                <w:color w:val="000000"/>
                <w:spacing w:val="-18"/>
                <w:sz w:val="21"/>
                <w:szCs w:val="21"/>
              </w:rPr>
              <w:t>河坝</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1"/>
                <w:sz w:val="21"/>
                <w:szCs w:val="21"/>
              </w:rPr>
              <w:t>座，净高</w:t>
            </w:r>
            <w:r>
              <w:rPr>
                <w:rFonts w:hint="default" w:ascii="Times New Roman" w:hAnsi="Times New Roman" w:eastAsia="宋体" w:cs="Times New Roman"/>
                <w:color w:val="000000"/>
                <w:sz w:val="21"/>
                <w:szCs w:val="21"/>
              </w:rPr>
              <w:t>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。③新建巡查</w:t>
            </w:r>
            <w:r>
              <w:rPr>
                <w:rFonts w:hint="default" w:ascii="Times New Roman" w:hAnsi="Times New Roman" w:eastAsia="宋体" w:cs="Times New Roman"/>
                <w:color w:val="000000"/>
                <w:spacing w:val="-18"/>
                <w:sz w:val="21"/>
                <w:szCs w:val="21"/>
              </w:rPr>
              <w:t>便道</w:t>
            </w:r>
            <w:r>
              <w:rPr>
                <w:rFonts w:hint="default" w:ascii="Times New Roman" w:hAnsi="Times New Roman" w:eastAsia="宋体" w:cs="Times New Roman"/>
                <w:color w:val="000000"/>
                <w:sz w:val="21"/>
                <w:szCs w:val="21"/>
              </w:rPr>
              <w:t>0.525k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8"/>
                <w:sz w:val="21"/>
                <w:szCs w:val="21"/>
              </w:rPr>
              <w:t>，宽</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。④新建防洪墙0.8k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，高1.0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04782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5BA3AD0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3</w:t>
            </w:r>
          </w:p>
        </w:tc>
        <w:tc>
          <w:tcPr>
            <w:tcW w:w="839" w:type="dxa"/>
            <w:noWrap w:val="0"/>
            <w:vAlign w:val="center"/>
          </w:tcPr>
          <w:p w14:paraId="2822A288">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柳林河排涝通道整治</w:t>
            </w:r>
          </w:p>
        </w:tc>
        <w:tc>
          <w:tcPr>
            <w:tcW w:w="1230" w:type="dxa"/>
            <w:noWrap w:val="0"/>
            <w:vAlign w:val="center"/>
          </w:tcPr>
          <w:p w14:paraId="3890263D">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团结水库~东淠河，长11.1k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6DE732A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3.415k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6"/>
                <w:sz w:val="21"/>
                <w:szCs w:val="21"/>
              </w:rPr>
              <w:t>、护</w:t>
            </w:r>
            <w:r>
              <w:rPr>
                <w:rFonts w:hint="default" w:ascii="Times New Roman" w:hAnsi="Times New Roman" w:eastAsia="宋体" w:cs="Times New Roman"/>
                <w:color w:val="000000"/>
                <w:spacing w:val="-28"/>
                <w:sz w:val="21"/>
                <w:szCs w:val="21"/>
              </w:rPr>
              <w:t>坡</w:t>
            </w:r>
            <w:r>
              <w:rPr>
                <w:rFonts w:hint="default" w:ascii="Times New Roman" w:hAnsi="Times New Roman" w:eastAsia="宋体" w:cs="Times New Roman"/>
                <w:color w:val="000000"/>
                <w:sz w:val="21"/>
                <w:szCs w:val="21"/>
              </w:rPr>
              <w:t>5.28k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，石笼固脚9.19k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，堤防封闭300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，加固拦河坝2座，拆建防洪闸1座，拆建（加固）排涝涵5座，堤顶防汛道路白改黑长7.2k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，水毁段修复16处。</w:t>
            </w:r>
          </w:p>
        </w:tc>
        <w:tc>
          <w:tcPr>
            <w:tcW w:w="3489" w:type="dxa"/>
            <w:noWrap w:val="0"/>
            <w:vAlign w:val="center"/>
          </w:tcPr>
          <w:p w14:paraId="5FB441C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①仰斜式挡墙护岸1535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，生态挡墙护岸1552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，格宾石笼固脚9190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，预制块护坡5280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；②加固拦河坝2座，设增设消能工③拆建防洪闸1座，孔口3×2.5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；④拆建排涝箱涵两座，孔口3.5×2</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；DN1000涵管1座；维修涵闸2座；⑤堤顶防汛道路白改黑长7.2k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，宽5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；⑥水毁段修复16处。</w:t>
            </w:r>
          </w:p>
        </w:tc>
      </w:tr>
      <w:tr w14:paraId="1955C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33" w:type="dxa"/>
            <w:noWrap w:val="0"/>
            <w:vAlign w:val="center"/>
          </w:tcPr>
          <w:p w14:paraId="5AC8926E">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4</w:t>
            </w:r>
          </w:p>
        </w:tc>
        <w:tc>
          <w:tcPr>
            <w:tcW w:w="839" w:type="dxa"/>
            <w:noWrap w:val="0"/>
            <w:vAlign w:val="center"/>
          </w:tcPr>
          <w:p w14:paraId="6729F24A">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新店河排涝通道整治</w:t>
            </w:r>
          </w:p>
        </w:tc>
        <w:tc>
          <w:tcPr>
            <w:tcW w:w="1230" w:type="dxa"/>
            <w:noWrap w:val="0"/>
            <w:vAlign w:val="center"/>
          </w:tcPr>
          <w:p w14:paraId="2459BBE9">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印墩村~入戴家河河口，长2.51k</w:t>
            </w:r>
            <w:r>
              <w:rPr>
                <w:rFonts w:hint="default" w:ascii="Times New Roman" w:hAnsi="Times New Roman" w:eastAsia="宋体" w:cs="Times New Roman"/>
                <w:color w:val="000000"/>
                <w:sz w:val="21"/>
                <w:szCs w:val="21"/>
                <w:lang w:eastAsia="zh-CN"/>
              </w:rPr>
              <w:t>m</w:t>
            </w:r>
          </w:p>
        </w:tc>
        <w:tc>
          <w:tcPr>
            <w:tcW w:w="1980" w:type="dxa"/>
            <w:noWrap w:val="0"/>
            <w:vAlign w:val="center"/>
          </w:tcPr>
          <w:p w14:paraId="11AE4137">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2.106k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，现</w:t>
            </w:r>
            <w:r>
              <w:rPr>
                <w:rFonts w:hint="default" w:ascii="Times New Roman" w:hAnsi="Times New Roman" w:eastAsia="宋体" w:cs="Times New Roman"/>
                <w:color w:val="000000"/>
                <w:spacing w:val="-11"/>
                <w:sz w:val="21"/>
                <w:szCs w:val="21"/>
              </w:rPr>
              <w:t>状护岸改造</w:t>
            </w:r>
            <w:r>
              <w:rPr>
                <w:rFonts w:hint="default" w:ascii="Times New Roman" w:hAnsi="Times New Roman" w:eastAsia="宋体" w:cs="Times New Roman"/>
                <w:color w:val="000000"/>
                <w:sz w:val="21"/>
                <w:szCs w:val="21"/>
              </w:rPr>
              <w:t>0.195k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1"/>
                <w:sz w:val="21"/>
                <w:szCs w:val="21"/>
              </w:rPr>
              <w:t>河道疏浚</w:t>
            </w:r>
            <w:r>
              <w:rPr>
                <w:rFonts w:hint="default" w:ascii="Times New Roman" w:hAnsi="Times New Roman" w:eastAsia="宋体" w:cs="Times New Roman"/>
                <w:color w:val="000000"/>
                <w:sz w:val="21"/>
                <w:szCs w:val="21"/>
              </w:rPr>
              <w:t>0.7k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w:t>
            </w:r>
            <w:r>
              <w:rPr>
                <w:rFonts w:hint="default" w:ascii="Times New Roman" w:hAnsi="Times New Roman" w:eastAsia="宋体" w:cs="Times New Roman"/>
                <w:color w:val="000000"/>
                <w:spacing w:val="-12"/>
                <w:sz w:val="21"/>
                <w:szCs w:val="21"/>
              </w:rPr>
              <w:t>建拦河坝</w:t>
            </w:r>
            <w:r>
              <w:rPr>
                <w:rFonts w:hint="default" w:ascii="Times New Roman" w:hAnsi="Times New Roman" w:eastAsia="宋体" w:cs="Times New Roman"/>
                <w:color w:val="000000"/>
                <w:sz w:val="21"/>
                <w:szCs w:val="21"/>
              </w:rPr>
              <w:t>5座，</w:t>
            </w:r>
            <w:r>
              <w:rPr>
                <w:rFonts w:hint="default" w:ascii="Times New Roman" w:hAnsi="Times New Roman" w:eastAsia="宋体" w:cs="Times New Roman"/>
                <w:color w:val="000000"/>
                <w:spacing w:val="-10"/>
                <w:sz w:val="21"/>
                <w:szCs w:val="21"/>
              </w:rPr>
              <w:t>加固拦河坝</w:t>
            </w:r>
            <w:r>
              <w:rPr>
                <w:rFonts w:hint="default" w:ascii="Times New Roman" w:hAnsi="Times New Roman" w:eastAsia="宋体" w:cs="Times New Roman"/>
                <w:color w:val="000000"/>
                <w:sz w:val="21"/>
                <w:szCs w:val="21"/>
              </w:rPr>
              <w:t>1座，拆建漫水桥1座（改建为桥涵）。</w:t>
            </w:r>
          </w:p>
        </w:tc>
        <w:tc>
          <w:tcPr>
            <w:tcW w:w="3489" w:type="dxa"/>
            <w:noWrap w:val="0"/>
            <w:vAlign w:val="center"/>
          </w:tcPr>
          <w:p w14:paraId="267E9716">
            <w:pPr>
              <w:pStyle w:val="3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4" w:leftChars="10" w:right="24" w:rightChars="1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①新建浆砌石挡墙568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、素砼挡墙1538</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；②左岸挡墙修复100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2"/>
                <w:sz w:val="21"/>
                <w:szCs w:val="21"/>
              </w:rPr>
              <w:t>，现状挡墙加</w:t>
            </w:r>
            <w:r>
              <w:rPr>
                <w:rFonts w:hint="default" w:ascii="Times New Roman" w:hAnsi="Times New Roman" w:eastAsia="宋体" w:cs="Times New Roman"/>
                <w:color w:val="000000"/>
                <w:sz w:val="21"/>
                <w:szCs w:val="21"/>
              </w:rPr>
              <w:t>高95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；③河道疏浚700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；④拆（新）建拦河坝5座，加固拦河坝1座，拆建漫水桥1座（改建为桥涵）。</w:t>
            </w:r>
          </w:p>
        </w:tc>
      </w:tr>
    </w:tbl>
    <w:p w14:paraId="3F11D8E6">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2" w:firstLineChars="200"/>
        <w:jc w:val="left"/>
        <w:textAlignment w:val="auto"/>
        <w:rPr>
          <w:rFonts w:hint="default" w:ascii="Times New Roman" w:hAnsi="Times New Roman" w:eastAsia="宋体" w:cs="Times New Roman"/>
          <w:color w:val="000000"/>
        </w:rPr>
      </w:pPr>
      <w:r>
        <w:rPr>
          <w:rFonts w:hint="default" w:ascii="Times New Roman" w:hAnsi="Times New Roman" w:eastAsia="宋体" w:cs="Times New Roman"/>
          <w:b/>
          <w:bCs/>
          <w:color w:val="000000"/>
          <w:kern w:val="0"/>
          <w:sz w:val="24"/>
          <w:szCs w:val="24"/>
          <w:lang w:val="en-US" w:eastAsia="zh-CN" w:bidi="ar"/>
        </w:rPr>
        <w:t>（3）排水管网改造工程</w:t>
      </w:r>
    </w:p>
    <w:p w14:paraId="6B3A465E">
      <w:pPr>
        <w:keepNext w:val="0"/>
        <w:keepLines w:val="0"/>
        <w:pageBreakBefore w:val="0"/>
        <w:widowControl/>
        <w:suppressLineNumbers w:val="0"/>
        <w:kinsoku/>
        <w:wordWrap/>
        <w:overflowPunct/>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color w:val="000000"/>
          <w:spacing w:val="-28"/>
          <w:sz w:val="21"/>
        </w:rPr>
      </w:pPr>
      <w:r>
        <w:rPr>
          <w:rFonts w:hint="default" w:ascii="Times New Roman" w:hAnsi="Times New Roman" w:eastAsia="宋体" w:cs="Times New Roman"/>
          <w:color w:val="000000"/>
        </w:rPr>
        <w:t>本次整治工程坚持“系统治理、厂网并重、雨污分流、绿色韧性”的理念，针对幽芳河与柳林河沿岸区域、南岳花都片、衡山工业园片长期存在的雨水排放不畅、内涝频发、雨污混接、管网容量不足、调蓄能力弱等系统性问题，以系统治理、源头管控、韧性提升、智慧赋能为核心理念，全面推进雨水系统的整体性、结构性、前瞻性改造，构建“安全、生态、智慧、可持续”的城市管理体系。本次工程新建排水管网总长30.8k</w:t>
      </w:r>
      <w:r>
        <w:rPr>
          <w:rFonts w:hint="default" w:ascii="Times New Roman" w:hAnsi="Times New Roman" w:eastAsia="宋体" w:cs="Times New Roman"/>
          <w:color w:val="000000"/>
          <w:lang w:eastAsia="zh-CN"/>
        </w:rPr>
        <w:t>m</w:t>
      </w:r>
      <w:r>
        <w:rPr>
          <w:rFonts w:hint="default" w:ascii="Times New Roman" w:hAnsi="Times New Roman" w:eastAsia="宋体" w:cs="Times New Roman"/>
          <w:color w:val="000000"/>
        </w:rPr>
        <w:t>，并配套建设检查井、提升泵站等附属建筑物</w:t>
      </w:r>
      <w:r>
        <w:rPr>
          <w:rFonts w:hint="default" w:ascii="Times New Roman" w:hAnsi="Times New Roman" w:eastAsia="宋体" w:cs="Times New Roman"/>
          <w:color w:val="000000"/>
          <w:kern w:val="0"/>
          <w:sz w:val="24"/>
          <w:szCs w:val="24"/>
          <w:lang w:val="en-US" w:eastAsia="zh-CN" w:bidi="ar"/>
        </w:rPr>
        <w:t>。</w:t>
      </w:r>
    </w:p>
    <w:p w14:paraId="587A0E11">
      <w:pPr>
        <w:keepNext w:val="0"/>
        <w:keepLines w:val="0"/>
        <w:suppressLineNumbers w:val="0"/>
        <w:tabs>
          <w:tab w:val="left" w:pos="1173"/>
        </w:tabs>
        <w:spacing w:before="66" w:beforeAutospacing="0" w:after="0" w:afterAutospacing="0" w:line="360" w:lineRule="auto"/>
        <w:ind w:left="0" w:leftChars="0" w:right="159" w:firstLine="0" w:firstLineChars="0"/>
        <w:jc w:val="center"/>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表2</w:t>
      </w:r>
      <w:r>
        <w:rPr>
          <w:rFonts w:hint="eastAsia" w:ascii="Times New Roman" w:hAnsi="Times New Roman" w:eastAsia="宋体" w:cs="Times New Roman"/>
          <w:b/>
          <w:color w:val="000000"/>
          <w:sz w:val="24"/>
          <w:szCs w:val="24"/>
          <w:lang w:val="en-US" w:eastAsia="zh-CN"/>
        </w:rPr>
        <w:t>.1</w:t>
      </w:r>
      <w:r>
        <w:rPr>
          <w:rFonts w:hint="default" w:ascii="Times New Roman" w:hAnsi="Times New Roman" w:eastAsia="宋体" w:cs="Times New Roman"/>
          <w:b/>
          <w:color w:val="000000"/>
          <w:sz w:val="24"/>
          <w:szCs w:val="24"/>
          <w:lang w:val="en-US" w:eastAsia="zh-CN"/>
        </w:rPr>
        <w:t>-</w:t>
      </w:r>
      <w:r>
        <w:rPr>
          <w:rFonts w:hint="eastAsia" w:ascii="Times New Roman" w:hAnsi="Times New Roman" w:eastAsia="宋体" w:cs="Times New Roman"/>
          <w:b/>
          <w:color w:val="000000"/>
          <w:sz w:val="24"/>
          <w:szCs w:val="24"/>
          <w:lang w:val="en-US" w:eastAsia="zh-CN"/>
        </w:rPr>
        <w:t>3</w:t>
      </w:r>
      <w:r>
        <w:rPr>
          <w:rFonts w:hint="default" w:ascii="Times New Roman" w:hAnsi="Times New Roman" w:eastAsia="宋体" w:cs="Times New Roman"/>
          <w:b/>
          <w:color w:val="000000"/>
          <w:sz w:val="24"/>
          <w:szCs w:val="24"/>
          <w:lang w:val="en-US" w:eastAsia="zh-CN"/>
        </w:rPr>
        <w:t xml:space="preserve">    排水管网新建工程建设内容详表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8"/>
        <w:gridCol w:w="1721"/>
        <w:gridCol w:w="1250"/>
        <w:gridCol w:w="2192"/>
        <w:gridCol w:w="2922"/>
      </w:tblGrid>
      <w:tr w14:paraId="3DD70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495DC52D">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序号</w:t>
            </w:r>
          </w:p>
        </w:tc>
        <w:tc>
          <w:tcPr>
            <w:tcW w:w="1578" w:type="dxa"/>
            <w:noWrap w:val="0"/>
            <w:vAlign w:val="center"/>
          </w:tcPr>
          <w:p w14:paraId="42F8261B">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工程项目名称</w:t>
            </w:r>
          </w:p>
        </w:tc>
        <w:tc>
          <w:tcPr>
            <w:tcW w:w="1146" w:type="dxa"/>
            <w:noWrap w:val="0"/>
            <w:vAlign w:val="center"/>
          </w:tcPr>
          <w:p w14:paraId="484D954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建设地点</w:t>
            </w:r>
          </w:p>
        </w:tc>
        <w:tc>
          <w:tcPr>
            <w:tcW w:w="2010" w:type="dxa"/>
            <w:noWrap w:val="0"/>
            <w:vAlign w:val="center"/>
          </w:tcPr>
          <w:p w14:paraId="3BB4EB83">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建设内容</w:t>
            </w:r>
          </w:p>
        </w:tc>
        <w:tc>
          <w:tcPr>
            <w:tcW w:w="2679" w:type="dxa"/>
            <w:noWrap w:val="0"/>
            <w:vAlign w:val="center"/>
          </w:tcPr>
          <w:p w14:paraId="5BAA996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设计主要参数</w:t>
            </w:r>
          </w:p>
        </w:tc>
      </w:tr>
      <w:tr w14:paraId="5A220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7C2357E9">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1</w:t>
            </w:r>
          </w:p>
        </w:tc>
        <w:tc>
          <w:tcPr>
            <w:tcW w:w="1578" w:type="dxa"/>
            <w:noWrap w:val="0"/>
            <w:vAlign w:val="center"/>
          </w:tcPr>
          <w:p w14:paraId="6F2C841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幽芳河、柳林河片区排水管网新建工程</w:t>
            </w:r>
          </w:p>
        </w:tc>
        <w:tc>
          <w:tcPr>
            <w:tcW w:w="1146" w:type="dxa"/>
            <w:noWrap w:val="0"/>
            <w:vAlign w:val="center"/>
          </w:tcPr>
          <w:p w14:paraId="409D4D3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东石门社区、柳林河西片（柳林河左岸堤后）</w:t>
            </w:r>
          </w:p>
        </w:tc>
        <w:tc>
          <w:tcPr>
            <w:tcW w:w="2010" w:type="dxa"/>
            <w:noWrap w:val="0"/>
            <w:vAlign w:val="center"/>
          </w:tcPr>
          <w:p w14:paraId="16CC38A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排水管网总长19.34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，其中：幽芳河排水管网约13.74k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，设检查井270座，提升泵站1座。柳林河片区排水管网约5.6k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，设检查井127座。</w:t>
            </w:r>
          </w:p>
        </w:tc>
        <w:tc>
          <w:tcPr>
            <w:tcW w:w="2679" w:type="dxa"/>
            <w:noWrap w:val="0"/>
            <w:vAlign w:val="center"/>
          </w:tcPr>
          <w:p w14:paraId="7507AF08">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幽芳河片区排水管网主管采用De315，均为HDPE</w:t>
            </w:r>
            <w:r>
              <w:rPr>
                <w:rFonts w:hint="default" w:ascii="Times New Roman" w:hAnsi="Times New Roman" w:eastAsia="宋体" w:cs="Times New Roman"/>
                <w:color w:val="000000"/>
                <w:spacing w:val="-11"/>
                <w:sz w:val="21"/>
                <w:szCs w:val="21"/>
              </w:rPr>
              <w:t>排</w:t>
            </w:r>
            <w:r>
              <w:rPr>
                <w:rFonts w:hint="default" w:ascii="Times New Roman" w:hAnsi="Times New Roman" w:eastAsia="宋体" w:cs="Times New Roman"/>
                <w:color w:val="000000"/>
                <w:sz w:val="21"/>
                <w:szCs w:val="21"/>
              </w:rPr>
              <w:t>水管材；检查井Φ700；设计总处理规模约为70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/d。柳林河片区排水管网主管采用De315、De110，均为HDPE</w:t>
            </w:r>
            <w:r>
              <w:rPr>
                <w:rFonts w:hint="default" w:ascii="Times New Roman" w:hAnsi="Times New Roman" w:eastAsia="宋体" w:cs="Times New Roman"/>
                <w:color w:val="000000"/>
                <w:spacing w:val="-4"/>
                <w:sz w:val="21"/>
                <w:szCs w:val="21"/>
              </w:rPr>
              <w:t>排水管</w:t>
            </w:r>
            <w:r>
              <w:rPr>
                <w:rFonts w:hint="default" w:ascii="Times New Roman" w:hAnsi="Times New Roman" w:eastAsia="宋体" w:cs="Times New Roman"/>
                <w:color w:val="000000"/>
                <w:sz w:val="21"/>
                <w:szCs w:val="21"/>
              </w:rPr>
              <w:t>材；检查井Φ700；设计总处理规模约为40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/d。</w:t>
            </w:r>
          </w:p>
        </w:tc>
      </w:tr>
      <w:tr w14:paraId="4BFCE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2FC2D11C">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2</w:t>
            </w:r>
          </w:p>
        </w:tc>
        <w:tc>
          <w:tcPr>
            <w:tcW w:w="1578" w:type="dxa"/>
            <w:noWrap w:val="0"/>
            <w:vAlign w:val="center"/>
          </w:tcPr>
          <w:p w14:paraId="7ED84B6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南岳花都片排水管网新建工程</w:t>
            </w:r>
          </w:p>
        </w:tc>
        <w:tc>
          <w:tcPr>
            <w:tcW w:w="1146" w:type="dxa"/>
            <w:noWrap w:val="0"/>
            <w:vAlign w:val="center"/>
          </w:tcPr>
          <w:p w14:paraId="6D9FFDE2">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南岳花都小区西侧绿地</w:t>
            </w:r>
          </w:p>
        </w:tc>
        <w:tc>
          <w:tcPr>
            <w:tcW w:w="2010" w:type="dxa"/>
            <w:noWrap w:val="0"/>
            <w:vAlign w:val="center"/>
          </w:tcPr>
          <w:p w14:paraId="4D7DF10F">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排水管网约460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，检查井7座。</w:t>
            </w:r>
          </w:p>
        </w:tc>
        <w:tc>
          <w:tcPr>
            <w:tcW w:w="2679" w:type="dxa"/>
            <w:noWrap w:val="0"/>
            <w:vAlign w:val="center"/>
          </w:tcPr>
          <w:p w14:paraId="50AC717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主管采用d1.8钢筋混凝土III级管，检查井为钢筋混凝土井。设计排水流量7.3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rPr>
              <w:t>3</w:t>
            </w:r>
            <w:r>
              <w:rPr>
                <w:rFonts w:hint="default" w:ascii="Times New Roman" w:hAnsi="Times New Roman" w:eastAsia="宋体" w:cs="Times New Roman"/>
                <w:color w:val="000000"/>
                <w:sz w:val="21"/>
                <w:szCs w:val="21"/>
              </w:rPr>
              <w:t>/s。</w:t>
            </w:r>
          </w:p>
        </w:tc>
      </w:tr>
      <w:tr w14:paraId="0B7BA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8" w:type="dxa"/>
            <w:noWrap w:val="0"/>
            <w:vAlign w:val="center"/>
          </w:tcPr>
          <w:p w14:paraId="26015FB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w w:val="99"/>
                <w:sz w:val="21"/>
                <w:szCs w:val="21"/>
              </w:rPr>
              <w:t>3</w:t>
            </w:r>
          </w:p>
        </w:tc>
        <w:tc>
          <w:tcPr>
            <w:tcW w:w="1578" w:type="dxa"/>
            <w:noWrap w:val="0"/>
            <w:vAlign w:val="center"/>
          </w:tcPr>
          <w:p w14:paraId="341193F9">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衡山工业园片排水管网新建工程</w:t>
            </w:r>
          </w:p>
        </w:tc>
        <w:tc>
          <w:tcPr>
            <w:tcW w:w="1146" w:type="dxa"/>
            <w:noWrap w:val="0"/>
            <w:vAlign w:val="center"/>
          </w:tcPr>
          <w:p w14:paraId="71A3CC4D">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衡山工业园</w:t>
            </w:r>
          </w:p>
        </w:tc>
        <w:tc>
          <w:tcPr>
            <w:tcW w:w="2010" w:type="dxa"/>
            <w:noWrap w:val="0"/>
            <w:vAlign w:val="center"/>
          </w:tcPr>
          <w:p w14:paraId="50C715D7">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排水管网约11k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，设检查井约214座。</w:t>
            </w:r>
          </w:p>
        </w:tc>
        <w:tc>
          <w:tcPr>
            <w:tcW w:w="2679" w:type="dxa"/>
            <w:noWrap w:val="0"/>
            <w:vAlign w:val="center"/>
          </w:tcPr>
          <w:p w14:paraId="133E5240">
            <w:pPr>
              <w:pStyle w:val="39"/>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幽芳河排水管网主管采用d500-d1200，为Ⅱ级钢筋混凝土管，检查井主要为Φ1000、Φ1200的钢筋混凝土检查井。箱涵采用1500×2000、2000×2000，2500×3000的矩形钢筋混凝土预制箱涵。</w:t>
            </w:r>
          </w:p>
        </w:tc>
      </w:tr>
    </w:tbl>
    <w:p w14:paraId="1A3BBF2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2182EF9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172FDB5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3822FA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6FD2855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17A8CE3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302CF7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rPr>
      </w:pPr>
    </w:p>
    <w:p w14:paraId="7358EAF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lang w:val="en-US"/>
        </w:rPr>
      </w:pPr>
      <w:r>
        <w:rPr>
          <w:rFonts w:hint="default" w:ascii="Times New Roman" w:hAnsi="Times New Roman" w:eastAsia="宋体" w:cs="Times New Roman"/>
          <w:color w:val="000000"/>
          <w:kern w:val="0"/>
          <w:sz w:val="24"/>
          <w:highlight w:val="none"/>
          <w:lang w:val="en-US"/>
        </w:rPr>
        <w:t>具体的项目工程组成情况见</w:t>
      </w:r>
      <w:r>
        <w:rPr>
          <w:rFonts w:hint="eastAsia" w:ascii="Times New Roman" w:hAnsi="Times New Roman" w:eastAsia="宋体" w:cs="Times New Roman"/>
          <w:color w:val="000000"/>
          <w:kern w:val="0"/>
          <w:sz w:val="24"/>
          <w:highlight w:val="none"/>
          <w:lang w:val="en-US" w:eastAsia="zh-CN"/>
        </w:rPr>
        <w:t>下表</w:t>
      </w:r>
      <w:r>
        <w:rPr>
          <w:rFonts w:hint="default" w:ascii="Times New Roman" w:hAnsi="Times New Roman" w:eastAsia="宋体" w:cs="Times New Roman"/>
          <w:color w:val="000000"/>
          <w:kern w:val="0"/>
          <w:sz w:val="24"/>
          <w:highlight w:val="none"/>
          <w:lang w:val="en-US"/>
        </w:rPr>
        <w:t>。</w:t>
      </w:r>
    </w:p>
    <w:p w14:paraId="63A6068A">
      <w:pPr>
        <w:keepNext w:val="0"/>
        <w:keepLines w:val="0"/>
        <w:suppressLineNumbers w:val="0"/>
        <w:tabs>
          <w:tab w:val="left" w:pos="1173"/>
        </w:tabs>
        <w:spacing w:before="66" w:beforeAutospacing="0" w:after="0" w:afterAutospacing="0" w:line="360" w:lineRule="auto"/>
        <w:ind w:left="0" w:leftChars="0" w:right="159" w:firstLine="0" w:firstLineChars="0"/>
        <w:jc w:val="center"/>
        <w:outlineLvl w:val="9"/>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en-US" w:eastAsia="zh-CN"/>
        </w:rPr>
        <w:t>表2</w:t>
      </w:r>
      <w:r>
        <w:rPr>
          <w:rFonts w:hint="eastAsia" w:ascii="Times New Roman" w:hAnsi="Times New Roman" w:eastAsia="宋体" w:cs="Times New Roman"/>
          <w:b/>
          <w:color w:val="000000"/>
          <w:sz w:val="24"/>
          <w:szCs w:val="24"/>
          <w:lang w:val="en-US" w:eastAsia="zh-CN"/>
        </w:rPr>
        <w:t xml:space="preserve">.1-4 </w:t>
      </w:r>
      <w:r>
        <w:rPr>
          <w:rFonts w:hint="default" w:ascii="Times New Roman" w:hAnsi="Times New Roman" w:eastAsia="宋体" w:cs="Times New Roman"/>
          <w:b/>
          <w:color w:val="000000"/>
          <w:sz w:val="24"/>
          <w:szCs w:val="24"/>
          <w:lang w:val="en-US" w:eastAsia="zh-CN"/>
        </w:rPr>
        <w:t xml:space="preserve"> 本项目工程组成一览表</w:t>
      </w:r>
    </w:p>
    <w:tbl>
      <w:tblPr>
        <w:tblStyle w:val="25"/>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72"/>
        <w:gridCol w:w="1268"/>
        <w:gridCol w:w="5909"/>
      </w:tblGrid>
      <w:tr w14:paraId="242F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tcBorders>
              <w:tl2br w:val="nil"/>
              <w:tr2bl w:val="nil"/>
            </w:tcBorders>
            <w:noWrap w:val="0"/>
            <w:vAlign w:val="center"/>
          </w:tcPr>
          <w:p w14:paraId="7CDD4A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color w:val="000000"/>
                <w:sz w:val="21"/>
                <w:szCs w:val="21"/>
                <w:highlight w:val="none"/>
                <w:lang w:eastAsia="zh-CN"/>
              </w:rPr>
            </w:pPr>
            <w:r>
              <w:rPr>
                <w:rFonts w:hint="default" w:ascii="Times New Roman" w:hAnsi="Times New Roman" w:eastAsia="宋体" w:cs="Times New Roman"/>
                <w:b/>
                <w:color w:val="000000"/>
                <w:sz w:val="21"/>
                <w:szCs w:val="21"/>
                <w:highlight w:val="none"/>
                <w:lang w:val="en-US" w:eastAsia="zh-CN"/>
              </w:rPr>
              <w:t>类别</w:t>
            </w:r>
          </w:p>
        </w:tc>
        <w:tc>
          <w:tcPr>
            <w:tcW w:w="1640" w:type="dxa"/>
            <w:gridSpan w:val="2"/>
            <w:tcBorders>
              <w:tl2br w:val="nil"/>
              <w:tr2bl w:val="nil"/>
            </w:tcBorders>
            <w:noWrap w:val="0"/>
            <w:vAlign w:val="center"/>
          </w:tcPr>
          <w:p w14:paraId="5EBA14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lang w:val="en-US" w:eastAsia="zh-CN"/>
              </w:rPr>
              <w:t>项目</w:t>
            </w:r>
            <w:r>
              <w:rPr>
                <w:rFonts w:hint="default" w:ascii="Times New Roman" w:hAnsi="Times New Roman" w:eastAsia="宋体" w:cs="Times New Roman"/>
                <w:b/>
                <w:color w:val="000000"/>
                <w:sz w:val="21"/>
                <w:szCs w:val="21"/>
                <w:highlight w:val="none"/>
              </w:rPr>
              <w:t>名称</w:t>
            </w:r>
          </w:p>
        </w:tc>
        <w:tc>
          <w:tcPr>
            <w:tcW w:w="5909" w:type="dxa"/>
            <w:tcBorders>
              <w:tl2br w:val="nil"/>
              <w:tr2bl w:val="nil"/>
            </w:tcBorders>
            <w:noWrap w:val="0"/>
            <w:vAlign w:val="center"/>
          </w:tcPr>
          <w:p w14:paraId="3F4AC2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color w:val="000000"/>
                <w:sz w:val="21"/>
                <w:szCs w:val="21"/>
                <w:highlight w:val="none"/>
              </w:rPr>
            </w:pPr>
            <w:r>
              <w:rPr>
                <w:rFonts w:hint="default" w:ascii="Times New Roman" w:hAnsi="Times New Roman" w:eastAsia="宋体" w:cs="Times New Roman"/>
                <w:b/>
                <w:color w:val="000000"/>
                <w:sz w:val="21"/>
                <w:szCs w:val="21"/>
                <w:highlight w:val="none"/>
              </w:rPr>
              <w:t>建设内容</w:t>
            </w:r>
          </w:p>
        </w:tc>
      </w:tr>
      <w:tr w14:paraId="2424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noWrap w:val="0"/>
            <w:vAlign w:val="center"/>
          </w:tcPr>
          <w:p w14:paraId="4315A3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主体工程</w:t>
            </w:r>
          </w:p>
        </w:tc>
        <w:tc>
          <w:tcPr>
            <w:tcW w:w="372" w:type="dxa"/>
            <w:vMerge w:val="restart"/>
            <w:tcBorders>
              <w:tl2br w:val="nil"/>
              <w:tr2bl w:val="nil"/>
            </w:tcBorders>
            <w:noWrap w:val="0"/>
            <w:vAlign w:val="center"/>
          </w:tcPr>
          <w:p w14:paraId="20E774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val="en-US" w:eastAsia="zh-CN"/>
              </w:rPr>
              <w:t>区域排涝能力提升工程</w:t>
            </w:r>
          </w:p>
          <w:p w14:paraId="7BADC2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lang w:eastAsia="zh-CN"/>
              </w:rPr>
            </w:pPr>
          </w:p>
        </w:tc>
        <w:tc>
          <w:tcPr>
            <w:tcW w:w="1268" w:type="dxa"/>
            <w:tcBorders>
              <w:tl2br w:val="nil"/>
              <w:tr2bl w:val="nil"/>
            </w:tcBorders>
            <w:noWrap w:val="0"/>
            <w:vAlign w:val="center"/>
          </w:tcPr>
          <w:p w14:paraId="793137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rPr>
              <w:t>西部新城排涝站</w:t>
            </w:r>
          </w:p>
        </w:tc>
        <w:tc>
          <w:tcPr>
            <w:tcW w:w="5909" w:type="dxa"/>
            <w:tcBorders>
              <w:tl2br w:val="nil"/>
              <w:tr2bl w:val="nil"/>
            </w:tcBorders>
            <w:noWrap w:val="0"/>
            <w:vAlign w:val="center"/>
          </w:tcPr>
          <w:p w14:paraId="691AAB40">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新建泵站1座，</w:t>
            </w:r>
            <w:r>
              <w:rPr>
                <w:rFonts w:hint="default" w:ascii="Times New Roman" w:hAnsi="Times New Roman" w:eastAsia="宋体" w:cs="Times New Roman"/>
                <w:color w:val="000000"/>
                <w:sz w:val="21"/>
                <w:szCs w:val="21"/>
              </w:rPr>
              <w:t>设计流量10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/s，选用4台立式轴流泵，单泵流量2.5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vertAlign w:val="superscript"/>
                <w:lang w:val="en-US" w:eastAsia="zh-CN"/>
              </w:rPr>
              <w:t>3</w:t>
            </w:r>
            <w:r>
              <w:rPr>
                <w:rFonts w:hint="default" w:ascii="Times New Roman" w:hAnsi="Times New Roman" w:eastAsia="宋体" w:cs="Times New Roman"/>
                <w:color w:val="000000"/>
                <w:sz w:val="21"/>
                <w:szCs w:val="21"/>
              </w:rPr>
              <w:t>/s，总装机功率740kw。</w:t>
            </w:r>
          </w:p>
        </w:tc>
      </w:tr>
      <w:tr w14:paraId="623B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5EDDF1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5DA8EA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lang w:eastAsia="zh-CN"/>
              </w:rPr>
            </w:pPr>
          </w:p>
        </w:tc>
        <w:tc>
          <w:tcPr>
            <w:tcW w:w="1268" w:type="dxa"/>
            <w:tcBorders>
              <w:tl2br w:val="nil"/>
              <w:tr2bl w:val="nil"/>
            </w:tcBorders>
            <w:noWrap w:val="0"/>
            <w:vAlign w:val="center"/>
          </w:tcPr>
          <w:p w14:paraId="1284ED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sz w:val="21"/>
                <w:szCs w:val="21"/>
              </w:rPr>
              <w:t>北侧边沟</w:t>
            </w:r>
          </w:p>
        </w:tc>
        <w:tc>
          <w:tcPr>
            <w:tcW w:w="5909" w:type="dxa"/>
            <w:tcBorders>
              <w:tl2br w:val="nil"/>
              <w:tr2bl w:val="nil"/>
            </w:tcBorders>
            <w:noWrap w:val="0"/>
            <w:vAlign w:val="center"/>
          </w:tcPr>
          <w:p w14:paraId="3BD86915">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北侧边沟长3.7km，其中：矩形排涝沟长1.65km，净宽2m、深1.5m；梯形断面排涝沟长2.05km，底宽2m，口宽约8m，边坡1：1.5，采用联锁块护坡。</w:t>
            </w:r>
          </w:p>
        </w:tc>
      </w:tr>
      <w:tr w14:paraId="1636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5E3926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764899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3DD94D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六佛路排涝沟</w:t>
            </w:r>
          </w:p>
        </w:tc>
        <w:tc>
          <w:tcPr>
            <w:tcW w:w="5909" w:type="dxa"/>
            <w:tcBorders>
              <w:tl2br w:val="nil"/>
              <w:tr2bl w:val="nil"/>
            </w:tcBorders>
            <w:noWrap w:val="0"/>
            <w:vAlign w:val="center"/>
          </w:tcPr>
          <w:p w14:paraId="2B514B45">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改造排涝沟</w:t>
            </w:r>
            <w:r>
              <w:rPr>
                <w:rFonts w:hint="default" w:ascii="Times New Roman" w:hAnsi="Times New Roman" w:eastAsia="宋体" w:cs="Times New Roman"/>
                <w:color w:val="000000"/>
                <w:kern w:val="2"/>
                <w:sz w:val="21"/>
                <w:szCs w:val="21"/>
                <w:highlight w:val="none"/>
                <w:lang w:val="en-US" w:eastAsia="zh-CN" w:bidi="ar-SA"/>
              </w:rPr>
              <w:t>2.58km，矩形断面，净宽2m、深1.5m。</w:t>
            </w:r>
          </w:p>
        </w:tc>
      </w:tr>
      <w:tr w14:paraId="6BAB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4C7010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3C5465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6A8A88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中心排涝沟</w:t>
            </w:r>
          </w:p>
        </w:tc>
        <w:tc>
          <w:tcPr>
            <w:tcW w:w="5909" w:type="dxa"/>
            <w:tcBorders>
              <w:tl2br w:val="nil"/>
              <w:tr2bl w:val="nil"/>
            </w:tcBorders>
            <w:noWrap w:val="0"/>
            <w:vAlign w:val="center"/>
          </w:tcPr>
          <w:p w14:paraId="47B24CC0">
            <w:pPr>
              <w:pStyle w:val="39"/>
              <w:keepNext w:val="0"/>
              <w:keepLines w:val="0"/>
              <w:suppressLineNumbers w:val="0"/>
              <w:spacing w:before="0" w:beforeAutospacing="0" w:after="0" w:afterAutospacing="0" w:line="240" w:lineRule="auto"/>
              <w:ind w:left="0" w:right="0" w:firstLine="0" w:firstLineChars="0"/>
              <w:jc w:val="center"/>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改造排涝沟2.585k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kern w:val="2"/>
                <w:sz w:val="21"/>
                <w:szCs w:val="21"/>
                <w:highlight w:val="none"/>
                <w:lang w:val="en-US" w:eastAsia="zh-CN" w:bidi="ar-SA"/>
              </w:rPr>
              <w:t>，</w:t>
            </w:r>
            <w:r>
              <w:rPr>
                <w:rFonts w:hint="default" w:ascii="Times New Roman" w:hAnsi="Times New Roman" w:eastAsia="宋体" w:cs="Times New Roman"/>
                <w:color w:val="000000"/>
                <w:spacing w:val="-6"/>
                <w:sz w:val="21"/>
                <w:szCs w:val="21"/>
              </w:rPr>
              <w:t>矩形断面，分为规格</w:t>
            </w:r>
            <w:r>
              <w:rPr>
                <w:rFonts w:hint="default" w:ascii="Times New Roman" w:hAnsi="Times New Roman" w:eastAsia="宋体" w:cs="Times New Roman"/>
                <w:color w:val="000000"/>
                <w:sz w:val="21"/>
                <w:szCs w:val="21"/>
              </w:rPr>
              <w:t>1</w:t>
            </w:r>
            <w:r>
              <w:rPr>
                <w:rFonts w:hint="default" w:ascii="Times New Roman" w:hAnsi="Times New Roman" w:eastAsia="宋体" w:cs="Times New Roman"/>
                <w:color w:val="000000"/>
                <w:spacing w:val="-14"/>
                <w:sz w:val="21"/>
                <w:szCs w:val="21"/>
              </w:rPr>
              <w:t>：净宽</w:t>
            </w:r>
            <w:r>
              <w:rPr>
                <w:rFonts w:hint="default" w:ascii="Times New Roman" w:hAnsi="Times New Roman" w:eastAsia="宋体" w:cs="Times New Roman"/>
                <w:color w:val="000000"/>
                <w:sz w:val="21"/>
                <w:szCs w:val="21"/>
              </w:rPr>
              <w:t>3</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、深2.5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4"/>
                <w:sz w:val="21"/>
                <w:szCs w:val="21"/>
              </w:rPr>
              <w:t>；规格</w:t>
            </w:r>
            <w:r>
              <w:rPr>
                <w:rFonts w:hint="default" w:ascii="Times New Roman" w:hAnsi="Times New Roman" w:eastAsia="宋体" w:cs="Times New Roman"/>
                <w:color w:val="000000"/>
                <w:sz w:val="21"/>
                <w:szCs w:val="21"/>
              </w:rPr>
              <w:t>2</w:t>
            </w:r>
            <w:r>
              <w:rPr>
                <w:rFonts w:hint="default" w:ascii="Times New Roman" w:hAnsi="Times New Roman" w:eastAsia="宋体" w:cs="Times New Roman"/>
                <w:color w:val="000000"/>
                <w:spacing w:val="-15"/>
                <w:sz w:val="21"/>
                <w:szCs w:val="21"/>
              </w:rPr>
              <w:t>：净宽</w:t>
            </w:r>
            <w:r>
              <w:rPr>
                <w:rFonts w:hint="default" w:ascii="Times New Roman" w:hAnsi="Times New Roman" w:eastAsia="宋体" w:cs="Times New Roman"/>
                <w:color w:val="000000"/>
                <w:sz w:val="21"/>
                <w:szCs w:val="21"/>
              </w:rPr>
              <w:t>4.5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8"/>
                <w:sz w:val="21"/>
                <w:szCs w:val="21"/>
              </w:rPr>
              <w:t>、深</w:t>
            </w:r>
            <w:r>
              <w:rPr>
                <w:rFonts w:hint="default" w:ascii="Times New Roman" w:hAnsi="Times New Roman" w:eastAsia="宋体" w:cs="Times New Roman"/>
                <w:color w:val="000000"/>
                <w:sz w:val="21"/>
                <w:szCs w:val="21"/>
              </w:rPr>
              <w:t>2.5</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p>
        </w:tc>
      </w:tr>
      <w:tr w14:paraId="7C9D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4FF10B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1FE2DD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6F1236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项家院排涝沟</w:t>
            </w:r>
          </w:p>
        </w:tc>
        <w:tc>
          <w:tcPr>
            <w:tcW w:w="5909" w:type="dxa"/>
            <w:tcBorders>
              <w:tl2br w:val="nil"/>
              <w:tr2bl w:val="nil"/>
            </w:tcBorders>
            <w:noWrap w:val="0"/>
            <w:vAlign w:val="center"/>
          </w:tcPr>
          <w:p w14:paraId="0E6D6401">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rPr>
              <w:t>改造排涝沟</w:t>
            </w:r>
            <w:r>
              <w:rPr>
                <w:rFonts w:hint="default" w:ascii="Times New Roman" w:hAnsi="Times New Roman" w:eastAsia="宋体" w:cs="Times New Roman"/>
                <w:color w:val="000000"/>
                <w:kern w:val="2"/>
                <w:sz w:val="21"/>
                <w:szCs w:val="21"/>
                <w:highlight w:val="none"/>
                <w:lang w:val="en-US" w:eastAsia="zh-CN" w:bidi="ar-SA"/>
              </w:rPr>
              <w:t>1.2km，梯形断面，底宽2m，口宽约6~8m，边坡1：1.5，采用联锁块护坡。</w:t>
            </w:r>
          </w:p>
        </w:tc>
      </w:tr>
      <w:tr w14:paraId="058E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0B1901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1867A5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00F24E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戴家河排涝片</w:t>
            </w:r>
          </w:p>
        </w:tc>
        <w:tc>
          <w:tcPr>
            <w:tcW w:w="5909" w:type="dxa"/>
            <w:tcBorders>
              <w:tl2br w:val="nil"/>
              <w:tr2bl w:val="nil"/>
            </w:tcBorders>
            <w:noWrap w:val="0"/>
            <w:vAlign w:val="center"/>
          </w:tcPr>
          <w:p w14:paraId="2611E08E">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拆建穿路涵13座，改造排涝沟总长1.425k</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。（1）拆建穿路涵共计13座，其中：S332穿路涵1座，尺寸3×1.8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，长37</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；1#、2#、3#穿路涵3座，尺寸3×1.8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，长9</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；4#穿路涵1座，尺寸3×3.8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，长7.3</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。另拆建穿路管涵8座，管径0.5</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。（2）拆建1#排涝沟135</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，尺寸1.5×1.5</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；新建2#排涝沟630</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，尺寸2×1.8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；清淤护砌3#排涝沟630</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；新建4#排涝沟30</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，尺寸4×1.8</w:t>
            </w:r>
            <w:r>
              <w:rPr>
                <w:rFonts w:hint="default" w:ascii="Times New Roman" w:hAnsi="Times New Roman" w:eastAsia="宋体" w:cs="Times New Roman"/>
                <w:color w:val="000000"/>
                <w:sz w:val="21"/>
                <w:szCs w:val="21"/>
                <w:highlight w:val="none"/>
                <w:lang w:eastAsia="zh-CN"/>
              </w:rPr>
              <w:t>m</w:t>
            </w:r>
            <w:r>
              <w:rPr>
                <w:rFonts w:hint="default" w:ascii="Times New Roman" w:hAnsi="Times New Roman" w:eastAsia="宋体" w:cs="Times New Roman"/>
                <w:color w:val="000000"/>
                <w:sz w:val="21"/>
                <w:szCs w:val="21"/>
                <w:highlight w:val="none"/>
              </w:rPr>
              <w:t>。（4#排涝沟与3#穿路涵衔接）</w:t>
            </w:r>
          </w:p>
        </w:tc>
      </w:tr>
      <w:tr w14:paraId="0FB57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1AE8EA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restart"/>
            <w:tcBorders>
              <w:tl2br w:val="nil"/>
              <w:tr2bl w:val="nil"/>
            </w:tcBorders>
            <w:noWrap w:val="0"/>
            <w:vAlign w:val="center"/>
          </w:tcPr>
          <w:p w14:paraId="470128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城区排涝通道整治工程</w:t>
            </w:r>
          </w:p>
        </w:tc>
        <w:tc>
          <w:tcPr>
            <w:tcW w:w="1268" w:type="dxa"/>
            <w:tcBorders>
              <w:tl2br w:val="nil"/>
              <w:tr2bl w:val="nil"/>
            </w:tcBorders>
            <w:noWrap w:val="0"/>
            <w:vAlign w:val="center"/>
          </w:tcPr>
          <w:p w14:paraId="20E9A7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幽芳河排涝通道整治</w:t>
            </w:r>
          </w:p>
        </w:tc>
        <w:tc>
          <w:tcPr>
            <w:tcW w:w="5909" w:type="dxa"/>
            <w:tcBorders>
              <w:tl2br w:val="nil"/>
              <w:tr2bl w:val="nil"/>
            </w:tcBorders>
            <w:noWrap w:val="0"/>
            <w:vAlign w:val="center"/>
          </w:tcPr>
          <w:p w14:paraId="201C4308">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东石门水库~高庙河，长6.36k</w:t>
            </w:r>
            <w:r>
              <w:rPr>
                <w:rFonts w:hint="default" w:ascii="Times New Roman" w:hAnsi="Times New Roman" w:eastAsia="宋体" w:cs="Times New Roman"/>
                <w:color w:val="000000"/>
                <w:sz w:val="21"/>
                <w:szCs w:val="21"/>
                <w:lang w:eastAsia="zh-CN"/>
              </w:rPr>
              <w:t>m；河道疏拓6.36km，防洪达标2.4km，护岸加固12.72km，拆（新）建蓄水建筑物7座，改造防汛道路1.8km。</w:t>
            </w:r>
          </w:p>
        </w:tc>
      </w:tr>
      <w:tr w14:paraId="7761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576775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488220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lang w:val="en-US" w:eastAsia="zh-CN"/>
              </w:rPr>
            </w:pPr>
          </w:p>
        </w:tc>
        <w:tc>
          <w:tcPr>
            <w:tcW w:w="1268" w:type="dxa"/>
            <w:tcBorders>
              <w:tl2br w:val="nil"/>
              <w:tr2bl w:val="nil"/>
            </w:tcBorders>
            <w:noWrap w:val="0"/>
            <w:vAlign w:val="center"/>
          </w:tcPr>
          <w:p w14:paraId="612049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高庙河排涝通道整治</w:t>
            </w:r>
          </w:p>
        </w:tc>
        <w:tc>
          <w:tcPr>
            <w:tcW w:w="5909" w:type="dxa"/>
            <w:tcBorders>
              <w:tl2br w:val="nil"/>
              <w:tr2bl w:val="nil"/>
            </w:tcBorders>
            <w:noWrap w:val="0"/>
            <w:vAlign w:val="center"/>
          </w:tcPr>
          <w:p w14:paraId="385FBB00">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牛角冲水库~东淠河，长5.65k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新建护岸7.22k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，石笼固脚3.19k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，拆（新）建蓄水建筑物4座，新建巡查便道0.525k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，新建防洪墙0.8k</w:t>
            </w:r>
            <w:r>
              <w:rPr>
                <w:rFonts w:hint="default" w:ascii="Times New Roman" w:hAnsi="Times New Roman" w:eastAsia="宋体" w:cs="Times New Roman"/>
                <w:color w:val="000000"/>
                <w:sz w:val="21"/>
                <w:szCs w:val="21"/>
                <w:lang w:eastAsia="zh-CN"/>
              </w:rPr>
              <w:t>m</w:t>
            </w:r>
          </w:p>
        </w:tc>
      </w:tr>
      <w:tr w14:paraId="5A19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44483F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694FC9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492BD8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柳林河排涝通道整治</w:t>
            </w:r>
          </w:p>
        </w:tc>
        <w:tc>
          <w:tcPr>
            <w:tcW w:w="5909" w:type="dxa"/>
            <w:tcBorders>
              <w:tl2br w:val="nil"/>
              <w:tr2bl w:val="nil"/>
            </w:tcBorders>
            <w:noWrap w:val="0"/>
            <w:vAlign w:val="center"/>
          </w:tcPr>
          <w:p w14:paraId="21410B53">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团结水库~东淠河，长11.1k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3.415k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6"/>
                <w:sz w:val="21"/>
                <w:szCs w:val="21"/>
              </w:rPr>
              <w:t>、护</w:t>
            </w:r>
            <w:r>
              <w:rPr>
                <w:rFonts w:hint="default" w:ascii="Times New Roman" w:hAnsi="Times New Roman" w:eastAsia="宋体" w:cs="Times New Roman"/>
                <w:color w:val="000000"/>
                <w:spacing w:val="-28"/>
                <w:sz w:val="21"/>
                <w:szCs w:val="21"/>
              </w:rPr>
              <w:t>坡</w:t>
            </w:r>
            <w:r>
              <w:rPr>
                <w:rFonts w:hint="default" w:ascii="Times New Roman" w:hAnsi="Times New Roman" w:eastAsia="宋体" w:cs="Times New Roman"/>
                <w:color w:val="000000"/>
                <w:sz w:val="21"/>
                <w:szCs w:val="21"/>
              </w:rPr>
              <w:t>5.28k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，石笼固脚9.19k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，堤防封闭300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，加固拦河坝2座，拆建防洪闸1座，拆建（加固）排涝涵5座，堤顶防汛道路白改黑长7.2k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，水毁段修复16处。</w:t>
            </w:r>
          </w:p>
        </w:tc>
      </w:tr>
      <w:tr w14:paraId="6A58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3457EA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0AC3A6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3CDE6C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rPr>
              <w:t>新店河排涝通道整治</w:t>
            </w:r>
          </w:p>
        </w:tc>
        <w:tc>
          <w:tcPr>
            <w:tcW w:w="5909" w:type="dxa"/>
            <w:tcBorders>
              <w:tl2br w:val="nil"/>
              <w:tr2bl w:val="nil"/>
            </w:tcBorders>
            <w:noWrap w:val="0"/>
            <w:vAlign w:val="center"/>
          </w:tcPr>
          <w:p w14:paraId="4C414E89">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印墩村~入戴家河河口，长2.51k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pacing w:val="-12"/>
                <w:sz w:val="21"/>
                <w:szCs w:val="21"/>
              </w:rPr>
              <w:t>新建护岸</w:t>
            </w:r>
            <w:r>
              <w:rPr>
                <w:rFonts w:hint="default" w:ascii="Times New Roman" w:hAnsi="Times New Roman" w:eastAsia="宋体" w:cs="Times New Roman"/>
                <w:color w:val="000000"/>
                <w:sz w:val="21"/>
                <w:szCs w:val="21"/>
              </w:rPr>
              <w:t>2.106k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，现</w:t>
            </w:r>
            <w:r>
              <w:rPr>
                <w:rFonts w:hint="default" w:ascii="Times New Roman" w:hAnsi="Times New Roman" w:eastAsia="宋体" w:cs="Times New Roman"/>
                <w:color w:val="000000"/>
                <w:spacing w:val="-11"/>
                <w:sz w:val="21"/>
                <w:szCs w:val="21"/>
              </w:rPr>
              <w:t>状护岸改造</w:t>
            </w:r>
            <w:r>
              <w:rPr>
                <w:rFonts w:hint="default" w:ascii="Times New Roman" w:hAnsi="Times New Roman" w:eastAsia="宋体" w:cs="Times New Roman"/>
                <w:color w:val="000000"/>
                <w:sz w:val="21"/>
                <w:szCs w:val="21"/>
              </w:rPr>
              <w:t>0.195k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w:t>
            </w:r>
            <w:r>
              <w:rPr>
                <w:rFonts w:hint="default" w:ascii="Times New Roman" w:hAnsi="Times New Roman" w:eastAsia="宋体" w:cs="Times New Roman"/>
                <w:color w:val="000000"/>
                <w:spacing w:val="-11"/>
                <w:sz w:val="21"/>
                <w:szCs w:val="21"/>
              </w:rPr>
              <w:t>河道疏浚</w:t>
            </w:r>
            <w:r>
              <w:rPr>
                <w:rFonts w:hint="default" w:ascii="Times New Roman" w:hAnsi="Times New Roman" w:eastAsia="宋体" w:cs="Times New Roman"/>
                <w:color w:val="000000"/>
                <w:sz w:val="21"/>
                <w:szCs w:val="21"/>
              </w:rPr>
              <w:t>0.7k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，拆（新）</w:t>
            </w:r>
            <w:r>
              <w:rPr>
                <w:rFonts w:hint="default" w:ascii="Times New Roman" w:hAnsi="Times New Roman" w:eastAsia="宋体" w:cs="Times New Roman"/>
                <w:color w:val="000000"/>
                <w:spacing w:val="-12"/>
                <w:sz w:val="21"/>
                <w:szCs w:val="21"/>
              </w:rPr>
              <w:t>建拦河坝</w:t>
            </w:r>
            <w:r>
              <w:rPr>
                <w:rFonts w:hint="default" w:ascii="Times New Roman" w:hAnsi="Times New Roman" w:eastAsia="宋体" w:cs="Times New Roman"/>
                <w:color w:val="000000"/>
                <w:sz w:val="21"/>
                <w:szCs w:val="21"/>
              </w:rPr>
              <w:t>5座，</w:t>
            </w:r>
            <w:r>
              <w:rPr>
                <w:rFonts w:hint="default" w:ascii="Times New Roman" w:hAnsi="Times New Roman" w:eastAsia="宋体" w:cs="Times New Roman"/>
                <w:color w:val="000000"/>
                <w:spacing w:val="-10"/>
                <w:sz w:val="21"/>
                <w:szCs w:val="21"/>
              </w:rPr>
              <w:t>加固拦河坝</w:t>
            </w:r>
            <w:r>
              <w:rPr>
                <w:rFonts w:hint="default" w:ascii="Times New Roman" w:hAnsi="Times New Roman" w:eastAsia="宋体" w:cs="Times New Roman"/>
                <w:color w:val="000000"/>
                <w:sz w:val="21"/>
                <w:szCs w:val="21"/>
              </w:rPr>
              <w:t>1座，拆建漫水桥1座（改建为桥涵）。</w:t>
            </w:r>
          </w:p>
        </w:tc>
      </w:tr>
      <w:tr w14:paraId="66AA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0393BF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restart"/>
            <w:tcBorders>
              <w:tl2br w:val="nil"/>
              <w:tr2bl w:val="nil"/>
            </w:tcBorders>
            <w:noWrap w:val="0"/>
            <w:vAlign w:val="center"/>
          </w:tcPr>
          <w:p w14:paraId="4179EB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排水管网改造工程</w:t>
            </w:r>
          </w:p>
        </w:tc>
        <w:tc>
          <w:tcPr>
            <w:tcW w:w="1268" w:type="dxa"/>
            <w:tcBorders>
              <w:tl2br w:val="nil"/>
              <w:tr2bl w:val="nil"/>
            </w:tcBorders>
            <w:noWrap w:val="0"/>
            <w:vAlign w:val="center"/>
          </w:tcPr>
          <w:p w14:paraId="30D3B2E6">
            <w:pPr>
              <w:pStyle w:val="39"/>
              <w:keepNext w:val="0"/>
              <w:keepLines w:val="0"/>
              <w:suppressLineNumbers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幽芳河、柳林河片区排水管网新建工程</w:t>
            </w:r>
          </w:p>
        </w:tc>
        <w:tc>
          <w:tcPr>
            <w:tcW w:w="5909" w:type="dxa"/>
            <w:tcBorders>
              <w:tl2br w:val="nil"/>
              <w:tr2bl w:val="nil"/>
            </w:tcBorders>
            <w:noWrap w:val="0"/>
            <w:vAlign w:val="center"/>
          </w:tcPr>
          <w:p w14:paraId="2853DDC5">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东石门社区、柳林河西片（柳林河左岸堤后）</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排水管网总长19.34</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，其中：幽芳河排水管网约13.74k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，设检查井270座，提升泵站1座。柳林河片区排水管网约5.6k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，设检查井127座。</w:t>
            </w:r>
          </w:p>
        </w:tc>
      </w:tr>
      <w:tr w14:paraId="3962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2A92A36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56222E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lang w:val="en-US" w:eastAsia="zh-CN"/>
              </w:rPr>
            </w:pPr>
          </w:p>
        </w:tc>
        <w:tc>
          <w:tcPr>
            <w:tcW w:w="1268" w:type="dxa"/>
            <w:tcBorders>
              <w:tl2br w:val="nil"/>
              <w:tr2bl w:val="nil"/>
            </w:tcBorders>
            <w:noWrap w:val="0"/>
            <w:vAlign w:val="center"/>
          </w:tcPr>
          <w:p w14:paraId="7062640B">
            <w:pPr>
              <w:pStyle w:val="39"/>
              <w:keepNext w:val="0"/>
              <w:keepLines w:val="0"/>
              <w:suppressLineNumbers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rPr>
              <w:t>南岳花都片排水管网新建工程</w:t>
            </w:r>
          </w:p>
        </w:tc>
        <w:tc>
          <w:tcPr>
            <w:tcW w:w="5909" w:type="dxa"/>
            <w:tcBorders>
              <w:tl2br w:val="nil"/>
              <w:tr2bl w:val="nil"/>
            </w:tcBorders>
            <w:noWrap w:val="0"/>
            <w:vAlign w:val="center"/>
          </w:tcPr>
          <w:p w14:paraId="769F23BF">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rPr>
              <w:t>南岳花都小区西侧绿地</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排水管网约460</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，检查井7座。</w:t>
            </w:r>
          </w:p>
        </w:tc>
      </w:tr>
      <w:tr w14:paraId="01BC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19F3C6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372" w:type="dxa"/>
            <w:vMerge w:val="continue"/>
            <w:tcBorders>
              <w:tl2br w:val="nil"/>
              <w:tr2bl w:val="nil"/>
            </w:tcBorders>
            <w:noWrap w:val="0"/>
            <w:vAlign w:val="center"/>
          </w:tcPr>
          <w:p w14:paraId="119EEF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268" w:type="dxa"/>
            <w:tcBorders>
              <w:tl2br w:val="nil"/>
              <w:tr2bl w:val="nil"/>
            </w:tcBorders>
            <w:noWrap w:val="0"/>
            <w:vAlign w:val="center"/>
          </w:tcPr>
          <w:p w14:paraId="008146E2">
            <w:pPr>
              <w:pStyle w:val="39"/>
              <w:keepNext w:val="0"/>
              <w:keepLines w:val="0"/>
              <w:suppressLineNumbers w:val="0"/>
              <w:spacing w:before="0" w:beforeAutospacing="0" w:after="0" w:afterAutospacing="0" w:line="240" w:lineRule="auto"/>
              <w:ind w:left="0" w:leftChars="0" w:right="0" w:rightChars="0" w:firstLine="0" w:firstLineChars="0"/>
              <w:jc w:val="center"/>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衡山工业园片排水管网新建工程</w:t>
            </w:r>
          </w:p>
        </w:tc>
        <w:tc>
          <w:tcPr>
            <w:tcW w:w="5909" w:type="dxa"/>
            <w:tcBorders>
              <w:tl2br w:val="nil"/>
              <w:tr2bl w:val="nil"/>
            </w:tcBorders>
            <w:noWrap w:val="0"/>
            <w:vAlign w:val="center"/>
          </w:tcPr>
          <w:p w14:paraId="352010A2">
            <w:pPr>
              <w:keepNext w:val="0"/>
              <w:keepLines w:val="0"/>
              <w:pageBreakBefore w:val="0"/>
              <w:suppressLineNumbers w:val="0"/>
              <w:tabs>
                <w:tab w:val="left" w:pos="556"/>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highlight w:val="none"/>
                <w:lang w:eastAsia="zh-CN"/>
              </w:rPr>
            </w:pPr>
            <w:r>
              <w:rPr>
                <w:rFonts w:hint="default" w:ascii="Times New Roman" w:hAnsi="Times New Roman" w:eastAsia="宋体" w:cs="Times New Roman"/>
                <w:color w:val="000000"/>
                <w:sz w:val="21"/>
                <w:szCs w:val="21"/>
              </w:rPr>
              <w:t>衡山工业园</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rPr>
              <w:t>排水管网约11k</w:t>
            </w:r>
            <w:r>
              <w:rPr>
                <w:rFonts w:hint="default" w:ascii="Times New Roman" w:hAnsi="Times New Roman" w:eastAsia="宋体" w:cs="Times New Roman"/>
                <w:color w:val="000000"/>
                <w:sz w:val="21"/>
                <w:szCs w:val="21"/>
                <w:lang w:eastAsia="zh-CN"/>
              </w:rPr>
              <w:t>m</w:t>
            </w:r>
            <w:r>
              <w:rPr>
                <w:rFonts w:hint="default" w:ascii="Times New Roman" w:hAnsi="Times New Roman" w:eastAsia="宋体" w:cs="Times New Roman"/>
                <w:color w:val="000000"/>
                <w:sz w:val="21"/>
                <w:szCs w:val="21"/>
              </w:rPr>
              <w:t>，设检查井约214座。</w:t>
            </w:r>
          </w:p>
        </w:tc>
      </w:tr>
      <w:tr w14:paraId="78A9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noWrap w:val="0"/>
            <w:vAlign w:val="center"/>
          </w:tcPr>
          <w:p w14:paraId="025A8E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临时工程</w:t>
            </w:r>
          </w:p>
        </w:tc>
        <w:tc>
          <w:tcPr>
            <w:tcW w:w="1640" w:type="dxa"/>
            <w:gridSpan w:val="2"/>
            <w:tcBorders>
              <w:tl2br w:val="nil"/>
              <w:tr2bl w:val="nil"/>
            </w:tcBorders>
            <w:noWrap w:val="0"/>
            <w:vAlign w:val="center"/>
          </w:tcPr>
          <w:p w14:paraId="5E720A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施工临时道路</w:t>
            </w:r>
          </w:p>
        </w:tc>
        <w:tc>
          <w:tcPr>
            <w:tcW w:w="5909" w:type="dxa"/>
            <w:tcBorders>
              <w:tl2br w:val="nil"/>
              <w:tr2bl w:val="nil"/>
            </w:tcBorders>
            <w:noWrap w:val="0"/>
            <w:vAlign w:val="center"/>
          </w:tcPr>
          <w:p w14:paraId="0799DB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西部新城排涝站工程站址处有防汛道路相连，城区排涝通道整治工程和排水管新建工程中，工程沿线均有市政道路联通，场内交通便利。项目仅局部要修建临时道路便于材料和机械进场。</w:t>
            </w:r>
          </w:p>
        </w:tc>
      </w:tr>
      <w:tr w14:paraId="1DA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13AF2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1640" w:type="dxa"/>
            <w:gridSpan w:val="2"/>
            <w:tcBorders>
              <w:tl2br w:val="nil"/>
              <w:tr2bl w:val="nil"/>
            </w:tcBorders>
            <w:noWrap w:val="0"/>
            <w:vAlign w:val="center"/>
          </w:tcPr>
          <w:p w14:paraId="010676B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临时施工区</w:t>
            </w:r>
          </w:p>
        </w:tc>
        <w:tc>
          <w:tcPr>
            <w:tcW w:w="5909" w:type="dxa"/>
            <w:tcBorders>
              <w:tl2br w:val="nil"/>
              <w:tr2bl w:val="nil"/>
            </w:tcBorders>
            <w:noWrap w:val="0"/>
            <w:vAlign w:val="center"/>
          </w:tcPr>
          <w:p w14:paraId="3E0E3FD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本项目</w:t>
            </w:r>
            <w:r>
              <w:rPr>
                <w:rFonts w:hint="default" w:ascii="Times New Roman" w:hAnsi="Times New Roman" w:eastAsia="宋体" w:cs="Times New Roman"/>
                <w:bCs/>
                <w:color w:val="000000"/>
                <w:sz w:val="21"/>
                <w:szCs w:val="21"/>
                <w:highlight w:val="none"/>
                <w:lang w:eastAsia="zh-CN"/>
              </w:rPr>
              <w:t>不设</w:t>
            </w:r>
            <w:r>
              <w:rPr>
                <w:rFonts w:hint="default" w:ascii="Times New Roman" w:hAnsi="Times New Roman" w:eastAsia="宋体" w:cs="Times New Roman"/>
                <w:color w:val="000000"/>
                <w:kern w:val="0"/>
                <w:sz w:val="21"/>
                <w:szCs w:val="21"/>
                <w:highlight w:val="none"/>
                <w:lang w:bidi="ar"/>
              </w:rPr>
              <w:t>施工营地</w:t>
            </w:r>
            <w:r>
              <w:rPr>
                <w:rFonts w:hint="default" w:ascii="Times New Roman" w:hAnsi="Times New Roman" w:eastAsia="宋体" w:cs="Times New Roman"/>
                <w:bCs/>
                <w:color w:val="000000"/>
                <w:sz w:val="21"/>
                <w:szCs w:val="21"/>
                <w:highlight w:val="none"/>
              </w:rPr>
              <w:t>；项目施工期较短，施工期施工人员依托周边村庄居住</w:t>
            </w:r>
            <w:r>
              <w:rPr>
                <w:rFonts w:hint="default" w:ascii="Times New Roman" w:hAnsi="Times New Roman" w:eastAsia="宋体" w:cs="Times New Roman"/>
                <w:bCs/>
                <w:color w:val="000000"/>
                <w:sz w:val="21"/>
                <w:szCs w:val="21"/>
                <w:highlight w:val="none"/>
                <w:lang w:val="en-US" w:eastAsia="zh-CN"/>
              </w:rPr>
              <w:t>；施工结束后对临时施工区进行土地平整</w:t>
            </w:r>
            <w:r>
              <w:rPr>
                <w:rFonts w:hint="default" w:ascii="Times New Roman" w:hAnsi="Times New Roman" w:eastAsia="宋体" w:cs="Times New Roman"/>
                <w:color w:val="000000"/>
                <w:sz w:val="21"/>
                <w:szCs w:val="21"/>
                <w:highlight w:val="none"/>
                <w:lang w:eastAsia="zh-CN"/>
              </w:rPr>
              <w:t>、</w:t>
            </w:r>
            <w:r>
              <w:rPr>
                <w:rFonts w:hint="default" w:ascii="Times New Roman" w:hAnsi="Times New Roman" w:eastAsia="宋体" w:cs="Times New Roman"/>
                <w:color w:val="000000"/>
                <w:sz w:val="21"/>
                <w:szCs w:val="21"/>
                <w:highlight w:val="none"/>
                <w:lang w:val="en-US" w:eastAsia="zh-CN"/>
              </w:rPr>
              <w:t>播撒草籽</w:t>
            </w:r>
            <w:r>
              <w:rPr>
                <w:rFonts w:hint="default" w:ascii="Times New Roman" w:hAnsi="Times New Roman" w:eastAsia="宋体" w:cs="Times New Roman"/>
                <w:bCs/>
                <w:color w:val="000000"/>
                <w:sz w:val="21"/>
                <w:szCs w:val="21"/>
                <w:highlight w:val="none"/>
                <w:lang w:val="en-US" w:eastAsia="zh-CN"/>
              </w:rPr>
              <w:t>，施工过程中采取洒水降尘、彩钢板拦挡等措施。</w:t>
            </w:r>
          </w:p>
        </w:tc>
      </w:tr>
      <w:tr w14:paraId="71A6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256D62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1640" w:type="dxa"/>
            <w:gridSpan w:val="2"/>
            <w:tcBorders>
              <w:tl2br w:val="nil"/>
              <w:tr2bl w:val="nil"/>
            </w:tcBorders>
            <w:noWrap w:val="0"/>
            <w:vAlign w:val="center"/>
          </w:tcPr>
          <w:p w14:paraId="32AF2A4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lang w:eastAsia="zh-CN"/>
              </w:rPr>
            </w:pPr>
            <w:r>
              <w:rPr>
                <w:rFonts w:hint="default" w:ascii="Times New Roman" w:hAnsi="Times New Roman" w:eastAsia="宋体" w:cs="Times New Roman"/>
                <w:bCs/>
                <w:color w:val="000000"/>
                <w:sz w:val="21"/>
                <w:szCs w:val="21"/>
                <w:highlight w:val="none"/>
                <w:lang w:eastAsia="zh-CN"/>
              </w:rPr>
              <w:t>临时堆土场</w:t>
            </w:r>
          </w:p>
        </w:tc>
        <w:tc>
          <w:tcPr>
            <w:tcW w:w="5909" w:type="dxa"/>
            <w:tcBorders>
              <w:tl2br w:val="nil"/>
              <w:tr2bl w:val="nil"/>
            </w:tcBorders>
            <w:noWrap w:val="0"/>
            <w:vAlign w:val="center"/>
          </w:tcPr>
          <w:p w14:paraId="50605D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本工程部分泵站主泵房全年施工，涉水工作面选择枯水期施工。考虑工程开挖与填筑时序的不匹配，在泵站施工区附近设置临时堆土场，暂存用于后续填筑的基坑开挖土石料。</w:t>
            </w:r>
            <w:r>
              <w:rPr>
                <w:rFonts w:hint="eastAsia" w:cs="Times New Roman"/>
                <w:bCs/>
                <w:color w:val="000000"/>
                <w:sz w:val="21"/>
                <w:szCs w:val="21"/>
                <w:highlight w:val="none"/>
                <w:lang w:val="en-US" w:eastAsia="zh-CN"/>
              </w:rPr>
              <w:t>河道疏浚、清淤及</w:t>
            </w:r>
            <w:r>
              <w:rPr>
                <w:rFonts w:hint="eastAsia" w:ascii="Times New Roman" w:hAnsi="Times New Roman" w:eastAsia="宋体" w:cs="Times New Roman"/>
                <w:bCs/>
                <w:color w:val="000000"/>
                <w:sz w:val="21"/>
                <w:szCs w:val="21"/>
                <w:highlight w:val="none"/>
                <w:lang w:val="en-US" w:eastAsia="zh-CN"/>
              </w:rPr>
              <w:t>余方土由县矿产公司统一运输安置</w:t>
            </w:r>
            <w:r>
              <w:rPr>
                <w:rFonts w:hint="default" w:ascii="Times New Roman" w:hAnsi="Times New Roman" w:eastAsia="宋体" w:cs="Times New Roman"/>
                <w:bCs/>
                <w:color w:val="000000"/>
                <w:sz w:val="21"/>
                <w:szCs w:val="21"/>
                <w:highlight w:val="none"/>
                <w:lang w:val="en-US" w:eastAsia="zh-CN"/>
              </w:rPr>
              <w:t>。</w:t>
            </w:r>
          </w:p>
        </w:tc>
      </w:tr>
      <w:tr w14:paraId="7522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noWrap w:val="0"/>
            <w:vAlign w:val="center"/>
          </w:tcPr>
          <w:p w14:paraId="316A9B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公用工程</w:t>
            </w:r>
          </w:p>
        </w:tc>
        <w:tc>
          <w:tcPr>
            <w:tcW w:w="1640" w:type="dxa"/>
            <w:gridSpan w:val="2"/>
            <w:tcBorders>
              <w:tl2br w:val="nil"/>
              <w:tr2bl w:val="nil"/>
            </w:tcBorders>
            <w:noWrap w:val="0"/>
            <w:vAlign w:val="center"/>
          </w:tcPr>
          <w:p w14:paraId="2BDEBD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给水</w:t>
            </w:r>
          </w:p>
        </w:tc>
        <w:tc>
          <w:tcPr>
            <w:tcW w:w="5909" w:type="dxa"/>
            <w:tcBorders>
              <w:tl2br w:val="nil"/>
              <w:tr2bl w:val="nil"/>
            </w:tcBorders>
            <w:noWrap w:val="0"/>
            <w:vAlign w:val="center"/>
          </w:tcPr>
          <w:p w14:paraId="5C221B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施工用水就近取用</w:t>
            </w:r>
          </w:p>
        </w:tc>
      </w:tr>
      <w:tr w14:paraId="4F249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491B31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1640" w:type="dxa"/>
            <w:gridSpan w:val="2"/>
            <w:tcBorders>
              <w:tl2br w:val="nil"/>
              <w:tr2bl w:val="nil"/>
            </w:tcBorders>
            <w:noWrap w:val="0"/>
            <w:vAlign w:val="center"/>
          </w:tcPr>
          <w:p w14:paraId="4D160A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排水</w:t>
            </w:r>
          </w:p>
        </w:tc>
        <w:tc>
          <w:tcPr>
            <w:tcW w:w="5909" w:type="dxa"/>
            <w:tcBorders>
              <w:tl2br w:val="nil"/>
              <w:tr2bl w:val="nil"/>
            </w:tcBorders>
            <w:noWrap w:val="0"/>
            <w:vAlign w:val="center"/>
          </w:tcPr>
          <w:p w14:paraId="34EA377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color w:val="000000"/>
                <w:kern w:val="0"/>
                <w:sz w:val="21"/>
                <w:szCs w:val="21"/>
                <w:highlight w:val="none"/>
              </w:rPr>
              <w:t>施工废水沉淀后用于场地泼洒抑尘；生活污水排放依托</w:t>
            </w:r>
            <w:r>
              <w:rPr>
                <w:rFonts w:hint="default" w:ascii="Times New Roman" w:hAnsi="Times New Roman" w:eastAsia="宋体" w:cs="Times New Roman"/>
                <w:color w:val="000000"/>
                <w:kern w:val="0"/>
                <w:sz w:val="21"/>
                <w:szCs w:val="21"/>
                <w:highlight w:val="none"/>
                <w:lang w:val="en-US" w:eastAsia="zh-CN"/>
              </w:rPr>
              <w:t>附近</w:t>
            </w:r>
            <w:r>
              <w:rPr>
                <w:rFonts w:hint="default" w:ascii="Times New Roman" w:hAnsi="Times New Roman" w:eastAsia="宋体" w:cs="Times New Roman"/>
                <w:color w:val="000000"/>
                <w:kern w:val="0"/>
                <w:sz w:val="21"/>
                <w:szCs w:val="21"/>
                <w:highlight w:val="none"/>
              </w:rPr>
              <w:t>租用民房</w:t>
            </w:r>
          </w:p>
        </w:tc>
      </w:tr>
      <w:tr w14:paraId="22CF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364543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p>
        </w:tc>
        <w:tc>
          <w:tcPr>
            <w:tcW w:w="1640" w:type="dxa"/>
            <w:gridSpan w:val="2"/>
            <w:tcBorders>
              <w:tl2br w:val="nil"/>
              <w:tr2bl w:val="nil"/>
            </w:tcBorders>
            <w:noWrap w:val="0"/>
            <w:vAlign w:val="center"/>
          </w:tcPr>
          <w:p w14:paraId="7F5036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供电</w:t>
            </w:r>
          </w:p>
        </w:tc>
        <w:tc>
          <w:tcPr>
            <w:tcW w:w="5909" w:type="dxa"/>
            <w:tcBorders>
              <w:tl2br w:val="nil"/>
              <w:tr2bl w:val="nil"/>
            </w:tcBorders>
            <w:noWrap w:val="0"/>
            <w:vAlign w:val="center"/>
          </w:tcPr>
          <w:p w14:paraId="37FAFD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工程用电负荷较小，可就近接用附近电网</w:t>
            </w:r>
          </w:p>
        </w:tc>
      </w:tr>
      <w:tr w14:paraId="3F35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restart"/>
            <w:tcBorders>
              <w:tl2br w:val="nil"/>
              <w:tr2bl w:val="nil"/>
            </w:tcBorders>
            <w:noWrap w:val="0"/>
            <w:vAlign w:val="center"/>
          </w:tcPr>
          <w:p w14:paraId="4BB8337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val="0"/>
                <w:color w:val="000000"/>
                <w:sz w:val="21"/>
                <w:szCs w:val="21"/>
                <w:highlight w:val="none"/>
              </w:rPr>
            </w:pPr>
            <w:r>
              <w:rPr>
                <w:rFonts w:hint="default" w:ascii="Times New Roman" w:hAnsi="Times New Roman" w:eastAsia="宋体" w:cs="Times New Roman"/>
                <w:b/>
                <w:bCs w:val="0"/>
                <w:color w:val="000000"/>
                <w:sz w:val="21"/>
                <w:szCs w:val="21"/>
                <w:highlight w:val="none"/>
              </w:rPr>
              <w:t>环保工程</w:t>
            </w:r>
          </w:p>
        </w:tc>
        <w:tc>
          <w:tcPr>
            <w:tcW w:w="1640" w:type="dxa"/>
            <w:gridSpan w:val="2"/>
            <w:tcBorders>
              <w:tl2br w:val="nil"/>
              <w:tr2bl w:val="nil"/>
            </w:tcBorders>
            <w:noWrap w:val="0"/>
            <w:vAlign w:val="center"/>
          </w:tcPr>
          <w:p w14:paraId="417D9C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废气防治措施</w:t>
            </w:r>
          </w:p>
        </w:tc>
        <w:tc>
          <w:tcPr>
            <w:tcW w:w="5909" w:type="dxa"/>
            <w:tcBorders>
              <w:tl2br w:val="nil"/>
              <w:tr2bl w:val="nil"/>
            </w:tcBorders>
            <w:noWrap w:val="0"/>
            <w:vAlign w:val="center"/>
          </w:tcPr>
          <w:p w14:paraId="15692F8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lang w:eastAsia="zh-CN"/>
              </w:rPr>
              <w:t>施工期</w:t>
            </w:r>
            <w:r>
              <w:rPr>
                <w:rFonts w:hint="default" w:ascii="Times New Roman" w:hAnsi="Times New Roman" w:eastAsia="宋体" w:cs="Times New Roman"/>
                <w:color w:val="000000"/>
                <w:lang w:eastAsia="zh-CN"/>
              </w:rPr>
              <w:t>：</w:t>
            </w:r>
            <w:r>
              <w:rPr>
                <w:rFonts w:hint="default" w:ascii="Times New Roman" w:hAnsi="Times New Roman" w:eastAsia="宋体" w:cs="Times New Roman"/>
                <w:color w:val="000000"/>
                <w:sz w:val="21"/>
                <w:szCs w:val="21"/>
              </w:rPr>
              <w:t>严格落实施工过程“六个百分百”中相关要求。沿施工现场四周连续设置施工围挡；施工现场出入口及现场内主要道路应进行混凝土硬化或铺设钢板；现场裸土应采取覆盖等措施，施工现场建筑材料和其他易飞扬的细颗粒建筑材料应密闭存放或采取密目网覆盖等措施；施工现场应采用机械喷雾与人工洒水相结合的方式有效控制施工扬尘；施工现场出入口应设置车辆冲洗设施，运输土石方、散装物料、建筑垃圾等车辆，密闭且冲洗后方可驶出施工现场，严禁车辆带泥上路。加强对施工机械、运输车辆的维修保养禁止以柴油为燃料的施工机械超负荷工作。</w:t>
            </w:r>
          </w:p>
          <w:p w14:paraId="32BCA4B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color w:val="000000"/>
                <w:sz w:val="21"/>
                <w:szCs w:val="21"/>
              </w:rPr>
              <w:t>运营期：</w:t>
            </w:r>
            <w:r>
              <w:rPr>
                <w:rFonts w:hint="default" w:ascii="Times New Roman" w:hAnsi="Times New Roman" w:eastAsia="宋体" w:cs="Times New Roman"/>
                <w:b w:val="0"/>
                <w:bCs w:val="0"/>
                <w:color w:val="000000"/>
                <w:sz w:val="21"/>
                <w:szCs w:val="21"/>
              </w:rPr>
              <w:t>项目区内无废气污染源</w:t>
            </w:r>
          </w:p>
        </w:tc>
      </w:tr>
      <w:tr w14:paraId="5168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35D683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640" w:type="dxa"/>
            <w:gridSpan w:val="2"/>
            <w:tcBorders>
              <w:tl2br w:val="nil"/>
              <w:tr2bl w:val="nil"/>
            </w:tcBorders>
            <w:noWrap w:val="0"/>
            <w:vAlign w:val="center"/>
          </w:tcPr>
          <w:p w14:paraId="1ACE8D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废水治理措施</w:t>
            </w:r>
          </w:p>
        </w:tc>
        <w:tc>
          <w:tcPr>
            <w:tcW w:w="5909" w:type="dxa"/>
            <w:tcBorders>
              <w:tl2br w:val="nil"/>
              <w:tr2bl w:val="nil"/>
            </w:tcBorders>
            <w:noWrap w:val="0"/>
            <w:vAlign w:val="center"/>
          </w:tcPr>
          <w:p w14:paraId="57823A5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outlineLvl w:val="9"/>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sz w:val="21"/>
                <w:szCs w:val="21"/>
                <w:lang w:eastAsia="zh-CN"/>
              </w:rPr>
              <w:t>施工期：</w:t>
            </w:r>
            <w:r>
              <w:rPr>
                <w:rFonts w:hint="default" w:ascii="Times New Roman" w:hAnsi="Times New Roman" w:eastAsia="宋体" w:cs="Times New Roman"/>
                <w:color w:val="000000"/>
                <w:kern w:val="0"/>
                <w:sz w:val="21"/>
                <w:szCs w:val="21"/>
              </w:rPr>
              <w:t>施工人员住宿全部通过就近租住民宅解决，生活污水经租住的民宅内的化粪池收集后用于农肥，不外排；车辆、设备冲洗废水经隔油、沉淀处理后回用于车辆冲洗、洒水降尘，不外排；</w:t>
            </w:r>
            <w:r>
              <w:rPr>
                <w:rFonts w:hint="default" w:ascii="Times New Roman" w:hAnsi="Times New Roman" w:eastAsia="宋体" w:cs="Times New Roman"/>
                <w:color w:val="000000"/>
                <w:kern w:val="0"/>
                <w:sz w:val="21"/>
                <w:szCs w:val="21"/>
                <w:lang w:eastAsia="zh-CN"/>
              </w:rPr>
              <w:t>围堰及</w:t>
            </w:r>
            <w:r>
              <w:rPr>
                <w:rFonts w:hint="default" w:ascii="Times New Roman" w:hAnsi="Times New Roman" w:eastAsia="宋体" w:cs="Times New Roman"/>
                <w:color w:val="000000"/>
                <w:kern w:val="0"/>
                <w:sz w:val="21"/>
                <w:szCs w:val="21"/>
              </w:rPr>
              <w:t>基坑废水经抽排至施工区沉淀池处理后回用于车辆冲洗、洒水降尘，不外排。</w:t>
            </w:r>
          </w:p>
          <w:p w14:paraId="74F3D8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color w:val="000000"/>
                <w:sz w:val="21"/>
                <w:szCs w:val="21"/>
                <w:lang w:eastAsia="zh-CN"/>
              </w:rPr>
              <w:t>运营期：</w:t>
            </w:r>
            <w:r>
              <w:rPr>
                <w:rFonts w:hint="default" w:ascii="Times New Roman" w:hAnsi="Times New Roman" w:eastAsia="宋体" w:cs="Times New Roman"/>
                <w:color w:val="000000"/>
                <w:sz w:val="21"/>
                <w:szCs w:val="21"/>
                <w:lang w:val="en-US" w:eastAsia="zh-CN"/>
              </w:rPr>
              <w:t>本工程不设定点管理人员，运营期废水主要为收集的收集的沿河居民生活污水，除纳管的部分村庄外，较为集中的村庄采用集中污水处理，集中污水处理设施选用净化槽工艺；对于村庄较为分散的采用资源化利用工艺</w:t>
            </w:r>
            <w:r>
              <w:rPr>
                <w:rFonts w:hint="eastAsia" w:cs="Times New Roman"/>
                <w:color w:val="000000"/>
                <w:sz w:val="21"/>
                <w:szCs w:val="21"/>
                <w:lang w:val="en-US" w:eastAsia="zh-CN"/>
              </w:rPr>
              <w:t>。尾水</w:t>
            </w:r>
            <w:r>
              <w:rPr>
                <w:rFonts w:hint="default" w:ascii="Times New Roman" w:hAnsi="Times New Roman" w:eastAsia="宋体" w:cs="Times New Roman"/>
                <w:color w:val="000000"/>
                <w:sz w:val="21"/>
                <w:szCs w:val="21"/>
                <w:lang w:val="en-US" w:eastAsia="zh-CN"/>
              </w:rPr>
              <w:t>结合周边情况，可排入农灌沟进行农用回灌，或者进行林地漫灌。</w:t>
            </w:r>
          </w:p>
        </w:tc>
      </w:tr>
      <w:tr w14:paraId="3D4BE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0514EE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640" w:type="dxa"/>
            <w:gridSpan w:val="2"/>
            <w:tcBorders>
              <w:tl2br w:val="nil"/>
              <w:tr2bl w:val="nil"/>
            </w:tcBorders>
            <w:noWrap w:val="0"/>
            <w:vAlign w:val="center"/>
          </w:tcPr>
          <w:p w14:paraId="6DB553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噪声治理措施</w:t>
            </w:r>
          </w:p>
        </w:tc>
        <w:tc>
          <w:tcPr>
            <w:tcW w:w="5909" w:type="dxa"/>
            <w:tcBorders>
              <w:tl2br w:val="nil"/>
              <w:tr2bl w:val="nil"/>
            </w:tcBorders>
            <w:noWrap w:val="0"/>
            <w:vAlign w:val="center"/>
          </w:tcPr>
          <w:p w14:paraId="7312E6E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outlineLvl w:val="9"/>
              <w:rPr>
                <w:rFonts w:hint="default" w:ascii="Times New Roman" w:hAnsi="Times New Roman" w:eastAsia="宋体" w:cs="Times New Roman"/>
                <w:color w:val="000000"/>
                <w:sz w:val="21"/>
                <w:szCs w:val="21"/>
              </w:rPr>
            </w:pPr>
            <w:r>
              <w:rPr>
                <w:rFonts w:hint="default" w:ascii="Times New Roman" w:hAnsi="Times New Roman" w:eastAsia="宋体" w:cs="Times New Roman"/>
                <w:b/>
                <w:bCs/>
                <w:color w:val="000000"/>
                <w:sz w:val="21"/>
                <w:szCs w:val="21"/>
                <w:lang w:eastAsia="zh-CN"/>
              </w:rPr>
              <w:t>施工期：</w:t>
            </w:r>
            <w:r>
              <w:rPr>
                <w:rFonts w:hint="default" w:ascii="Times New Roman" w:hAnsi="Times New Roman" w:eastAsia="宋体" w:cs="Times New Roman"/>
                <w:color w:val="000000"/>
                <w:sz w:val="21"/>
                <w:szCs w:val="21"/>
              </w:rPr>
              <w:t>合理安排施工机械作业时间，禁止夜间施工，选用低噪声的机械设备，合理布局施工设备，采取基础减振等降噪措施，避免高噪声设备同时运行，施工机械等。明确施工噪声控制责任，对施工期间运输车辆，也应合理安排，限制车辆鸣笛等综合降噪措施。</w:t>
            </w:r>
          </w:p>
          <w:p w14:paraId="27FA67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
                <w:bCs/>
                <w:color w:val="000000"/>
                <w:sz w:val="21"/>
                <w:szCs w:val="21"/>
                <w:lang w:eastAsia="zh-CN"/>
              </w:rPr>
              <w:t>运营期：</w:t>
            </w:r>
            <w:r>
              <w:rPr>
                <w:rFonts w:hint="default" w:ascii="Times New Roman" w:hAnsi="Times New Roman" w:eastAsia="宋体" w:cs="Times New Roman"/>
                <w:b w:val="0"/>
                <w:bCs w:val="0"/>
                <w:color w:val="000000"/>
                <w:sz w:val="21"/>
                <w:szCs w:val="21"/>
                <w:lang w:eastAsia="zh-CN"/>
              </w:rPr>
              <w:t>泵站</w:t>
            </w:r>
            <w:r>
              <w:rPr>
                <w:rFonts w:hint="default" w:ascii="Times New Roman" w:hAnsi="Times New Roman" w:eastAsia="宋体" w:cs="Times New Roman"/>
                <w:color w:val="000000"/>
                <w:sz w:val="21"/>
                <w:szCs w:val="21"/>
              </w:rPr>
              <w:t>优先选用低噪声设备，基础减震、加强机电设备维修及保养、距离衰减、</w:t>
            </w:r>
            <w:r>
              <w:rPr>
                <w:rFonts w:hint="default" w:ascii="Times New Roman" w:hAnsi="Times New Roman" w:eastAsia="宋体" w:cs="Times New Roman"/>
                <w:color w:val="000000"/>
                <w:sz w:val="21"/>
                <w:szCs w:val="21"/>
                <w:lang w:eastAsia="zh-CN"/>
              </w:rPr>
              <w:t>房屋</w:t>
            </w:r>
            <w:r>
              <w:rPr>
                <w:rFonts w:hint="default" w:ascii="Times New Roman" w:hAnsi="Times New Roman" w:eastAsia="宋体" w:cs="Times New Roman"/>
                <w:color w:val="000000"/>
                <w:sz w:val="21"/>
                <w:szCs w:val="21"/>
              </w:rPr>
              <w:t>隔声等措施。</w:t>
            </w:r>
          </w:p>
        </w:tc>
      </w:tr>
      <w:tr w14:paraId="6A17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63D2C4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640" w:type="dxa"/>
            <w:gridSpan w:val="2"/>
            <w:tcBorders>
              <w:tl2br w:val="nil"/>
              <w:tr2bl w:val="nil"/>
            </w:tcBorders>
            <w:noWrap w:val="0"/>
            <w:vAlign w:val="center"/>
          </w:tcPr>
          <w:p w14:paraId="555C0A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固废治理措施</w:t>
            </w:r>
          </w:p>
        </w:tc>
        <w:tc>
          <w:tcPr>
            <w:tcW w:w="5909" w:type="dxa"/>
            <w:tcBorders>
              <w:tl2br w:val="nil"/>
              <w:tr2bl w:val="nil"/>
            </w:tcBorders>
            <w:noWrap w:val="0"/>
            <w:vAlign w:val="center"/>
          </w:tcPr>
          <w:p w14:paraId="20AE30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outlineLvl w:val="9"/>
              <w:rPr>
                <w:rFonts w:hint="default" w:ascii="Times New Roman" w:hAnsi="Times New Roman" w:eastAsia="宋体" w:cs="Times New Roman"/>
                <w:color w:val="000000"/>
                <w:kern w:val="0"/>
                <w:sz w:val="21"/>
                <w:szCs w:val="21"/>
                <w:highlight w:val="none"/>
              </w:rPr>
            </w:pPr>
            <w:r>
              <w:rPr>
                <w:rFonts w:hint="default" w:ascii="Times New Roman" w:hAnsi="Times New Roman" w:eastAsia="宋体" w:cs="Times New Roman"/>
                <w:b/>
                <w:bCs/>
                <w:color w:val="000000"/>
                <w:sz w:val="21"/>
                <w:szCs w:val="21"/>
                <w:lang w:eastAsia="zh-CN"/>
              </w:rPr>
              <w:t>施工期：</w:t>
            </w:r>
            <w:r>
              <w:rPr>
                <w:rFonts w:hint="default" w:ascii="Times New Roman" w:hAnsi="Times New Roman" w:eastAsia="宋体" w:cs="Times New Roman"/>
                <w:color w:val="000000"/>
                <w:kern w:val="0"/>
                <w:sz w:val="21"/>
                <w:szCs w:val="21"/>
                <w:highlight w:val="none"/>
              </w:rPr>
              <w:t>生活</w:t>
            </w:r>
            <w:r>
              <w:rPr>
                <w:rFonts w:hint="default" w:ascii="Times New Roman" w:hAnsi="Times New Roman" w:eastAsia="宋体" w:cs="Times New Roman"/>
                <w:color w:val="000000"/>
                <w:kern w:val="0"/>
                <w:sz w:val="21"/>
                <w:szCs w:val="21"/>
                <w:highlight w:val="none"/>
                <w:lang w:eastAsia="zh-CN"/>
              </w:rPr>
              <w:t>垃圾</w:t>
            </w:r>
            <w:r>
              <w:rPr>
                <w:rFonts w:hint="default" w:ascii="Times New Roman" w:hAnsi="Times New Roman" w:eastAsia="宋体" w:cs="Times New Roman"/>
                <w:color w:val="000000"/>
                <w:kern w:val="0"/>
                <w:sz w:val="21"/>
                <w:szCs w:val="21"/>
                <w:highlight w:val="none"/>
              </w:rPr>
              <w:t>采用垃圾桶集中收集后，委托环卫部门定期处理；具有回收利用价值建筑垃圾的尽可能回收利用，剩余建筑垃圾运至相关建筑垃圾处理单位综合利用；</w:t>
            </w:r>
            <w:r>
              <w:rPr>
                <w:rFonts w:hint="default" w:ascii="Times New Roman" w:hAnsi="Times New Roman" w:eastAsia="宋体" w:cs="Times New Roman"/>
                <w:color w:val="000000"/>
                <w:kern w:val="0"/>
                <w:sz w:val="21"/>
                <w:szCs w:val="21"/>
                <w:highlight w:val="none"/>
                <w:lang w:eastAsia="zh-CN"/>
              </w:rPr>
              <w:t>本项目</w:t>
            </w:r>
            <w:r>
              <w:rPr>
                <w:rFonts w:hint="default" w:ascii="Times New Roman" w:hAnsi="Times New Roman" w:eastAsia="宋体" w:cs="Times New Roman"/>
                <w:color w:val="000000"/>
                <w:kern w:val="0"/>
                <w:sz w:val="21"/>
                <w:szCs w:val="21"/>
                <w:highlight w:val="none"/>
                <w:lang w:val="en-US" w:eastAsia="zh-CN"/>
              </w:rPr>
              <w:t>余方土由县矿产公司统一运输安置</w:t>
            </w:r>
            <w:r>
              <w:rPr>
                <w:rFonts w:hint="default" w:ascii="Times New Roman" w:hAnsi="Times New Roman" w:eastAsia="宋体" w:cs="Times New Roman"/>
                <w:color w:val="000000"/>
                <w:kern w:val="0"/>
                <w:sz w:val="21"/>
                <w:szCs w:val="21"/>
                <w:highlight w:val="none"/>
              </w:rPr>
              <w:t>。</w:t>
            </w:r>
          </w:p>
          <w:p w14:paraId="6275FC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default" w:ascii="Times New Roman" w:hAnsi="Times New Roman" w:eastAsia="宋体" w:cs="Times New Roman"/>
                <w:bCs/>
                <w:color w:val="000000"/>
                <w:sz w:val="21"/>
                <w:szCs w:val="21"/>
                <w:highlight w:val="none"/>
                <w:lang w:val="en-US" w:eastAsia="zh-CN"/>
              </w:rPr>
            </w:pPr>
            <w:r>
              <w:rPr>
                <w:rFonts w:hint="default" w:ascii="Times New Roman" w:hAnsi="Times New Roman" w:eastAsia="宋体" w:cs="Times New Roman"/>
                <w:b/>
                <w:bCs/>
                <w:color w:val="000000"/>
                <w:kern w:val="0"/>
                <w:sz w:val="21"/>
                <w:szCs w:val="21"/>
                <w:highlight w:val="none"/>
                <w:lang w:eastAsia="zh-CN"/>
              </w:rPr>
              <w:t>运营期：</w:t>
            </w:r>
            <w:r>
              <w:rPr>
                <w:rFonts w:hint="default" w:ascii="Times New Roman" w:hAnsi="Times New Roman" w:eastAsia="宋体" w:cs="Times New Roman"/>
                <w:color w:val="000000"/>
                <w:sz w:val="21"/>
                <w:szCs w:val="21"/>
                <w:highlight w:val="none"/>
                <w:lang w:val="en-US" w:eastAsia="zh-CN"/>
              </w:rPr>
              <w:t>本工程不设定点管理人员，运营期无生活垃圾生</w:t>
            </w:r>
            <w:r>
              <w:rPr>
                <w:rFonts w:hint="default" w:ascii="Times New Roman" w:hAnsi="Times New Roman" w:eastAsia="宋体" w:cs="Times New Roman"/>
                <w:color w:val="000000"/>
                <w:sz w:val="21"/>
                <w:szCs w:val="21"/>
                <w:lang w:val="en-US" w:eastAsia="zh-CN"/>
              </w:rPr>
              <w:t>产；泵站拦截的垃圾量应打捞后由环卫部门运至垃圾填埋场处理；泵站、闸门检修产生的废矿物油及沾染物，按危险废物管理要求进行集中回收处理。</w:t>
            </w:r>
          </w:p>
        </w:tc>
      </w:tr>
      <w:tr w14:paraId="70C0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8" w:type="dxa"/>
            <w:vMerge w:val="continue"/>
            <w:tcBorders>
              <w:tl2br w:val="nil"/>
              <w:tr2bl w:val="nil"/>
            </w:tcBorders>
            <w:noWrap w:val="0"/>
            <w:vAlign w:val="center"/>
          </w:tcPr>
          <w:p w14:paraId="0CC03A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p>
        </w:tc>
        <w:tc>
          <w:tcPr>
            <w:tcW w:w="1640" w:type="dxa"/>
            <w:gridSpan w:val="2"/>
            <w:tcBorders>
              <w:tl2br w:val="nil"/>
              <w:tr2bl w:val="nil"/>
            </w:tcBorders>
            <w:noWrap w:val="0"/>
            <w:vAlign w:val="center"/>
          </w:tcPr>
          <w:p w14:paraId="2CD51B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rPr>
              <w:t>生态恢复、水土保持措施</w:t>
            </w:r>
          </w:p>
        </w:tc>
        <w:tc>
          <w:tcPr>
            <w:tcW w:w="5909" w:type="dxa"/>
            <w:tcBorders>
              <w:tl2br w:val="nil"/>
              <w:tr2bl w:val="nil"/>
            </w:tcBorders>
            <w:noWrap w:val="0"/>
            <w:vAlign w:val="center"/>
          </w:tcPr>
          <w:p w14:paraId="050A5C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Cs/>
                <w:color w:val="000000"/>
                <w:sz w:val="21"/>
                <w:szCs w:val="21"/>
                <w:highlight w:val="none"/>
              </w:rPr>
            </w:pPr>
            <w:r>
              <w:rPr>
                <w:rFonts w:hint="default" w:ascii="Times New Roman" w:hAnsi="Times New Roman" w:eastAsia="宋体" w:cs="Times New Roman"/>
                <w:bCs/>
                <w:color w:val="000000"/>
                <w:sz w:val="21"/>
                <w:szCs w:val="21"/>
                <w:highlight w:val="none"/>
                <w:lang w:val="en-US" w:eastAsia="zh-CN"/>
              </w:rPr>
              <w:t>施工结束后，及时对临时占地区域进行植被恢复或复垦。</w:t>
            </w:r>
          </w:p>
        </w:tc>
      </w:tr>
    </w:tbl>
    <w:p w14:paraId="7711F847">
      <w:pPr>
        <w:bidi w:val="0"/>
        <w:outlineLvl w:val="9"/>
        <w:rPr>
          <w:rFonts w:hint="eastAsia"/>
          <w:color w:val="000000"/>
          <w:lang w:val="en-US" w:eastAsia="zh-CN"/>
        </w:rPr>
      </w:pPr>
    </w:p>
    <w:p w14:paraId="4F55418E">
      <w:pPr>
        <w:bidi w:val="0"/>
        <w:ind w:left="0" w:leftChars="0" w:firstLine="0" w:firstLineChars="0"/>
        <w:jc w:val="both"/>
        <w:rPr>
          <w:rFonts w:hint="eastAsia"/>
          <w:color w:val="000000"/>
          <w:lang w:eastAsia="zh-CN"/>
        </w:rPr>
      </w:pPr>
    </w:p>
    <w:p w14:paraId="10332BE3">
      <w:pPr>
        <w:pStyle w:val="4"/>
        <w:bidi w:val="0"/>
        <w:rPr>
          <w:rFonts w:hint="eastAsia"/>
          <w:color w:val="000000"/>
          <w:lang w:val="en-US" w:eastAsia="zh-CN"/>
        </w:rPr>
      </w:pPr>
      <w:bookmarkStart w:id="68" w:name="_Toc14412"/>
      <w:bookmarkStart w:id="69" w:name="_Toc3579"/>
      <w:r>
        <w:rPr>
          <w:rStyle w:val="59"/>
          <w:rFonts w:hint="eastAsia"/>
          <w:b/>
          <w:color w:val="000000"/>
          <w:lang w:val="en-US" w:eastAsia="zh-CN"/>
        </w:rPr>
        <w:t>2.2 施</w:t>
      </w:r>
      <w:r>
        <w:rPr>
          <w:rFonts w:hint="eastAsia"/>
          <w:color w:val="000000"/>
          <w:lang w:val="en-US" w:eastAsia="zh-CN"/>
        </w:rPr>
        <w:t>工组织设计</w:t>
      </w:r>
      <w:bookmarkEnd w:id="68"/>
      <w:bookmarkEnd w:id="69"/>
    </w:p>
    <w:p w14:paraId="5522BD7B">
      <w:pPr>
        <w:pStyle w:val="5"/>
        <w:bidi w:val="0"/>
        <w:rPr>
          <w:rFonts w:hint="eastAsia"/>
          <w:color w:val="000000"/>
          <w:lang w:val="en-US" w:eastAsia="zh-CN"/>
        </w:rPr>
      </w:pPr>
      <w:bookmarkStart w:id="70" w:name="_Toc10087"/>
      <w:r>
        <w:rPr>
          <w:rFonts w:hint="eastAsia"/>
          <w:color w:val="000000"/>
          <w:lang w:val="en-US" w:eastAsia="zh-CN"/>
        </w:rPr>
        <w:t>2.2.1工程条件</w:t>
      </w:r>
      <w:bookmarkEnd w:id="70"/>
    </w:p>
    <w:p w14:paraId="15713E5F">
      <w:pPr>
        <w:numPr>
          <w:ilvl w:val="0"/>
          <w:numId w:val="0"/>
        </w:numPr>
        <w:ind w:left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b/>
          <w:bCs/>
          <w:color w:val="000000"/>
          <w:lang w:val="en-US" w:eastAsia="zh-CN"/>
        </w:rPr>
        <w:t>（1）对外交通运输</w:t>
      </w:r>
    </w:p>
    <w:p w14:paraId="47E57769">
      <w:pPr>
        <w:numPr>
          <w:ilvl w:val="0"/>
          <w:numId w:val="0"/>
        </w:numPr>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本工程所在地各级公路纵横交错，交通网发达，外部交通满足本次施工的运输条件。</w:t>
      </w:r>
    </w:p>
    <w:p w14:paraId="1A9E48E0">
      <w:pPr>
        <w:numPr>
          <w:ilvl w:val="0"/>
          <w:numId w:val="0"/>
        </w:numPr>
        <w:ind w:left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b/>
          <w:bCs/>
          <w:color w:val="000000"/>
          <w:lang w:val="en-US" w:eastAsia="zh-CN"/>
        </w:rPr>
        <w:t>（2）场内交通运输</w:t>
      </w:r>
    </w:p>
    <w:p w14:paraId="5B79AF1D">
      <w:pPr>
        <w:numPr>
          <w:ilvl w:val="0"/>
          <w:numId w:val="0"/>
        </w:numPr>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西部新城排涝站工程站址处有防汛道路相连，城区排涝通道整治工程和排水管新建工程中，工程沿线均有市政道路联通，场内交通便利。项目仅局部要修建临时道路便于材料和机械进场。</w:t>
      </w:r>
    </w:p>
    <w:p w14:paraId="70B58830">
      <w:pPr>
        <w:numPr>
          <w:ilvl w:val="0"/>
          <w:numId w:val="0"/>
        </w:numPr>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S322省道穿路涵施工需采用道路半幅开挖施工，结合预制箱涵结构缩短工期，减少对S322道路交通的影响，施工前需由施工单位编制专项方案，并组织专项论证后方可施工。</w:t>
      </w:r>
    </w:p>
    <w:p w14:paraId="47F9A4E9">
      <w:pPr>
        <w:pStyle w:val="5"/>
        <w:bidi w:val="0"/>
        <w:rPr>
          <w:rFonts w:hint="eastAsia"/>
          <w:color w:val="000000"/>
          <w:lang w:val="en-US" w:eastAsia="zh-CN"/>
        </w:rPr>
      </w:pPr>
      <w:bookmarkStart w:id="71" w:name="_Toc4582"/>
      <w:r>
        <w:rPr>
          <w:rFonts w:hint="eastAsia"/>
          <w:color w:val="000000"/>
          <w:lang w:val="en-US" w:eastAsia="zh-CN"/>
        </w:rPr>
        <w:t>2.2.2施工</w:t>
      </w:r>
      <w:bookmarkEnd w:id="71"/>
      <w:r>
        <w:rPr>
          <w:rFonts w:hint="eastAsia"/>
          <w:color w:val="000000"/>
          <w:lang w:val="en-US" w:eastAsia="zh-CN"/>
        </w:rPr>
        <w:t>方案</w:t>
      </w:r>
    </w:p>
    <w:p w14:paraId="433246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1、施工导流</w:t>
      </w:r>
    </w:p>
    <w:p w14:paraId="306B3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西部新城排涝泵站工程圩内施工无需导流，来水可通过现有沟渠排入现有张家湾涵闸和永康桥涵闸。</w:t>
      </w:r>
    </w:p>
    <w:p w14:paraId="4EE85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城区排涝整治工程施工主要安排在非汛期，本地降雨较少，施工期间河道来水较少，同时利用上游水库溢洪道控泄，区域少量降雨临时架机抽排。</w:t>
      </w:r>
    </w:p>
    <w:p w14:paraId="16696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本工程在新建排水管道期间，需对两侧道路污水管道及现状污水支管实施调排水。针对整段开挖更换的管道可采取逐段封堵调排的方式，针对局部开挖更换，可采取在该段管道上、下游封堵调排的方式。</w:t>
      </w:r>
    </w:p>
    <w:p w14:paraId="45685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2、施工截流</w:t>
      </w:r>
    </w:p>
    <w:p w14:paraId="4880F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（1）西部新城排涝泵站工程在外河侧设置挡水围堰，施工安排在非汛期施工。</w:t>
      </w:r>
    </w:p>
    <w:p w14:paraId="2B275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（2）城区排涝整治工程中，堤顶道路施工无需专门的截流设施。堤防达标选择枯水季节施工，河道上游来水少，无需专门的截流设施。</w:t>
      </w:r>
    </w:p>
    <w:p w14:paraId="784BA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岸坡防护和配套建筑物施工时，利用沿河的滚水坝和临时施工围堰，分段施工。围堰所需土方可利用开挖土方。围堰顶高程为施工期水位加安全加高0.5m，围堰级别为5级，初步拟定平均净高为2.5m，顶宽2.00m，边坡1：2.5。</w:t>
      </w:r>
    </w:p>
    <w:p w14:paraId="380DF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（3）排水管网新建工程中，污水管道工程无需导截流。</w:t>
      </w:r>
    </w:p>
    <w:p w14:paraId="5E34CF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（4）围堰稳定计算</w:t>
      </w:r>
    </w:p>
    <w:p w14:paraId="31D18A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根据有关规范，本计算中对围堰的渗透量、等势线分布、出逸段和下游坝身表面的渗透坡降进行分析计算，具体见下表和附图，表中给定的容许渗透坡降根据《水利水电工程地质勘察规范》（GB50487），由下式求得：</w:t>
      </w:r>
    </w:p>
    <w:p w14:paraId="415C4D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pict>
          <v:shape id="_x0000_i1026" o:spt="75" type="#_x0000_t75" style="height:21.9pt;width:128.95pt;" filled="f" o:preferrelative="t" stroked="f" coordsize="21600,21600">
            <v:path/>
            <v:fill on="f" focussize="0,0"/>
            <v:stroke on="f"/>
            <v:imagedata r:id="rId37" o:title=""/>
            <o:lock v:ext="edit" aspectratio="t"/>
            <w10:wrap type="none"/>
            <w10:anchorlock/>
          </v:shape>
        </w:pict>
      </w:r>
    </w:p>
    <w:p w14:paraId="1AD7E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式中：Gs－－土的比重；</w:t>
      </w:r>
    </w:p>
    <w:p w14:paraId="57850A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n－－土的孔隙率；</w:t>
      </w:r>
    </w:p>
    <w:p w14:paraId="49492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kp－－折减系数，式中kp=2。</w:t>
      </w:r>
    </w:p>
    <w:p w14:paraId="2A77C8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表</w:t>
      </w:r>
      <w:r>
        <w:rPr>
          <w:rFonts w:hint="eastAsia" w:ascii="Times New Roman" w:hAnsi="Times New Roman" w:eastAsia="宋体" w:cs="Times New Roman"/>
          <w:b/>
          <w:bCs/>
          <w:color w:val="000000"/>
          <w:kern w:val="2"/>
          <w:sz w:val="24"/>
          <w:szCs w:val="24"/>
          <w:highlight w:val="none"/>
          <w:lang w:val="en-US" w:eastAsia="zh-CN" w:bidi="ar-SA"/>
        </w:rPr>
        <w:t>2.2-1</w:t>
      </w:r>
      <w:r>
        <w:rPr>
          <w:rFonts w:hint="default" w:ascii="Times New Roman" w:hAnsi="Times New Roman" w:eastAsia="宋体" w:cs="Times New Roman"/>
          <w:b/>
          <w:bCs/>
          <w:color w:val="000000"/>
          <w:kern w:val="2"/>
          <w:sz w:val="24"/>
          <w:szCs w:val="24"/>
          <w:highlight w:val="none"/>
          <w:lang w:val="en-US" w:eastAsia="zh-CN" w:bidi="ar-SA"/>
        </w:rPr>
        <w:t xml:space="preserve">  围堰渗流计算结果表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786"/>
        <w:gridCol w:w="1651"/>
        <w:gridCol w:w="2063"/>
        <w:gridCol w:w="2027"/>
      </w:tblGrid>
      <w:tr w14:paraId="4376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23" w:type="pct"/>
            <w:noWrap w:val="0"/>
            <w:vAlign w:val="center"/>
          </w:tcPr>
          <w:p w14:paraId="655159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计算工况</w:t>
            </w:r>
          </w:p>
        </w:tc>
        <w:tc>
          <w:tcPr>
            <w:tcW w:w="1907" w:type="pct"/>
            <w:gridSpan w:val="2"/>
            <w:noWrap w:val="0"/>
            <w:vAlign w:val="center"/>
          </w:tcPr>
          <w:p w14:paraId="7125D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最大渗透坡降</w:t>
            </w:r>
          </w:p>
        </w:tc>
        <w:tc>
          <w:tcPr>
            <w:tcW w:w="1145" w:type="pct"/>
            <w:noWrap w:val="0"/>
            <w:vAlign w:val="center"/>
          </w:tcPr>
          <w:p w14:paraId="2A4529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坡降容许值</w:t>
            </w:r>
          </w:p>
        </w:tc>
        <w:tc>
          <w:tcPr>
            <w:tcW w:w="1125" w:type="pct"/>
            <w:noWrap w:val="0"/>
            <w:vAlign w:val="center"/>
          </w:tcPr>
          <w:p w14:paraId="16E17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渗流量m</w:t>
            </w:r>
            <w:r>
              <w:rPr>
                <w:rFonts w:hint="default" w:ascii="Times New Roman" w:hAnsi="Times New Roman" w:eastAsia="宋体" w:cs="Times New Roman"/>
                <w:b/>
                <w:bCs/>
                <w:color w:val="000000"/>
                <w:kern w:val="2"/>
                <w:sz w:val="21"/>
                <w:szCs w:val="21"/>
                <w:highlight w:val="none"/>
                <w:vertAlign w:val="superscript"/>
                <w:lang w:val="en-US" w:eastAsia="zh-CN" w:bidi="ar-SA"/>
              </w:rPr>
              <w:t>3</w:t>
            </w:r>
            <w:r>
              <w:rPr>
                <w:rFonts w:hint="default" w:ascii="Times New Roman" w:hAnsi="Times New Roman" w:eastAsia="宋体" w:cs="Times New Roman"/>
                <w:b/>
                <w:bCs/>
                <w:color w:val="000000"/>
                <w:kern w:val="2"/>
                <w:sz w:val="21"/>
                <w:szCs w:val="21"/>
                <w:highlight w:val="none"/>
                <w:lang w:val="en-US" w:eastAsia="zh-CN" w:bidi="ar-SA"/>
              </w:rPr>
              <w:t>/天</w:t>
            </w:r>
          </w:p>
        </w:tc>
      </w:tr>
      <w:tr w14:paraId="706C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restart"/>
            <w:noWrap w:val="0"/>
            <w:vAlign w:val="center"/>
          </w:tcPr>
          <w:p w14:paraId="35C2DB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工况一</w:t>
            </w:r>
          </w:p>
        </w:tc>
        <w:tc>
          <w:tcPr>
            <w:tcW w:w="991" w:type="pct"/>
            <w:noWrap w:val="0"/>
            <w:vAlign w:val="center"/>
          </w:tcPr>
          <w:p w14:paraId="5A2E3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背水坡</w:t>
            </w:r>
          </w:p>
        </w:tc>
        <w:tc>
          <w:tcPr>
            <w:tcW w:w="916" w:type="pct"/>
            <w:noWrap w:val="0"/>
            <w:vAlign w:val="center"/>
          </w:tcPr>
          <w:p w14:paraId="7C1A47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0.29</w:t>
            </w:r>
          </w:p>
        </w:tc>
        <w:tc>
          <w:tcPr>
            <w:tcW w:w="1145" w:type="pct"/>
            <w:noWrap w:val="0"/>
            <w:vAlign w:val="center"/>
          </w:tcPr>
          <w:p w14:paraId="24A45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0.48</w:t>
            </w:r>
          </w:p>
        </w:tc>
        <w:tc>
          <w:tcPr>
            <w:tcW w:w="1125" w:type="pct"/>
            <w:vMerge w:val="restart"/>
            <w:noWrap w:val="0"/>
            <w:vAlign w:val="center"/>
          </w:tcPr>
          <w:p w14:paraId="54761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0.002</w:t>
            </w:r>
          </w:p>
        </w:tc>
      </w:tr>
      <w:tr w14:paraId="43BB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823" w:type="pct"/>
            <w:vMerge w:val="continue"/>
            <w:noWrap w:val="0"/>
            <w:vAlign w:val="center"/>
          </w:tcPr>
          <w:p w14:paraId="2C507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000000"/>
                <w:kern w:val="2"/>
                <w:sz w:val="21"/>
                <w:szCs w:val="21"/>
                <w:highlight w:val="none"/>
                <w:lang w:val="en-US" w:eastAsia="zh-CN" w:bidi="ar-SA"/>
              </w:rPr>
            </w:pPr>
          </w:p>
        </w:tc>
        <w:tc>
          <w:tcPr>
            <w:tcW w:w="991" w:type="pct"/>
            <w:noWrap w:val="0"/>
            <w:vAlign w:val="center"/>
          </w:tcPr>
          <w:p w14:paraId="1A1439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坝基</w:t>
            </w:r>
          </w:p>
        </w:tc>
        <w:tc>
          <w:tcPr>
            <w:tcW w:w="916" w:type="pct"/>
            <w:noWrap w:val="0"/>
            <w:vAlign w:val="center"/>
          </w:tcPr>
          <w:p w14:paraId="46247B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0.01</w:t>
            </w:r>
          </w:p>
        </w:tc>
        <w:tc>
          <w:tcPr>
            <w:tcW w:w="1145" w:type="pct"/>
            <w:noWrap w:val="0"/>
            <w:vAlign w:val="center"/>
          </w:tcPr>
          <w:p w14:paraId="720A6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0.48</w:t>
            </w:r>
          </w:p>
        </w:tc>
        <w:tc>
          <w:tcPr>
            <w:tcW w:w="1125" w:type="pct"/>
            <w:vMerge w:val="continue"/>
            <w:noWrap w:val="0"/>
            <w:vAlign w:val="center"/>
          </w:tcPr>
          <w:p w14:paraId="2DFBE7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textAlignment w:val="auto"/>
              <w:rPr>
                <w:rFonts w:hint="default" w:ascii="Times New Roman" w:hAnsi="Times New Roman" w:eastAsia="宋体" w:cs="Times New Roman"/>
                <w:color w:val="000000"/>
                <w:kern w:val="2"/>
                <w:sz w:val="21"/>
                <w:szCs w:val="21"/>
                <w:highlight w:val="none"/>
                <w:lang w:val="en-US" w:eastAsia="zh-CN" w:bidi="ar-SA"/>
              </w:rPr>
            </w:pPr>
          </w:p>
        </w:tc>
      </w:tr>
    </w:tbl>
    <w:p w14:paraId="5C5F0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pict>
          <v:shape id="_x0000_i1027" o:spt="75" type="#_x0000_t75" style="height:72.55pt;width:371.05pt;" filled="f" o:preferrelative="t" stroked="f" coordsize="21600,21600">
            <v:path/>
            <v:fill on="f" focussize="0,0"/>
            <v:stroke on="f"/>
            <v:imagedata r:id="rId38" cropbottom="5923f" o:title=""/>
            <o:lock v:ext="edit" aspectratio="t"/>
            <w10:wrap type="none"/>
            <w10:anchorlock/>
          </v:shape>
        </w:pict>
      </w:r>
    </w:p>
    <w:p w14:paraId="091C5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图2</w:t>
      </w:r>
      <w:r>
        <w:rPr>
          <w:rFonts w:hint="eastAsia" w:ascii="Times New Roman" w:hAnsi="Times New Roman" w:eastAsia="宋体" w:cs="Times New Roman"/>
          <w:b/>
          <w:bCs/>
          <w:color w:val="000000"/>
          <w:kern w:val="2"/>
          <w:sz w:val="24"/>
          <w:szCs w:val="24"/>
          <w:highlight w:val="none"/>
          <w:lang w:val="en-US" w:eastAsia="zh-CN" w:bidi="ar-SA"/>
        </w:rPr>
        <w:t>.2</w:t>
      </w:r>
      <w:r>
        <w:rPr>
          <w:rFonts w:hint="default" w:ascii="Times New Roman" w:hAnsi="Times New Roman" w:eastAsia="宋体" w:cs="Times New Roman"/>
          <w:b/>
          <w:bCs/>
          <w:color w:val="000000"/>
          <w:kern w:val="2"/>
          <w:sz w:val="24"/>
          <w:szCs w:val="24"/>
          <w:highlight w:val="none"/>
          <w:lang w:val="en-US" w:eastAsia="zh-CN" w:bidi="ar-SA"/>
        </w:rPr>
        <w:t>-</w:t>
      </w:r>
      <w:r>
        <w:rPr>
          <w:rFonts w:hint="eastAsia" w:ascii="Times New Roman" w:hAnsi="Times New Roman" w:eastAsia="宋体" w:cs="Times New Roman"/>
          <w:b/>
          <w:bCs/>
          <w:color w:val="000000"/>
          <w:kern w:val="2"/>
          <w:sz w:val="24"/>
          <w:szCs w:val="24"/>
          <w:highlight w:val="none"/>
          <w:lang w:val="en-US" w:eastAsia="zh-CN" w:bidi="ar-SA"/>
        </w:rPr>
        <w:t>1</w:t>
      </w:r>
      <w:r>
        <w:rPr>
          <w:rFonts w:hint="default" w:ascii="Times New Roman" w:hAnsi="Times New Roman" w:eastAsia="宋体" w:cs="Times New Roman"/>
          <w:b/>
          <w:bCs/>
          <w:color w:val="000000"/>
          <w:kern w:val="2"/>
          <w:sz w:val="24"/>
          <w:szCs w:val="24"/>
          <w:highlight w:val="none"/>
          <w:lang w:val="en-US" w:eastAsia="zh-CN" w:bidi="ar-SA"/>
        </w:rPr>
        <w:t xml:space="preserve">  围堰渗流计算图</w:t>
      </w:r>
    </w:p>
    <w:p w14:paraId="7C2C4D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表2</w:t>
      </w:r>
      <w:r>
        <w:rPr>
          <w:rFonts w:hint="eastAsia" w:ascii="Times New Roman" w:hAnsi="Times New Roman" w:eastAsia="宋体" w:cs="Times New Roman"/>
          <w:b/>
          <w:bCs/>
          <w:color w:val="000000"/>
          <w:kern w:val="2"/>
          <w:sz w:val="24"/>
          <w:szCs w:val="24"/>
          <w:highlight w:val="none"/>
          <w:lang w:val="en-US" w:eastAsia="zh-CN" w:bidi="ar-SA"/>
        </w:rPr>
        <w:t>.2-2</w:t>
      </w:r>
      <w:r>
        <w:rPr>
          <w:rFonts w:hint="default" w:ascii="Times New Roman" w:hAnsi="Times New Roman" w:eastAsia="宋体" w:cs="Times New Roman"/>
          <w:b/>
          <w:bCs/>
          <w:color w:val="000000"/>
          <w:kern w:val="2"/>
          <w:sz w:val="24"/>
          <w:szCs w:val="24"/>
          <w:highlight w:val="none"/>
          <w:lang w:val="en-US" w:eastAsia="zh-CN" w:bidi="ar-SA"/>
        </w:rPr>
        <w:t xml:space="preserve"> 围堰抗滑稳定计算水位组合表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696"/>
        <w:gridCol w:w="2434"/>
        <w:gridCol w:w="2434"/>
      </w:tblGrid>
      <w:tr w14:paraId="63B0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14:paraId="43600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工况</w:t>
            </w:r>
          </w:p>
        </w:tc>
        <w:tc>
          <w:tcPr>
            <w:tcW w:w="1496" w:type="pct"/>
            <w:noWrap w:val="0"/>
            <w:vAlign w:val="center"/>
          </w:tcPr>
          <w:p w14:paraId="78AAE1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上游水位</w:t>
            </w:r>
          </w:p>
        </w:tc>
        <w:tc>
          <w:tcPr>
            <w:tcW w:w="1351" w:type="pct"/>
            <w:noWrap w:val="0"/>
            <w:vAlign w:val="center"/>
          </w:tcPr>
          <w:p w14:paraId="42720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下游水位</w:t>
            </w:r>
          </w:p>
        </w:tc>
        <w:tc>
          <w:tcPr>
            <w:tcW w:w="1351" w:type="pct"/>
            <w:noWrap w:val="0"/>
            <w:vAlign w:val="center"/>
          </w:tcPr>
          <w:p w14:paraId="3D393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计算边坡</w:t>
            </w:r>
          </w:p>
        </w:tc>
      </w:tr>
      <w:tr w14:paraId="3FD9D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2" w:type="pct"/>
            <w:noWrap w:val="0"/>
            <w:vAlign w:val="center"/>
          </w:tcPr>
          <w:p w14:paraId="4D24D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工况一</w:t>
            </w:r>
          </w:p>
        </w:tc>
        <w:tc>
          <w:tcPr>
            <w:tcW w:w="1496" w:type="pct"/>
            <w:noWrap w:val="0"/>
            <w:vAlign w:val="center"/>
          </w:tcPr>
          <w:p w14:paraId="66CF53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2.0</w:t>
            </w:r>
          </w:p>
        </w:tc>
        <w:tc>
          <w:tcPr>
            <w:tcW w:w="1351" w:type="pct"/>
            <w:noWrap w:val="0"/>
            <w:vAlign w:val="center"/>
          </w:tcPr>
          <w:p w14:paraId="1180D1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0.00</w:t>
            </w:r>
          </w:p>
        </w:tc>
        <w:tc>
          <w:tcPr>
            <w:tcW w:w="1351" w:type="pct"/>
            <w:noWrap w:val="0"/>
            <w:vAlign w:val="center"/>
          </w:tcPr>
          <w:p w14:paraId="6E903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背水坡</w:t>
            </w:r>
          </w:p>
        </w:tc>
      </w:tr>
    </w:tbl>
    <w:p w14:paraId="52A10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计算结果见下表及附图，表中安全系数容许值参见《堤防工程设计规范》（GB50286-2013）。</w:t>
      </w:r>
    </w:p>
    <w:p w14:paraId="678D59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表</w:t>
      </w:r>
      <w:r>
        <w:rPr>
          <w:rFonts w:hint="eastAsia" w:ascii="Times New Roman" w:hAnsi="Times New Roman" w:eastAsia="宋体" w:cs="Times New Roman"/>
          <w:b/>
          <w:bCs/>
          <w:color w:val="000000"/>
          <w:kern w:val="2"/>
          <w:sz w:val="24"/>
          <w:szCs w:val="24"/>
          <w:highlight w:val="none"/>
          <w:lang w:val="en-US" w:eastAsia="zh-CN" w:bidi="ar-SA"/>
        </w:rPr>
        <w:t>2.2-3</w:t>
      </w:r>
      <w:r>
        <w:rPr>
          <w:rFonts w:hint="default" w:ascii="Times New Roman" w:hAnsi="Times New Roman" w:eastAsia="宋体" w:cs="Times New Roman"/>
          <w:b/>
          <w:bCs/>
          <w:color w:val="000000"/>
          <w:kern w:val="2"/>
          <w:sz w:val="24"/>
          <w:szCs w:val="24"/>
          <w:highlight w:val="none"/>
          <w:lang w:val="en-US" w:eastAsia="zh-CN" w:bidi="ar-SA"/>
        </w:rPr>
        <w:t xml:space="preserve">  围堰抗滑稳定安全系数计算结果</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3"/>
        <w:gridCol w:w="3003"/>
        <w:gridCol w:w="3004"/>
      </w:tblGrid>
      <w:tr w14:paraId="4D83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noWrap w:val="0"/>
            <w:vAlign w:val="center"/>
          </w:tcPr>
          <w:p w14:paraId="329B53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计算工况</w:t>
            </w:r>
          </w:p>
        </w:tc>
        <w:tc>
          <w:tcPr>
            <w:tcW w:w="3095" w:type="dxa"/>
            <w:noWrap w:val="0"/>
            <w:vAlign w:val="center"/>
          </w:tcPr>
          <w:p w14:paraId="23AEC0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安全系数</w:t>
            </w:r>
          </w:p>
        </w:tc>
        <w:tc>
          <w:tcPr>
            <w:tcW w:w="3096" w:type="dxa"/>
            <w:noWrap w:val="0"/>
            <w:vAlign w:val="center"/>
          </w:tcPr>
          <w:p w14:paraId="34035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1"/>
                <w:szCs w:val="21"/>
                <w:highlight w:val="none"/>
                <w:lang w:val="en-US" w:eastAsia="zh-CN" w:bidi="ar-SA"/>
              </w:rPr>
            </w:pPr>
            <w:r>
              <w:rPr>
                <w:rFonts w:hint="default" w:ascii="Times New Roman" w:hAnsi="Times New Roman" w:eastAsia="宋体" w:cs="Times New Roman"/>
                <w:b/>
                <w:bCs/>
                <w:color w:val="000000"/>
                <w:kern w:val="2"/>
                <w:sz w:val="21"/>
                <w:szCs w:val="21"/>
                <w:highlight w:val="none"/>
                <w:lang w:val="en-US" w:eastAsia="zh-CN" w:bidi="ar-SA"/>
              </w:rPr>
              <w:t>规范允许值</w:t>
            </w:r>
          </w:p>
        </w:tc>
      </w:tr>
      <w:tr w14:paraId="780C8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95" w:type="dxa"/>
            <w:noWrap w:val="0"/>
            <w:vAlign w:val="center"/>
          </w:tcPr>
          <w:p w14:paraId="60E44B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施工期</w:t>
            </w:r>
          </w:p>
        </w:tc>
        <w:tc>
          <w:tcPr>
            <w:tcW w:w="3095" w:type="dxa"/>
            <w:noWrap w:val="0"/>
            <w:vAlign w:val="center"/>
          </w:tcPr>
          <w:p w14:paraId="02BC5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1.64</w:t>
            </w:r>
          </w:p>
        </w:tc>
        <w:tc>
          <w:tcPr>
            <w:tcW w:w="3096" w:type="dxa"/>
            <w:noWrap w:val="0"/>
            <w:vAlign w:val="center"/>
          </w:tcPr>
          <w:p w14:paraId="777948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000000"/>
                <w:kern w:val="2"/>
                <w:sz w:val="21"/>
                <w:szCs w:val="21"/>
                <w:highlight w:val="none"/>
                <w:lang w:val="en-US" w:eastAsia="zh-CN" w:bidi="ar-SA"/>
              </w:rPr>
              <w:t>1.25</w:t>
            </w:r>
          </w:p>
        </w:tc>
      </w:tr>
    </w:tbl>
    <w:p w14:paraId="6777FE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pict>
          <v:shape id="_x0000_i1028" o:spt="75" type="#_x0000_t75" style="height:58.55pt;width:341.7pt;" filled="f" o:preferrelative="t" stroked="f" coordsize="21600,21600">
            <v:path/>
            <v:fill on="f" focussize="0,0"/>
            <v:stroke on="f"/>
            <v:imagedata r:id="rId39" cropbottom="14158f" o:title=""/>
            <o:lock v:ext="edit" aspectratio="t"/>
            <w10:wrap type="none"/>
            <w10:anchorlock/>
          </v:shape>
        </w:pict>
      </w:r>
    </w:p>
    <w:p w14:paraId="294D83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图</w:t>
      </w:r>
      <w:r>
        <w:rPr>
          <w:rFonts w:hint="eastAsia" w:ascii="Times New Roman" w:hAnsi="Times New Roman" w:eastAsia="宋体" w:cs="Times New Roman"/>
          <w:b/>
          <w:bCs/>
          <w:color w:val="000000"/>
          <w:kern w:val="2"/>
          <w:sz w:val="24"/>
          <w:szCs w:val="24"/>
          <w:highlight w:val="none"/>
          <w:lang w:val="en-US" w:eastAsia="zh-CN" w:bidi="ar-SA"/>
        </w:rPr>
        <w:t>2.2-3</w:t>
      </w:r>
      <w:r>
        <w:rPr>
          <w:rFonts w:hint="default" w:ascii="Times New Roman" w:hAnsi="Times New Roman" w:eastAsia="宋体" w:cs="Times New Roman"/>
          <w:b/>
          <w:bCs/>
          <w:color w:val="000000"/>
          <w:kern w:val="2"/>
          <w:sz w:val="24"/>
          <w:szCs w:val="24"/>
          <w:highlight w:val="none"/>
          <w:lang w:val="en-US" w:eastAsia="zh-CN" w:bidi="ar-SA"/>
        </w:rPr>
        <w:t xml:space="preserve"> 抗滑稳定计算结果图</w:t>
      </w:r>
    </w:p>
    <w:p w14:paraId="12F261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3、基坑降水、排水与基坑支护</w:t>
      </w:r>
    </w:p>
    <w:p w14:paraId="6FFBED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工程基坑均采用开挖，坡比1：2，基坑内渗水、降水及施工弃水采用明沟汇集，排至集水坑，自排外河，明沟断面0.3×0.5m。基坑排水派专人值班，随时排水。基坑外围地面结合道路布置，在四周开挖截水沟，以防止地面雨水汇入基坑，截水沟断面0.3×0.5m。</w:t>
      </w:r>
    </w:p>
    <w:p w14:paraId="49E0AA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衡山工业园箱涵埋置较深，开挖后采用钢板桩进行支护，基坑内不得带水施工，必须采取有效的降排水措施，防止结构上浮，确保结构安全。</w:t>
      </w:r>
    </w:p>
    <w:p w14:paraId="7AB71F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0"/>
          <w:sz w:val="24"/>
          <w:szCs w:val="24"/>
          <w:lang w:val="en-US" w:eastAsia="zh-CN" w:bidi="ar"/>
        </w:rPr>
        <w:t>根据施工进度安排，本工程主要涉水作业均采用枯水期施工，工程中泵站、拦河坝等建筑物应在汛期前完成水下工程部分。</w:t>
      </w:r>
    </w:p>
    <w:p w14:paraId="2479D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4、主体工程施工</w:t>
      </w:r>
    </w:p>
    <w:p w14:paraId="4C6F6D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4.1土石方工程</w:t>
      </w:r>
    </w:p>
    <w:p w14:paraId="70885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1、土方开挖：土方开挖前，先进行地表层清理，将场内所有障碍物清除，然后测量、放线、定位。土方开挖以机械为主，采用挖掘机挖土，自卸汽车外运，并将废渣、废土和好土分开堆放。</w:t>
      </w:r>
    </w:p>
    <w:p w14:paraId="4988F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土方回填：堤防和围堰填筑采用均利用开挖土，填方量不足时外购土方。建筑物四周2m范围内用回填好土、蛙式打夯机夯实；2m以外土用挖掘机挖土，自卸汽车运土，推土机铺土，用拖拉机辅以蛙式打夯机分层碾压。回填土需满足压实度要求。</w:t>
      </w:r>
    </w:p>
    <w:p w14:paraId="73A5E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4.2砼和钢筋砼工程</w:t>
      </w:r>
    </w:p>
    <w:p w14:paraId="7B60EA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1、基础开挖后，基面找平，放线，加强抽水，严禁地基表层被水浸入，及时将混凝土垫层浇好。然后立模，扎筋，安装止水、沥青板和混凝土浇筑，养护拆模。</w:t>
      </w:r>
    </w:p>
    <w:p w14:paraId="3F530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2、钢筋制作与安装：钢筋按设计选型，在加工场集中加工，运至现场绑扎，主筋采用电焊，为控制混凝土保护层厚度，钢筋与模板之间放置适当数量水泥砂浆垫块，钢筋层之间设置撑筋。</w:t>
      </w:r>
    </w:p>
    <w:p w14:paraId="62791C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3、模板制作与安装：模板应有足够的强度和刚度，支撑选用ф50mm钢管或[14槽钢，内外模用ф12对销螺栓联结，达到稳定牢固，拼缝要求紧密，板面刷脱模剂。</w:t>
      </w:r>
    </w:p>
    <w:p w14:paraId="1973C0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4、混凝土浇筑：混凝土采用现场集中拌和，用混凝土泵、管道输送到施工现场浇灌，插入式振捣器震实。施工缝采用人工打糙混凝土面层，用水冲洗干净，再在施工缝上铺一层厚1～2cm的1：2水泥砂浆，然后分层浇筑。</w:t>
      </w:r>
    </w:p>
    <w:p w14:paraId="41A64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5、止水、沉陷缝施工：止水、沉陷缝按设计要求，选用好材料，由加工厂集中加工制作成型，运至现场安装。</w:t>
      </w:r>
    </w:p>
    <w:p w14:paraId="12CF9C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4.3高压旋喷桩</w:t>
      </w:r>
    </w:p>
    <w:p w14:paraId="6A07BC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本工程柳林河水毁段采用高压旋喷桩。</w:t>
      </w:r>
    </w:p>
    <w:p w14:paraId="1A8B43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1、施工工艺</w:t>
      </w:r>
    </w:p>
    <w:p w14:paraId="7E5466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双管法高压旋喷桩，每次成型一根桩。先施工下游排孔，后施工上游排孔，最后施工中间排孔。主要施工过程：钻机就位—钻孔—喷射注浆—旋喷成桩。</w:t>
      </w:r>
    </w:p>
    <w:p w14:paraId="050B3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（1）钻机就位：钻机移动到施工的桩位上，水平校正机身，钻头对准标识的孔位，钻杆轴线垂直。桩位偏差＜50mm，垂直度偏差＜1%桩长。</w:t>
      </w:r>
    </w:p>
    <w:p w14:paraId="59FF29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钻孔：根据地层情况和加固深度选择合适钻机，本项目采用跟管钻进，如遇坚硬土层，选择地质钻机引孔。为防喷头堵塞，钻孔过程中可利用喷射管喷射水成孔至设定孔底高程（孔底高程低于设计底高程300mm）。</w:t>
      </w:r>
    </w:p>
    <w:p w14:paraId="743F44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3）喷射注浆：喷射管下沉至设定深度后，输入符合要求的空气、浆液静喷1～3min，待灌入浆液冒出后，按试桩确定的提升及旋转速度、流量，自下而上，边旋喷边提升，观察记录气、浆压力，现场抽测水泥浆液密度。</w:t>
      </w:r>
    </w:p>
    <w:p w14:paraId="248BB1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4）旋喷成桩：全程持续旋喷提升，直到设定高程后，停送气、浆，旋喷过程中，时刻控制浆液的流量及压力、气压、提升及旋转速度等在设定的范围内，做好过程记录。旋喷完成后，移动桩机，及时将各管路冲洗干净，进入下一桩施工。</w:t>
      </w:r>
    </w:p>
    <w:p w14:paraId="1C2A4A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2、检测</w:t>
      </w:r>
    </w:p>
    <w:p w14:paraId="3890EC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（1）成桩后3天内，采用轻型动力触探（N10）检查桩身的均匀性，检验数量为施工总桩数的1%，且不少于3根。所检测的水泥土桩轻便触探击数均匀，变异系数小于0.3，受检桩桩身水泥土搅拌均匀。</w:t>
      </w:r>
    </w:p>
    <w:p w14:paraId="2D4DD9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（2）成桩7天后，采用浅部开挖桩头进行检查，检查成桩直径和均匀性，检查数量为总桩数的5%。</w:t>
      </w:r>
    </w:p>
    <w:p w14:paraId="38F20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3）成桩7天后现场取桩身芯样，进行强度检验，抗压强度不小于0.5mpa，另外取样备份，做28d后的强度试验，抗压强度不小于1mpa，检验数量为施工总桩数的0.5%，且不少于6点。检验结果：受检桩桩身水泥土搅拌均匀，芯样连续、完整，桩长满足设计桩长，受检桩水泥土芯样单轴抗压强度值满足设计要求。</w:t>
      </w:r>
    </w:p>
    <w:p w14:paraId="06769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（4）复合地基载荷试验应在桩身强度满足试验荷载条件时，并宜在成桩28天后进行。检验数量为桩总数的0.5%～1%，且每单体工程不应少于3根。载荷试验受水利工程施工工期影响，选择实施。</w:t>
      </w:r>
    </w:p>
    <w:p w14:paraId="686D2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4.4、水泥土换填</w:t>
      </w:r>
    </w:p>
    <w:p w14:paraId="5F5C71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本工程泵室及穿堤箱涵主要采用水泥土换填进行地基处理。</w:t>
      </w:r>
    </w:p>
    <w:p w14:paraId="270A1C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水泥土换填的施工工艺为：基槽清理→软土挖除→拌制水泥土→水泥土夯实；</w:t>
      </w:r>
    </w:p>
    <w:p w14:paraId="4C9F4D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垫层中水泥与土料的比例可用体积重量比控制，宜采用5%；土料较湿时,可采用8%~15%。垫层用的土料不得混入耕（植）土、淤泥质土和冻土块，有机质含量不得大于5%，水溶盐含量不应大于3%；不得采用膨胀土、盐渍土。</w:t>
      </w:r>
    </w:p>
    <w:p w14:paraId="37147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用于制作水泥土的土料，结块粒径不应过大；当用人力或小型机械拌和时,土料应过筛使用;当采用搅拌粉碎专用设备时，土块粒径可放宽到不大于50mm,但应拌和均匀，碾压时土块粒径不应大于20mm。水泥土从拌和开始到碾压或夯实结束，不宜超过24h。拌和好的水泥土,除处于十分干燥状态外,搁置时间不宜超过12h。根据土料和施工机械的具体情况,通过现场试验确定水泥土的分层铺填厚度、每层压实遍数；水泥土垫层的回填料含水量宜控制在击实试验的最优含水量Wop（100士4）%范围内，水泥土的压实度应满足设计要求。</w:t>
      </w:r>
    </w:p>
    <w:p w14:paraId="1C2B9A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color w:val="000000"/>
        </w:rPr>
      </w:pPr>
      <w:r>
        <w:rPr>
          <w:rFonts w:hint="default" w:ascii="Times New Roman" w:hAnsi="Times New Roman" w:eastAsia="宋体" w:cs="Times New Roman"/>
          <w:b/>
          <w:bCs/>
          <w:color w:val="000000"/>
          <w:kern w:val="0"/>
          <w:sz w:val="24"/>
          <w:szCs w:val="24"/>
          <w:lang w:val="en-US" w:eastAsia="zh-CN" w:bidi="ar"/>
        </w:rPr>
        <w:t>4.5、帷幕灌浆</w:t>
      </w:r>
    </w:p>
    <w:p w14:paraId="79887C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本工程对穿堤箱涵下层及两侧采用帷幕灌浆处理。施工的主要顺序包括：钻孔→注浆→反渗试验→监测与评估。</w:t>
      </w:r>
    </w:p>
    <w:p w14:paraId="13F316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rPr>
      </w:pPr>
      <w:r>
        <w:rPr>
          <w:rFonts w:hint="default" w:ascii="Times New Roman" w:hAnsi="Times New Roman" w:eastAsia="宋体" w:cs="Times New Roman"/>
          <w:b w:val="0"/>
          <w:bCs w:val="0"/>
          <w:color w:val="000000"/>
          <w:kern w:val="2"/>
          <w:sz w:val="24"/>
          <w:szCs w:val="24"/>
          <w:highlight w:val="none"/>
          <w:lang w:val="en-US" w:eastAsia="zh-CN" w:bidi="ar-SA"/>
        </w:rPr>
        <w:t>帷幕灌浆一序孔→二序孔分序施工，孔距为1.5m。灌浆压力：帷幕灌浆初定为0.5～2.0MPa，应通过灌浆试验确定最终采用压力值；防渗帷幕透水率不得大于5Lu，水泥采用强度等级42.5的普通硅酸盐水泥，水泥浆液的水灰比取1.0，灌浆孔进入坝身素填土层内不小于500mm，灌浆采用自下而上分段灌浆法。</w:t>
      </w:r>
    </w:p>
    <w:p w14:paraId="505D7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4.6、建筑物施工</w:t>
      </w:r>
    </w:p>
    <w:p w14:paraId="1BB60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（1）土石方开挖</w:t>
      </w:r>
    </w:p>
    <w:p w14:paraId="67D3F3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土方开挖：土方开挖采用1～2m</w:t>
      </w:r>
      <w:r>
        <w:rPr>
          <w:rFonts w:hint="default" w:ascii="Times New Roman" w:hAnsi="Times New Roman" w:eastAsia="宋体" w:cs="Times New Roman"/>
          <w:b w:val="0"/>
          <w:bCs w:val="0"/>
          <w:color w:val="000000"/>
          <w:kern w:val="2"/>
          <w:sz w:val="24"/>
          <w:szCs w:val="24"/>
          <w:highlight w:val="none"/>
          <w:vertAlign w:val="superscript"/>
          <w:lang w:val="en-US" w:eastAsia="zh-CN" w:bidi="ar-SA"/>
        </w:rPr>
        <w:t>3</w:t>
      </w:r>
      <w:r>
        <w:rPr>
          <w:rFonts w:hint="default" w:ascii="Times New Roman" w:hAnsi="Times New Roman" w:eastAsia="宋体" w:cs="Times New Roman"/>
          <w:b w:val="0"/>
          <w:bCs w:val="0"/>
          <w:color w:val="000000"/>
          <w:kern w:val="2"/>
          <w:sz w:val="24"/>
          <w:szCs w:val="24"/>
          <w:highlight w:val="none"/>
          <w:lang w:val="en-US" w:eastAsia="zh-CN" w:bidi="ar-SA"/>
        </w:rPr>
        <w:t>挖土，75kW推土机集料，可利用土方运至0.5km以内临时堆放。土方开挖以机械开挖为主，人工开挖为辅。大部分采用推土机挖推至临近填筑区域，减少回填土料的重复运输，工程沿线附近尽可能平衡补充。</w:t>
      </w:r>
    </w:p>
    <w:p w14:paraId="1BD5A4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石方开挖及原建筑物拆除：石方开挖及原渠道、泵房等构筑物拆除采用反向挖掘机挂冲击钻头凿拆除；拆除渣料采用12t自卸汽车运输出渣。</w:t>
      </w:r>
    </w:p>
    <w:p w14:paraId="7889B7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（2）土石方回填</w:t>
      </w:r>
    </w:p>
    <w:p w14:paraId="42E48B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水闸工程土石方回填料为开挖土料，其中土料应采用开挖料中土质相对较好的上层部分。采用反铲挖掘机及装载机挖装填筑料，5.0T自卸汽车运输，采用后退法卸料，推土机平整。回填料必须分层回填，严禁不分层大体积回填，对于一般土料控制在20~30cm左右。</w:t>
      </w:r>
    </w:p>
    <w:p w14:paraId="69691C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（3）混凝土施工</w:t>
      </w:r>
    </w:p>
    <w:p w14:paraId="311EE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混凝土采用商品混凝土。采用标准钢模，用钢管、扣件予以固定，内拉外撑进行加固。浇筑前，用脱模制涂刷模板，将浇筑面用水湿润。钢筋制安作业必经遵照规范的规定执行。入仓的混凝土拌和料，采用人工平仓、插入式振捣器捣实，振捣时应快插慢拔，以混凝土开始泛浆，不再显著下沉为准。平仓时如遇局部骨料集中，应将骨料分散，不准将砂浆覆盖在骨料上。混凝土浇筑要保持平整进程，连续浇筑，防止冷缝而影响质量，如遇无法避免的因素中途停工，则需按施工缝处理。混凝土浇筑后12～18小时要进行洒水养护，养护期不少于14天，如遇低温天气，则要采取加盖草袋或塑料布等保温措施。</w:t>
      </w:r>
    </w:p>
    <w:p w14:paraId="3ECE3D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①消力池、铺盖施工在水闸底板浇筑后，即可进行施工。</w:t>
      </w:r>
    </w:p>
    <w:p w14:paraId="20F7AD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②启闭机房应一次浇筑至大梁底高程，然后整体浇筑启闭机工作面板。钢筋混凝土工作闸门在预制场预制运至工地现场，从检修平台吊至闸门槽附近，待装止水橡皮等材料后，吊至闸槽内。</w:t>
      </w:r>
    </w:p>
    <w:p w14:paraId="6A00B9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③各部位施工均应按照现行有关规范要求进行，严格施工程序监理、质量监督和</w:t>
      </w:r>
      <w:r>
        <w:rPr>
          <w:rFonts w:hint="default" w:ascii="Times New Roman" w:hAnsi="Times New Roman" w:eastAsia="宋体" w:cs="Times New Roman"/>
          <w:b w:val="0"/>
          <w:bCs w:val="0"/>
          <w:color w:val="000000"/>
          <w:kern w:val="0"/>
          <w:sz w:val="24"/>
          <w:szCs w:val="24"/>
          <w:lang w:val="en-US" w:eastAsia="zh-CN" w:bidi="ar"/>
        </w:rPr>
        <w:t>检查验收，对隐蔽工程更应重点加强。</w:t>
      </w:r>
    </w:p>
    <w:p w14:paraId="2D521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4.7机电及金属结构设备安装</w:t>
      </w:r>
    </w:p>
    <w:p w14:paraId="63A831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泵站需安装钢管、拍门、铸铁闸门等，要求由专业化工厂集中制作，经验收合格后运至场地，由监理工程师及相关人员对产品进行验收。合格后用汽车吊配合人工安装，安装后防腐处理，然后进行校准、调合、试水等，均应应符合《水利工程铸铁闸门设计制造安装验收规范》（DB32/T1712-2011）等有关规定。启闭机要求在工厂组装总成后运至现场安装、调试后安装。</w:t>
      </w:r>
    </w:p>
    <w:p w14:paraId="00425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泵站的机电安装工程应以主机泵为核心，全面展开，穿插进行，主机泵由汽车运至汽车吊作业范围，通过汽车吊和辅助机械吊装就位，主机泵可形成平面流水作业，安装精度应满足设计及规范要求。</w:t>
      </w:r>
    </w:p>
    <w:p w14:paraId="2702C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闸门安装前应进行门槽一期混凝土的凿毛，调整预埋插筋或基础螺栓，并清除门槽内渣土与积水，再进行埋件安装。埋件安装和二期混凝土采用搭设脚手架进行施工，按先埋设底槛，后埋设主机轨、反轨、侧轨及门楣的顺序进行，同时在组装场进行门叶组装，待埋件和门叶检查、测量合格后，由扒杆将闸门吊入门槽内进行启闭试验。</w:t>
      </w:r>
    </w:p>
    <w:p w14:paraId="48C37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整个设备安装工程中的大量预埋件及设备安装准备工作，应在土建部分施工中相应进行，要求埋置及时，位置准确，避免发生漏埋与错埋事故，以保证安装工作质量可靠，进展顺利。</w:t>
      </w:r>
    </w:p>
    <w:p w14:paraId="5DF467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4.8、原建筑拆除</w:t>
      </w:r>
    </w:p>
    <w:p w14:paraId="20CAE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原水闸主体结构进行拆除，采用人工与机械结合方案，自上而下运用挖掘机、人工、风镐、吊机等相互配合，拆除后将废料运输出去。</w:t>
      </w:r>
    </w:p>
    <w:p w14:paraId="7521D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both"/>
        <w:textAlignment w:val="auto"/>
        <w:rPr>
          <w:rFonts w:hint="default" w:ascii="Times New Roman" w:hAnsi="Times New Roman" w:eastAsia="宋体" w:cs="Times New Roman"/>
          <w:b/>
          <w:bCs/>
          <w:color w:val="000000"/>
          <w:kern w:val="2"/>
          <w:sz w:val="24"/>
          <w:szCs w:val="24"/>
          <w:highlight w:val="none"/>
          <w:lang w:val="en-US" w:eastAsia="zh-CN" w:bidi="ar-SA"/>
        </w:rPr>
      </w:pPr>
      <w:r>
        <w:rPr>
          <w:rFonts w:hint="default" w:ascii="Times New Roman" w:hAnsi="Times New Roman" w:eastAsia="宋体" w:cs="Times New Roman"/>
          <w:b/>
          <w:bCs/>
          <w:color w:val="000000"/>
          <w:kern w:val="2"/>
          <w:sz w:val="24"/>
          <w:szCs w:val="24"/>
          <w:highlight w:val="none"/>
          <w:lang w:val="en-US" w:eastAsia="zh-CN" w:bidi="ar-SA"/>
        </w:rPr>
        <w:t>5、管道施工</w:t>
      </w:r>
    </w:p>
    <w:p w14:paraId="57BB85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（1）测量放线</w:t>
      </w:r>
    </w:p>
    <w:p w14:paraId="6EE53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①按设计施工图要求进行管道定位、放线，在各变坡点、三通处标出桩号、埋深。</w:t>
      </w:r>
    </w:p>
    <w:p w14:paraId="036530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②每隔一段距离进行复测，必须经设计、业主等各方复测签字后方可开挖。</w:t>
      </w:r>
    </w:p>
    <w:p w14:paraId="78A8A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2"/>
          <w:sz w:val="24"/>
          <w:szCs w:val="24"/>
          <w:highlight w:val="none"/>
          <w:lang w:val="en-US" w:eastAsia="zh-CN" w:bidi="ar-SA"/>
        </w:rPr>
        <w:t>（2）管沟开挖</w:t>
      </w:r>
    </w:p>
    <w:p w14:paraId="289AB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2"/>
          <w:sz w:val="24"/>
          <w:szCs w:val="24"/>
          <w:highlight w:val="none"/>
          <w:lang w:val="en-US" w:eastAsia="zh-CN" w:bidi="ar-SA"/>
        </w:rPr>
        <w:t>①管道沟槽应按设计要求的平面位置和标高开挖，管沟开挖应使沟底原土层不被拢动，人工开挖且无地下水时，槽底宜预留50-100㎜，机械开挖或有地下水时，槽底宜预留200㎜，预留部分的管道安装前用人工清底，如局部超挖，需用砂土或素土填补并分层夯实。管沟堆土宜一边堆放，另一边作安装场地或安全通道。挖出的旧构筑物、石块、砖块、木块、垃圾等杂物与泥土应分别堆放。沟底遇有不易清除的块石</w:t>
      </w:r>
      <w:r>
        <w:rPr>
          <w:rFonts w:hint="default" w:ascii="Times New Roman" w:hAnsi="Times New Roman" w:eastAsia="宋体" w:cs="Times New Roman"/>
          <w:color w:val="000000"/>
          <w:kern w:val="0"/>
          <w:sz w:val="24"/>
          <w:szCs w:val="24"/>
          <w:lang w:val="en-US" w:eastAsia="zh-CN" w:bidi="ar"/>
        </w:rPr>
        <w:t>等坚硬物体及凡可能引起不均匀沉降的地段，其他基应深挖至设计标高以下200㎜铺垫砂土或素土，并夯实平整。管沟内现场接点处按需加宽。沟槽没有支撑时，二边另外支撑宽度。</w:t>
      </w:r>
    </w:p>
    <w:p w14:paraId="6DB712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②开挖中严格控制沟槽直顺度，沟底标高，严禁超挖，并对相邻管线做好保护措施，清除沟底硬、杂物；管道安装前人工清底至设计标高，如下雨，必须每隔25米设一集水坑，配备足够水泵，严禁发生积水泡槽现象；间距6-10米进行检查验收，合格后方可进入下一道工序施工。</w:t>
      </w:r>
    </w:p>
    <w:p w14:paraId="70A59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szCs w:val="24"/>
          <w:lang w:val="en-US" w:eastAsia="zh-CN" w:bidi="ar"/>
        </w:rPr>
        <w:t>③管道埋深要保证管顶覆土0.7m，穿越道路、农田、河流或沿公路铺设时覆土不小于1.0m。</w:t>
      </w:r>
    </w:p>
    <w:p w14:paraId="5A64F196">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rPr>
      </w:pPr>
      <w:r>
        <w:rPr>
          <w:rFonts w:hint="eastAsia" w:cs="Times New Roman"/>
          <w:b/>
          <w:bCs/>
          <w:color w:val="000000"/>
          <w:kern w:val="0"/>
          <w:sz w:val="24"/>
          <w:szCs w:val="24"/>
          <w:lang w:val="en-US" w:eastAsia="zh-CN" w:bidi="ar"/>
        </w:rPr>
        <w:t>6</w:t>
      </w:r>
      <w:r>
        <w:rPr>
          <w:rFonts w:hint="default" w:ascii="Times New Roman" w:hAnsi="Times New Roman" w:eastAsia="宋体" w:cs="Times New Roman"/>
          <w:b/>
          <w:bCs/>
          <w:color w:val="000000"/>
          <w:kern w:val="0"/>
          <w:sz w:val="24"/>
          <w:szCs w:val="24"/>
          <w:lang w:val="en-US" w:eastAsia="zh-CN" w:bidi="ar"/>
        </w:rPr>
        <w:t>、</w:t>
      </w:r>
      <w:r>
        <w:rPr>
          <w:rFonts w:hint="eastAsia" w:cs="Times New Roman"/>
          <w:b/>
          <w:bCs/>
          <w:color w:val="000000"/>
          <w:kern w:val="0"/>
          <w:sz w:val="24"/>
          <w:szCs w:val="24"/>
          <w:lang w:val="en-US" w:eastAsia="zh-CN" w:bidi="ar"/>
        </w:rPr>
        <w:t>疏浚、</w:t>
      </w:r>
      <w:r>
        <w:rPr>
          <w:rFonts w:hint="default" w:ascii="Times New Roman" w:hAnsi="Times New Roman" w:eastAsia="宋体" w:cs="Times New Roman"/>
          <w:b/>
          <w:bCs/>
          <w:color w:val="000000"/>
          <w:kern w:val="0"/>
          <w:sz w:val="24"/>
          <w:szCs w:val="24"/>
          <w:lang w:val="en-US" w:eastAsia="zh-CN" w:bidi="ar"/>
        </w:rPr>
        <w:t>清淤施工</w:t>
      </w:r>
    </w:p>
    <w:p w14:paraId="144BEF23">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szCs w:val="24"/>
          <w:lang w:val="en-US" w:eastAsia="zh-CN" w:bidi="ar"/>
        </w:rPr>
        <w:t>河道由于多年来的淤积，严重影响河道的行洪能力，需对河道进行清淤疏浚，清淤应注意对两岸沿河建筑物的保护。本次清淤拟采用挖掘机清淤。</w:t>
      </w:r>
    </w:p>
    <w:p w14:paraId="5B37DF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（1）排水干挖清淤（人工清淤-人工倒运-汽车运输）</w:t>
      </w:r>
    </w:p>
    <w:p w14:paraId="72122A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对于一些墙角零星角落位置，任何施工机械均无法进入的区域，采用人工清淤人工倒运至自卸汽车可以到达的位置，再用挖掘机转运至自卸汽车上。人工清淤具体施工方式为：人工用锹装手推车，人工推手推车在已搭设好的跳板上行走，运到挖掘机有效作业范围内，再按照机械清淤的工序倒运、装车、运输。</w:t>
      </w:r>
    </w:p>
    <w:p w14:paraId="149BE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（2）排水干挖清淤（挖机清淤-汽车运输）</w:t>
      </w:r>
    </w:p>
    <w:p w14:paraId="5A7D48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highlight w:val="none"/>
          <w:lang w:val="en-US" w:eastAsia="zh-CN" w:bidi="ar-SA"/>
        </w:rPr>
      </w:pPr>
      <w:r>
        <w:rPr>
          <w:rFonts w:hint="default" w:ascii="Times New Roman" w:hAnsi="Times New Roman" w:eastAsia="宋体" w:cs="Times New Roman"/>
          <w:color w:val="000000"/>
          <w:kern w:val="0"/>
          <w:sz w:val="24"/>
          <w:szCs w:val="24"/>
          <w:lang w:val="en-US" w:eastAsia="zh-CN" w:bidi="ar"/>
        </w:rPr>
        <w:t>对于交通条件较好的河段，形成干地施工条件后，先在干地条件下晾晒，经晾晒后，采用1.25m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挖掘机在河道内清理淤泥，将淤泥清理堆至0.5m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长臂挖掘机有效作业范围内，再用0.5m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长臂挖掘机清理有效作业范围内的淤泥至岸边，采用1.25m3挖掘机将淤泥装入20t自卸车外运。</w:t>
      </w:r>
    </w:p>
    <w:p w14:paraId="4290B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000000"/>
          <w:highlight w:val="none"/>
          <w:lang w:val="en-US" w:eastAsia="zh-CN"/>
        </w:rPr>
      </w:pPr>
    </w:p>
    <w:p w14:paraId="49FD85A1">
      <w:pPr>
        <w:pStyle w:val="5"/>
        <w:bidi w:val="0"/>
        <w:rPr>
          <w:rFonts w:hint="eastAsia"/>
          <w:color w:val="000000"/>
          <w:lang w:val="en-US" w:eastAsia="zh-CN"/>
        </w:rPr>
      </w:pPr>
      <w:bookmarkStart w:id="72" w:name="_Toc9172"/>
      <w:r>
        <w:rPr>
          <w:rFonts w:hint="eastAsia"/>
          <w:color w:val="000000"/>
          <w:lang w:val="en-US" w:eastAsia="zh-CN"/>
        </w:rPr>
        <w:t>2.2.3土方量及调配</w:t>
      </w:r>
      <w:bookmarkEnd w:id="72"/>
    </w:p>
    <w:p w14:paraId="68F3C8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highlight w:val="none"/>
          <w:lang w:val="en-US" w:eastAsia="zh-CN"/>
        </w:rPr>
        <w:t>土石方主要有：拆除、清淤、清杂、清表、土方开挖、土方填筑等。本工程开挖总量约</w:t>
      </w:r>
      <w:r>
        <w:rPr>
          <w:rFonts w:hint="eastAsia" w:ascii="Times New Roman" w:hAnsi="Times New Roman" w:eastAsia="宋体" w:cs="Times New Roman"/>
          <w:color w:val="000000"/>
          <w:kern w:val="0"/>
          <w:sz w:val="24"/>
          <w:highlight w:val="none"/>
          <w:lang w:val="en-US" w:eastAsia="zh-CN"/>
        </w:rPr>
        <w:t>57.4261</w:t>
      </w:r>
      <w:r>
        <w:rPr>
          <w:rFonts w:hint="default" w:ascii="Times New Roman" w:hAnsi="Times New Roman" w:eastAsia="宋体" w:cs="Times New Roman"/>
          <w:color w:val="000000"/>
          <w:kern w:val="0"/>
          <w:sz w:val="24"/>
          <w:highlight w:val="none"/>
          <w:lang w:val="en-US" w:eastAsia="zh-CN"/>
        </w:rPr>
        <w:t>万m</w:t>
      </w:r>
      <w:r>
        <w:rPr>
          <w:rFonts w:hint="default" w:ascii="Times New Roman" w:hAnsi="Times New Roman" w:eastAsia="宋体" w:cs="Times New Roman"/>
          <w:color w:val="000000"/>
          <w:kern w:val="0"/>
          <w:sz w:val="24"/>
          <w:highlight w:val="none"/>
          <w:vertAlign w:val="superscript"/>
          <w:lang w:val="en-US" w:eastAsia="zh-CN"/>
        </w:rPr>
        <w:t>3</w:t>
      </w:r>
      <w:r>
        <w:rPr>
          <w:rFonts w:hint="default" w:ascii="Times New Roman" w:hAnsi="Times New Roman" w:eastAsia="宋体" w:cs="Times New Roman"/>
          <w:color w:val="000000"/>
          <w:kern w:val="0"/>
          <w:sz w:val="24"/>
          <w:highlight w:val="none"/>
          <w:lang w:val="en-US" w:eastAsia="zh-CN"/>
        </w:rPr>
        <w:t>；土方填筑总量</w:t>
      </w:r>
      <w:r>
        <w:rPr>
          <w:rFonts w:hint="eastAsia" w:ascii="Times New Roman" w:hAnsi="Times New Roman" w:eastAsia="宋体" w:cs="Times New Roman"/>
          <w:color w:val="000000"/>
          <w:kern w:val="0"/>
          <w:sz w:val="24"/>
          <w:highlight w:val="none"/>
          <w:lang w:val="en-US" w:eastAsia="zh-CN"/>
        </w:rPr>
        <w:t>52.2508</w:t>
      </w:r>
      <w:r>
        <w:rPr>
          <w:rFonts w:hint="default" w:ascii="Times New Roman" w:hAnsi="Times New Roman" w:eastAsia="宋体" w:cs="Times New Roman"/>
          <w:color w:val="000000"/>
          <w:kern w:val="0"/>
          <w:sz w:val="24"/>
          <w:highlight w:val="none"/>
          <w:lang w:val="en-US" w:eastAsia="zh-CN"/>
        </w:rPr>
        <w:t>万m</w:t>
      </w:r>
      <w:r>
        <w:rPr>
          <w:rFonts w:hint="default" w:ascii="Times New Roman" w:hAnsi="Times New Roman" w:eastAsia="宋体" w:cs="Times New Roman"/>
          <w:color w:val="000000"/>
          <w:kern w:val="0"/>
          <w:sz w:val="24"/>
          <w:highlight w:val="none"/>
          <w:vertAlign w:val="superscript"/>
          <w:lang w:val="en-US" w:eastAsia="zh-CN"/>
        </w:rPr>
        <w:t>3</w:t>
      </w:r>
      <w:r>
        <w:rPr>
          <w:rFonts w:hint="default" w:ascii="Times New Roman" w:hAnsi="Times New Roman" w:eastAsia="宋体" w:cs="Times New Roman"/>
          <w:color w:val="000000"/>
          <w:kern w:val="0"/>
          <w:sz w:val="24"/>
          <w:highlight w:val="none"/>
          <w:lang w:val="en-US" w:eastAsia="zh-CN"/>
        </w:rPr>
        <w:t>；共计余方土约</w:t>
      </w:r>
      <w:r>
        <w:rPr>
          <w:rFonts w:hint="eastAsia" w:ascii="Times New Roman" w:hAnsi="Times New Roman" w:eastAsia="宋体" w:cs="Times New Roman"/>
          <w:color w:val="000000"/>
          <w:kern w:val="0"/>
          <w:sz w:val="24"/>
          <w:highlight w:val="none"/>
          <w:lang w:val="en-US" w:eastAsia="zh-CN"/>
        </w:rPr>
        <w:t>5.1753</w:t>
      </w:r>
      <w:r>
        <w:rPr>
          <w:rFonts w:hint="default" w:ascii="Times New Roman" w:hAnsi="Times New Roman" w:eastAsia="宋体" w:cs="Times New Roman"/>
          <w:color w:val="000000"/>
          <w:kern w:val="0"/>
          <w:sz w:val="24"/>
          <w:highlight w:val="none"/>
          <w:lang w:val="en-US" w:eastAsia="zh-CN"/>
        </w:rPr>
        <w:t>万m</w:t>
      </w:r>
      <w:r>
        <w:rPr>
          <w:rFonts w:hint="default" w:ascii="Times New Roman" w:hAnsi="Times New Roman" w:eastAsia="宋体" w:cs="Times New Roman"/>
          <w:color w:val="000000"/>
          <w:kern w:val="0"/>
          <w:sz w:val="24"/>
          <w:highlight w:val="none"/>
          <w:vertAlign w:val="superscript"/>
          <w:lang w:val="en-US" w:eastAsia="zh-CN"/>
        </w:rPr>
        <w:t>3</w:t>
      </w:r>
      <w:r>
        <w:rPr>
          <w:rFonts w:hint="eastAsia" w:ascii="Times New Roman" w:hAnsi="Times New Roman" w:eastAsia="宋体" w:cs="Times New Roman"/>
          <w:color w:val="000000"/>
          <w:kern w:val="0"/>
          <w:sz w:val="24"/>
          <w:highlight w:val="none"/>
          <w:lang w:val="en-US" w:eastAsia="zh-CN"/>
        </w:rPr>
        <w:t>，余方土由县矿产公司统一运输安置</w:t>
      </w:r>
      <w:r>
        <w:rPr>
          <w:rFonts w:hint="default" w:ascii="Times New Roman" w:hAnsi="Times New Roman" w:eastAsia="宋体" w:cs="Times New Roman"/>
          <w:color w:val="000000"/>
          <w:kern w:val="0"/>
          <w:sz w:val="24"/>
          <w:highlight w:val="none"/>
          <w:lang w:val="en-US" w:eastAsia="zh-CN"/>
        </w:rPr>
        <w:t>。</w:t>
      </w:r>
    </w:p>
    <w:p w14:paraId="5D7FC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kern w:val="0"/>
          <w:sz w:val="24"/>
          <w:highlight w:val="none"/>
          <w:vertAlign w:val="superscript"/>
          <w:lang w:val="en-US" w:eastAsia="zh-CN"/>
        </w:rPr>
      </w:pPr>
      <w:r>
        <w:rPr>
          <w:rFonts w:hint="default" w:ascii="Times New Roman" w:hAnsi="Times New Roman" w:eastAsia="宋体" w:cs="Times New Roman"/>
          <w:b/>
          <w:bCs/>
          <w:color w:val="000000"/>
          <w:kern w:val="0"/>
          <w:sz w:val="24"/>
          <w:highlight w:val="none"/>
          <w:lang w:val="en-US" w:eastAsia="zh-CN"/>
        </w:rPr>
        <w:t>表2</w:t>
      </w:r>
      <w:r>
        <w:rPr>
          <w:rFonts w:hint="eastAsia" w:ascii="Times New Roman" w:hAnsi="Times New Roman" w:eastAsia="宋体" w:cs="Times New Roman"/>
          <w:b/>
          <w:bCs/>
          <w:color w:val="000000"/>
          <w:kern w:val="0"/>
          <w:sz w:val="24"/>
          <w:highlight w:val="none"/>
          <w:lang w:val="en-US" w:eastAsia="zh-CN"/>
        </w:rPr>
        <w:t>.2</w:t>
      </w:r>
      <w:r>
        <w:rPr>
          <w:rFonts w:hint="default" w:ascii="Times New Roman" w:hAnsi="Times New Roman" w:eastAsia="宋体" w:cs="Times New Roman"/>
          <w:b/>
          <w:bCs/>
          <w:color w:val="000000"/>
          <w:kern w:val="0"/>
          <w:sz w:val="24"/>
          <w:highlight w:val="none"/>
          <w:lang w:val="en-US" w:eastAsia="zh-CN"/>
        </w:rPr>
        <w:t>-</w:t>
      </w:r>
      <w:r>
        <w:rPr>
          <w:rFonts w:hint="eastAsia" w:ascii="Times New Roman" w:hAnsi="Times New Roman" w:eastAsia="宋体" w:cs="Times New Roman"/>
          <w:b/>
          <w:bCs/>
          <w:color w:val="000000"/>
          <w:kern w:val="0"/>
          <w:sz w:val="24"/>
          <w:highlight w:val="none"/>
          <w:lang w:val="en-US" w:eastAsia="zh-CN"/>
        </w:rPr>
        <w:t>4</w:t>
      </w:r>
      <w:r>
        <w:rPr>
          <w:rFonts w:hint="default" w:ascii="Times New Roman" w:hAnsi="Times New Roman" w:eastAsia="宋体" w:cs="Times New Roman"/>
          <w:b/>
          <w:bCs/>
          <w:color w:val="000000"/>
          <w:kern w:val="0"/>
          <w:sz w:val="24"/>
          <w:highlight w:val="none"/>
          <w:lang w:val="en-US" w:eastAsia="zh-CN"/>
        </w:rPr>
        <w:t xml:space="preserve"> 土石方平衡一览表  单位：万m</w:t>
      </w:r>
      <w:r>
        <w:rPr>
          <w:rFonts w:hint="default" w:ascii="Times New Roman" w:hAnsi="Times New Roman" w:eastAsia="宋体" w:cs="Times New Roman"/>
          <w:b/>
          <w:bCs/>
          <w:color w:val="000000"/>
          <w:kern w:val="0"/>
          <w:sz w:val="24"/>
          <w:highlight w:val="none"/>
          <w:vertAlign w:val="superscript"/>
          <w:lang w:val="en-US" w:eastAsia="zh-CN"/>
        </w:rPr>
        <w:t>3</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1"/>
        <w:gridCol w:w="2251"/>
        <w:gridCol w:w="2251"/>
        <w:gridCol w:w="2255"/>
      </w:tblGrid>
      <w:tr w14:paraId="4E14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60E55B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工程名称</w:t>
            </w:r>
          </w:p>
        </w:tc>
        <w:tc>
          <w:tcPr>
            <w:tcW w:w="2017" w:type="dxa"/>
            <w:noWrap w:val="0"/>
            <w:vAlign w:val="center"/>
          </w:tcPr>
          <w:p w14:paraId="41219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开挖土</w:t>
            </w:r>
          </w:p>
        </w:tc>
        <w:tc>
          <w:tcPr>
            <w:tcW w:w="2017" w:type="dxa"/>
            <w:noWrap w:val="0"/>
            <w:vAlign w:val="center"/>
          </w:tcPr>
          <w:p w14:paraId="495808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填筑土</w:t>
            </w:r>
          </w:p>
        </w:tc>
        <w:tc>
          <w:tcPr>
            <w:tcW w:w="2020" w:type="dxa"/>
            <w:noWrap w:val="0"/>
            <w:vAlign w:val="center"/>
          </w:tcPr>
          <w:p w14:paraId="7BBC7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弃方</w:t>
            </w:r>
          </w:p>
        </w:tc>
      </w:tr>
      <w:tr w14:paraId="19220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659E9E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数量</w:t>
            </w:r>
          </w:p>
        </w:tc>
        <w:tc>
          <w:tcPr>
            <w:tcW w:w="2017" w:type="dxa"/>
            <w:noWrap w:val="0"/>
            <w:vAlign w:val="center"/>
          </w:tcPr>
          <w:p w14:paraId="11EE4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highlight w:val="none"/>
                <w:lang w:val="en-US" w:eastAsia="zh-CN"/>
              </w:rPr>
              <w:t>57.4261</w:t>
            </w:r>
          </w:p>
        </w:tc>
        <w:tc>
          <w:tcPr>
            <w:tcW w:w="2017" w:type="dxa"/>
            <w:noWrap w:val="0"/>
            <w:vAlign w:val="center"/>
          </w:tcPr>
          <w:p w14:paraId="2F468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52.2508</w:t>
            </w:r>
          </w:p>
        </w:tc>
        <w:tc>
          <w:tcPr>
            <w:tcW w:w="2020" w:type="dxa"/>
            <w:noWrap w:val="0"/>
            <w:vAlign w:val="center"/>
          </w:tcPr>
          <w:p w14:paraId="40D4F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5.1753</w:t>
            </w:r>
          </w:p>
        </w:tc>
      </w:tr>
      <w:tr w14:paraId="69EE7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17" w:type="dxa"/>
            <w:noWrap w:val="0"/>
            <w:vAlign w:val="center"/>
          </w:tcPr>
          <w:p w14:paraId="4FB65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合计</w:t>
            </w:r>
          </w:p>
        </w:tc>
        <w:tc>
          <w:tcPr>
            <w:tcW w:w="2017" w:type="dxa"/>
            <w:noWrap w:val="0"/>
            <w:vAlign w:val="center"/>
          </w:tcPr>
          <w:p w14:paraId="67FD5F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highlight w:val="none"/>
                <w:lang w:val="en-US" w:eastAsia="zh-CN"/>
              </w:rPr>
              <w:t>57.4261</w:t>
            </w:r>
          </w:p>
        </w:tc>
        <w:tc>
          <w:tcPr>
            <w:tcW w:w="4037" w:type="dxa"/>
            <w:gridSpan w:val="2"/>
            <w:noWrap w:val="0"/>
            <w:vAlign w:val="center"/>
          </w:tcPr>
          <w:p w14:paraId="7CBCA8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kern w:val="0"/>
                <w:sz w:val="21"/>
                <w:szCs w:val="21"/>
                <w:highlight w:val="none"/>
                <w:lang w:val="en-US" w:eastAsia="zh-CN"/>
              </w:rPr>
              <w:t>57.4261</w:t>
            </w:r>
          </w:p>
        </w:tc>
      </w:tr>
    </w:tbl>
    <w:p w14:paraId="0BC12643">
      <w:pPr>
        <w:pStyle w:val="5"/>
        <w:bidi w:val="0"/>
        <w:ind w:left="0" w:leftChars="0" w:firstLine="0" w:firstLineChars="0"/>
        <w:rPr>
          <w:rFonts w:hint="eastAsia"/>
          <w:color w:val="000000"/>
          <w:lang w:val="en-US" w:eastAsia="zh-CN"/>
        </w:rPr>
      </w:pPr>
      <w:bookmarkStart w:id="73" w:name="_Toc29386"/>
      <w:r>
        <w:rPr>
          <w:rFonts w:hint="eastAsia"/>
          <w:color w:val="000000"/>
          <w:lang w:val="en-US" w:eastAsia="zh-CN"/>
        </w:rPr>
        <w:t>2.2.4施工总布置</w:t>
      </w:r>
      <w:bookmarkEnd w:id="73"/>
    </w:p>
    <w:p w14:paraId="56D3D7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highlight w:val="none"/>
        </w:rPr>
      </w:pPr>
      <w:bookmarkStart w:id="74" w:name="_Toc24007"/>
      <w:r>
        <w:rPr>
          <w:rFonts w:hint="default" w:ascii="Times New Roman" w:hAnsi="Times New Roman" w:eastAsia="宋体" w:cs="Times New Roman"/>
          <w:b/>
          <w:color w:val="000000"/>
          <w:kern w:val="0"/>
          <w:sz w:val="24"/>
          <w:highlight w:val="none"/>
        </w:rPr>
        <w:t>1、工程布局情况</w:t>
      </w:r>
    </w:p>
    <w:p w14:paraId="33393091">
      <w:pPr>
        <w:keepNext/>
        <w:keepLines/>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textAlignment w:val="auto"/>
        <w:outlineLvl w:val="3"/>
        <w:rPr>
          <w:rFonts w:hint="default" w:ascii="Times New Roman" w:hAnsi="Times New Roman" w:eastAsia="宋体" w:cs="Times New Roman"/>
          <w:b w:val="0"/>
          <w:bCs w:val="0"/>
          <w:color w:val="000000"/>
          <w:kern w:val="0"/>
          <w:sz w:val="24"/>
          <w:szCs w:val="24"/>
          <w:highlight w:val="none"/>
          <w:lang w:val="en-US" w:eastAsia="zh-CN" w:bidi="ar"/>
        </w:rPr>
      </w:pPr>
      <w:r>
        <w:rPr>
          <w:rFonts w:hint="default" w:ascii="Times New Roman" w:hAnsi="Times New Roman" w:eastAsia="宋体" w:cs="Times New Roman"/>
          <w:b w:val="0"/>
          <w:bCs w:val="0"/>
          <w:color w:val="000000"/>
          <w:kern w:val="0"/>
          <w:sz w:val="24"/>
          <w:szCs w:val="24"/>
          <w:highlight w:val="none"/>
          <w:lang w:val="en-US" w:eastAsia="zh-CN" w:bidi="ar"/>
        </w:rPr>
        <w:t>1.1区域排涝能力提升工程</w:t>
      </w:r>
      <w:r>
        <w:rPr>
          <w:rFonts w:hint="default" w:ascii="Times New Roman" w:hAnsi="Times New Roman" w:eastAsia="宋体" w:cs="Times New Roman"/>
          <w:b w:val="0"/>
          <w:bCs w:val="0"/>
          <w:color w:val="000000"/>
          <w:spacing w:val="-2"/>
          <w:sz w:val="24"/>
          <w:szCs w:val="24"/>
          <w:highlight w:val="none"/>
        </w:rPr>
        <w:t>布置</w:t>
      </w:r>
    </w:p>
    <w:p w14:paraId="124CB1A7">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1、迎驾厂片排涝能力提升工程：</w:t>
      </w:r>
    </w:p>
    <w:p w14:paraId="3F6699BB">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新建泵站设计流量10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/s，选用4台立式轴流泵，单泵流量2.5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/s，总装机功率740kw。</w:t>
      </w:r>
    </w:p>
    <w:p w14:paraId="638905D5">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北侧边沟长3.7k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，其中：矩形排涝沟长1.65k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，净宽2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、深1.5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；梯形断面排涝沟长2.05k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，底宽2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，口宽约8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，边坡1：1.5，采用联锁块护坡。</w:t>
      </w:r>
    </w:p>
    <w:p w14:paraId="7C57C430">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六佛路排涝沟长2.58k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，矩形断面，净宽2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、深1.5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6220F926">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中心排涝沟长2.585k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，矩形断面，分为规格1：净宽3</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、深2.5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；规格2：净宽4.5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、深2.5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1A73B15B">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rPr>
        <w:t>项家院排涝沟长1.2k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，梯形断面，底宽2</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，口宽约6~8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，边坡1：1.5，采用联锁块护坡。</w:t>
      </w:r>
    </w:p>
    <w:p w14:paraId="6029F96C">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2、戴家河片排涝能力提升工程：拆建穿路涵13座，改造排涝沟总长1.425k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07FC1A10">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（1）拆建穿路涵共计13座，其中：S332穿路涵1座，尺寸3×1.8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，长37</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；1#、2#、3#穿路涵3座，尺寸3×1.8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，长9</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；4#穿路涵1座，尺寸3×3.8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，长7.3</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。另拆建穿路管涵8座，管径0.5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w:t>
      </w:r>
    </w:p>
    <w:p w14:paraId="585FB10D">
      <w:pPr>
        <w:pStyle w:val="12"/>
        <w:keepNext w:val="0"/>
        <w:keepLines w:val="0"/>
        <w:pageBreakBefore w:val="0"/>
        <w:suppressLineNumbers w:val="0"/>
        <w:kinsoku/>
        <w:wordWrap/>
        <w:overflowPunct/>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（2）拆建1#排涝沟135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，尺寸1.5×1.5</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；新建2#排涝沟630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，尺寸2×1.8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；清淤护砌3#排涝沟630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；新建4#排涝沟30</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，尺寸4×1.8</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。（4#排涝沟与3#穿路涵衔接）。</w:t>
      </w:r>
    </w:p>
    <w:p w14:paraId="2A6F071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1.2城区排涝通道整治工程布置</w:t>
      </w:r>
    </w:p>
    <w:p w14:paraId="7491BC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幽芳河治理范围东石门水库~高庙河汇入口，治理河道6.36k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。其中河道疏拓6.36k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，防洪达标2.4k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，护岸加固12.72k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，拆（新）建蓄水建筑物7座，改造防汛道路1.8k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w:t>
      </w:r>
    </w:p>
    <w:p w14:paraId="13B0B7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高庙河治理范围牛角冲水库~东淠河汇入口，治理河道5.65k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。其中新建护岸7.24k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，石笼固脚3.15k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，拆（新）建蓄水建筑物4座，新建巡查便道0.525k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，防洪达标0.8k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w:t>
      </w:r>
    </w:p>
    <w:p w14:paraId="437ED00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柳林河治理范围团结水库~东淠河汇入口，治理河道11.1k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。其中新建护岸3.415k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、护坡5.28k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，石笼固脚9.19k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，堤防封闭300</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，加固拦河坝2座，拆建防洪闸1座，拆建（加固）排涝涵5座，堤顶防汛道路白改黑长7.2k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，水毁段修复16处。</w:t>
      </w:r>
    </w:p>
    <w:p w14:paraId="1A8DC22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新店河治理范围印墩村~戴家河汇入口，治理河道2.51k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。其中新建护岸2.106k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，现状护岸改造0.195k</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lang w:val="en-US" w:eastAsia="zh-CN"/>
        </w:rPr>
        <w:t>。</w:t>
      </w:r>
    </w:p>
    <w:p w14:paraId="4A28222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480" w:leftChars="200" w:right="0" w:rightChars="0"/>
        <w:textAlignment w:val="auto"/>
        <w:rPr>
          <w:rFonts w:hint="default" w:ascii="Times New Roman" w:hAnsi="Times New Roman" w:eastAsia="宋体" w:cs="Times New Roman"/>
          <w:b w:val="0"/>
          <w:bCs w:val="0"/>
          <w:color w:val="000000"/>
          <w:spacing w:val="-2"/>
          <w:sz w:val="24"/>
          <w:szCs w:val="24"/>
          <w:highlight w:val="none"/>
          <w:lang w:eastAsia="zh-CN"/>
        </w:rPr>
      </w:pPr>
      <w:r>
        <w:rPr>
          <w:rFonts w:hint="default" w:ascii="Times New Roman" w:hAnsi="Times New Roman" w:eastAsia="宋体" w:cs="Times New Roman"/>
          <w:b w:val="0"/>
          <w:bCs w:val="0"/>
          <w:color w:val="000000"/>
          <w:spacing w:val="-2"/>
          <w:sz w:val="24"/>
          <w:szCs w:val="24"/>
          <w:highlight w:val="none"/>
          <w:lang w:val="en-US" w:eastAsia="zh-CN"/>
        </w:rPr>
        <w:t>1.3</w:t>
      </w:r>
      <w:r>
        <w:rPr>
          <w:rFonts w:hint="default" w:ascii="Times New Roman" w:hAnsi="Times New Roman" w:eastAsia="宋体" w:cs="Times New Roman"/>
          <w:b w:val="0"/>
          <w:bCs w:val="0"/>
          <w:color w:val="000000"/>
          <w:spacing w:val="-2"/>
          <w:sz w:val="24"/>
          <w:szCs w:val="24"/>
          <w:highlight w:val="none"/>
          <w:lang w:eastAsia="zh-CN"/>
        </w:rPr>
        <w:t>排水管网改造工程</w:t>
      </w:r>
    </w:p>
    <w:p w14:paraId="27DF8DB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rPr>
      </w:pPr>
      <w:r>
        <w:rPr>
          <w:rFonts w:hint="default" w:ascii="Times New Roman" w:hAnsi="Times New Roman" w:eastAsia="宋体" w:cs="Times New Roman"/>
          <w:b w:val="0"/>
          <w:bCs/>
          <w:color w:val="000000"/>
          <w:kern w:val="0"/>
          <w:sz w:val="24"/>
          <w:highlight w:val="none"/>
          <w:lang w:val="en-US" w:eastAsia="zh-CN"/>
        </w:rPr>
        <w:t>沿柳林河两侧布置De315主管，由南向北接入现状市政管道，新建污水主管网总长度3354</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；新建Φ700混凝土模块式井127座；本工程沿河设计居民接管户数150户，包含接户井、接户管等，接户管为2250</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，设计总处理规模约为40</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vertAlign w:val="superscript"/>
          <w:lang w:val="en-US" w:eastAsia="zh-CN"/>
        </w:rPr>
        <w:t>3</w:t>
      </w:r>
      <w:r>
        <w:rPr>
          <w:rFonts w:hint="default" w:ascii="Times New Roman" w:hAnsi="Times New Roman" w:eastAsia="宋体" w:cs="Times New Roman"/>
          <w:b w:val="0"/>
          <w:bCs/>
          <w:color w:val="000000"/>
          <w:kern w:val="0"/>
          <w:sz w:val="24"/>
          <w:highlight w:val="none"/>
          <w:lang w:val="en-US" w:eastAsia="zh-CN"/>
        </w:rPr>
        <w:t>/d。沿幽芳河两侧布置De315主管，由南向北接入现状市政管道，新建污水主管网总长度7429</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；新建Φ700混凝土模块式井270座；新建一体化提升泵站1座；本工程沿河设计居民接管户数416户，包含接户井、接户管等，接户管6240</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，设计总处理规模约为70</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vertAlign w:val="superscript"/>
          <w:lang w:val="en-US" w:eastAsia="zh-CN"/>
        </w:rPr>
        <w:t>3</w:t>
      </w:r>
      <w:r>
        <w:rPr>
          <w:rFonts w:hint="default" w:ascii="Times New Roman" w:hAnsi="Times New Roman" w:eastAsia="宋体" w:cs="Times New Roman"/>
          <w:b w:val="0"/>
          <w:bCs/>
          <w:color w:val="000000"/>
          <w:kern w:val="0"/>
          <w:sz w:val="24"/>
          <w:highlight w:val="none"/>
          <w:lang w:val="en-US" w:eastAsia="zh-CN"/>
        </w:rPr>
        <w:t>/d。</w:t>
      </w:r>
    </w:p>
    <w:p w14:paraId="58E7B11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rPr>
      </w:pPr>
      <w:r>
        <w:rPr>
          <w:rFonts w:hint="default" w:ascii="Times New Roman" w:hAnsi="Times New Roman" w:eastAsia="宋体" w:cs="Times New Roman"/>
          <w:b w:val="0"/>
          <w:bCs/>
          <w:color w:val="000000"/>
          <w:kern w:val="0"/>
          <w:sz w:val="24"/>
          <w:highlight w:val="none"/>
          <w:lang w:val="en-US" w:eastAsia="zh-CN"/>
        </w:rPr>
        <w:t>本次南岳花都片排水管网新建工程，对片区雨水集中外排，本工程沿惠民路新建d1.8</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排水暗涵，由南向北排入淠源渠。新建排水管网设计排水流量7.3</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vertAlign w:val="superscript"/>
          <w:lang w:val="en-US" w:eastAsia="zh-CN"/>
        </w:rPr>
        <w:t>3</w:t>
      </w:r>
      <w:r>
        <w:rPr>
          <w:rFonts w:hint="default" w:ascii="Times New Roman" w:hAnsi="Times New Roman" w:eastAsia="宋体" w:cs="Times New Roman"/>
          <w:b w:val="0"/>
          <w:bCs/>
          <w:color w:val="000000"/>
          <w:kern w:val="0"/>
          <w:sz w:val="24"/>
          <w:highlight w:val="none"/>
          <w:lang w:val="en-US" w:eastAsia="zh-CN"/>
        </w:rPr>
        <w:t>/s，总长度460</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；新建管涵长度450</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，钢筋砼检查井7座。</w:t>
      </w:r>
    </w:p>
    <w:p w14:paraId="713D6E6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rPr>
      </w:pPr>
      <w:r>
        <w:rPr>
          <w:rFonts w:hint="default" w:ascii="Times New Roman" w:hAnsi="Times New Roman" w:eastAsia="宋体" w:cs="Times New Roman"/>
          <w:b w:val="0"/>
          <w:bCs/>
          <w:color w:val="000000"/>
          <w:kern w:val="0"/>
          <w:sz w:val="24"/>
          <w:highlight w:val="none"/>
          <w:lang w:val="en-US" w:eastAsia="zh-CN"/>
        </w:rPr>
        <w:t>衡山工业园片区雨污水管网建设滞后，本次衡山工业园片区通过雨污水管道及雨水箱涵建设解决片区的排水能力不足的问题。本次建设污水钢筋混凝土管道DN400~DN800约4.19k</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，建设雨水钢筋混凝土管道DN600~DN1200约4.28k</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，建设雨水箱涵及明渠2.53k</w:t>
      </w:r>
      <w:r>
        <w:rPr>
          <w:rFonts w:hint="eastAsia" w:eastAsia="宋体" w:cs="Times New Roman"/>
          <w:b w:val="0"/>
          <w:bCs/>
          <w:color w:val="000000"/>
          <w:kern w:val="0"/>
          <w:sz w:val="24"/>
          <w:highlight w:val="none"/>
          <w:lang w:val="en-US" w:eastAsia="zh-CN"/>
        </w:rPr>
        <w:t>m</w:t>
      </w:r>
      <w:r>
        <w:rPr>
          <w:rFonts w:hint="default" w:ascii="Times New Roman" w:hAnsi="Times New Roman" w:eastAsia="宋体" w:cs="Times New Roman"/>
          <w:b w:val="0"/>
          <w:bCs/>
          <w:color w:val="000000"/>
          <w:kern w:val="0"/>
          <w:sz w:val="24"/>
          <w:highlight w:val="none"/>
          <w:lang w:val="en-US" w:eastAsia="zh-CN"/>
        </w:rPr>
        <w:t>。</w:t>
      </w:r>
    </w:p>
    <w:p w14:paraId="0817A52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highlight w:val="none"/>
          <w:lang w:val="en-US"/>
        </w:rPr>
      </w:pPr>
      <w:r>
        <w:rPr>
          <w:rFonts w:hint="default" w:ascii="Times New Roman" w:hAnsi="Times New Roman" w:eastAsia="宋体" w:cs="Times New Roman"/>
          <w:b/>
          <w:color w:val="000000"/>
          <w:kern w:val="0"/>
          <w:sz w:val="24"/>
          <w:highlight w:val="none"/>
          <w:lang w:val="en-US"/>
        </w:rPr>
        <w:t>2、施工布置情况</w:t>
      </w:r>
    </w:p>
    <w:p w14:paraId="55FC82C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施工生产区场地布置由施工单位结合拟建场地现状进行布置，要求少占地并尽量减小对汛期防汛的影响。施工中临时道路可结合永久进场道路进行设置，并做好临时围堰及基坑排水，做到文明施工、安全施工。生活用房可就近租用民房。</w:t>
      </w:r>
    </w:p>
    <w:p w14:paraId="1067E6C1">
      <w:pPr>
        <w:rPr>
          <w:rFonts w:hint="eastAsia"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项目总平面布局依据河道走向，严格规范施工红线，项目分段施工，布局紧凑，施工临时占地面积小，有利于缩短施工时间，做到各段施工互不干扰，施工场地配套的环保设施齐全，有利于进一步地控制施工扬尘、废水、固废对环境的影响。施工段沿线分布居住区，可满足施工用水用电需求，因此，从环保角度考虑，项目施工平面布置合理</w:t>
      </w:r>
      <w:r>
        <w:rPr>
          <w:rFonts w:hint="eastAsia" w:ascii="Times New Roman" w:hAnsi="Times New Roman" w:eastAsia="宋体" w:cs="Times New Roman"/>
          <w:b w:val="0"/>
          <w:bCs/>
          <w:color w:val="000000"/>
          <w:kern w:val="0"/>
          <w:sz w:val="24"/>
          <w:highlight w:val="none"/>
          <w:lang w:val="en-US" w:eastAsia="zh-CN"/>
        </w:rPr>
        <w:t>。</w:t>
      </w:r>
    </w:p>
    <w:p w14:paraId="0D12F2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（1）施工供电、供水系统布置</w:t>
      </w:r>
    </w:p>
    <w:p w14:paraId="7EBDD8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1）供水</w:t>
      </w:r>
    </w:p>
    <w:p w14:paraId="1F308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本工程生活用水可采用市政自来水管网供水，施工用水就近从附近河道取水或采用市政自来水管网供水。</w:t>
      </w:r>
    </w:p>
    <w:p w14:paraId="364D5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2）供电</w:t>
      </w:r>
    </w:p>
    <w:p w14:paraId="6F1555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本工程施工用电供电范围包括泵站、河道护岸工程及配套建筑物、排水沟、排水管网。施工用电负荷集中在泵站、拦河坝及水闸施工区。本工程泵站、拦河坝及水闸施工供电拟采用永临结合方式，利用附近系统电。排水管网、排水沟施工用电较为分散，可就近从市政电网取电或自备柴油机发电。</w:t>
      </w:r>
    </w:p>
    <w:p w14:paraId="4083B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（2）混凝土生产设施</w:t>
      </w:r>
    </w:p>
    <w:p w14:paraId="7FF56D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本工程位于六安市县城内，交通运输发达，制备商品混凝土的厂家较多，具备使用商品混凝土的良好条件。若采用现场集中拌制混凝土的方案，需要较大的临时场地，因此本阶段选择外购商品混凝土的方式作为混凝土的来源。</w:t>
      </w:r>
    </w:p>
    <w:p w14:paraId="48561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（3）临时生产设施</w:t>
      </w:r>
    </w:p>
    <w:p w14:paraId="7517BC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工程所需的钢筋、木材均在现场加工，拟建立相应的综合材料加工场，布置在主要建筑物附近缓坡地。</w:t>
      </w:r>
    </w:p>
    <w:p w14:paraId="04F137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（4）临时堆土场</w:t>
      </w:r>
    </w:p>
    <w:p w14:paraId="1EA22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本工程部分泵站主泵房全年施工，涉水工作面选择枯水期施工。考虑工程开挖与填筑时序的不匹配，考虑在泵站施工区附近设置临时堆土场，暂存用于后续填筑的基坑开挖土石料。</w:t>
      </w:r>
    </w:p>
    <w:p w14:paraId="4A9617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b w:val="0"/>
          <w:bCs w:val="0"/>
          <w:color w:val="000000"/>
          <w:kern w:val="2"/>
          <w:sz w:val="24"/>
          <w:szCs w:val="24"/>
          <w:highlight w:val="none"/>
          <w:lang w:val="en-US" w:eastAsia="zh-CN" w:bidi="ar-SA"/>
        </w:rPr>
        <w:t>（5）临时生活办公区</w:t>
      </w:r>
    </w:p>
    <w:p w14:paraId="595F1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val="0"/>
          <w:color w:val="000000"/>
          <w:kern w:val="2"/>
          <w:sz w:val="24"/>
          <w:szCs w:val="24"/>
          <w:highlight w:val="none"/>
          <w:lang w:val="en-US" w:eastAsia="zh-CN" w:bidi="ar-SA"/>
        </w:rPr>
        <w:t>临时生活与办公用房拟采用租赁型式，拟租用附近民房作为施工承包商现场办公及生活营地。</w:t>
      </w:r>
    </w:p>
    <w:p w14:paraId="7BA32C97">
      <w:pPr>
        <w:rPr>
          <w:rFonts w:hint="eastAsia" w:ascii="Times New Roman" w:hAnsi="Times New Roman" w:eastAsia="黑体" w:cs="Times New Roman"/>
          <w:b/>
          <w:color w:val="000000"/>
          <w:kern w:val="2"/>
          <w:sz w:val="28"/>
          <w:szCs w:val="28"/>
          <w:lang w:val="en-US" w:eastAsia="zh-CN" w:bidi="ar-SA"/>
        </w:rPr>
      </w:pPr>
      <w:r>
        <w:rPr>
          <w:rFonts w:hint="eastAsia" w:ascii="Times New Roman" w:hAnsi="Times New Roman" w:eastAsia="黑体" w:cs="Times New Roman"/>
          <w:b/>
          <w:color w:val="000000"/>
          <w:kern w:val="2"/>
          <w:sz w:val="28"/>
          <w:szCs w:val="28"/>
          <w:lang w:val="en-US" w:eastAsia="zh-CN" w:bidi="ar-SA"/>
        </w:rPr>
        <w:t>2.2.5施工总进度</w:t>
      </w:r>
      <w:bookmarkEnd w:id="74"/>
    </w:p>
    <w:p w14:paraId="127996C6">
      <w:pPr>
        <w:pStyle w:val="6"/>
        <w:bidi w:val="0"/>
        <w:rPr>
          <w:rFonts w:hint="eastAsia"/>
          <w:color w:val="000000"/>
          <w:lang w:val="en-US" w:eastAsia="zh-CN"/>
        </w:rPr>
      </w:pPr>
      <w:r>
        <w:rPr>
          <w:rFonts w:hint="eastAsia"/>
          <w:color w:val="000000"/>
          <w:lang w:val="en-US" w:eastAsia="zh-CN"/>
        </w:rPr>
        <w:t>1施工进度编制原则</w:t>
      </w:r>
    </w:p>
    <w:p w14:paraId="0D5F755A">
      <w:pPr>
        <w:rPr>
          <w:rFonts w:hint="eastAsia"/>
          <w:color w:val="000000"/>
          <w:lang w:val="en-US" w:eastAsia="zh-CN"/>
        </w:rPr>
      </w:pPr>
      <w:r>
        <w:rPr>
          <w:rFonts w:hint="eastAsia"/>
          <w:color w:val="000000"/>
          <w:lang w:val="en-US" w:eastAsia="zh-CN"/>
        </w:rPr>
        <w:t>本工程施工总进度依据建筑物特点、施工条件，本着合理安排施工强度的原则进行编制。</w:t>
      </w:r>
    </w:p>
    <w:p w14:paraId="3B9E850C">
      <w:pPr>
        <w:rPr>
          <w:rFonts w:hint="eastAsia"/>
          <w:color w:val="000000"/>
          <w:lang w:val="en-US" w:eastAsia="zh-CN"/>
        </w:rPr>
      </w:pPr>
      <w:r>
        <w:rPr>
          <w:rFonts w:hint="eastAsia"/>
          <w:color w:val="000000"/>
          <w:lang w:val="en-US" w:eastAsia="zh-CN"/>
        </w:rPr>
        <w:t>（1）本次工程建设范围区较大，施工互不干扰，因此可根据建设规格和施工能力安排施工进度，力求均衡施工，确保工程高效、保质、按期完成。</w:t>
      </w:r>
    </w:p>
    <w:p w14:paraId="2255A056">
      <w:pPr>
        <w:outlineLvl w:val="9"/>
        <w:rPr>
          <w:rFonts w:hint="eastAsia"/>
          <w:color w:val="000000"/>
          <w:lang w:val="en-US" w:eastAsia="zh-CN"/>
        </w:rPr>
      </w:pPr>
      <w:bookmarkStart w:id="75" w:name="_Toc22898"/>
      <w:bookmarkStart w:id="76" w:name="_Toc23203"/>
      <w:r>
        <w:rPr>
          <w:rFonts w:hint="eastAsia"/>
          <w:color w:val="000000"/>
          <w:lang w:val="en-US" w:eastAsia="zh-CN"/>
        </w:rPr>
        <w:t>（2）考虑季节及度汛要求，汛期不安排主体工程施工。</w:t>
      </w:r>
      <w:bookmarkEnd w:id="75"/>
      <w:bookmarkEnd w:id="76"/>
    </w:p>
    <w:p w14:paraId="00B5B638">
      <w:pPr>
        <w:rPr>
          <w:rFonts w:hint="eastAsia"/>
          <w:color w:val="000000"/>
          <w:lang w:val="en-US" w:eastAsia="zh-CN"/>
        </w:rPr>
      </w:pPr>
      <w:r>
        <w:rPr>
          <w:rFonts w:hint="eastAsia"/>
          <w:color w:val="000000"/>
          <w:lang w:val="en-US" w:eastAsia="zh-CN"/>
        </w:rPr>
        <w:t>（3）依据工程的特点，尽可能采用较为先进的施工工艺和技术设备，以提高工效。</w:t>
      </w:r>
    </w:p>
    <w:p w14:paraId="0770EB7B">
      <w:pPr>
        <w:pStyle w:val="6"/>
        <w:bidi w:val="0"/>
        <w:outlineLvl w:val="2"/>
        <w:rPr>
          <w:rFonts w:hint="eastAsia"/>
          <w:color w:val="000000"/>
          <w:lang w:val="en-US" w:eastAsia="zh-CN"/>
        </w:rPr>
      </w:pPr>
      <w:bookmarkStart w:id="77" w:name="_Toc28217"/>
      <w:r>
        <w:rPr>
          <w:rFonts w:hint="eastAsia"/>
          <w:color w:val="000000"/>
          <w:lang w:val="en-US" w:eastAsia="zh-CN"/>
        </w:rPr>
        <w:t>2施工总工期及分期计划</w:t>
      </w:r>
      <w:bookmarkEnd w:id="77"/>
    </w:p>
    <w:p w14:paraId="6EC1BE9F">
      <w:pPr>
        <w:bidi w:val="0"/>
        <w:rPr>
          <w:rFonts w:hint="eastAsia"/>
          <w:color w:val="000000"/>
          <w:highlight w:val="none"/>
          <w:lang w:val="en-US" w:eastAsia="zh-CN"/>
        </w:rPr>
      </w:pPr>
      <w:r>
        <w:rPr>
          <w:rFonts w:hint="eastAsia"/>
          <w:color w:val="000000"/>
          <w:highlight w:val="none"/>
          <w:lang w:val="en-US" w:eastAsia="zh-CN"/>
        </w:rPr>
        <w:t>根据本工程施工特点及要求，施工进度计划本着缩短工期、主体工程避开汛期施工、尽早建成、尽快受益的原则进行编制。参考附近的类似工程的施工经验，结合工程特点，地形条件，施工以机械为主，人工为辅的原则。</w:t>
      </w:r>
    </w:p>
    <w:p w14:paraId="5DB152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000000"/>
          <w:kern w:val="2"/>
          <w:sz w:val="24"/>
          <w:szCs w:val="24"/>
          <w:highlight w:val="none"/>
          <w:lang w:val="en-US" w:eastAsia="zh-CN" w:bidi="ar-SA"/>
        </w:rPr>
      </w:pPr>
      <w:r>
        <w:rPr>
          <w:rFonts w:hint="default" w:ascii="Times New Roman" w:hAnsi="Times New Roman" w:eastAsia="宋体" w:cs="Times New Roman"/>
          <w:color w:val="000000"/>
          <w:kern w:val="0"/>
          <w:sz w:val="24"/>
          <w:highlight w:val="none"/>
          <w:lang w:val="en-US" w:eastAsia="zh-CN"/>
        </w:rPr>
        <w:t>根据霍山县水务局制定的建设计划以及《水利水电工程施工组织设计规范》SL303-2017的规定，本项目，其工程建设全过程依据规范要求被划分为四个明确的施工时段：工程筹建期、工程施工准备期、主体工程施工期和工程完建期。其中，工程筹建期主要涉及项目前期工作，如规划审批、资源协调和手续办理，因此不计入工程总工期之内。本项目的具体施工分期安排如下：工程筹建期预计2个月；工程施工准备期2个月，用于场地平整、设备进场和人员组织；主体工程施工期计划为10个月，负责核心结构建设和设施安装；工程完建期为2个月，用于收尾清理、调试和验收工作。</w:t>
      </w:r>
    </w:p>
    <w:p w14:paraId="14DC1C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eastAsia"/>
          <w:color w:val="000000"/>
          <w:highlight w:val="none"/>
          <w:lang w:val="en-US" w:eastAsia="zh-CN"/>
        </w:rPr>
      </w:pPr>
      <w:r>
        <w:rPr>
          <w:rFonts w:hint="default" w:ascii="Times New Roman" w:hAnsi="Times New Roman" w:eastAsia="宋体" w:cs="Times New Roman"/>
          <w:b w:val="0"/>
          <w:bCs w:val="0"/>
          <w:color w:val="000000"/>
          <w:kern w:val="2"/>
          <w:sz w:val="24"/>
          <w:szCs w:val="24"/>
          <w:highlight w:val="none"/>
          <w:lang w:val="en-US" w:eastAsia="zh-CN" w:bidi="ar-SA"/>
        </w:rPr>
        <w:t>项目工程</w:t>
      </w:r>
      <w:r>
        <w:rPr>
          <w:rFonts w:hint="default" w:ascii="Times New Roman" w:hAnsi="Times New Roman" w:eastAsia="宋体" w:cs="Times New Roman"/>
          <w:color w:val="000000"/>
          <w:kern w:val="2"/>
          <w:sz w:val="24"/>
          <w:szCs w:val="24"/>
          <w:highlight w:val="none"/>
          <w:lang w:val="en-US" w:eastAsia="zh-CN" w:bidi="ar-SA"/>
        </w:rPr>
        <w:t>建设工期为2026年10月至2027年12月，共</w:t>
      </w:r>
      <w:r>
        <w:rPr>
          <w:rFonts w:hint="default" w:ascii="Times New Roman" w:hAnsi="Times New Roman" w:eastAsia="宋体" w:cs="Times New Roman"/>
          <w:b w:val="0"/>
          <w:bCs w:val="0"/>
          <w:color w:val="000000"/>
          <w:kern w:val="2"/>
          <w:sz w:val="24"/>
          <w:szCs w:val="24"/>
          <w:highlight w:val="none"/>
          <w:lang w:val="en-US" w:eastAsia="zh-CN" w:bidi="ar-SA"/>
        </w:rPr>
        <w:t>14个月。平均施工人数约50人。</w:t>
      </w:r>
    </w:p>
    <w:p w14:paraId="58D5AA31">
      <w:pPr>
        <w:pStyle w:val="5"/>
        <w:bidi w:val="0"/>
        <w:rPr>
          <w:rFonts w:hint="eastAsia"/>
          <w:color w:val="000000"/>
          <w:highlight w:val="none"/>
          <w:lang w:val="en-US" w:eastAsia="zh-CN"/>
        </w:rPr>
      </w:pPr>
      <w:r>
        <w:rPr>
          <w:rFonts w:hint="eastAsia"/>
          <w:color w:val="000000"/>
          <w:highlight w:val="none"/>
          <w:lang w:val="en-US" w:eastAsia="zh-CN"/>
        </w:rPr>
        <w:t>2.2.6工程征地与拆迁</w:t>
      </w:r>
    </w:p>
    <w:p w14:paraId="52E79217">
      <w:pPr>
        <w:bidi w:val="0"/>
        <w:rPr>
          <w:rFonts w:hint="eastAsia"/>
          <w:color w:val="000000"/>
          <w:lang w:val="en-US" w:eastAsia="zh-CN"/>
        </w:rPr>
        <w:sectPr>
          <w:pgSz w:w="11911" w:h="16838"/>
          <w:pgMar w:top="850" w:right="1417" w:bottom="850" w:left="1701" w:header="794" w:footer="1123" w:gutter="0"/>
          <w:pgBorders>
            <w:top w:val="none" w:sz="0" w:space="0"/>
            <w:left w:val="none" w:sz="0" w:space="0"/>
            <w:bottom w:val="none" w:sz="0" w:space="0"/>
            <w:right w:val="none" w:sz="0" w:space="0"/>
          </w:pgBorders>
          <w:pgNumType w:fmt="decimal"/>
          <w:cols w:space="720" w:num="1"/>
          <w:rtlGutter w:val="0"/>
          <w:docGrid w:linePitch="312" w:charSpace="0"/>
        </w:sectPr>
      </w:pPr>
      <w:r>
        <w:rPr>
          <w:rFonts w:hint="default"/>
          <w:color w:val="000000"/>
          <w:lang w:val="en-US" w:eastAsia="zh-CN"/>
        </w:rPr>
        <w:t>本项目不涉及新增拆迁内容</w:t>
      </w:r>
    </w:p>
    <w:p w14:paraId="252C3252">
      <w:pPr>
        <w:bidi w:val="0"/>
        <w:rPr>
          <w:rFonts w:hint="eastAsia"/>
          <w:color w:val="000000"/>
          <w:lang w:val="en-US" w:eastAsia="zh-CN"/>
        </w:rPr>
      </w:pPr>
    </w:p>
    <w:p w14:paraId="5B36825A">
      <w:pPr>
        <w:pStyle w:val="4"/>
        <w:bidi w:val="0"/>
        <w:rPr>
          <w:rFonts w:hint="eastAsia"/>
          <w:color w:val="000000"/>
          <w:lang w:val="en-US" w:eastAsia="zh-CN"/>
        </w:rPr>
      </w:pPr>
      <w:bookmarkStart w:id="78" w:name="_Toc4906"/>
      <w:bookmarkStart w:id="79" w:name="_Toc24653"/>
      <w:r>
        <w:rPr>
          <w:rFonts w:hint="eastAsia"/>
          <w:color w:val="000000"/>
          <w:lang w:val="en-US" w:eastAsia="zh-CN"/>
        </w:rPr>
        <w:t>2.3主要施工工艺及产排污</w:t>
      </w:r>
      <w:bookmarkEnd w:id="78"/>
      <w:bookmarkEnd w:id="79"/>
      <w:bookmarkStart w:id="80" w:name="_Toc19118"/>
    </w:p>
    <w:p w14:paraId="43517D9E">
      <w:pPr>
        <w:pStyle w:val="5"/>
        <w:bidi w:val="0"/>
        <w:rPr>
          <w:rFonts w:hint="eastAsia"/>
          <w:color w:val="000000"/>
          <w:lang w:val="en-US" w:eastAsia="zh-CN"/>
        </w:rPr>
      </w:pPr>
      <w:r>
        <w:rPr>
          <w:rFonts w:hint="eastAsia"/>
          <w:color w:val="000000"/>
          <w:lang w:val="en-US" w:eastAsia="zh-CN"/>
        </w:rPr>
        <w:t>2.3.1施工期污染源强分析</w:t>
      </w:r>
      <w:bookmarkEnd w:id="80"/>
    </w:p>
    <w:p w14:paraId="081E6D0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val="0"/>
          <w:bCs/>
          <w:color w:val="000000"/>
          <w:kern w:val="0"/>
          <w:sz w:val="24"/>
          <w:lang w:val="en-US" w:eastAsia="zh-CN"/>
        </w:rPr>
      </w:pPr>
      <w:bookmarkStart w:id="81" w:name="_Toc8394"/>
      <w:r>
        <w:rPr>
          <w:rFonts w:hint="default" w:ascii="Times New Roman" w:hAnsi="Times New Roman" w:eastAsia="宋体" w:cs="Times New Roman"/>
          <w:b w:val="0"/>
          <w:bCs/>
          <w:color w:val="000000"/>
          <w:kern w:val="0"/>
          <w:sz w:val="24"/>
          <w:lang w:val="en-US" w:eastAsia="zh-CN"/>
        </w:rPr>
        <w:pict>
          <v:shape id="_x0000_i1029" o:spt="75" alt="27f24f0d-227a-4bef-80c5-d8def39fb77a" type="#_x0000_t75" style="height:111pt;width:386.25pt;" filled="f" o:preferrelative="t" stroked="f" coordsize="21600,21600">
            <v:path/>
            <v:fill on="f" focussize="0,0"/>
            <v:stroke on="f"/>
            <v:imagedata r:id="rId43" o:title="27f24f0d-227a-4bef-80c5-d8def39fb77a"/>
            <o:lock v:ext="edit" aspectratio="t"/>
            <w10:wrap type="none"/>
            <w10:anchorlock/>
          </v:shape>
        </w:pict>
      </w:r>
    </w:p>
    <w:p w14:paraId="3AFB86FF">
      <w:pPr>
        <w:keepNext w:val="0"/>
        <w:keepLines w:val="0"/>
        <w:widowControl/>
        <w:suppressLineNumbers w:val="0"/>
        <w:ind w:left="0" w:leftChars="0" w:firstLine="0" w:firstLineChars="0"/>
        <w:jc w:val="center"/>
        <w:rPr>
          <w:rFonts w:hint="default" w:ascii="Times New Roman" w:hAnsi="Times New Roman" w:eastAsia="宋体" w:cs="Times New Roman"/>
          <w:b w:val="0"/>
          <w:bCs/>
          <w:color w:val="000000"/>
          <w:kern w:val="0"/>
          <w:sz w:val="24"/>
          <w:lang w:val="en-US" w:eastAsia="zh-CN"/>
        </w:rPr>
      </w:pPr>
      <w:r>
        <w:rPr>
          <w:rFonts w:hint="default" w:ascii="Times New Roman" w:hAnsi="Times New Roman" w:eastAsia="宋体" w:cs="Times New Roman"/>
          <w:b/>
          <w:bCs/>
          <w:color w:val="000000"/>
          <w:kern w:val="0"/>
          <w:sz w:val="24"/>
          <w:szCs w:val="24"/>
          <w:lang w:val="en-US" w:eastAsia="zh-CN" w:bidi="ar"/>
        </w:rPr>
        <w:t xml:space="preserve">图2.3-1 </w:t>
      </w:r>
      <w:r>
        <w:rPr>
          <w:rFonts w:hint="eastAsia" w:ascii="宋体" w:hAnsi="宋体" w:eastAsia="宋体" w:cs="宋体"/>
          <w:b/>
          <w:bCs/>
          <w:color w:val="000000"/>
          <w:kern w:val="0"/>
          <w:sz w:val="24"/>
          <w:szCs w:val="24"/>
          <w:lang w:val="en-US" w:eastAsia="zh-CN" w:bidi="ar"/>
        </w:rPr>
        <w:t>建筑物工程施工过程和产污节点图</w:t>
      </w:r>
    </w:p>
    <w:p w14:paraId="35DDD18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val="0"/>
          <w:bCs/>
          <w:color w:val="000000"/>
          <w:kern w:val="0"/>
          <w:sz w:val="24"/>
          <w:lang w:val="en-US" w:eastAsia="zh-CN"/>
        </w:rPr>
      </w:pPr>
      <w:r>
        <w:rPr>
          <w:rFonts w:hint="default" w:ascii="Times New Roman" w:hAnsi="Times New Roman" w:eastAsia="宋体" w:cs="Times New Roman"/>
          <w:b w:val="0"/>
          <w:bCs/>
          <w:color w:val="000000"/>
          <w:kern w:val="0"/>
          <w:sz w:val="24"/>
          <w:lang w:val="en-US" w:eastAsia="zh-CN"/>
        </w:rPr>
        <w:pict>
          <v:shape id="_x0000_i1030" o:spt="75" alt="63ac6ffa-58ad-40e2-9794-ceff499d9499" type="#_x0000_t75" style="height:125.85pt;width:394.3pt;" filled="f" o:preferrelative="t" stroked="f" coordsize="21600,21600">
            <v:path/>
            <v:fill on="f" focussize="0,0"/>
            <v:stroke on="f"/>
            <v:imagedata r:id="rId44" o:title="63ac6ffa-58ad-40e2-9794-ceff499d9499"/>
            <o:lock v:ext="edit" aspectratio="t"/>
            <w10:wrap type="none"/>
            <w10:anchorlock/>
          </v:shape>
        </w:pict>
      </w:r>
    </w:p>
    <w:p w14:paraId="08CEEB4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val="0"/>
          <w:bCs/>
          <w:color w:val="000000"/>
          <w:kern w:val="0"/>
          <w:sz w:val="24"/>
          <w:lang w:val="en-US" w:eastAsia="zh-CN"/>
        </w:rPr>
      </w:pPr>
      <w:r>
        <w:rPr>
          <w:rFonts w:hint="eastAsia" w:ascii="宋体" w:hAnsi="宋体" w:eastAsia="宋体" w:cs="宋体"/>
          <w:b/>
          <w:bCs/>
          <w:color w:val="000000"/>
          <w:kern w:val="0"/>
          <w:sz w:val="24"/>
          <w:szCs w:val="24"/>
          <w:lang w:val="en-US" w:eastAsia="zh-CN" w:bidi="ar"/>
        </w:rPr>
        <w:t>图</w:t>
      </w:r>
      <w:r>
        <w:rPr>
          <w:rFonts w:hint="eastAsia" w:ascii="Times New Roman" w:hAnsi="Times New Roman" w:eastAsia="宋体" w:cs="Times New Roman"/>
          <w:b/>
          <w:bCs/>
          <w:color w:val="000000"/>
          <w:kern w:val="0"/>
          <w:sz w:val="24"/>
          <w:szCs w:val="24"/>
          <w:lang w:val="en-US" w:eastAsia="zh-CN" w:bidi="ar"/>
        </w:rPr>
        <w:t>2.3</w:t>
      </w:r>
      <w:r>
        <w:rPr>
          <w:rFonts w:hint="default" w:ascii="Times New Roman" w:hAnsi="Times New Roman" w:eastAsia="宋体" w:cs="Times New Roman"/>
          <w:b/>
          <w:bCs/>
          <w:color w:val="000000"/>
          <w:kern w:val="0"/>
          <w:sz w:val="24"/>
          <w:szCs w:val="24"/>
          <w:lang w:val="en-US" w:eastAsia="zh-CN" w:bidi="ar"/>
        </w:rPr>
        <w:t>-</w:t>
      </w:r>
      <w:r>
        <w:rPr>
          <w:rFonts w:hint="eastAsia" w:ascii="Times New Roman" w:hAnsi="Times New Roman" w:eastAsia="宋体" w:cs="Times New Roman"/>
          <w:b/>
          <w:bCs/>
          <w:color w:val="000000"/>
          <w:kern w:val="0"/>
          <w:sz w:val="24"/>
          <w:szCs w:val="24"/>
          <w:lang w:val="en-US" w:eastAsia="zh-CN" w:bidi="ar"/>
        </w:rPr>
        <w:t>2</w:t>
      </w:r>
      <w:r>
        <w:rPr>
          <w:rFonts w:hint="default" w:ascii="Times New Roman" w:hAnsi="Times New Roman" w:eastAsia="宋体" w:cs="Times New Roman"/>
          <w:b/>
          <w:bCs/>
          <w:color w:val="000000"/>
          <w:kern w:val="0"/>
          <w:sz w:val="24"/>
          <w:szCs w:val="24"/>
          <w:lang w:val="en-US" w:eastAsia="zh-CN" w:bidi="ar"/>
        </w:rPr>
        <w:t xml:space="preserve"> </w:t>
      </w:r>
      <w:r>
        <w:rPr>
          <w:rFonts w:hint="eastAsia" w:ascii="宋体" w:hAnsi="宋体" w:eastAsia="宋体" w:cs="宋体"/>
          <w:b/>
          <w:bCs/>
          <w:color w:val="000000"/>
          <w:kern w:val="0"/>
          <w:sz w:val="24"/>
          <w:szCs w:val="24"/>
          <w:lang w:val="en-US" w:eastAsia="zh-CN" w:bidi="ar"/>
        </w:rPr>
        <w:t>临时道路工程产污环节图</w:t>
      </w:r>
    </w:p>
    <w:p w14:paraId="44B0A6C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1）施工噪声：主要由施工机械噪声和运输车辆交通噪声，其中施工机械噪声主要是由施工时物件碰撞产生的，噪声排放具有瞬间性和不定性；运输车辆交通噪声主要是车辆发动机及车辆鸣笛产生的噪声，具有短暂性特点。</w:t>
      </w:r>
    </w:p>
    <w:p w14:paraId="462398B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（2）施工废气：施工开挖、土石方回填、施工现场的清理平整，以及施工车辆行驶产生的二次扬尘和对环境空气质量造成的暂时性的和局部的影响；清淤过程产生的淤泥恶臭废气。</w:t>
      </w:r>
    </w:p>
    <w:p w14:paraId="704AD03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（3）施工废污水：施工废水及施工人员的生活污水。</w:t>
      </w:r>
    </w:p>
    <w:p w14:paraId="681954B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（4）固体废弃物：施工过程中可能产生的余方及淤泥、弃渣、施工人员产生的生活垃圾等。</w:t>
      </w:r>
    </w:p>
    <w:p w14:paraId="640B0AB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val="0"/>
          <w:bCs/>
          <w:color w:val="000000"/>
          <w:kern w:val="0"/>
          <w:sz w:val="24"/>
          <w:lang w:val="en-US" w:eastAsia="zh-CN"/>
        </w:rPr>
        <w:t>（5）生态环境：施工期对生态环境的影响主要为工程建设导致水土流失的影响。施工开挖、平整、土方临时堆放等将造成植被面积减少，对原地貌的扰动、损坏有可能引起水土流失。</w:t>
      </w:r>
    </w:p>
    <w:p w14:paraId="4CCB119C">
      <w:pPr>
        <w:pStyle w:val="6"/>
        <w:bidi w:val="0"/>
        <w:ind w:left="0" w:leftChars="0" w:firstLine="0" w:firstLineChars="0"/>
        <w:outlineLvl w:val="2"/>
        <w:rPr>
          <w:rFonts w:hint="eastAsia"/>
          <w:color w:val="000000"/>
          <w:lang w:val="en-US" w:eastAsia="zh-CN"/>
        </w:rPr>
      </w:pPr>
    </w:p>
    <w:p w14:paraId="6F81EA3A">
      <w:pPr>
        <w:rPr>
          <w:rFonts w:hint="eastAsia"/>
          <w:color w:val="000000"/>
          <w:lang w:val="en-US" w:eastAsia="zh-CN"/>
        </w:rPr>
      </w:pPr>
    </w:p>
    <w:p w14:paraId="2A2DE98E">
      <w:pPr>
        <w:rPr>
          <w:rFonts w:hint="eastAsia"/>
          <w:color w:val="000000"/>
          <w:lang w:val="en-US" w:eastAsia="zh-CN"/>
        </w:rPr>
      </w:pPr>
    </w:p>
    <w:bookmarkEnd w:id="81"/>
    <w:p w14:paraId="07CC6D9F">
      <w:pPr>
        <w:pStyle w:val="5"/>
        <w:bidi w:val="0"/>
        <w:rPr>
          <w:rFonts w:hint="eastAsia"/>
          <w:color w:val="000000"/>
          <w:lang w:val="en-US" w:eastAsia="zh-CN"/>
        </w:rPr>
      </w:pPr>
      <w:bookmarkStart w:id="82" w:name="_Toc17378"/>
      <w:r>
        <w:rPr>
          <w:rFonts w:hint="eastAsia"/>
          <w:color w:val="000000"/>
          <w:lang w:val="en-US" w:eastAsia="zh-CN"/>
        </w:rPr>
        <w:t>2.3.2运营期污染源强分析</w:t>
      </w:r>
      <w:bookmarkEnd w:id="82"/>
    </w:p>
    <w:p w14:paraId="55AE520D">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eastAsia"/>
          <w:color w:val="000000"/>
          <w:lang w:val="en-US" w:eastAsia="zh-CN"/>
        </w:rPr>
      </w:pPr>
      <w:r>
        <w:rPr>
          <w:rFonts w:hint="default" w:ascii="Times New Roman" w:hAnsi="Times New Roman" w:eastAsia="宋体" w:cs="Times New Roman"/>
          <w:color w:val="000000"/>
          <w:kern w:val="0"/>
          <w:sz w:val="24"/>
          <w:highlight w:val="none"/>
          <w:lang w:eastAsia="zh-CN"/>
        </w:rPr>
        <w:t>本项目为生态环境影响类建设项目，</w:t>
      </w:r>
      <w:r>
        <w:rPr>
          <w:rFonts w:hint="default" w:ascii="Times New Roman" w:hAnsi="Times New Roman" w:cs="Times New Roman"/>
          <w:color w:val="000000"/>
        </w:rPr>
        <w:t>运营期废</w:t>
      </w:r>
      <w:r>
        <w:rPr>
          <w:rFonts w:hint="default" w:ascii="Times New Roman" w:hAnsi="Times New Roman" w:cs="Times New Roman"/>
          <w:color w:val="000000"/>
          <w:lang w:val="en-US" w:eastAsia="zh-CN"/>
        </w:rPr>
        <w:t>不设定点管理人员，运营期废水主要为收集的收集的沿河居民生活污水，除纳管的部分村庄外，较为集中的村庄采用集中污水处理，集中污水处理设施选用净化槽工艺，对于村庄较为分散的采用资源化利用工艺，结合周边情况，可排入农灌沟进行农用回灌，或者进行林地漫灌</w:t>
      </w:r>
      <w:r>
        <w:rPr>
          <w:rFonts w:hint="eastAsia" w:ascii="Times New Roman" w:hAnsi="Times New Roman" w:cs="Times New Roman"/>
          <w:color w:val="000000"/>
          <w:lang w:val="en-US" w:eastAsia="zh-CN"/>
        </w:rPr>
        <w:t>。</w:t>
      </w:r>
    </w:p>
    <w:p w14:paraId="1472D926">
      <w:pPr>
        <w:pStyle w:val="4"/>
        <w:bidi w:val="0"/>
        <w:rPr>
          <w:rFonts w:hint="eastAsia"/>
          <w:color w:val="000000"/>
          <w:lang w:val="en-US" w:eastAsia="zh-CN"/>
        </w:rPr>
      </w:pPr>
      <w:bookmarkStart w:id="83" w:name="_Toc27694"/>
      <w:bookmarkStart w:id="84" w:name="_Toc14111"/>
      <w:r>
        <w:rPr>
          <w:rFonts w:hint="eastAsia"/>
          <w:color w:val="000000"/>
          <w:lang w:val="en-US" w:eastAsia="zh-CN"/>
        </w:rPr>
        <w:t>2.4项目与相关规划的协调性分析</w:t>
      </w:r>
      <w:bookmarkEnd w:id="83"/>
      <w:bookmarkEnd w:id="84"/>
    </w:p>
    <w:p w14:paraId="1B5E5DBC">
      <w:pPr>
        <w:pStyle w:val="5"/>
        <w:bidi w:val="0"/>
        <w:rPr>
          <w:color w:val="000000"/>
        </w:rPr>
      </w:pPr>
      <w:bookmarkStart w:id="85" w:name="_Toc30939"/>
      <w:r>
        <w:rPr>
          <w:rFonts w:hint="eastAsia"/>
          <w:color w:val="000000"/>
          <w:lang w:val="en-US" w:eastAsia="zh-CN"/>
        </w:rPr>
        <w:t>2.4.1 与《中华人民共和国湿地保护法》（2021年）</w:t>
      </w:r>
      <w:r>
        <w:rPr>
          <w:color w:val="000000"/>
        </w:rPr>
        <w:t>相符性分析</w:t>
      </w:r>
    </w:p>
    <w:p w14:paraId="3D8DAA4F">
      <w:pPr>
        <w:ind w:firstLine="48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根据《中华人民共和国湿地保护法》（2021年）：</w:t>
      </w:r>
    </w:p>
    <w:p w14:paraId="46908C10">
      <w:pPr>
        <w:widowControl/>
        <w:shd w:val="clear" w:color="auto" w:fill="auto"/>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第二十八条</w:t>
      </w:r>
      <w:r>
        <w:rPr>
          <w:rFonts w:hint="eastAsia" w:ascii="Times New Roman" w:hAnsi="Times New Roman" w:eastAsia="宋体" w:cs="Times New Roman"/>
          <w:color w:val="000000"/>
          <w:kern w:val="2"/>
          <w:sz w:val="24"/>
          <w:szCs w:val="24"/>
          <w:lang w:val="en-US" w:eastAsia="zh-CN"/>
        </w:rPr>
        <w:t xml:space="preserve">  </w:t>
      </w:r>
      <w:r>
        <w:rPr>
          <w:rFonts w:hint="eastAsia" w:ascii="Times New Roman" w:hAnsi="Times New Roman" w:eastAsia="宋体" w:cs="Times New Roman"/>
          <w:color w:val="000000"/>
          <w:kern w:val="2"/>
          <w:sz w:val="24"/>
          <w:szCs w:val="24"/>
        </w:rPr>
        <w:t>禁止下列破坏湿地及其生态功能的行为：</w:t>
      </w:r>
    </w:p>
    <w:p w14:paraId="7909FE88">
      <w:pPr>
        <w:widowControl/>
        <w:shd w:val="clear" w:color="auto" w:fill="auto"/>
        <w:spacing w:before="0"/>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（一）开（围）垦、排干自然湿地，永久性截断自然湿地水源；</w:t>
      </w:r>
    </w:p>
    <w:p w14:paraId="37CC2DEE">
      <w:pPr>
        <w:widowControl/>
        <w:shd w:val="clear" w:color="auto" w:fill="auto"/>
        <w:spacing w:before="0"/>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（二）擅自填埋自然湿地，擅自采砂、采矿、取土；</w:t>
      </w:r>
    </w:p>
    <w:p w14:paraId="4C9A61AD">
      <w:pPr>
        <w:widowControl/>
        <w:shd w:val="clear" w:color="auto" w:fill="auto"/>
        <w:spacing w:before="0"/>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（三）排放不符合水污染物排放标准的工业废水、生活污水及其他污染湿地的废水、污水，倾倒、堆放、丢弃、遗撒固体废物；</w:t>
      </w:r>
    </w:p>
    <w:p w14:paraId="1E5B4DF7">
      <w:pPr>
        <w:widowControl/>
        <w:shd w:val="clear" w:color="auto" w:fill="auto"/>
        <w:spacing w:before="0"/>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（四）过度放牧或者滥采野生植物，过度捕捞或者灭绝式捕捞，过度施肥、投药、投放饵料等污染湿地的种植养殖行为；</w:t>
      </w:r>
    </w:p>
    <w:p w14:paraId="713E41B4">
      <w:pPr>
        <w:widowControl/>
        <w:shd w:val="clear" w:color="auto" w:fill="auto"/>
        <w:spacing w:before="0"/>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（五）其他破坏湿地及其生态功能的行为。</w:t>
      </w:r>
    </w:p>
    <w:p w14:paraId="610A8DCD">
      <w:pPr>
        <w:widowControl/>
        <w:shd w:val="clear" w:color="auto" w:fill="auto"/>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第三十七条</w:t>
      </w:r>
      <w:r>
        <w:rPr>
          <w:rFonts w:hint="eastAsia" w:ascii="Times New Roman" w:hAnsi="Times New Roman" w:eastAsia="宋体" w:cs="Times New Roman"/>
          <w:color w:val="000000"/>
          <w:kern w:val="2"/>
          <w:sz w:val="24"/>
          <w:szCs w:val="24"/>
          <w:lang w:val="en-US" w:eastAsia="zh-CN"/>
        </w:rPr>
        <w:t xml:space="preserve"> </w:t>
      </w:r>
      <w:r>
        <w:rPr>
          <w:rFonts w:hint="eastAsia" w:ascii="Times New Roman" w:hAnsi="Times New Roman" w:eastAsia="宋体" w:cs="Times New Roman"/>
          <w:color w:val="000000"/>
          <w:kern w:val="2"/>
          <w:sz w:val="24"/>
          <w:szCs w:val="24"/>
        </w:rPr>
        <w:t>县级以上人民政府应当坚持自然恢复为主、自然恢复和人工修复相结合的原则，加强湿地修复工作，恢复湿地面积，提高湿地生态系统质量。</w:t>
      </w:r>
    </w:p>
    <w:p w14:paraId="0282B0B8">
      <w:pPr>
        <w:widowControl/>
        <w:shd w:val="clear" w:color="auto" w:fill="auto"/>
        <w:spacing w:before="0"/>
        <w:ind w:firstLine="480"/>
        <w:jc w:val="left"/>
        <w:rPr>
          <w:rFonts w:hint="eastAsia" w:ascii="Times New Roman" w:hAnsi="Times New Roman" w:eastAsia="宋体" w:cs="Times New Roman"/>
          <w:color w:val="000000"/>
          <w:kern w:val="2"/>
          <w:sz w:val="24"/>
          <w:szCs w:val="24"/>
        </w:rPr>
      </w:pPr>
      <w:r>
        <w:rPr>
          <w:rFonts w:hint="eastAsia" w:ascii="Times New Roman" w:hAnsi="Times New Roman" w:eastAsia="宋体" w:cs="Times New Roman"/>
          <w:color w:val="000000"/>
          <w:kern w:val="2"/>
          <w:sz w:val="24"/>
          <w:szCs w:val="24"/>
        </w:rPr>
        <w:t>县级以上人民政府对破碎化严重或者功能退化的自然湿地进行综合整治和修复，优先修复生态功能严重退化的重要湿地。</w:t>
      </w:r>
    </w:p>
    <w:p w14:paraId="413A9288">
      <w:pPr>
        <w:widowControl/>
        <w:shd w:val="clear" w:color="auto" w:fill="auto"/>
        <w:spacing w:before="0"/>
        <w:ind w:firstLine="480"/>
        <w:jc w:val="left"/>
        <w:rPr>
          <w:rFonts w:hint="eastAsia" w:eastAsia="宋体"/>
          <w:color w:val="000000"/>
          <w:lang w:val="en-US" w:eastAsia="zh-CN"/>
        </w:rPr>
      </w:pPr>
      <w:r>
        <w:rPr>
          <w:rFonts w:hint="eastAsia" w:ascii="Times New Roman" w:hAnsi="Times New Roman" w:eastAsia="宋体" w:cs="Times New Roman"/>
          <w:color w:val="000000"/>
          <w:kern w:val="0"/>
          <w:sz w:val="24"/>
          <w:szCs w:val="24"/>
          <w:lang w:val="en-US" w:eastAsia="zh-CN" w:bidi="ar"/>
        </w:rPr>
        <w:t>本项目主要是排水防涝能力提升项目，</w:t>
      </w:r>
      <w:r>
        <w:rPr>
          <w:rFonts w:hint="eastAsia"/>
          <w:color w:val="000000"/>
          <w:lang w:val="en-US" w:eastAsia="zh-CN"/>
        </w:rPr>
        <w:t>不涉及湿地</w:t>
      </w:r>
      <w:r>
        <w:rPr>
          <w:rFonts w:hint="eastAsia" w:ascii="Times New Roman" w:hAnsi="Times New Roman" w:eastAsia="宋体" w:cs="Times New Roman"/>
          <w:color w:val="000000"/>
          <w:kern w:val="2"/>
          <w:sz w:val="24"/>
          <w:szCs w:val="24"/>
          <w:lang w:eastAsia="zh-CN"/>
        </w:rPr>
        <w:t>。</w:t>
      </w:r>
    </w:p>
    <w:p w14:paraId="776E3C69">
      <w:pPr>
        <w:pStyle w:val="5"/>
        <w:bidi w:val="0"/>
        <w:rPr>
          <w:rFonts w:hint="eastAsia"/>
          <w:color w:val="000000"/>
          <w:lang w:val="en-US" w:eastAsia="zh-CN"/>
        </w:rPr>
      </w:pPr>
      <w:r>
        <w:rPr>
          <w:rFonts w:hint="eastAsia"/>
          <w:color w:val="000000"/>
          <w:lang w:val="en-US" w:eastAsia="zh-CN"/>
        </w:rPr>
        <w:t>2.4.2 与《中华人民共和国野生动物保护法（2022年修正版）》相符性分析</w:t>
      </w:r>
    </w:p>
    <w:p w14:paraId="54DE45BE">
      <w:pPr>
        <w:ind w:firstLine="480"/>
        <w:rPr>
          <w:rFonts w:hint="eastAsia"/>
          <w:color w:val="000000"/>
          <w:lang w:val="en-US" w:eastAsia="zh-CN"/>
        </w:rPr>
      </w:pPr>
      <w:r>
        <w:rPr>
          <w:rFonts w:hint="eastAsia"/>
          <w:color w:val="000000"/>
          <w:lang w:eastAsia="zh-CN"/>
        </w:rPr>
        <w:t>根据</w:t>
      </w:r>
      <w:r>
        <w:rPr>
          <w:rFonts w:hint="eastAsia"/>
          <w:color w:val="000000"/>
          <w:lang w:val="en-US" w:eastAsia="zh-CN"/>
        </w:rPr>
        <w:t>中华人民共和国野生动物保护法（2022年修正版）：</w:t>
      </w:r>
    </w:p>
    <w:p w14:paraId="7BE2B3A1">
      <w:pPr>
        <w:ind w:firstLine="480"/>
        <w:rPr>
          <w:rFonts w:hint="eastAsia"/>
          <w:color w:val="000000"/>
        </w:rPr>
      </w:pPr>
      <w:r>
        <w:rPr>
          <w:rFonts w:hint="eastAsia"/>
          <w:color w:val="000000"/>
        </w:rPr>
        <w:t>第十条国家对野生动物实行分类分级保护。</w:t>
      </w:r>
    </w:p>
    <w:p w14:paraId="327FC98A">
      <w:pPr>
        <w:ind w:firstLine="480"/>
        <w:rPr>
          <w:rFonts w:hint="eastAsia"/>
          <w:color w:val="000000"/>
        </w:rPr>
      </w:pPr>
      <w:r>
        <w:rPr>
          <w:rFonts w:hint="eastAsia"/>
          <w:color w:val="000000"/>
        </w:rPr>
        <w:t>国家对珍贵、濒危的野生动物实行重点保护。国家重点保护的野生动物分为一级保护野生动物和二级保护野生动物。国家重点保护野生动物名录，由国务院野生动物保护主管部门组织科学论证评估后，报国务院批准公布。</w:t>
      </w:r>
    </w:p>
    <w:p w14:paraId="44FC1B9A">
      <w:pPr>
        <w:ind w:firstLine="480"/>
        <w:rPr>
          <w:rFonts w:hint="eastAsia"/>
          <w:color w:val="000000"/>
        </w:rPr>
      </w:pPr>
      <w:r>
        <w:rPr>
          <w:rFonts w:hint="eastAsia"/>
          <w:color w:val="000000"/>
        </w:rPr>
        <w:t>第十一条县级以上人民政府野生动物保护主管部门应当加强信息技术应用，</w:t>
      </w:r>
    </w:p>
    <w:p w14:paraId="512FEC18">
      <w:pPr>
        <w:ind w:firstLine="480"/>
        <w:rPr>
          <w:rFonts w:hint="eastAsia"/>
          <w:color w:val="000000"/>
        </w:rPr>
      </w:pPr>
      <w:r>
        <w:rPr>
          <w:rFonts w:hint="eastAsia"/>
          <w:color w:val="000000"/>
        </w:rPr>
        <w:t>定期组织或者委托有关科学研究机构对野生动物及其栖息地状况进行调查、监测和评估，建立健全野生动物及其栖息地档案。</w:t>
      </w:r>
    </w:p>
    <w:p w14:paraId="57E471CB">
      <w:pPr>
        <w:ind w:firstLine="480"/>
        <w:rPr>
          <w:rFonts w:hint="eastAsia"/>
          <w:color w:val="000000"/>
        </w:rPr>
      </w:pPr>
      <w:r>
        <w:rPr>
          <w:rFonts w:hint="eastAsia"/>
          <w:color w:val="000000"/>
        </w:rPr>
        <w:t>对野生动物及其栖息地状况的调查、监测和评估应当包括下列内容：</w:t>
      </w:r>
    </w:p>
    <w:p w14:paraId="7B1D41AE">
      <w:pPr>
        <w:ind w:firstLine="480"/>
        <w:rPr>
          <w:rFonts w:hint="eastAsia"/>
          <w:color w:val="000000"/>
        </w:rPr>
      </w:pPr>
      <w:r>
        <w:rPr>
          <w:rFonts w:hint="eastAsia"/>
          <w:color w:val="000000"/>
        </w:rPr>
        <w:t>（一）野生动物野外分布区域、种群数量及结构；</w:t>
      </w:r>
    </w:p>
    <w:p w14:paraId="5623BE49">
      <w:pPr>
        <w:ind w:firstLine="480"/>
        <w:rPr>
          <w:rFonts w:hint="eastAsia"/>
          <w:color w:val="000000"/>
        </w:rPr>
      </w:pPr>
      <w:r>
        <w:rPr>
          <w:rFonts w:hint="eastAsia"/>
          <w:color w:val="000000"/>
        </w:rPr>
        <w:t>（二）野生动物栖息地的面积、生态状况；</w:t>
      </w:r>
    </w:p>
    <w:p w14:paraId="5BCA29E4">
      <w:pPr>
        <w:ind w:firstLine="480"/>
        <w:rPr>
          <w:rFonts w:hint="eastAsia"/>
          <w:color w:val="000000"/>
        </w:rPr>
      </w:pPr>
      <w:r>
        <w:rPr>
          <w:rFonts w:hint="eastAsia"/>
          <w:color w:val="000000"/>
        </w:rPr>
        <w:t>（三）野生动物及其栖息地的主要威胁因素；</w:t>
      </w:r>
    </w:p>
    <w:p w14:paraId="79BA1A19">
      <w:pPr>
        <w:ind w:firstLine="480"/>
        <w:rPr>
          <w:rFonts w:hint="eastAsia"/>
          <w:color w:val="000000"/>
        </w:rPr>
      </w:pPr>
      <w:r>
        <w:rPr>
          <w:rFonts w:hint="eastAsia"/>
          <w:color w:val="000000"/>
        </w:rPr>
        <w:t>（四）野生动物人工繁育情况等其他需要调查、监测和评估的内容。</w:t>
      </w:r>
    </w:p>
    <w:p w14:paraId="39B8EA82">
      <w:pPr>
        <w:ind w:firstLine="480"/>
        <w:rPr>
          <w:rFonts w:hint="eastAsia"/>
          <w:color w:val="000000"/>
        </w:rPr>
      </w:pPr>
      <w:r>
        <w:rPr>
          <w:rFonts w:hint="eastAsia"/>
          <w:color w:val="000000"/>
        </w:rPr>
        <w:t>第十二条国务院野生动物保护主管部门应当会同国务院有关部门，根据野生动物及其栖息地状况的调查、监测和评估结果，确定并发布野生动物重要栖息地名录。</w:t>
      </w:r>
    </w:p>
    <w:p w14:paraId="616B9230">
      <w:pPr>
        <w:ind w:firstLine="480"/>
        <w:rPr>
          <w:rFonts w:hint="eastAsia"/>
          <w:color w:val="000000"/>
        </w:rPr>
      </w:pPr>
      <w:r>
        <w:rPr>
          <w:rFonts w:hint="eastAsia"/>
          <w:color w:val="000000"/>
        </w:rPr>
        <w:t>省级以上人民政府依法将野生动物重要栖息地划入国家公园、自然保护区等自然保护地，保护、恢复和改善野生动物生存环境。对不具备划定自然保护地条件的，县级以上人民政府可以采取划定禁猎（渔）区、规定禁猎（渔）期等措施予以保护。</w:t>
      </w:r>
    </w:p>
    <w:p w14:paraId="1E93CFCE">
      <w:pPr>
        <w:ind w:firstLine="480"/>
        <w:rPr>
          <w:rFonts w:hint="eastAsia"/>
          <w:color w:val="000000"/>
        </w:rPr>
      </w:pPr>
      <w:r>
        <w:rPr>
          <w:rFonts w:hint="eastAsia"/>
          <w:color w:val="000000"/>
        </w:rPr>
        <w:t>禁止或者限制在自然保护地内引入外来物种、营造单一纯林、过量施洒农药等人为干扰、威胁野生动物生息繁衍的行为。自然保护地依照有关法律法规的规定划定和管理，野生动物保护主管部门依法加强对野生动物及其栖息地的保护</w:t>
      </w:r>
    </w:p>
    <w:p w14:paraId="03F00315">
      <w:pPr>
        <w:ind w:firstLine="480"/>
        <w:rPr>
          <w:color w:val="000000"/>
        </w:rPr>
      </w:pPr>
      <w:r>
        <w:rPr>
          <w:rFonts w:hint="eastAsia"/>
          <w:color w:val="000000"/>
        </w:rPr>
        <w:t>第十四条各级野生动物保护主管部门应当监测环境对野生动物的影响，发现环境影响对野生动物造成危害时，应当会同有关部门及时进行调查处理。</w:t>
      </w:r>
    </w:p>
    <w:p w14:paraId="38446437">
      <w:pPr>
        <w:keepNext w:val="0"/>
        <w:keepLines w:val="0"/>
        <w:widowControl/>
        <w:suppressLineNumbers w:val="0"/>
        <w:jc w:val="left"/>
        <w:rPr>
          <w:color w:val="000000"/>
        </w:rPr>
      </w:pPr>
      <w:r>
        <w:rPr>
          <w:rFonts w:hint="eastAsia" w:ascii="宋体" w:hAnsi="宋体" w:eastAsia="宋体" w:cs="宋体"/>
          <w:color w:val="000000"/>
          <w:kern w:val="0"/>
          <w:sz w:val="24"/>
          <w:szCs w:val="24"/>
          <w:lang w:val="en-US" w:eastAsia="zh-CN" w:bidi="ar"/>
        </w:rPr>
        <w:t>第二十一条第一款 禁止猎捕、杀害国家重点保护野生动物。</w:t>
      </w:r>
    </w:p>
    <w:p w14:paraId="02216FDE">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eastAsia="宋体"/>
          <w:color w:val="000000"/>
          <w:lang w:val="en-US" w:eastAsia="zh-CN"/>
        </w:rPr>
      </w:pPr>
      <w:r>
        <w:rPr>
          <w:rFonts w:hint="eastAsia"/>
          <w:color w:val="000000"/>
          <w:lang w:eastAsia="zh-CN"/>
        </w:rPr>
        <w:t>根据国家林业和草原局公告2023年第23号《陆生野生动物重要栖息地名录》（第一批），本项目不涉及重要栖息地名录。</w:t>
      </w: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r>
        <w:rPr>
          <w:rFonts w:hint="eastAsia"/>
          <w:color w:val="000000"/>
          <w:lang w:eastAsia="zh-CN"/>
        </w:rPr>
        <w:t>，施工期严禁施工人员捕杀保护动植物。综上所述，本项目修复方案与中华人民共和国野生动物保护法（2022年修正版）相符。</w:t>
      </w:r>
    </w:p>
    <w:bookmarkEnd w:id="85"/>
    <w:p w14:paraId="57E09448">
      <w:pPr>
        <w:pStyle w:val="5"/>
        <w:bidi w:val="0"/>
        <w:rPr>
          <w:rFonts w:hint="default" w:ascii="Times New Roman" w:hAnsi="Times New Roman" w:eastAsia="宋体" w:cs="Times New Roman"/>
          <w:b/>
          <w:bCs/>
          <w:color w:val="000000"/>
          <w:kern w:val="0"/>
          <w:sz w:val="24"/>
          <w:highlight w:val="none"/>
          <w:lang w:val="en-US" w:eastAsia="zh-CN"/>
        </w:rPr>
      </w:pPr>
      <w:bookmarkStart w:id="86" w:name="_Toc29054"/>
      <w:r>
        <w:rPr>
          <w:rFonts w:hint="eastAsia" w:ascii="Times New Roman" w:hAnsi="Times New Roman" w:cs="Times New Roman"/>
          <w:color w:val="000000"/>
          <w:lang w:val="en-US" w:eastAsia="zh-CN"/>
        </w:rPr>
        <w:t>2.4.3</w:t>
      </w:r>
      <w:r>
        <w:rPr>
          <w:rFonts w:hint="default" w:ascii="Times New Roman" w:hAnsi="Times New Roman" w:cs="Times New Roman"/>
          <w:color w:val="000000"/>
          <w:lang w:val="en-US" w:eastAsia="zh-CN"/>
        </w:rPr>
        <w:t>与《水利建设项目（河湖整治与河湖整治工程）环境影响评价文件审批原则》符合性分析</w:t>
      </w:r>
    </w:p>
    <w:p w14:paraId="287CBC9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rPr>
          <w:rFonts w:hint="default" w:ascii="Times New Roman" w:hAnsi="Times New Roman" w:eastAsia="宋体" w:cs="Times New Roman"/>
          <w:b/>
          <w:bCs/>
          <w:color w:val="000000"/>
          <w:kern w:val="0"/>
          <w:sz w:val="24"/>
          <w:highlight w:val="none"/>
          <w:lang w:val="en-US" w:eastAsia="zh-CN"/>
        </w:rPr>
      </w:pPr>
      <w:r>
        <w:rPr>
          <w:rFonts w:hint="default" w:ascii="Times New Roman" w:hAnsi="Times New Roman" w:eastAsia="宋体" w:cs="Times New Roman"/>
          <w:b/>
          <w:bCs/>
          <w:color w:val="000000"/>
          <w:kern w:val="0"/>
          <w:sz w:val="24"/>
          <w:highlight w:val="none"/>
          <w:lang w:val="en-US" w:eastAsia="zh-CN"/>
        </w:rPr>
        <w:t>表</w:t>
      </w:r>
      <w:r>
        <w:rPr>
          <w:rFonts w:hint="eastAsia" w:ascii="Times New Roman" w:hAnsi="Times New Roman" w:eastAsia="宋体" w:cs="Times New Roman"/>
          <w:b/>
          <w:bCs/>
          <w:color w:val="000000"/>
          <w:kern w:val="0"/>
          <w:sz w:val="24"/>
          <w:highlight w:val="none"/>
          <w:lang w:val="en-US" w:eastAsia="zh-CN"/>
        </w:rPr>
        <w:t>2.4-1</w:t>
      </w:r>
      <w:r>
        <w:rPr>
          <w:rFonts w:hint="default" w:ascii="Times New Roman" w:hAnsi="Times New Roman" w:eastAsia="宋体" w:cs="Times New Roman"/>
          <w:b/>
          <w:bCs/>
          <w:color w:val="000000"/>
          <w:kern w:val="0"/>
          <w:sz w:val="24"/>
          <w:highlight w:val="none"/>
          <w:lang w:val="en-US" w:eastAsia="zh-CN"/>
        </w:rPr>
        <w:t xml:space="preserve">  </w:t>
      </w:r>
      <w:r>
        <w:rPr>
          <w:rFonts w:hint="eastAsia" w:ascii="Times New Roman" w:hAnsi="Times New Roman" w:eastAsia="宋体" w:cs="Times New Roman"/>
          <w:b/>
          <w:bCs/>
          <w:color w:val="000000"/>
          <w:kern w:val="0"/>
          <w:sz w:val="24"/>
          <w:highlight w:val="none"/>
          <w:lang w:val="en-US" w:eastAsia="zh-CN"/>
        </w:rPr>
        <w:t>相符性分析</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4"/>
        <w:gridCol w:w="3176"/>
      </w:tblGrid>
      <w:tr w14:paraId="765DE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715B86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sz w:val="21"/>
                <w:szCs w:val="21"/>
                <w:highlight w:val="none"/>
                <w:vertAlign w:val="baseline"/>
                <w:lang w:eastAsia="zh-CN"/>
              </w:rPr>
            </w:pPr>
            <w:r>
              <w:rPr>
                <w:rFonts w:hint="eastAsia" w:ascii="宋体" w:hAnsi="宋体" w:eastAsia="宋体" w:cs="宋体"/>
                <w:b/>
                <w:bCs/>
                <w:color w:val="000000"/>
                <w:sz w:val="21"/>
                <w:szCs w:val="21"/>
                <w:highlight w:val="none"/>
                <w:vertAlign w:val="baseline"/>
                <w:lang w:eastAsia="zh-CN"/>
              </w:rPr>
              <w:t>审批原则</w:t>
            </w:r>
          </w:p>
        </w:tc>
        <w:tc>
          <w:tcPr>
            <w:tcW w:w="3176" w:type="dxa"/>
            <w:noWrap w:val="0"/>
            <w:vAlign w:val="center"/>
          </w:tcPr>
          <w:p w14:paraId="56C04C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eastAsia" w:ascii="宋体" w:hAnsi="宋体" w:eastAsia="宋体" w:cs="宋体"/>
                <w:b/>
                <w:bCs/>
                <w:color w:val="000000"/>
                <w:sz w:val="21"/>
                <w:szCs w:val="21"/>
                <w:highlight w:val="none"/>
                <w:vertAlign w:val="baseline"/>
                <w:lang w:eastAsia="zh-CN"/>
              </w:rPr>
            </w:pPr>
            <w:r>
              <w:rPr>
                <w:rFonts w:hint="eastAsia" w:ascii="宋体" w:hAnsi="宋体" w:eastAsia="宋体" w:cs="宋体"/>
                <w:b/>
                <w:bCs/>
                <w:color w:val="000000"/>
                <w:sz w:val="21"/>
                <w:szCs w:val="21"/>
                <w:highlight w:val="none"/>
                <w:vertAlign w:val="baseline"/>
                <w:lang w:eastAsia="zh-CN"/>
              </w:rPr>
              <w:t>本项目</w:t>
            </w:r>
          </w:p>
        </w:tc>
      </w:tr>
      <w:tr w14:paraId="7B88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40BE88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项目符合环境保护相关法律法规和政策要求，与主体功能区规划、生态功能区划、水环境功能区划、水功能区划、生态环境保护规划、流域综合规划、防洪规划等协调，满足相关规划环评要求。</w:t>
            </w:r>
          </w:p>
        </w:tc>
        <w:tc>
          <w:tcPr>
            <w:tcW w:w="3176" w:type="dxa"/>
            <w:noWrap w:val="0"/>
            <w:vAlign w:val="center"/>
          </w:tcPr>
          <w:p w14:paraId="70B7A5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本项目符合环境保护相关法律法规和政策要求，符合</w:t>
            </w:r>
            <w:r>
              <w:rPr>
                <w:rFonts w:hint="eastAsia" w:eastAsia="宋体" w:cs="Times New Roman"/>
                <w:color w:val="000000"/>
                <w:sz w:val="21"/>
                <w:szCs w:val="21"/>
                <w:highlight w:val="none"/>
                <w:vertAlign w:val="baseline"/>
                <w:lang w:val="en-US" w:eastAsia="zh-CN"/>
              </w:rPr>
              <w:t>六安市</w:t>
            </w:r>
            <w:r>
              <w:rPr>
                <w:rFonts w:hint="default" w:ascii="Times New Roman" w:hAnsi="Times New Roman" w:eastAsia="宋体" w:cs="Times New Roman"/>
                <w:color w:val="000000"/>
                <w:sz w:val="21"/>
                <w:szCs w:val="21"/>
                <w:highlight w:val="none"/>
                <w:vertAlign w:val="baseline"/>
                <w:lang w:val="en-US" w:eastAsia="zh-CN"/>
              </w:rPr>
              <w:t>生态管控</w:t>
            </w:r>
            <w:r>
              <w:rPr>
                <w:rFonts w:hint="eastAsia" w:eastAsia="宋体" w:cs="Times New Roman"/>
                <w:color w:val="000000"/>
                <w:sz w:val="21"/>
                <w:szCs w:val="21"/>
                <w:highlight w:val="none"/>
                <w:vertAlign w:val="baseline"/>
                <w:lang w:val="en-US" w:eastAsia="zh-CN"/>
              </w:rPr>
              <w:t>要求</w:t>
            </w:r>
            <w:r>
              <w:rPr>
                <w:rFonts w:hint="default" w:ascii="Times New Roman" w:hAnsi="Times New Roman" w:eastAsia="宋体" w:cs="Times New Roman"/>
                <w:color w:val="000000"/>
                <w:sz w:val="21"/>
                <w:szCs w:val="21"/>
                <w:highlight w:val="none"/>
                <w:vertAlign w:val="baseline"/>
                <w:lang w:val="en-US" w:eastAsia="zh-CN"/>
              </w:rPr>
              <w:t>。</w:t>
            </w:r>
          </w:p>
        </w:tc>
      </w:tr>
      <w:tr w14:paraId="673F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51EFBA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p>
        </w:tc>
        <w:tc>
          <w:tcPr>
            <w:tcW w:w="3176" w:type="dxa"/>
            <w:noWrap w:val="0"/>
            <w:vAlign w:val="center"/>
          </w:tcPr>
          <w:p w14:paraId="37BFEF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本项目不占用自然保护区、风景名胜区、世界文化和自然遗产地以及其他生态保护红线等环境敏感区中法律法规禁止占用的区域。</w:t>
            </w:r>
          </w:p>
        </w:tc>
      </w:tr>
      <w:tr w14:paraId="2D63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7E0829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项目实施改变水动力条件或水文过程且对水质产生不利影响的，提出了工程优化调整、科学调度、实施区域流域水污染防治等措施。对地下水环境产生不利影响或次生影响的，提出了优化工程设计、导排、防护等针对性的防治措施。在采取上述措施后，对水环境的不利影响能够得到缓解和控制，居民用水安全能够得到保障，相关区域不会出现显著的土壤潜育化、沼泽化、盐碱化等次生问题</w:t>
            </w:r>
          </w:p>
        </w:tc>
        <w:tc>
          <w:tcPr>
            <w:tcW w:w="3176" w:type="dxa"/>
            <w:noWrap w:val="0"/>
            <w:vAlign w:val="center"/>
          </w:tcPr>
          <w:p w14:paraId="050AF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本项目施工过程中会对水环境产生一定的不利影响，本环评提出了相应的施工期水污染防治措施，在施工结束后，施工不利影响消失，项目的实施有利于提高河流水质和防洪减灾能力；本项目建设基本不会对地下水产生影响。项目严格执行各项污染防治措施，减少对水环境的影响；项目建成后有利于防洪能力的提升、水环境和生态环境的改善。</w:t>
            </w:r>
          </w:p>
        </w:tc>
      </w:tr>
      <w:tr w14:paraId="092C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0C05D3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项目施工组织方案具有环境合理性，对料场、弃土(渣)场等施工场地提出了水士流失防治和生态修复等措施。根据环境保护相关标准和要求，对施工期各类废(污)水、扬尘、废气、噪声、固体废物等提出子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在采取上述措施后，施工期的不利环境影响能够得到缓解和控制，不会对周围环境和敏感保护目标造成重大不利影响。</w:t>
            </w:r>
          </w:p>
        </w:tc>
        <w:tc>
          <w:tcPr>
            <w:tcW w:w="3176" w:type="dxa"/>
            <w:noWrap w:val="0"/>
            <w:vAlign w:val="center"/>
          </w:tcPr>
          <w:p w14:paraId="0C413F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对工程区提出了水土流失防治措施和生态修复等措施；并根据环保要求，对废水、废气、噪声、固废等均提出了防治或处置措施。</w:t>
            </w:r>
          </w:p>
          <w:p w14:paraId="6D3AA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r>
      <w:tr w14:paraId="3708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67AFE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p>
        </w:tc>
        <w:tc>
          <w:tcPr>
            <w:tcW w:w="3176" w:type="dxa"/>
            <w:noWrap w:val="0"/>
            <w:vAlign w:val="center"/>
          </w:tcPr>
          <w:p w14:paraId="0480E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已按要求编制相关监测计划、保护措施、管理要求。</w:t>
            </w:r>
          </w:p>
          <w:p w14:paraId="4CE38E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p>
        </w:tc>
      </w:tr>
      <w:tr w14:paraId="1975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704" w:type="dxa"/>
            <w:noWrap w:val="0"/>
            <w:vAlign w:val="center"/>
          </w:tcPr>
          <w:p w14:paraId="2ED23E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lang w:val="en-US" w:eastAsia="zh-CN"/>
              </w:rPr>
            </w:pPr>
            <w:r>
              <w:rPr>
                <w:rFonts w:hint="default" w:ascii="Times New Roman" w:hAnsi="Times New Roman" w:eastAsia="宋体" w:cs="Times New Roman"/>
                <w:color w:val="000000"/>
                <w:sz w:val="21"/>
                <w:szCs w:val="21"/>
                <w:highlight w:val="none"/>
                <w:vertAlign w:val="baseline"/>
                <w:lang w:val="en-US" w:eastAsia="zh-CN"/>
              </w:rPr>
              <w:t>环境影响评价文件编制规范，符合相关管理规定和环评技术标准要求。</w:t>
            </w:r>
          </w:p>
        </w:tc>
        <w:tc>
          <w:tcPr>
            <w:tcW w:w="3176" w:type="dxa"/>
            <w:noWrap w:val="0"/>
            <w:vAlign w:val="center"/>
          </w:tcPr>
          <w:p w14:paraId="34E831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000000"/>
                <w:sz w:val="21"/>
                <w:szCs w:val="21"/>
                <w:highlight w:val="none"/>
                <w:vertAlign w:val="baseline"/>
              </w:rPr>
            </w:pPr>
            <w:r>
              <w:rPr>
                <w:rFonts w:hint="default" w:ascii="Times New Roman" w:hAnsi="Times New Roman" w:eastAsia="宋体" w:cs="Times New Roman"/>
                <w:color w:val="000000"/>
                <w:sz w:val="21"/>
                <w:szCs w:val="21"/>
                <w:highlight w:val="none"/>
                <w:vertAlign w:val="baseline"/>
                <w:lang w:val="en-US" w:eastAsia="zh-CN"/>
              </w:rPr>
              <w:t>已按环境影响评价文件编制，符合相关管理规定和环境技术标准要求。</w:t>
            </w:r>
          </w:p>
        </w:tc>
      </w:tr>
    </w:tbl>
    <w:p w14:paraId="668FA3D4">
      <w:pPr>
        <w:jc w:val="center"/>
        <w:rPr>
          <w:rFonts w:hint="default"/>
          <w:color w:val="000000"/>
          <w:lang w:val="en-US" w:eastAsia="zh-CN"/>
        </w:rPr>
      </w:pPr>
    </w:p>
    <w:p w14:paraId="45FFF10B">
      <w:pPr>
        <w:pStyle w:val="5"/>
        <w:bidi w:val="0"/>
        <w:ind w:left="0" w:leftChars="0" w:firstLine="0" w:firstLineChars="0"/>
        <w:rPr>
          <w:rFonts w:hint="default" w:ascii="Times New Roman" w:hAnsi="Times New Roman" w:eastAsia="宋体" w:cs="Times New Roman"/>
          <w:b/>
          <w:color w:val="000000"/>
          <w:kern w:val="0"/>
          <w:sz w:val="24"/>
          <w:highlight w:val="none"/>
          <w:lang w:val="en-US" w:eastAsia="zh-CN"/>
        </w:rPr>
      </w:pPr>
      <w:r>
        <w:rPr>
          <w:rFonts w:hint="eastAsia"/>
          <w:color w:val="000000"/>
          <w:lang w:val="en-US" w:eastAsia="zh-CN"/>
        </w:rPr>
        <w:t>2.4.4</w:t>
      </w:r>
      <w:r>
        <w:rPr>
          <w:rFonts w:hint="default" w:ascii="Times New Roman" w:hAnsi="Times New Roman" w:cs="Times New Roman"/>
          <w:color w:val="000000"/>
          <w:lang w:val="en-US" w:eastAsia="zh-CN"/>
        </w:rPr>
        <w:t>与《六安市水利发展“十四五”规划》符合性分析</w:t>
      </w:r>
    </w:p>
    <w:p w14:paraId="519FD89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根据《六安市水利发展“十四五”规划》：（三）中小河流治理：结合2020年等大水年份的洪涝灾情，按照系统治理的思路，加快主要支流治理，全面提高防洪标准。完成杭埠河治理工程，推进史河、淠河防洪治理和汲河流域综合治理。加快流域面积200～3000平方公里中小河流治理，优先安排防洪问题突出、近几年发生过较大洪涝灾害的中小河流治理，适当安排因社会经济发展亟需提高防洪标准的中小河流城镇河段治理，解决中小河流城镇河段防洪不达标、近年洪涝灾害频发、河堤损毁等问题。推进32条中小河流治理，完成其中15条中小河流治理，治理总长度269公里。</w:t>
      </w:r>
    </w:p>
    <w:p w14:paraId="4D3547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四）重点涝区排涝能力建设：加快重点涝区排涝能力建设，提高易涝地区排涝能力，保障粮食安全。根据易涝区工程现状、历年受灾情况，按照轻重缓急、逐步实施的原则，完成沿淮行蓄洪区等其他洼地近期治理工程；加快推进淮河流域重点涝区排涝能力建设、长江流域重点涝区排涝能力建设工程。</w:t>
      </w:r>
    </w:p>
    <w:p w14:paraId="5BB8C43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六）城市防洪体系建设：进一步完善城市防洪规划，强化城市防洪与流域、区域防洪体系统筹协调，科学确定防洪保护范围、防洪排涝标准。提高六安市城区，叶集区、舒城县、金寨县、霍山县的城镇防洪标准。完善堤防、涵闸、泵站、蓄滞场所等水利设施，增强城市防洪排涝减灾能力。”</w:t>
      </w:r>
    </w:p>
    <w:p w14:paraId="27C71B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kern w:val="0"/>
          <w:sz w:val="24"/>
          <w:highlight w:val="none"/>
        </w:rPr>
        <w:t>本</w:t>
      </w:r>
      <w:r>
        <w:rPr>
          <w:rFonts w:hint="default" w:ascii="Times New Roman" w:hAnsi="Times New Roman" w:eastAsia="宋体" w:cs="Times New Roman"/>
          <w:color w:val="000000"/>
          <w:kern w:val="0"/>
          <w:sz w:val="24"/>
          <w:highlight w:val="none"/>
          <w:lang w:val="en-US" w:eastAsia="zh-CN"/>
        </w:rPr>
        <w:t>项目</w:t>
      </w:r>
      <w:r>
        <w:rPr>
          <w:rFonts w:hint="default" w:ascii="Times New Roman" w:hAnsi="Times New Roman" w:eastAsia="宋体" w:cs="Times New Roman"/>
          <w:color w:val="000000"/>
          <w:kern w:val="0"/>
          <w:sz w:val="24"/>
          <w:highlight w:val="none"/>
        </w:rPr>
        <w:t>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lang w:eastAsia="zh-CN"/>
        </w:rPr>
        <w:t>，通过区域排涝工程建设，解决区域排涝能力不足、排水沟渠不成系统的问题，保障区域工农业生产及人民群众的生命财产安全，促进霍山县经济发展。通过高庙河、柳林河、新店河等霍山县城区排涝通道整治，解决排涝通道防洪排涝不达标，护岸损毁、滩地坡面裸露、河床下切等问题，为区域发展提供安全的水利基础设施，并建设山洪灾害预防系统以提升水利工程管理能力。通过排水管网改造工程，保证柳林河沿岸生活污水搜集排放，促进污水处理提质增效。项目整体提升霍山县城区排水防涝能力。</w:t>
      </w:r>
    </w:p>
    <w:p w14:paraId="52E37F9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eastAsia="zh-CN"/>
        </w:rPr>
      </w:pPr>
      <w:r>
        <w:rPr>
          <w:rFonts w:hint="default" w:ascii="Times New Roman" w:hAnsi="Times New Roman" w:eastAsia="宋体" w:cs="Times New Roman"/>
          <w:color w:val="000000"/>
          <w:lang w:eastAsia="zh-CN"/>
        </w:rPr>
        <w:t>项目</w:t>
      </w:r>
      <w:r>
        <w:rPr>
          <w:rFonts w:hint="default" w:ascii="Times New Roman" w:hAnsi="Times New Roman" w:eastAsia="宋体" w:cs="Times New Roman"/>
          <w:color w:val="000000"/>
          <w:kern w:val="0"/>
          <w:sz w:val="24"/>
          <w:highlight w:val="none"/>
        </w:rPr>
        <w:t>施工严格控制施工红线，</w:t>
      </w:r>
      <w:r>
        <w:rPr>
          <w:rFonts w:hint="default" w:ascii="Times New Roman" w:hAnsi="Times New Roman" w:eastAsia="宋体" w:cs="Times New Roman"/>
          <w:color w:val="000000"/>
          <w:sz w:val="24"/>
          <w:highlight w:val="none"/>
        </w:rPr>
        <w:t>本项目不设置弃土场；施工期间不得随意调整临时设施的位置，</w:t>
      </w:r>
      <w:r>
        <w:rPr>
          <w:rFonts w:hint="default" w:ascii="Times New Roman" w:hAnsi="Times New Roman" w:eastAsia="宋体" w:cs="Times New Roman"/>
          <w:color w:val="000000"/>
          <w:sz w:val="24"/>
          <w:highlight w:val="none"/>
          <w:lang w:val="en-US" w:eastAsia="zh-CN"/>
        </w:rPr>
        <w:t>施工营地租用周边闲置房屋</w:t>
      </w:r>
      <w:r>
        <w:rPr>
          <w:rFonts w:hint="default" w:ascii="Times New Roman" w:hAnsi="Times New Roman" w:eastAsia="宋体" w:cs="Times New Roman"/>
          <w:color w:val="000000"/>
          <w:kern w:val="0"/>
          <w:sz w:val="24"/>
          <w:highlight w:val="none"/>
        </w:rPr>
        <w:t>，施工期通过采取洒水抑尘、设置沉淀池等措施；建设完成后采取土地平整，恢复植被等措施，使得本工程对生态的影响降为最低</w:t>
      </w:r>
      <w:r>
        <w:rPr>
          <w:rFonts w:hint="default" w:ascii="Times New Roman" w:hAnsi="Times New Roman" w:eastAsia="宋体" w:cs="Times New Roman"/>
          <w:color w:val="000000"/>
          <w:kern w:val="0"/>
          <w:sz w:val="24"/>
          <w:highlight w:val="none"/>
          <w:lang w:eastAsia="zh-CN"/>
        </w:rPr>
        <w:t>。</w:t>
      </w:r>
    </w:p>
    <w:p w14:paraId="56E5B0E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黑体" w:cs="Times New Roman"/>
          <w:b/>
          <w:color w:val="000000"/>
          <w:kern w:val="2"/>
          <w:sz w:val="28"/>
          <w:szCs w:val="28"/>
          <w:lang w:val="en-US" w:eastAsia="zh-CN" w:bidi="ar-SA"/>
        </w:rPr>
      </w:pPr>
      <w:r>
        <w:rPr>
          <w:rFonts w:hint="default" w:ascii="Times New Roman" w:hAnsi="Times New Roman" w:eastAsia="宋体" w:cs="Times New Roman"/>
          <w:color w:val="000000"/>
          <w:kern w:val="0"/>
          <w:sz w:val="24"/>
          <w:highlight w:val="none"/>
          <w:lang w:val="en-US" w:eastAsia="zh-CN"/>
        </w:rPr>
        <w:t>因此，本项目的建设</w:t>
      </w:r>
      <w:r>
        <w:rPr>
          <w:rFonts w:hint="default" w:ascii="Times New Roman" w:hAnsi="Times New Roman" w:eastAsia="宋体" w:cs="Times New Roman"/>
          <w:color w:val="000000"/>
          <w:kern w:val="0"/>
          <w:sz w:val="24"/>
          <w:highlight w:val="none"/>
        </w:rPr>
        <w:t>符合</w:t>
      </w:r>
      <w:r>
        <w:rPr>
          <w:rFonts w:hint="default" w:ascii="Times New Roman" w:hAnsi="Times New Roman" w:eastAsia="宋体" w:cs="Times New Roman"/>
          <w:color w:val="000000"/>
          <w:kern w:val="0"/>
          <w:sz w:val="24"/>
          <w:highlight w:val="none"/>
          <w:lang w:val="en-US" w:eastAsia="zh-CN"/>
        </w:rPr>
        <w:t>《六安市水利发展“十四五”规划》</w:t>
      </w:r>
      <w:r>
        <w:rPr>
          <w:rFonts w:hint="default" w:ascii="Times New Roman" w:hAnsi="Times New Roman" w:eastAsia="宋体" w:cs="Times New Roman"/>
          <w:color w:val="000000"/>
          <w:kern w:val="0"/>
          <w:sz w:val="24"/>
          <w:highlight w:val="none"/>
        </w:rPr>
        <w:t>的要求。</w:t>
      </w:r>
    </w:p>
    <w:p w14:paraId="31239154">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281" w:firstLineChars="100"/>
        <w:textAlignment w:val="auto"/>
        <w:rPr>
          <w:rFonts w:hint="eastAsia" w:ascii="Times New Roman" w:hAnsi="Times New Roman" w:eastAsia="黑体" w:cs="Times New Roman"/>
          <w:b/>
          <w:color w:val="000000"/>
          <w:kern w:val="2"/>
          <w:sz w:val="28"/>
          <w:szCs w:val="28"/>
          <w:lang w:val="en-US" w:eastAsia="zh-CN" w:bidi="ar-SA"/>
        </w:rPr>
      </w:pPr>
      <w:r>
        <w:rPr>
          <w:rFonts w:hint="eastAsia" w:ascii="Times New Roman" w:hAnsi="Times New Roman" w:eastAsia="黑体" w:cs="Times New Roman"/>
          <w:b/>
          <w:color w:val="000000"/>
          <w:kern w:val="2"/>
          <w:sz w:val="28"/>
          <w:szCs w:val="28"/>
          <w:lang w:val="en-US" w:eastAsia="zh-CN" w:bidi="ar-SA"/>
        </w:rPr>
        <w:t>2.4.5与《霍山县城市防洪规划》(2020-2035)符合性分析</w:t>
      </w:r>
    </w:p>
    <w:p w14:paraId="67EE2FE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1、规划范围</w:t>
      </w:r>
    </w:p>
    <w:p w14:paraId="120045C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规划范围与《霍山县城市总体规划》(2011~2030)确定的规划范围相一致，规划范围为城市中心城区建设用地27.50km</w:t>
      </w:r>
      <w:r>
        <w:rPr>
          <w:rFonts w:hint="eastAsia" w:eastAsia="宋体" w:cs="Times New Roman"/>
          <w:color w:val="000000"/>
          <w:kern w:val="0"/>
          <w:sz w:val="24"/>
          <w:highlight w:val="none"/>
          <w:vertAlign w:val="superscript"/>
          <w:lang w:val="en-US" w:eastAsia="zh-CN"/>
        </w:rPr>
        <w:t>2</w:t>
      </w:r>
      <w:r>
        <w:rPr>
          <w:rFonts w:hint="default" w:ascii="Times New Roman" w:hAnsi="Times New Roman" w:eastAsia="宋体" w:cs="Times New Roman"/>
          <w:color w:val="000000"/>
          <w:kern w:val="0"/>
          <w:sz w:val="24"/>
          <w:highlight w:val="none"/>
          <w:lang w:val="en-US" w:eastAsia="zh-CN"/>
        </w:rPr>
        <w:t>范围。</w:t>
      </w:r>
    </w:p>
    <w:p w14:paraId="5A4A420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2、规划目标</w:t>
      </w:r>
    </w:p>
    <w:p w14:paraId="177531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通过工程与非工程措施相结合，逐步构建安全可靠的城市综合防洪体系，使规划范围内防洪保护对象的防洪能力达到国家规定的防洪标准，遇超标准洪水有可靠的防洪对策，最大限度地减轻洪涝灾害损失，为霍山县社会经济、城市建设可持续发展提供良好的防洪保障。同时，通过防洪工程的实施，着力构建集防洪、蓄水、景观、生态为一体的城市防洪保安体系，实现“水宁、水活、水清、水美”的综合治理目标。</w:t>
      </w:r>
    </w:p>
    <w:p w14:paraId="40C3ED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3、规划水平年</w:t>
      </w:r>
    </w:p>
    <w:p w14:paraId="615A345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基准年为2020年，近期2025年，远期为2035年。</w:t>
      </w:r>
    </w:p>
    <w:p w14:paraId="6D8CF9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4、规划标准</w:t>
      </w:r>
    </w:p>
    <w:p w14:paraId="667DD8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(1)防洪标准</w:t>
      </w:r>
    </w:p>
    <w:p w14:paraId="49B6E7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参照《防洪标准》(GB50201-2014)、《治涝标准》(SL723-2016)，结合淠河流域防洪规划的要求，并考虑经济、政治、社会、环境等因素以及与城市总体规划相衔接，霍山县中心城区近期2020年，城市人口为16.5万人，霍山县城区属于一般城市，防洪标准确定为20年一遇</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规划远期2030年，霍山县城区属于比较重要城市，防洪标准确定为50年一遇。本次霍山县城市防洪规划标准确定为</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霍山县城区防洪标准为50年一遇。</w:t>
      </w:r>
    </w:p>
    <w:p w14:paraId="58C40BF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(2)治涝标准</w:t>
      </w:r>
    </w:p>
    <w:p w14:paraId="38B2DB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城区治涝采取自排和抽排相结合，排水区自排和抽排均按20年一遇标准。</w:t>
      </w:r>
    </w:p>
    <w:p w14:paraId="1F80CB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5、防洪规划方案</w:t>
      </w:r>
    </w:p>
    <w:p w14:paraId="6F3753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(1)柳林河两岸</w:t>
      </w:r>
    </w:p>
    <w:p w14:paraId="63FF4E3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堤防级别</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柳林河从小河沿~柳林河口，长2.1km构成封闭堤，堤防的防洪标准为50年一遇，堤防级别为2级。</w:t>
      </w:r>
    </w:p>
    <w:p w14:paraId="1D58B34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规划方案</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柳林河两岸封闭堤堤防高程已达到20一年一遇，但堤防防护标准较低，局部护坡塌陷，堤顶为土路。规划维修护坡护岸，新建混凝土堤顶防汛道路，两岸堤顶道路长1.58km，道路采用宽4m混凝土道路。</w:t>
      </w:r>
    </w:p>
    <w:p w14:paraId="3778E0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(2)幽芳河、高庙河</w:t>
      </w:r>
    </w:p>
    <w:p w14:paraId="0C644B8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幽芳河、高庙河高程局部段落不满足防洪要求，按照防洪标准为50年一遇规划对不达标堤段进行加固，幽芳河不达标堤段规划采用增设混凝土防浪墙方案，墙高1.05m。高庙河采用堤身加培，坡比为1</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2.5，堤顶宽度不小于5m。</w:t>
      </w:r>
    </w:p>
    <w:p w14:paraId="2DAFE4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eastAsia" w:eastAsia="宋体" w:cs="Times New Roman"/>
          <w:color w:val="000000"/>
          <w:kern w:val="0"/>
          <w:sz w:val="24"/>
          <w:highlight w:val="none"/>
          <w:lang w:val="en-US" w:eastAsia="zh-CN"/>
        </w:rPr>
        <w:t>6、</w:t>
      </w:r>
      <w:r>
        <w:rPr>
          <w:rFonts w:hint="default" w:ascii="Times New Roman" w:hAnsi="Times New Roman" w:eastAsia="宋体" w:cs="Times New Roman"/>
          <w:color w:val="000000"/>
          <w:kern w:val="0"/>
          <w:sz w:val="24"/>
          <w:highlight w:val="none"/>
          <w:lang w:val="en-US" w:eastAsia="zh-CN"/>
        </w:rPr>
        <w:t>治涝规划方案</w:t>
      </w:r>
    </w:p>
    <w:p w14:paraId="6465CB3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(1)城市排水通道</w:t>
      </w:r>
    </w:p>
    <w:p w14:paraId="099FE1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规划对各排区的排涝沟进行整治，主要内容是排涝干沟的清淤、清障、拓宽及跨沟建筑物的配套。根据规划排涝方案、结合河道现状情况对城市内河水系进行疏(拓)浚，本次规划治理河道主要包括</w:t>
      </w:r>
      <w:r>
        <w:rPr>
          <w:rFonts w:hint="eastAsia" w:eastAsia="宋体" w:cs="Times New Roman"/>
          <w:color w:val="000000"/>
          <w:kern w:val="0"/>
          <w:sz w:val="24"/>
          <w:highlight w:val="none"/>
          <w:lang w:val="en-US" w:eastAsia="zh-CN"/>
        </w:rPr>
        <w:t>：</w:t>
      </w:r>
    </w:p>
    <w:p w14:paraId="7DF641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迎驾厂片</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规划新建、疏通排涝渠道，底宽1.5m，长1.8km。</w:t>
      </w:r>
    </w:p>
    <w:p w14:paraId="0252EE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柳林河西片</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新建北外环排涝沟，疏浚中心排涝沟，采用底宽2.5m、坡比1</w:t>
      </w:r>
      <w:r>
        <w:rPr>
          <w:rFonts w:hint="eastAsia" w:eastAsia="宋体" w:cs="Times New Roman"/>
          <w:color w:val="000000"/>
          <w:kern w:val="0"/>
          <w:sz w:val="24"/>
          <w:highlight w:val="none"/>
          <w:lang w:val="en-US" w:eastAsia="zh-CN"/>
        </w:rPr>
        <w:t>：</w:t>
      </w:r>
      <w:r>
        <w:rPr>
          <w:rFonts w:hint="default" w:ascii="Times New Roman" w:hAnsi="Times New Roman" w:eastAsia="宋体" w:cs="Times New Roman"/>
          <w:color w:val="000000"/>
          <w:kern w:val="0"/>
          <w:sz w:val="24"/>
          <w:highlight w:val="none"/>
          <w:lang w:val="en-US" w:eastAsia="zh-CN"/>
        </w:rPr>
        <w:t>2的梯形渠。</w:t>
      </w:r>
    </w:p>
    <w:p w14:paraId="1A3EFDF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新建、扩建排涝沟采用能与岸坡水体交互且能植草的生态挡土墙护岸或护坡。</w:t>
      </w:r>
    </w:p>
    <w:p w14:paraId="460D97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（2）排涝泵站及自排涵闸</w:t>
      </w:r>
    </w:p>
    <w:p w14:paraId="37169F1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柳林河口排涝站：迎驾厂片主要通过项家院排涝涵、张家湾排涝涵、永康排涝涵排涝，本次规划新建北外环排涝沟，将涝水引至张家湾排涝涵。</w:t>
      </w:r>
    </w:p>
    <w:p w14:paraId="558DEC9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7、山洪灾害防治</w:t>
      </w:r>
    </w:p>
    <w:p w14:paraId="6AEDF49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山丘区发生的暴涨暴落的溪河洪水，威胁人民生命安全，造成财产损失和基础设施毁坏的灾害，为增强沿岸城镇、集中居民区、重要基础设施等防护对象的山洪灾害综合防御能力，有效减少人员伤亡和财产损失，对涉及城区的山洪沟进行综合治理是非常必要的，防治措施如下</w:t>
      </w:r>
      <w:r>
        <w:rPr>
          <w:rFonts w:hint="eastAsia" w:eastAsia="宋体" w:cs="Times New Roman"/>
          <w:color w:val="000000"/>
          <w:kern w:val="0"/>
          <w:sz w:val="24"/>
          <w:highlight w:val="none"/>
          <w:lang w:val="en-US" w:eastAsia="zh-CN"/>
        </w:rPr>
        <w:t>：</w:t>
      </w:r>
    </w:p>
    <w:p w14:paraId="04F052C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(1)柳林河山洪沟治理</w:t>
      </w:r>
    </w:p>
    <w:p w14:paraId="201BFA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柳林河为东淠河支流，主流发源于桃花寨，总流向先向西北，后折转向东北，流经通水灌(黄泥)、谢家畈、俞家山根、西门畈(俞家畈)，在潜台寺西汇入东淠河干流。河道全长约15.92km，流域面积35.78km</w:t>
      </w:r>
      <w:r>
        <w:rPr>
          <w:rFonts w:hint="default" w:ascii="Times New Roman" w:hAnsi="Times New Roman" w:eastAsia="宋体" w:cs="Times New Roman"/>
          <w:color w:val="000000"/>
          <w:kern w:val="0"/>
          <w:sz w:val="24"/>
          <w:highlight w:val="none"/>
          <w:vertAlign w:val="superscript"/>
          <w:lang w:val="en-US" w:eastAsia="zh-CN"/>
        </w:rPr>
        <w:t>2</w:t>
      </w:r>
      <w:r>
        <w:rPr>
          <w:rFonts w:hint="default" w:ascii="Times New Roman" w:hAnsi="Times New Roman" w:eastAsia="宋体" w:cs="Times New Roman"/>
          <w:color w:val="000000"/>
          <w:kern w:val="0"/>
          <w:sz w:val="24"/>
          <w:highlight w:val="none"/>
          <w:lang w:val="en-US" w:eastAsia="zh-CN"/>
        </w:rPr>
        <w:t>，河道平均坡降8.1%o。</w:t>
      </w:r>
    </w:p>
    <w:p w14:paraId="6807ECA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规划对柳林河山洪沟进行治理，起点从太平地，终点至小河沿，总长约8.6km，规划实施河道疏浚工程、护坡护岸工程、险工段治理、蓄水堰坝等。</w:t>
      </w:r>
    </w:p>
    <w:p w14:paraId="5670E0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(2)幽芳河山洪沟治理</w:t>
      </w:r>
    </w:p>
    <w:p w14:paraId="762237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幽芳河发源于白石岗，经东石门，在县城东门外石担桥下汇入护城河，河道全长约10.5km，流域面积28.25km</w:t>
      </w:r>
      <w:r>
        <w:rPr>
          <w:rFonts w:hint="default" w:ascii="Times New Roman" w:hAnsi="Times New Roman" w:eastAsia="宋体" w:cs="Times New Roman"/>
          <w:color w:val="000000"/>
          <w:kern w:val="0"/>
          <w:sz w:val="24"/>
          <w:highlight w:val="none"/>
          <w:vertAlign w:val="superscript"/>
          <w:lang w:val="en-US" w:eastAsia="zh-CN"/>
        </w:rPr>
        <w:t>2</w:t>
      </w:r>
      <w:r>
        <w:rPr>
          <w:rFonts w:hint="default" w:ascii="Times New Roman" w:hAnsi="Times New Roman" w:eastAsia="宋体" w:cs="Times New Roman"/>
          <w:color w:val="000000"/>
          <w:kern w:val="0"/>
          <w:sz w:val="24"/>
          <w:highlight w:val="none"/>
          <w:lang w:val="en-US" w:eastAsia="zh-CN"/>
        </w:rPr>
        <w:t>，平均比降10.2%o。</w:t>
      </w:r>
    </w:p>
    <w:p w14:paraId="08200AA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规划对幽芳河山洪沟进行治理，起点从友谊水库，终点至迎宾大道，总长约3.9km，规划实施河道疏浚工程、护坡护岸工程、险工段治理、蓄水堰坝等。</w:t>
      </w:r>
    </w:p>
    <w:p w14:paraId="1D8C6B0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(3)高庙河山洪沟治理</w:t>
      </w:r>
    </w:p>
    <w:p w14:paraId="334DDF7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高庙河源于霍山县白沙岭，向北流经牛角冲、桥头堰、县渔场，在北镇庙汇入东淠河干流，河道全长约为27.14km，流域面积27.14km</w:t>
      </w:r>
      <w:r>
        <w:rPr>
          <w:rFonts w:hint="default" w:ascii="Times New Roman" w:hAnsi="Times New Roman" w:eastAsia="宋体" w:cs="Times New Roman"/>
          <w:color w:val="000000"/>
          <w:kern w:val="0"/>
          <w:sz w:val="24"/>
          <w:highlight w:val="none"/>
          <w:vertAlign w:val="superscript"/>
          <w:lang w:val="en-US" w:eastAsia="zh-CN"/>
        </w:rPr>
        <w:t>2</w:t>
      </w:r>
      <w:r>
        <w:rPr>
          <w:rFonts w:hint="default" w:ascii="Times New Roman" w:hAnsi="Times New Roman" w:eastAsia="宋体" w:cs="Times New Roman"/>
          <w:color w:val="000000"/>
          <w:kern w:val="0"/>
          <w:sz w:val="24"/>
          <w:highlight w:val="none"/>
          <w:lang w:val="en-US" w:eastAsia="zh-CN"/>
        </w:rPr>
        <w:t>，河道平均坡降8.3%o。规划对高庙河山洪沟进行治理，起点从友谊水库，终点至迎宾大道，总长约3.9km，规划实施河道疏浚工程、护坡护岸工程、险工段治理、蓄水堰坝等。</w:t>
      </w:r>
    </w:p>
    <w:p w14:paraId="293B0E7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黑体" w:cs="Times New Roman"/>
          <w:b/>
          <w:color w:val="000000"/>
          <w:kern w:val="2"/>
          <w:sz w:val="28"/>
          <w:szCs w:val="28"/>
          <w:lang w:val="en-US" w:eastAsia="zh-CN" w:bidi="ar-SA"/>
        </w:rPr>
      </w:pPr>
      <w:r>
        <w:rPr>
          <w:rFonts w:hint="default" w:ascii="Times New Roman" w:hAnsi="Times New Roman" w:eastAsia="宋体" w:cs="Times New Roman"/>
          <w:b w:val="0"/>
          <w:bCs/>
          <w:color w:val="000000"/>
          <w:kern w:val="0"/>
          <w:sz w:val="24"/>
          <w:highlight w:val="none"/>
          <w:lang w:val="en-US" w:eastAsia="zh-CN"/>
        </w:rPr>
        <w:t>本项目与《霍山县城市防洪规划》的符合性：本次项目建设标准、等级参照规划执行，工程建设内容完全符合规划的相关内容，包括区域排涝及幽芳河、高庙河、柳林河等山洪沟本次为排涝通道整治。</w:t>
      </w:r>
    </w:p>
    <w:p w14:paraId="06B1C69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281" w:firstLineChars="100"/>
        <w:textAlignment w:val="auto"/>
        <w:rPr>
          <w:rFonts w:hint="eastAsia" w:ascii="Times New Roman" w:hAnsi="Times New Roman" w:eastAsia="黑体" w:cs="Times New Roman"/>
          <w:b/>
          <w:color w:val="000000"/>
          <w:kern w:val="2"/>
          <w:sz w:val="28"/>
          <w:szCs w:val="28"/>
          <w:lang w:val="en-US" w:eastAsia="zh-CN" w:bidi="ar-SA"/>
        </w:rPr>
      </w:pPr>
      <w:r>
        <w:rPr>
          <w:rFonts w:hint="eastAsia" w:ascii="Times New Roman" w:hAnsi="Times New Roman" w:eastAsia="黑体" w:cs="Times New Roman"/>
          <w:b/>
          <w:color w:val="000000"/>
          <w:kern w:val="2"/>
          <w:sz w:val="28"/>
          <w:szCs w:val="28"/>
          <w:lang w:val="en-US" w:eastAsia="zh-CN" w:bidi="ar-SA"/>
        </w:rPr>
        <w:t>2.4.6与《霍山县水利发展规划“十四五”》符合性分析</w:t>
      </w:r>
    </w:p>
    <w:p w14:paraId="55E4527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1、规划目标</w:t>
      </w:r>
    </w:p>
    <w:p w14:paraId="6A7204A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(1)总体目标</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建成与经济社会发展和生态文明建设要求相适应与社会主义现代化进程相协调的水早灾害防御、水资源集约节约利用与优化配置、水资源保护和河湖健康保障、涉水事务监管四大体系。</w:t>
      </w:r>
    </w:p>
    <w:p w14:paraId="1E8C6F7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到2025年，防洪抗早减灾能力全面提升，水资源利用效率和效益明显提高，城乡供水安全保障程度明显增强，重点河湖水生态环境明显改善，涉水事务监管和风险防控能力全面增强，水安全保障能力显著提升。</w:t>
      </w:r>
    </w:p>
    <w:p w14:paraId="1A9E08FE">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(2)具体目标</w:t>
      </w:r>
      <w:r>
        <w:rPr>
          <w:rFonts w:hint="eastAsia" w:eastAsia="宋体" w:cs="Times New Roman"/>
          <w:b w:val="0"/>
          <w:bCs/>
          <w:color w:val="000000"/>
          <w:kern w:val="0"/>
          <w:sz w:val="24"/>
          <w:highlight w:val="none"/>
          <w:lang w:val="en-US" w:eastAsia="zh-CN"/>
        </w:rPr>
        <w:t>：</w:t>
      </w:r>
    </w:p>
    <w:p w14:paraId="324F8218">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1)水旱灾害防御目标。进行水利自然灾害风险普查，完善水旱灾害分析预警能力。霍山县城市防洪标准由20年一遇提高到50年一遇，县城排涝标准达到20年一遇</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主要支流、中小河流防洪标准达到规划确定的防洪标准，淠河洼地等重点易涝区排涝标准达到5~10年一遇</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V级及以上江河堤防达标率提高到60%，水早灾害风险防范化解能力进一步增强</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重点山洪灾害易发区得到有效治理</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现有病险水库、水闸安全隐患全面消除</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中小河流重要河段达到规划确定的防洪标准。</w:t>
      </w:r>
    </w:p>
    <w:p w14:paraId="5146F0F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2)水资源集约节约利用与优化配置目标。节水型生产和生活方式基本建立，全社会节水意识明显增强，水资源和人口社会经济均衡协调发展的格局进一步完善</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全县用水总量控制在1.7亿m</w:t>
      </w:r>
      <w:r>
        <w:rPr>
          <w:rFonts w:hint="default" w:ascii="Times New Roman" w:hAnsi="Times New Roman" w:eastAsia="宋体" w:cs="Times New Roman"/>
          <w:b w:val="0"/>
          <w:bCs/>
          <w:color w:val="000000"/>
          <w:kern w:val="0"/>
          <w:sz w:val="24"/>
          <w:highlight w:val="none"/>
          <w:vertAlign w:val="superscript"/>
          <w:lang w:val="en-US" w:eastAsia="zh-CN"/>
        </w:rPr>
        <w:t>3</w:t>
      </w:r>
      <w:r>
        <w:rPr>
          <w:rFonts w:hint="default" w:ascii="Times New Roman" w:hAnsi="Times New Roman" w:eastAsia="宋体" w:cs="Times New Roman"/>
          <w:b w:val="0"/>
          <w:bCs/>
          <w:color w:val="000000"/>
          <w:kern w:val="0"/>
          <w:sz w:val="24"/>
          <w:highlight w:val="none"/>
          <w:lang w:val="en-US" w:eastAsia="zh-CN"/>
        </w:rPr>
        <w:t>以内，万元国内生产总值用水量、万元工业增加值用水量较2020年分别下降15%，农田灌溉水有效利用系数提高到0.57</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提升水利工程的调控能力，现有中小型水库通过清淤逐步恢复其设计供水能力，实现标准化管理</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水资源配置格局逐步完善，水利工程新增年供水能力200万m，供水保障能力和抗早应急能力明显增强</w:t>
      </w:r>
      <w:r>
        <w:rPr>
          <w:rFonts w:hint="eastAsia" w:eastAsia="宋体" w:cs="Times New Roman"/>
          <w:b w:val="0"/>
          <w:bCs/>
          <w:color w:val="000000"/>
          <w:kern w:val="0"/>
          <w:sz w:val="24"/>
          <w:highlight w:val="none"/>
          <w:lang w:val="en-US" w:eastAsia="zh-CN"/>
        </w:rPr>
        <w:t>；</w:t>
      </w:r>
      <w:r>
        <w:rPr>
          <w:rFonts w:hint="default" w:ascii="Times New Roman" w:hAnsi="Times New Roman" w:eastAsia="宋体" w:cs="Times New Roman"/>
          <w:b w:val="0"/>
          <w:bCs/>
          <w:color w:val="000000"/>
          <w:kern w:val="0"/>
          <w:sz w:val="24"/>
          <w:highlight w:val="none"/>
          <w:lang w:val="en-US" w:eastAsia="zh-CN"/>
        </w:rPr>
        <w:t>城乡供水一体化覆盖程度大幅提高，乡镇自来水普及率达到95%。</w:t>
      </w:r>
    </w:p>
    <w:p w14:paraId="0BDC52A2">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3)水资源保护和河湖健康保障目标。水生态空间管控体系基本建立，完成流域面积50km</w:t>
      </w:r>
      <w:r>
        <w:rPr>
          <w:rFonts w:hint="default" w:ascii="Times New Roman" w:hAnsi="Times New Roman" w:eastAsia="宋体" w:cs="Times New Roman"/>
          <w:b w:val="0"/>
          <w:bCs/>
          <w:color w:val="000000"/>
          <w:kern w:val="0"/>
          <w:sz w:val="24"/>
          <w:highlight w:val="none"/>
          <w:vertAlign w:val="superscript"/>
          <w:lang w:val="en-US" w:eastAsia="zh-CN"/>
        </w:rPr>
        <w:t>2</w:t>
      </w:r>
      <w:r>
        <w:rPr>
          <w:rFonts w:hint="default" w:ascii="Times New Roman" w:hAnsi="Times New Roman" w:eastAsia="宋体" w:cs="Times New Roman"/>
          <w:b w:val="0"/>
          <w:bCs/>
          <w:color w:val="000000"/>
          <w:kern w:val="0"/>
          <w:sz w:val="24"/>
          <w:highlight w:val="none"/>
          <w:lang w:val="en-US" w:eastAsia="zh-CN"/>
        </w:rPr>
        <w:t>及以上河流和常年水面面积1km以上的水库管理范围划定。水源涵养与保护能力明显提升，河流水生态环境明显改善，水景观质量明显提高，主要断面生态流量基本得到保障，水质满足水功能区及断面考核管理目标，乡镇水系水环境状况明显改善，区域主要河流水系、水库等地表水达到或好于Ⅲ类水体占地表水比例大于75%；人为水土流失得到有效控制，重点地区水土流失得到有效治理，水土流失治理面积40km</w:t>
      </w:r>
      <w:r>
        <w:rPr>
          <w:rFonts w:hint="default" w:ascii="Times New Roman" w:hAnsi="Times New Roman" w:eastAsia="宋体" w:cs="Times New Roman"/>
          <w:b w:val="0"/>
          <w:bCs/>
          <w:color w:val="000000"/>
          <w:kern w:val="0"/>
          <w:sz w:val="24"/>
          <w:highlight w:val="none"/>
          <w:vertAlign w:val="superscript"/>
          <w:lang w:val="en-US" w:eastAsia="zh-CN"/>
        </w:rPr>
        <w:t>2</w:t>
      </w:r>
      <w:r>
        <w:rPr>
          <w:rFonts w:hint="default" w:ascii="Times New Roman" w:hAnsi="Times New Roman" w:eastAsia="宋体" w:cs="Times New Roman"/>
          <w:b w:val="0"/>
          <w:bCs/>
          <w:color w:val="000000"/>
          <w:kern w:val="0"/>
          <w:sz w:val="24"/>
          <w:highlight w:val="none"/>
          <w:lang w:val="en-US" w:eastAsia="zh-CN"/>
        </w:rPr>
        <w:t>，水土保持率达到60%。</w:t>
      </w:r>
    </w:p>
    <w:p w14:paraId="7E51A29C">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4）涉水事务监管目标。水文水资源、河湖生态、水土流失、水灾害等监测预警体系基本建立，水利信息化水平显著提升。河长制湖长制深入推进，主要河湖水域岸线得到有效管控。最严格水资源管理考核体系逐步完善，水资源节约、开发、利用、保护配置、调度等各环节得到全面监管。基本实现大中型水利工程安全监测全覆盖，水工程安全风险防控能力明显提升。水权水价水市场改革取得重要进展。政府主导、金融支持、社会参与的水利投融资机制进一步完善。</w:t>
      </w:r>
    </w:p>
    <w:p w14:paraId="6FD0E4B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2、提升防洪保安能力</w:t>
      </w:r>
    </w:p>
    <w:p w14:paraId="47E6279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加强防洪排涝基础设施体系建设，构筑全县防洪保安网，全面提升防洪保安能力和超标准洪水应对能力。以防御水灾害、保障人民群众生命财产安全、促进经济社会稳定发展为根本出发点坚持兴利除害结合、防洪排涝并举，全面实施防汛水利提升工程提升洪涝灾害防御能力，保障人民群众生命财产安全。</w:t>
      </w:r>
    </w:p>
    <w:p w14:paraId="67D3282D">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推进山洪灾害防治。坚持以防为主、防治结合，非工程措施和工程措施相结合，加强山洪灾害防治能力建设，全面提升防灾减灾效益。对南部山丘进行全面调查，以山洪灾害严重、影响人口较多的重点山洪沟为重点，优先开展近期发生过山洪且损失严重的重点山洪沟进行治理，根据山洪及泥石流、滑坡发生的特点因地制宜，采取可行的治理措施。同时，强化山洪灾害监测预警，优化调整雨情监测站网布局，定期开展山洪灾害防御常识与自救技能培训，切实增强群众防灾避灾能力。“十四五”计划治理宋家河等18条山洪沟，主要工程措施有疏浚整治、滑坡防治、居民区避险搬迁、加固堤岸等，共治理长度18.84km。</w:t>
      </w:r>
    </w:p>
    <w:p w14:paraId="16E6C0E6">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加强重点涝区排涝能力建设。继续推进安徽省沿淮行蓄洪区等其他洼地治理工程。改建小河口排涝站工程。规划对现有小河口排涝闸进行拆除重建，排涝标准采用20年一遇。新建潜台寺排涝站工程：规划新增潜台寺区域排涝面积10km</w:t>
      </w:r>
      <w:r>
        <w:rPr>
          <w:rFonts w:hint="default" w:ascii="Times New Roman" w:hAnsi="Times New Roman" w:eastAsia="宋体" w:cs="Times New Roman"/>
          <w:b w:val="0"/>
          <w:bCs/>
          <w:color w:val="000000"/>
          <w:kern w:val="0"/>
          <w:sz w:val="24"/>
          <w:highlight w:val="none"/>
          <w:vertAlign w:val="superscript"/>
          <w:lang w:val="en-US" w:eastAsia="zh-CN"/>
        </w:rPr>
        <w:t>2</w:t>
      </w:r>
      <w:r>
        <w:rPr>
          <w:rFonts w:hint="default" w:ascii="Times New Roman" w:hAnsi="Times New Roman" w:eastAsia="宋体" w:cs="Times New Roman"/>
          <w:b w:val="0"/>
          <w:bCs/>
          <w:color w:val="000000"/>
          <w:kern w:val="0"/>
          <w:sz w:val="24"/>
          <w:highlight w:val="none"/>
          <w:lang w:val="en-US" w:eastAsia="zh-CN"/>
        </w:rPr>
        <w:t>，排涝标准采用20年一遇。实施重灾区下符桥镇防洪排涝提升工程。主要建设内容包括但家庙河下符桥镇段右岸堤防加固、新建挡墙，左岸新建排涝泵站。</w:t>
      </w:r>
    </w:p>
    <w:p w14:paraId="3A01F5D7">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pict>
          <v:shape id="_x0000_i1031" o:spt="75" alt="9ffcf0b1-70db-4acc-be84-42d5d13d5a11" type="#_x0000_t75" style="height:91.8pt;width:364.75pt;" filled="f" o:preferrelative="t" stroked="f" coordsize="21600,21600">
            <v:path/>
            <v:fill on="f" focussize="0,0"/>
            <v:stroke on="f"/>
            <v:imagedata r:id="rId9" o:title="9ffcf0b1-70db-4acc-be84-42d5d13d5a11"/>
            <o:lock v:ext="edit" aspectratio="t"/>
            <w10:wrap type="none"/>
            <w10:anchorlock/>
          </v:shape>
        </w:pict>
      </w:r>
    </w:p>
    <w:p w14:paraId="05A5706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jc w:val="center"/>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bCs w:val="0"/>
          <w:color w:val="000000"/>
          <w:kern w:val="0"/>
          <w:sz w:val="24"/>
          <w:highlight w:val="none"/>
          <w:lang w:val="en-US" w:eastAsia="zh-CN"/>
        </w:rPr>
        <w:t xml:space="preserve">图 </w:t>
      </w:r>
      <w:r>
        <w:rPr>
          <w:rFonts w:hint="eastAsia" w:ascii="Times New Roman" w:hAnsi="Times New Roman" w:eastAsia="宋体" w:cs="Times New Roman"/>
          <w:b/>
          <w:bCs w:val="0"/>
          <w:color w:val="000000"/>
          <w:kern w:val="0"/>
          <w:sz w:val="24"/>
          <w:highlight w:val="none"/>
          <w:lang w:val="en-US" w:eastAsia="zh-CN"/>
        </w:rPr>
        <w:t>2.4</w:t>
      </w:r>
      <w:r>
        <w:rPr>
          <w:rFonts w:hint="default" w:ascii="Times New Roman" w:hAnsi="Times New Roman" w:eastAsia="宋体" w:cs="Times New Roman"/>
          <w:b/>
          <w:bCs w:val="0"/>
          <w:color w:val="000000"/>
          <w:kern w:val="0"/>
          <w:sz w:val="24"/>
          <w:highlight w:val="none"/>
          <w:lang w:val="en-US" w:eastAsia="zh-CN"/>
        </w:rPr>
        <w:t>-1</w:t>
      </w:r>
      <w:r>
        <w:rPr>
          <w:rFonts w:hint="eastAsia" w:eastAsia="宋体" w:cs="Times New Roman"/>
          <w:b/>
          <w:bCs w:val="0"/>
          <w:color w:val="000000"/>
          <w:kern w:val="0"/>
          <w:sz w:val="24"/>
          <w:highlight w:val="none"/>
          <w:lang w:val="en-US" w:eastAsia="zh-CN"/>
        </w:rPr>
        <w:t xml:space="preserve">  </w:t>
      </w:r>
      <w:r>
        <w:rPr>
          <w:rFonts w:hint="default" w:ascii="Times New Roman" w:hAnsi="Times New Roman" w:eastAsia="宋体" w:cs="Times New Roman"/>
          <w:b/>
          <w:bCs w:val="0"/>
          <w:color w:val="000000"/>
          <w:kern w:val="0"/>
          <w:sz w:val="24"/>
          <w:highlight w:val="none"/>
          <w:lang w:val="en-US" w:eastAsia="zh-CN"/>
        </w:rPr>
        <w:t>《霍山县水利发展“十四五”规划》中项目所在页面</w:t>
      </w:r>
    </w:p>
    <w:p w14:paraId="308ACD1A">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jc w:val="left"/>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本项目已列入《霍山县水利发展“十四五”规划》的霍山县水利发展“十四五”规划项目表，属于重点建设项目。</w:t>
      </w:r>
    </w:p>
    <w:p w14:paraId="6305E14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281" w:firstLineChars="100"/>
        <w:textAlignment w:val="auto"/>
        <w:rPr>
          <w:rFonts w:hint="eastAsia" w:ascii="Times New Roman" w:hAnsi="Times New Roman" w:eastAsia="黑体" w:cs="Times New Roman"/>
          <w:b/>
          <w:color w:val="000000"/>
          <w:kern w:val="2"/>
          <w:sz w:val="28"/>
          <w:szCs w:val="28"/>
          <w:lang w:val="en-US" w:eastAsia="zh-CN" w:bidi="ar-SA"/>
        </w:rPr>
      </w:pPr>
      <w:r>
        <w:rPr>
          <w:rFonts w:hint="eastAsia" w:ascii="Times New Roman" w:hAnsi="Times New Roman" w:eastAsia="黑体" w:cs="Times New Roman"/>
          <w:b/>
          <w:color w:val="000000"/>
          <w:kern w:val="2"/>
          <w:sz w:val="28"/>
          <w:szCs w:val="28"/>
          <w:lang w:val="en-US" w:eastAsia="zh-CN" w:bidi="ar-SA"/>
        </w:rPr>
        <w:t>2.4.7与《霍山县国土空间总体规划（2021-2035年）》符合性分析</w:t>
      </w:r>
    </w:p>
    <w:p w14:paraId="5FBC06F5">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000000"/>
          <w:kern w:val="0"/>
          <w:sz w:val="24"/>
          <w:highlight w:val="none"/>
          <w:lang w:val="en-US" w:eastAsia="zh-CN"/>
        </w:rPr>
      </w:pPr>
      <w:r>
        <w:rPr>
          <w:rFonts w:hint="eastAsia" w:eastAsia="宋体" w:cs="Times New Roman"/>
          <w:b w:val="0"/>
          <w:bCs/>
          <w:color w:val="000000"/>
          <w:kern w:val="0"/>
          <w:sz w:val="24"/>
          <w:highlight w:val="none"/>
          <w:lang w:val="en-US" w:eastAsia="zh-CN"/>
        </w:rPr>
        <w:t>《霍山县国土空间总体规划（2021-2035年）》（以下简称《总体规划》）中提出“优化排水设施布局，中心城区排水体制采用雨、污分流制。到2035年，城市污水处理率达到100%，并与国家同时期相关标准一致……”</w:t>
      </w:r>
    </w:p>
    <w:p w14:paraId="19BA9E8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240" w:firstLineChars="1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b w:val="0"/>
          <w:bCs/>
          <w:color w:val="000000"/>
          <w:kern w:val="0"/>
          <w:sz w:val="24"/>
          <w:highlight w:val="none"/>
          <w:lang w:val="en-US" w:eastAsia="zh-CN"/>
        </w:rPr>
        <w:t>本项目是霍山县城市防洪排涝提升工程，符合《规划》中的优化排水设施布局要求，是提高防洪排涝能力，建立安全韧性的综合防灾设施体系的具体措施。</w:t>
      </w:r>
    </w:p>
    <w:p w14:paraId="181BD46B">
      <w:pPr>
        <w:pStyle w:val="2"/>
        <w:rPr>
          <w:rFonts w:hint="default"/>
          <w:color w:val="000000"/>
          <w:lang w:val="en-US" w:eastAsia="zh-CN"/>
        </w:rPr>
      </w:pPr>
    </w:p>
    <w:p w14:paraId="246C6233">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right="0" w:rightChars="0" w:firstLine="281" w:firstLineChars="100"/>
        <w:textAlignment w:val="auto"/>
        <w:rPr>
          <w:rFonts w:hint="default" w:ascii="Times New Roman" w:hAnsi="Times New Roman" w:eastAsia="黑体" w:cs="Times New Roman"/>
          <w:b/>
          <w:color w:val="000000"/>
          <w:kern w:val="2"/>
          <w:sz w:val="28"/>
          <w:szCs w:val="28"/>
          <w:lang w:val="en-US" w:eastAsia="zh-CN" w:bidi="ar-SA"/>
        </w:rPr>
      </w:pPr>
      <w:r>
        <w:rPr>
          <w:rFonts w:hint="eastAsia" w:ascii="Times New Roman" w:hAnsi="Times New Roman" w:eastAsia="黑体" w:cs="Times New Roman"/>
          <w:b/>
          <w:color w:val="000000"/>
          <w:kern w:val="2"/>
          <w:sz w:val="28"/>
          <w:szCs w:val="28"/>
          <w:lang w:val="en-US" w:eastAsia="zh-CN" w:bidi="ar-SA"/>
        </w:rPr>
        <w:t>2.4.8</w:t>
      </w:r>
      <w:r>
        <w:rPr>
          <w:rFonts w:hint="default" w:ascii="Times New Roman" w:hAnsi="Times New Roman" w:eastAsia="黑体" w:cs="Times New Roman"/>
          <w:b/>
          <w:color w:val="000000"/>
          <w:kern w:val="2"/>
          <w:sz w:val="28"/>
          <w:szCs w:val="28"/>
          <w:lang w:val="en-US" w:eastAsia="zh-CN" w:bidi="ar-SA"/>
        </w:rPr>
        <w:t>与《霍山县城市排水（雨水）防涝综合规划》（2014-2030）符合性分析</w:t>
      </w:r>
    </w:p>
    <w:p w14:paraId="4E03F529">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val="0"/>
          <w:bCs/>
          <w:color w:val="000000"/>
          <w:kern w:val="0"/>
          <w:sz w:val="24"/>
          <w:highlight w:val="none"/>
          <w:lang w:val="en-US" w:eastAsia="zh-CN"/>
        </w:rPr>
      </w:pPr>
      <w:r>
        <w:rPr>
          <w:rFonts w:hint="default" w:ascii="Times New Roman" w:hAnsi="Times New Roman" w:eastAsia="宋体" w:cs="Times New Roman"/>
          <w:color w:val="000000"/>
          <w:lang w:eastAsia="zh-CN"/>
        </w:rPr>
        <w:t>根据</w:t>
      </w:r>
      <w:r>
        <w:rPr>
          <w:rFonts w:hint="default" w:ascii="Times New Roman" w:hAnsi="Times New Roman" w:eastAsia="宋体" w:cs="Times New Roman"/>
          <w:color w:val="000000"/>
        </w:rPr>
        <w:t>《霍山县城市排水（</w:t>
      </w:r>
      <w:r>
        <w:rPr>
          <w:rFonts w:hint="default" w:ascii="Times New Roman" w:hAnsi="Times New Roman" w:eastAsia="宋体" w:cs="Times New Roman"/>
          <w:color w:val="000000"/>
          <w:spacing w:val="2"/>
        </w:rPr>
        <w:t>雨水</w:t>
      </w:r>
      <w:r>
        <w:rPr>
          <w:rFonts w:hint="default" w:ascii="Times New Roman" w:hAnsi="Times New Roman" w:eastAsia="宋体" w:cs="Times New Roman"/>
          <w:color w:val="000000"/>
          <w:spacing w:val="4"/>
        </w:rPr>
        <w:t>）</w:t>
      </w:r>
      <w:r>
        <w:rPr>
          <w:rFonts w:hint="default" w:ascii="Times New Roman" w:hAnsi="Times New Roman" w:eastAsia="宋体" w:cs="Times New Roman"/>
          <w:color w:val="000000"/>
        </w:rPr>
        <w:t>防涝综合规划（2014-2030）</w:t>
      </w:r>
      <w:r>
        <w:rPr>
          <w:rFonts w:hint="default" w:ascii="Times New Roman" w:hAnsi="Times New Roman" w:eastAsia="宋体" w:cs="Times New Roman"/>
          <w:color w:val="000000"/>
          <w:spacing w:val="2"/>
        </w:rPr>
        <w:t>》规划目标</w:t>
      </w:r>
      <w:r>
        <w:rPr>
          <w:rFonts w:hint="default" w:ascii="Times New Roman" w:hAnsi="Times New Roman" w:eastAsia="宋体" w:cs="Times New Roman"/>
          <w:color w:val="000000"/>
          <w:spacing w:val="2"/>
          <w:lang w:eastAsia="zh-CN"/>
        </w:rPr>
        <w:t>：</w:t>
      </w:r>
      <w:r>
        <w:rPr>
          <w:rFonts w:hint="default" w:ascii="Times New Roman" w:hAnsi="Times New Roman" w:eastAsia="宋体" w:cs="Times New Roman"/>
          <w:b w:val="0"/>
          <w:bCs/>
          <w:color w:val="000000"/>
          <w:kern w:val="0"/>
          <w:sz w:val="24"/>
          <w:highlight w:val="none"/>
          <w:lang w:val="en-US" w:eastAsia="zh-CN"/>
        </w:rPr>
        <w:t>统筹气象降雨、地表径流、雨水管网系统、城市内河，在霍山县总体规划指导下，根据相关规划要求，完善城市排水防涝体系，提高城市排水防涝系统功能，促进城市排水防涝设施规划建设，促进城市快速、健康、可持续发展。至规划期末，通过规划的实施，最大限度保证在城市内涝防治标准以内的暴雨不造成灾害，不造成较大的经济损失和人员伤亡。</w:t>
      </w:r>
    </w:p>
    <w:p w14:paraId="3F6606E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kern w:val="0"/>
          <w:sz w:val="24"/>
          <w:highlight w:val="none"/>
        </w:rPr>
        <w:t>本</w:t>
      </w:r>
      <w:r>
        <w:rPr>
          <w:rFonts w:hint="default" w:ascii="Times New Roman" w:hAnsi="Times New Roman" w:eastAsia="宋体" w:cs="Times New Roman"/>
          <w:color w:val="000000"/>
          <w:kern w:val="0"/>
          <w:sz w:val="24"/>
          <w:highlight w:val="none"/>
          <w:lang w:val="en-US" w:eastAsia="zh-CN"/>
        </w:rPr>
        <w:t>项目</w:t>
      </w:r>
      <w:r>
        <w:rPr>
          <w:rFonts w:hint="default" w:ascii="Times New Roman" w:hAnsi="Times New Roman" w:eastAsia="宋体" w:cs="Times New Roman"/>
          <w:color w:val="000000"/>
          <w:kern w:val="0"/>
          <w:sz w:val="24"/>
          <w:highlight w:val="none"/>
        </w:rPr>
        <w:t>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lang w:eastAsia="zh-CN"/>
        </w:rPr>
        <w:t>，通过区域排涝工程建设，解决区域排涝能力不足、排水沟渠不成系统的问题；通过高庙河、柳林河、新店河等霍山县城区排涝通道整治，解决排涝通道防洪排涝不达标，护岸损毁、滩地坡面裸露、河床下切等问题；通过排水管网改造工程，保证柳林河沿岸生活污水</w:t>
      </w:r>
      <w:r>
        <w:rPr>
          <w:rFonts w:hint="eastAsia" w:eastAsia="宋体" w:cs="Times New Roman"/>
          <w:color w:val="000000"/>
          <w:lang w:eastAsia="zh-CN"/>
        </w:rPr>
        <w:t>收</w:t>
      </w:r>
      <w:r>
        <w:rPr>
          <w:rFonts w:hint="default" w:ascii="Times New Roman" w:hAnsi="Times New Roman" w:eastAsia="宋体" w:cs="Times New Roman"/>
          <w:color w:val="000000"/>
          <w:lang w:eastAsia="zh-CN"/>
        </w:rPr>
        <w:t>集排放，促进污水处理提质增效。项目整体提升霍山县城区排水防涝能力。</w:t>
      </w:r>
    </w:p>
    <w:p w14:paraId="40797732">
      <w:pPr>
        <w:bidi w:val="0"/>
        <w:rPr>
          <w:rFonts w:hint="eastAsia" w:eastAsia="宋体"/>
          <w:color w:val="000000"/>
          <w:lang w:val="en-US" w:eastAsia="zh-CN"/>
        </w:rPr>
      </w:pPr>
      <w:r>
        <w:rPr>
          <w:rFonts w:hint="default" w:ascii="Times New Roman" w:hAnsi="Times New Roman" w:eastAsia="宋体" w:cs="Times New Roman"/>
          <w:color w:val="000000"/>
          <w:kern w:val="0"/>
          <w:sz w:val="24"/>
          <w:highlight w:val="none"/>
          <w:lang w:val="en-US" w:eastAsia="zh-CN"/>
        </w:rPr>
        <w:t>因此，本项目的建设</w:t>
      </w:r>
      <w:r>
        <w:rPr>
          <w:rFonts w:hint="default" w:ascii="Times New Roman" w:hAnsi="Times New Roman" w:eastAsia="宋体" w:cs="Times New Roman"/>
          <w:color w:val="000000"/>
          <w:kern w:val="0"/>
          <w:sz w:val="24"/>
          <w:highlight w:val="none"/>
        </w:rPr>
        <w:t>符合</w:t>
      </w:r>
      <w:r>
        <w:rPr>
          <w:rFonts w:hint="default" w:ascii="Times New Roman" w:hAnsi="Times New Roman" w:eastAsia="宋体" w:cs="Times New Roman"/>
          <w:color w:val="000000"/>
          <w:kern w:val="0"/>
          <w:sz w:val="24"/>
          <w:highlight w:val="none"/>
          <w:lang w:val="en-US" w:eastAsia="zh-CN"/>
        </w:rPr>
        <w:t>《霍山县城市排水（雨水）防涝综合规划》（2014-2030）</w:t>
      </w:r>
      <w:r>
        <w:rPr>
          <w:rFonts w:hint="default" w:ascii="Times New Roman" w:hAnsi="Times New Roman" w:eastAsia="宋体" w:cs="Times New Roman"/>
          <w:color w:val="000000"/>
          <w:kern w:val="0"/>
          <w:sz w:val="24"/>
          <w:highlight w:val="none"/>
        </w:rPr>
        <w:t>的要求。</w:t>
      </w:r>
    </w:p>
    <w:p w14:paraId="6D170A35">
      <w:pPr>
        <w:pStyle w:val="4"/>
        <w:bidi w:val="0"/>
        <w:rPr>
          <w:color w:val="000000"/>
        </w:rPr>
      </w:pPr>
      <w:bookmarkStart w:id="87" w:name="_Toc26109"/>
      <w:bookmarkStart w:id="88" w:name="_Toc7704"/>
      <w:r>
        <w:rPr>
          <w:rFonts w:hint="eastAsia"/>
          <w:color w:val="000000"/>
          <w:lang w:val="en-US" w:eastAsia="zh-CN"/>
        </w:rPr>
        <w:t>2.5 与六安市“三线一单”</w:t>
      </w:r>
      <w:r>
        <w:rPr>
          <w:color w:val="000000"/>
        </w:rPr>
        <w:t>相符性分析</w:t>
      </w:r>
      <w:bookmarkEnd w:id="87"/>
      <w:bookmarkEnd w:id="88"/>
    </w:p>
    <w:p w14:paraId="0CBC21AC">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szCs w:val="24"/>
          <w:lang w:val="en-US" w:eastAsia="zh-CN" w:bidi="ar"/>
        </w:rPr>
        <w:t>根据生态环境部《关于实施“三线一单”生态环境分区管控的指导意见（试行）》（环环评〔2021〕108号），“三线一单”指生态保护红线、环境质量底线、资源利用上线和环境准入负面清单。本工程与“三线一单”相符性判定如下：</w:t>
      </w:r>
    </w:p>
    <w:p w14:paraId="0CE9FCA0">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color w:val="000000"/>
        </w:rPr>
      </w:pPr>
      <w:r>
        <w:rPr>
          <w:rFonts w:hint="default" w:ascii="Times New Roman" w:hAnsi="Times New Roman" w:eastAsia="宋体" w:cs="Times New Roman"/>
          <w:b/>
          <w:bCs/>
          <w:color w:val="000000"/>
          <w:kern w:val="0"/>
          <w:sz w:val="24"/>
          <w:szCs w:val="24"/>
          <w:lang w:val="en-US" w:eastAsia="zh-CN" w:bidi="ar"/>
        </w:rPr>
        <w:t>（1）与生态保护红线符合性分析</w:t>
      </w:r>
    </w:p>
    <w:p w14:paraId="76B2A1D7">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eastAsia" w:eastAsia="宋体" w:cs="Times New Roman"/>
          <w:color w:val="000000"/>
          <w:kern w:val="0"/>
          <w:sz w:val="24"/>
          <w:highlight w:val="none"/>
          <w:lang w:val="en-US" w:eastAsia="zh-CN"/>
        </w:rPr>
        <w:t>本项目用地位于霍山县佛子岭镇、黑石渡镇和衡山镇境内，根据2025年11月19日《霍山县自然资源和规划局关于六安市霍山县排水防涝能力提升项目预审与规划选址意见的复函》（霍自然资函[2025]38号）中内容可知，本工程用地范围内不涉及占用生态保护红线和永久基本农田。</w:t>
      </w:r>
    </w:p>
    <w:p w14:paraId="23289E39">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（2）与环境质量底线及分区管控符合性分析</w:t>
      </w:r>
    </w:p>
    <w:p w14:paraId="56092CE7">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both"/>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szCs w:val="24"/>
          <w:lang w:val="en-US" w:eastAsia="zh-CN" w:bidi="ar"/>
        </w:rPr>
        <w:t>根据</w:t>
      </w:r>
      <w:r>
        <w:rPr>
          <w:rFonts w:hint="default" w:ascii="Times New Roman" w:hAnsi="Times New Roman" w:eastAsia="宋体" w:cs="Times New Roman"/>
          <w:color w:val="000000"/>
          <w:highlight w:val="none"/>
          <w:lang w:val="en-US" w:eastAsia="zh-CN"/>
        </w:rPr>
        <w:t>《2024年霍山县环境质量报告》</w:t>
      </w:r>
      <w:r>
        <w:rPr>
          <w:rFonts w:hint="default" w:ascii="Times New Roman" w:hAnsi="Times New Roman" w:eastAsia="宋体" w:cs="Times New Roman"/>
          <w:color w:val="000000"/>
          <w:kern w:val="0"/>
          <w:sz w:val="24"/>
          <w:szCs w:val="24"/>
          <w:lang w:val="en-US" w:eastAsia="zh-CN" w:bidi="ar"/>
        </w:rPr>
        <w:t>可知，2024年</w:t>
      </w:r>
      <w:r>
        <w:rPr>
          <w:rFonts w:hint="eastAsia" w:ascii="Times New Roman" w:hAnsi="Times New Roman" w:eastAsia="宋体" w:cs="Times New Roman"/>
          <w:color w:val="000000"/>
          <w:kern w:val="0"/>
          <w:sz w:val="24"/>
          <w:szCs w:val="24"/>
          <w:lang w:val="en-US" w:eastAsia="zh-CN" w:bidi="ar"/>
        </w:rPr>
        <w:t>霍山县</w:t>
      </w:r>
      <w:r>
        <w:rPr>
          <w:rFonts w:hint="default" w:ascii="Times New Roman" w:hAnsi="Times New Roman" w:eastAsia="宋体" w:cs="Times New Roman"/>
          <w:color w:val="000000"/>
          <w:kern w:val="0"/>
          <w:sz w:val="24"/>
          <w:szCs w:val="24"/>
          <w:lang w:val="en-US" w:eastAsia="zh-CN" w:bidi="ar"/>
        </w:rPr>
        <w:t>各监测点的NO</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default" w:ascii="Times New Roman" w:hAnsi="Times New Roman" w:eastAsia="宋体" w:cs="Times New Roman"/>
          <w:color w:val="000000"/>
          <w:kern w:val="0"/>
          <w:sz w:val="24"/>
          <w:szCs w:val="24"/>
          <w:lang w:val="en-US" w:eastAsia="zh-CN" w:bidi="ar"/>
        </w:rPr>
        <w:t>、CO、</w:t>
      </w:r>
      <w:r>
        <w:rPr>
          <w:rFonts w:hint="eastAsia"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15"/>
          <w:szCs w:val="15"/>
          <w:lang w:val="en-US" w:eastAsia="zh-CN" w:bidi="ar"/>
        </w:rPr>
        <w:t>10</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default" w:ascii="Times New Roman" w:hAnsi="Times New Roman" w:eastAsia="宋体" w:cs="Times New Roman"/>
          <w:color w:val="000000"/>
          <w:kern w:val="0"/>
          <w:sz w:val="24"/>
          <w:szCs w:val="24"/>
          <w:lang w:val="en-US" w:eastAsia="zh-CN" w:bidi="ar"/>
        </w:rPr>
        <w:t>、</w:t>
      </w:r>
      <w:r>
        <w:rPr>
          <w:rFonts w:hint="eastAsia"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15"/>
          <w:szCs w:val="15"/>
          <w:lang w:val="en-US" w:eastAsia="zh-CN" w:bidi="ar"/>
        </w:rPr>
        <w:t>2.5</w:t>
      </w:r>
      <w:r>
        <w:rPr>
          <w:rFonts w:hint="default" w:ascii="Times New Roman" w:hAnsi="Times New Roman" w:eastAsia="宋体" w:cs="Times New Roman"/>
          <w:color w:val="000000"/>
          <w:kern w:val="0"/>
          <w:sz w:val="24"/>
          <w:szCs w:val="24"/>
          <w:lang w:val="en-US" w:eastAsia="zh-CN" w:bidi="ar"/>
        </w:rPr>
        <w:t>浓度均满足《环境空气质量标准》（GB3095-2012）中二级标准要求；地表水环境质量各项指标达到《地表水环境质量标准》（GB3838-2002）II类标准限值要求；不会突破项目所在地的环境质量底线。</w:t>
      </w:r>
    </w:p>
    <w:p w14:paraId="0E5A5D58">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①大气环境质量底线及分区管控符合性分析</w:t>
      </w:r>
    </w:p>
    <w:p w14:paraId="2493572E">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eastAsia="zh-CN"/>
        </w:rPr>
        <w:t>结合大气环境优先保护区管控要求及大气环境受体敏感重点管控区要求，本项目为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sz w:val="24"/>
          <w:highlight w:val="none"/>
          <w:lang w:eastAsia="zh-CN"/>
        </w:rPr>
        <w:t>，不属于新建、扩建涉及大气污染物排放的各类工业项目及生活垃圾焚烧发电项目。同时，本项目无</w:t>
      </w:r>
      <w:r>
        <w:rPr>
          <w:rFonts w:hint="default" w:ascii="Times New Roman" w:hAnsi="Times New Roman" w:eastAsia="宋体" w:cs="Times New Roman"/>
          <w:color w:val="000000"/>
          <w:sz w:val="24"/>
          <w:highlight w:val="none"/>
        </w:rPr>
        <w:t>有毒有害烟尘和恶臭气体的物质</w:t>
      </w:r>
      <w:r>
        <w:rPr>
          <w:rFonts w:hint="default" w:ascii="Times New Roman" w:hAnsi="Times New Roman" w:eastAsia="宋体" w:cs="Times New Roman"/>
          <w:color w:val="000000"/>
          <w:sz w:val="24"/>
          <w:highlight w:val="none"/>
          <w:lang w:eastAsia="zh-CN"/>
        </w:rPr>
        <w:t>排放、无</w:t>
      </w:r>
      <w:r>
        <w:rPr>
          <w:rFonts w:hint="default" w:ascii="Times New Roman" w:hAnsi="Times New Roman" w:eastAsia="宋体" w:cs="Times New Roman"/>
          <w:color w:val="000000"/>
          <w:sz w:val="24"/>
          <w:highlight w:val="none"/>
        </w:rPr>
        <w:t>黑烟等明显可视污染物的非道路移动柴油工程机械</w:t>
      </w:r>
      <w:r>
        <w:rPr>
          <w:rFonts w:hint="default" w:ascii="Times New Roman" w:hAnsi="Times New Roman" w:eastAsia="宋体" w:cs="Times New Roman"/>
          <w:color w:val="000000"/>
          <w:sz w:val="24"/>
          <w:highlight w:val="none"/>
          <w:lang w:eastAsia="zh-CN"/>
        </w:rPr>
        <w:t>，运营期无大气污染物排放，仅在施工期有少量施工扬尘扩散，</w:t>
      </w:r>
      <w:r>
        <w:rPr>
          <w:rFonts w:hint="default" w:ascii="Times New Roman" w:hAnsi="Times New Roman" w:eastAsia="宋体" w:cs="Times New Roman"/>
          <w:color w:val="000000"/>
          <w:sz w:val="24"/>
          <w:highlight w:val="none"/>
        </w:rPr>
        <w:t>可满足</w:t>
      </w:r>
      <w:r>
        <w:rPr>
          <w:rFonts w:hint="default" w:ascii="Times New Roman" w:hAnsi="Times New Roman" w:eastAsia="宋体" w:cs="Times New Roman"/>
          <w:color w:val="000000"/>
          <w:sz w:val="24"/>
          <w:highlight w:val="none"/>
          <w:lang w:eastAsia="zh-CN"/>
        </w:rPr>
        <w:t>大气环境优先保护区管控要求及大气环境受体敏感重点管控区</w:t>
      </w:r>
      <w:r>
        <w:rPr>
          <w:rFonts w:hint="default" w:ascii="Times New Roman" w:hAnsi="Times New Roman" w:eastAsia="宋体" w:cs="Times New Roman"/>
          <w:color w:val="000000"/>
          <w:sz w:val="24"/>
          <w:highlight w:val="none"/>
        </w:rPr>
        <w:t>管控要求。</w:t>
      </w:r>
    </w:p>
    <w:p w14:paraId="4AC343BD">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②水环境质量底线及分区管控符合性分析</w:t>
      </w:r>
    </w:p>
    <w:p w14:paraId="163C3848">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lang w:eastAsia="zh-CN"/>
        </w:rPr>
        <w:t>本项目为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sz w:val="24"/>
          <w:highlight w:val="none"/>
          <w:lang w:eastAsia="zh-CN"/>
        </w:rPr>
        <w:t>，不属于</w:t>
      </w:r>
      <w:r>
        <w:rPr>
          <w:rFonts w:hint="default" w:ascii="Times New Roman" w:hAnsi="Times New Roman" w:eastAsia="宋体" w:cs="Times New Roman"/>
          <w:color w:val="000000"/>
          <w:kern w:val="2"/>
          <w:sz w:val="24"/>
          <w:szCs w:val="24"/>
          <w:highlight w:val="none"/>
          <w:lang w:val="en-US" w:eastAsia="zh-CN" w:bidi="ar-SA"/>
        </w:rPr>
        <w:t>在饮用水水源一级保护区内新建、改建、扩建与供水设施和保护水源无关的建设项目及不属于对水体污染严重的建设项目</w:t>
      </w:r>
      <w:r>
        <w:rPr>
          <w:rFonts w:hint="default" w:ascii="Times New Roman" w:hAnsi="Times New Roman" w:eastAsia="宋体" w:cs="Times New Roman"/>
          <w:color w:val="000000"/>
          <w:sz w:val="24"/>
          <w:highlight w:val="none"/>
          <w:lang w:eastAsia="zh-CN"/>
        </w:rPr>
        <w:t>。同时项目确保河湖面积不减少、生态功能不退化。本</w:t>
      </w:r>
      <w:r>
        <w:rPr>
          <w:rFonts w:hint="default" w:ascii="Times New Roman" w:hAnsi="Times New Roman" w:eastAsia="宋体" w:cs="Times New Roman"/>
          <w:color w:val="000000"/>
          <w:sz w:val="24"/>
          <w:highlight w:val="none"/>
        </w:rPr>
        <w:t>项目</w:t>
      </w:r>
      <w:r>
        <w:rPr>
          <w:rFonts w:hint="default" w:ascii="Times New Roman" w:hAnsi="Times New Roman" w:eastAsia="宋体" w:cs="Times New Roman"/>
          <w:color w:val="000000"/>
          <w:sz w:val="24"/>
          <w:highlight w:val="none"/>
          <w:lang w:eastAsia="zh-CN"/>
        </w:rPr>
        <w:t>废水只在施工期产生设备清洗废水，设置沉淀池沉淀后，用于场地洒水抑尘、车辆冲洗等，不外排，因此本项目符合水环境优先保护区及</w:t>
      </w:r>
      <w:r>
        <w:rPr>
          <w:rFonts w:hint="default" w:ascii="Times New Roman" w:hAnsi="Times New Roman" w:eastAsia="宋体" w:cs="Times New Roman"/>
          <w:color w:val="000000"/>
          <w:sz w:val="24"/>
          <w:highlight w:val="none"/>
        </w:rPr>
        <w:t>水环境一般管控区</w:t>
      </w:r>
      <w:r>
        <w:rPr>
          <w:rFonts w:hint="default" w:ascii="Times New Roman" w:hAnsi="Times New Roman" w:eastAsia="宋体" w:cs="Times New Roman"/>
          <w:color w:val="000000"/>
          <w:sz w:val="24"/>
          <w:highlight w:val="none"/>
          <w:lang w:eastAsia="zh-CN"/>
        </w:rPr>
        <w:t>管控要求。</w:t>
      </w:r>
    </w:p>
    <w:p w14:paraId="1609827F">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③土壤环境质量底线及分区管控符合性分析</w:t>
      </w:r>
    </w:p>
    <w:p w14:paraId="5107DC11">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eastAsia="zh-CN"/>
        </w:rPr>
      </w:pPr>
      <w:r>
        <w:rPr>
          <w:rFonts w:hint="default" w:ascii="Times New Roman" w:hAnsi="Times New Roman" w:eastAsia="宋体" w:cs="Times New Roman"/>
          <w:color w:val="000000"/>
          <w:sz w:val="24"/>
          <w:highlight w:val="none"/>
        </w:rPr>
        <w:t>本项目</w:t>
      </w:r>
      <w:r>
        <w:rPr>
          <w:rFonts w:hint="default" w:ascii="Times New Roman" w:hAnsi="Times New Roman" w:eastAsia="宋体" w:cs="Times New Roman"/>
          <w:color w:val="000000"/>
          <w:sz w:val="24"/>
          <w:highlight w:val="none"/>
          <w:lang w:eastAsia="zh-CN"/>
        </w:rPr>
        <w:t>为</w:t>
      </w:r>
      <w:r>
        <w:rPr>
          <w:rFonts w:hint="default" w:ascii="Times New Roman" w:hAnsi="Times New Roman" w:eastAsia="宋体" w:cs="Times New Roman"/>
          <w:color w:val="000000"/>
        </w:rPr>
        <w:t>六安市霍山县排水防涝能力提升项目</w:t>
      </w:r>
      <w:r>
        <w:rPr>
          <w:rFonts w:hint="default" w:ascii="Times New Roman" w:hAnsi="Times New Roman" w:eastAsia="宋体" w:cs="Times New Roman"/>
          <w:color w:val="000000"/>
          <w:sz w:val="24"/>
          <w:highlight w:val="none"/>
          <w:lang w:eastAsia="zh-CN"/>
        </w:rPr>
        <w:t>，不排放重点污染物，</w:t>
      </w:r>
      <w:r>
        <w:rPr>
          <w:rFonts w:hint="default" w:ascii="Times New Roman" w:hAnsi="Times New Roman" w:eastAsia="宋体" w:cs="Times New Roman"/>
          <w:color w:val="000000"/>
          <w:sz w:val="24"/>
          <w:highlight w:val="none"/>
        </w:rPr>
        <w:t>不存在土壤、地下水污染途径。项目根据《建设项目环境影响报告表编制技术指南（</w:t>
      </w:r>
      <w:r>
        <w:rPr>
          <w:rFonts w:hint="default" w:ascii="Times New Roman" w:hAnsi="Times New Roman" w:eastAsia="宋体" w:cs="Times New Roman"/>
          <w:color w:val="000000"/>
          <w:sz w:val="24"/>
          <w:highlight w:val="none"/>
          <w:lang w:eastAsia="zh-CN"/>
        </w:rPr>
        <w:t>生态</w:t>
      </w:r>
      <w:r>
        <w:rPr>
          <w:rFonts w:hint="default" w:ascii="Times New Roman" w:hAnsi="Times New Roman" w:eastAsia="宋体" w:cs="Times New Roman"/>
          <w:color w:val="000000"/>
          <w:sz w:val="24"/>
          <w:highlight w:val="none"/>
        </w:rPr>
        <w:t>影响类）》（试行），不开展土壤环境质量现状评价。因此，符合其相关管控要求。</w:t>
      </w:r>
    </w:p>
    <w:p w14:paraId="28926F43">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本项目产生的环境影响经防治措施治理后，能保障基本环境质量要求的安全线。总体来看，项目符合环境质量底线要求。</w:t>
      </w:r>
    </w:p>
    <w:p w14:paraId="04E62B54">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⑶资源利用上限符合性分析</w:t>
      </w:r>
    </w:p>
    <w:p w14:paraId="175C27AD">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本项目占用的资源包括：土地、水、电等资源，经分析，项目占用的资源相较于区域资源利用上线的比重很小，符合资源利用上线的要求。</w:t>
      </w:r>
    </w:p>
    <w:p w14:paraId="7AD2503C">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rPr>
      </w:pPr>
      <w:r>
        <w:rPr>
          <w:rFonts w:hint="default" w:ascii="Times New Roman" w:hAnsi="Times New Roman" w:eastAsia="宋体" w:cs="Times New Roman"/>
          <w:color w:val="000000"/>
          <w:sz w:val="24"/>
          <w:highlight w:val="none"/>
        </w:rPr>
        <w:t>⑷环境准入清单符合性分析</w:t>
      </w:r>
    </w:p>
    <w:p w14:paraId="450A9CAA">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项目评价范围内不涉及生态红线保护区域，不属于禁止开发建设活动、限制开发建设活动、不符合空间布局要求活动的范围内，符合单元有关空间布局约束、污染物排放管控、环境风险防控、资源开发效率要求等相关管控要求，符合生态环境准入清单要求。</w:t>
      </w:r>
    </w:p>
    <w:p w14:paraId="72A99366">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综上所述，本项目的建设符合“三线一单”控制条件要求。</w:t>
      </w:r>
    </w:p>
    <w:p w14:paraId="6761EE19">
      <w:pPr>
        <w:pStyle w:val="54"/>
        <w:keepNext w:val="0"/>
        <w:keepLines w:val="0"/>
        <w:suppressLineNumbers w:val="0"/>
        <w:spacing w:before="0" w:beforeAutospacing="0" w:after="0" w:afterAutospacing="0"/>
        <w:ind w:left="0" w:leftChars="0" w:right="0" w:firstLine="0" w:firstLineChars="0"/>
        <w:rPr>
          <w:rFonts w:hint="default" w:ascii="Times New Roman" w:hAnsi="Times New Roman" w:eastAsia="黑体" w:cs="Times New Roman"/>
          <w:b/>
          <w:color w:val="000000"/>
          <w:kern w:val="2"/>
          <w:sz w:val="30"/>
          <w:szCs w:val="30"/>
          <w:lang w:val="en-US" w:eastAsia="zh-CN" w:bidi="ar-SA"/>
        </w:rPr>
      </w:pPr>
      <w:bookmarkStart w:id="89" w:name="_Toc24334"/>
      <w:r>
        <w:rPr>
          <w:rFonts w:hint="eastAsia" w:ascii="Times New Roman" w:hAnsi="Times New Roman" w:eastAsia="黑体" w:cs="Times New Roman"/>
          <w:b/>
          <w:color w:val="000000"/>
          <w:kern w:val="2"/>
          <w:sz w:val="30"/>
          <w:szCs w:val="30"/>
          <w:lang w:val="en-US" w:eastAsia="zh-CN" w:bidi="ar-SA"/>
        </w:rPr>
        <w:t>2.6</w:t>
      </w:r>
      <w:r>
        <w:rPr>
          <w:rFonts w:hint="default" w:ascii="Times New Roman" w:hAnsi="Times New Roman" w:eastAsia="黑体" w:cs="Times New Roman"/>
          <w:b/>
          <w:color w:val="000000"/>
          <w:kern w:val="2"/>
          <w:sz w:val="30"/>
          <w:szCs w:val="30"/>
          <w:lang w:val="en-US" w:eastAsia="zh-CN" w:bidi="ar-SA"/>
        </w:rPr>
        <w:t>与</w:t>
      </w:r>
      <w:r>
        <w:rPr>
          <w:rFonts w:hint="eastAsia" w:ascii="Times New Roman" w:hAnsi="Times New Roman" w:eastAsia="黑体" w:cs="Times New Roman"/>
          <w:b/>
          <w:color w:val="000000"/>
          <w:kern w:val="2"/>
          <w:sz w:val="30"/>
          <w:szCs w:val="30"/>
          <w:lang w:val="en-US" w:eastAsia="zh-CN" w:bidi="ar-SA"/>
        </w:rPr>
        <w:t>霍山</w:t>
      </w:r>
      <w:r>
        <w:rPr>
          <w:rFonts w:hint="default" w:ascii="Times New Roman" w:hAnsi="Times New Roman" w:eastAsia="黑体" w:cs="Times New Roman"/>
          <w:b/>
          <w:color w:val="000000"/>
          <w:kern w:val="2"/>
          <w:sz w:val="30"/>
          <w:szCs w:val="30"/>
          <w:lang w:val="en-US" w:eastAsia="zh-CN" w:bidi="ar-SA"/>
        </w:rPr>
        <w:t>县“三区三线”划定成果相符性分析</w:t>
      </w:r>
      <w:bookmarkEnd w:id="89"/>
    </w:p>
    <w:p w14:paraId="17553A21">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“三区三线”：“三区”是指城镇空间、农业空间、生态空间。“三线”是指城镇开发边界、永久基本农田、生态保护红线。依据</w:t>
      </w:r>
      <w:r>
        <w:rPr>
          <w:rFonts w:hint="eastAsia" w:ascii="Times New Roman" w:hAnsi="Times New Roman" w:cs="Times New Roman"/>
          <w:color w:val="000000"/>
          <w:szCs w:val="21"/>
          <w:lang w:val="en-US" w:eastAsia="zh-CN"/>
        </w:rPr>
        <w:t>霍山</w:t>
      </w:r>
      <w:r>
        <w:rPr>
          <w:rFonts w:hint="default" w:ascii="Times New Roman" w:hAnsi="Times New Roman" w:cs="Times New Roman"/>
          <w:color w:val="000000"/>
          <w:szCs w:val="21"/>
          <w:lang w:val="en-US"/>
        </w:rPr>
        <w:t>县“三区三线”划定成果相关内容，“三区三线”是按照耕地和永久基本农田、生态保护红线、城镇开发边界的优先顺序，在国土空间规划中统筹划定落实三条控制线，做到现状耕地应保尽保、用划尽划，确保三条控制线不交叉、不重叠、不冲突。其中：</w:t>
      </w:r>
    </w:p>
    <w:p w14:paraId="6D0DE2E5">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永久基本农田需落实严格的耕地保护制度，保质保量划定永久基本农田，建立完善基本农田储备区，实施现有耕地提质改造，促进耕地规模化、集中化。</w:t>
      </w:r>
    </w:p>
    <w:p w14:paraId="3B456EA0">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生态保护红线需统筹考虑全县自然生态系统，划定全县生态保护红线。生态保护红线按照禁止建设区管理，坚持严格保护、分级管控、损害追责、违法严惩原则。</w:t>
      </w:r>
    </w:p>
    <w:p w14:paraId="6221617B">
      <w:pPr>
        <w:pStyle w:val="39"/>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000000"/>
          <w:szCs w:val="21"/>
          <w:lang w:val="en-US"/>
        </w:rPr>
      </w:pPr>
      <w:r>
        <w:rPr>
          <w:rFonts w:hint="default" w:ascii="Times New Roman" w:hAnsi="Times New Roman" w:cs="Times New Roman"/>
          <w:color w:val="000000"/>
          <w:szCs w:val="21"/>
          <w:lang w:val="en-US"/>
        </w:rPr>
        <w:t>城镇开发边界需基于国土空间开发适宜性评价及资源环境承载力评价，避让永久基本农田和生态保护红线，划定城镇开发边界。城镇开发边界外建设用地有序腾退，不得进行城镇集中建设。</w:t>
      </w:r>
    </w:p>
    <w:p w14:paraId="56A0F8FC">
      <w:pPr>
        <w:pStyle w:val="39"/>
        <w:keepNext w:val="0"/>
        <w:keepLines w:val="0"/>
        <w:suppressLineNumbers w:val="0"/>
        <w:autoSpaceDE w:val="0"/>
        <w:autoSpaceDN w:val="0"/>
        <w:spacing w:before="0" w:beforeAutospacing="0" w:after="0" w:afterAutospacing="0" w:line="360" w:lineRule="auto"/>
        <w:ind w:left="0" w:right="0" w:firstLine="480" w:firstLineChars="200"/>
        <w:rPr>
          <w:rFonts w:hint="eastAsia" w:ascii="Times New Roman" w:hAnsi="Times New Roman" w:cs="Times New Roman"/>
          <w:color w:val="000000"/>
          <w:szCs w:val="21"/>
          <w:lang w:val="en-US" w:eastAsia="zh-CN"/>
        </w:rPr>
      </w:pPr>
      <w:r>
        <w:rPr>
          <w:rFonts w:hint="default" w:ascii="Times New Roman" w:hAnsi="Times New Roman" w:cs="Times New Roman"/>
          <w:color w:val="000000"/>
          <w:szCs w:val="21"/>
          <w:highlight w:val="none"/>
          <w:lang w:val="en-US"/>
        </w:rPr>
        <w:t>本</w:t>
      </w:r>
      <w:r>
        <w:rPr>
          <w:rFonts w:hint="default" w:ascii="Times New Roman" w:hAnsi="Times New Roman" w:cs="Times New Roman"/>
          <w:color w:val="000000"/>
          <w:szCs w:val="21"/>
          <w:highlight w:val="none"/>
          <w:lang w:val="en-US" w:eastAsia="zh-CN"/>
        </w:rPr>
        <w:t>项目</w:t>
      </w:r>
      <w:r>
        <w:rPr>
          <w:rFonts w:hint="default" w:ascii="Times New Roman" w:hAnsi="Times New Roman" w:cs="Times New Roman"/>
          <w:color w:val="000000"/>
          <w:szCs w:val="21"/>
          <w:highlight w:val="none"/>
          <w:lang w:val="en-US"/>
        </w:rPr>
        <w:t>为六安市霍山县排水防涝能力提升项目</w:t>
      </w:r>
      <w:r>
        <w:rPr>
          <w:rFonts w:hint="default" w:ascii="Times New Roman" w:hAnsi="Times New Roman" w:cs="Times New Roman"/>
          <w:color w:val="000000"/>
          <w:szCs w:val="21"/>
          <w:highlight w:val="none"/>
          <w:lang w:val="en-US" w:eastAsia="zh-CN"/>
        </w:rPr>
        <w:t>，通过区域排涝工程建设，解决区域排涝能力不足、排水沟渠不成系统的问题，保障区域工农业生产及人民群众的生命财产安全，促进霍山县经济发展。</w:t>
      </w:r>
      <w:r>
        <w:rPr>
          <w:rFonts w:hint="eastAsia" w:ascii="Times New Roman" w:hAnsi="Times New Roman" w:cs="Times New Roman"/>
          <w:color w:val="000000"/>
          <w:szCs w:val="21"/>
          <w:highlight w:val="none"/>
          <w:lang w:val="en-US" w:eastAsia="zh-CN"/>
        </w:rPr>
        <w:t>项目</w:t>
      </w:r>
      <w:r>
        <w:rPr>
          <w:rFonts w:hint="default" w:ascii="Times New Roman" w:hAnsi="Times New Roman" w:cs="Times New Roman"/>
          <w:color w:val="000000"/>
          <w:szCs w:val="21"/>
          <w:highlight w:val="none"/>
          <w:lang w:val="en-US"/>
        </w:rPr>
        <w:t>所在场址用地主要为水域及水利设施用地，经套合部质检通过的“三区三线”划定成果，项目用地部分位于城镇开发边界内，不涉及占用永久基本农田，不涉及生态保护红线，符合现行规划管控规则。三区三线</w:t>
      </w:r>
      <w:r>
        <w:rPr>
          <w:rFonts w:hint="eastAsia" w:ascii="Times New Roman" w:hAnsi="Times New Roman" w:cs="Times New Roman"/>
          <w:color w:val="000000"/>
          <w:szCs w:val="21"/>
          <w:highlight w:val="none"/>
          <w:lang w:val="en-US" w:eastAsia="zh-CN"/>
        </w:rPr>
        <w:t>套合图</w:t>
      </w:r>
      <w:r>
        <w:rPr>
          <w:rFonts w:hint="eastAsia" w:ascii="Times New Roman" w:hAnsi="Times New Roman" w:cs="Times New Roman"/>
          <w:color w:val="000000"/>
          <w:szCs w:val="21"/>
          <w:lang w:val="en-US" w:eastAsia="zh-CN"/>
        </w:rPr>
        <w:t>见图2.6-1。</w:t>
      </w:r>
    </w:p>
    <w:p w14:paraId="7BD51D63">
      <w:pPr>
        <w:jc w:val="left"/>
        <w:rPr>
          <w:rFonts w:hint="default"/>
          <w:color w:val="000000"/>
          <w:lang w:val="en-US" w:eastAsia="zh-CN"/>
        </w:rPr>
        <w:sectPr>
          <w:pgSz w:w="11911" w:h="16838"/>
          <w:pgMar w:top="850" w:right="1417" w:bottom="850" w:left="1701" w:header="794" w:footer="1123" w:gutter="0"/>
          <w:pgBorders>
            <w:top w:val="none" w:sz="0" w:space="0"/>
            <w:left w:val="none" w:sz="0" w:space="0"/>
            <w:bottom w:val="none" w:sz="0" w:space="0"/>
            <w:right w:val="none" w:sz="0" w:space="0"/>
          </w:pgBorders>
          <w:pgNumType w:fmt="decimal"/>
          <w:cols w:space="720" w:num="1"/>
          <w:rtlGutter w:val="0"/>
          <w:docGrid w:linePitch="312" w:charSpace="0"/>
        </w:sectPr>
      </w:pPr>
    </w:p>
    <w:bookmarkEnd w:id="86"/>
    <w:p w14:paraId="56E4112D">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0" w:firstLineChars="200"/>
        <w:jc w:val="center"/>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pict>
          <v:shape id="_x0000_i1032" o:spt="75" alt="606b4a5c-0f40-4ece-afc7-7ef9438f734f" type="#_x0000_t75" style="height:404.9pt;width:563.15pt;" filled="f" o:preferrelative="t" stroked="f" coordsize="21600,21600">
            <v:path/>
            <v:fill on="f" focussize="0,0"/>
            <v:stroke on="f"/>
            <v:imagedata r:id="rId46" o:title="606b4a5c-0f40-4ece-afc7-7ef9438f734f"/>
            <o:lock v:ext="edit" aspectratio="t"/>
            <w10:wrap type="none"/>
            <w10:anchorlock/>
          </v:shape>
        </w:pict>
      </w:r>
    </w:p>
    <w:p w14:paraId="53DB1378">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482" w:firstLineChars="200"/>
        <w:jc w:val="center"/>
        <w:textAlignment w:val="auto"/>
        <w:rPr>
          <w:rFonts w:hint="eastAsia" w:ascii="Times New Roman" w:hAnsi="Times New Roman" w:cs="Times New Roman"/>
          <w:b/>
          <w:bCs/>
          <w:color w:val="000000"/>
          <w:szCs w:val="21"/>
          <w:highlight w:val="none"/>
          <w:lang w:val="en-US" w:eastAsia="zh-CN"/>
        </w:rPr>
        <w:sectPr>
          <w:pgSz w:w="16838" w:h="11911" w:orient="landscape"/>
          <w:pgMar w:top="1701" w:right="1417" w:bottom="1417" w:left="1417" w:header="794" w:footer="1123" w:gutter="0"/>
          <w:pgBorders>
            <w:top w:val="none" w:sz="0" w:space="0"/>
            <w:left w:val="none" w:sz="0" w:space="0"/>
            <w:bottom w:val="none" w:sz="0" w:space="0"/>
            <w:right w:val="none" w:sz="0" w:space="0"/>
          </w:pgBorders>
          <w:pgNumType w:fmt="decimal"/>
          <w:cols w:space="720" w:num="1"/>
          <w:rtlGutter w:val="0"/>
          <w:docGrid w:linePitch="0" w:charSpace="0"/>
        </w:sectPr>
      </w:pPr>
      <w:r>
        <w:rPr>
          <w:rFonts w:hint="eastAsia" w:ascii="Times New Roman" w:hAnsi="Times New Roman" w:cs="Times New Roman"/>
          <w:b/>
          <w:bCs/>
          <w:color w:val="000000"/>
          <w:szCs w:val="21"/>
          <w:lang w:val="en-US" w:eastAsia="zh-CN"/>
        </w:rPr>
        <w:t xml:space="preserve">图2.6-1  </w:t>
      </w:r>
      <w:r>
        <w:rPr>
          <w:rFonts w:hint="default" w:ascii="Times New Roman" w:hAnsi="Times New Roman" w:cs="Times New Roman"/>
          <w:b/>
          <w:bCs/>
          <w:color w:val="000000"/>
          <w:szCs w:val="21"/>
          <w:highlight w:val="none"/>
          <w:lang w:val="en-US"/>
        </w:rPr>
        <w:t>三区三线</w:t>
      </w:r>
      <w:r>
        <w:rPr>
          <w:rFonts w:hint="eastAsia" w:ascii="Times New Roman" w:hAnsi="Times New Roman" w:cs="Times New Roman"/>
          <w:b/>
          <w:bCs/>
          <w:color w:val="000000"/>
          <w:szCs w:val="21"/>
          <w:highlight w:val="none"/>
          <w:lang w:val="en-US" w:eastAsia="zh-CN"/>
        </w:rPr>
        <w:t>套合图</w:t>
      </w:r>
    </w:p>
    <w:p w14:paraId="15496016">
      <w:pPr>
        <w:keepNext w:val="0"/>
        <w:keepLines w:val="0"/>
        <w:pageBreakBefore w:val="0"/>
        <w:widowControl w:val="0"/>
        <w:suppressLineNumbers w:val="0"/>
        <w:kinsoku/>
        <w:wordWrap/>
        <w:topLinePunct w:val="0"/>
        <w:bidi w:val="0"/>
        <w:adjustRightInd/>
        <w:snapToGrid/>
        <w:spacing w:before="0" w:beforeAutospacing="0" w:after="0" w:afterAutospacing="0" w:line="360" w:lineRule="auto"/>
        <w:ind w:left="0" w:leftChars="0" w:right="0" w:rightChars="0" w:firstLine="0" w:firstLineChars="0"/>
        <w:jc w:val="center"/>
        <w:textAlignment w:val="auto"/>
        <w:rPr>
          <w:rStyle w:val="58"/>
          <w:rFonts w:hint="eastAsia"/>
          <w:color w:val="000000"/>
          <w:lang w:val="en-US" w:eastAsia="zh-CN"/>
        </w:rPr>
      </w:pPr>
      <w:bookmarkStart w:id="90" w:name="_Toc25901"/>
      <w:bookmarkStart w:id="91" w:name="_Toc20990"/>
      <w:r>
        <w:rPr>
          <w:rStyle w:val="58"/>
          <w:rFonts w:hint="eastAsia"/>
          <w:color w:val="000000"/>
          <w:lang w:val="en-US" w:eastAsia="zh-CN"/>
        </w:rPr>
        <w:t>3 霍山县概况</w:t>
      </w:r>
      <w:bookmarkEnd w:id="90"/>
    </w:p>
    <w:bookmarkEnd w:id="91"/>
    <w:p w14:paraId="38FABBBC">
      <w:pPr>
        <w:bidi w:val="0"/>
        <w:ind w:firstLine="480" w:firstLineChars="200"/>
        <w:outlineLvl w:val="9"/>
        <w:rPr>
          <w:rFonts w:hint="eastAsia"/>
          <w:color w:val="000000"/>
          <w:lang w:val="en-US" w:eastAsia="zh-CN"/>
        </w:rPr>
      </w:pPr>
      <w:bookmarkStart w:id="92" w:name="_Toc5523"/>
      <w:r>
        <w:rPr>
          <w:rFonts w:hint="eastAsia" w:ascii="Times New Roman" w:hAnsi="Times New Roman" w:eastAsia="宋体" w:cs="Times New Roman"/>
          <w:b w:val="0"/>
          <w:color w:val="000000"/>
          <w:kern w:val="2"/>
          <w:sz w:val="24"/>
          <w:szCs w:val="24"/>
          <w:lang w:val="en-US" w:eastAsia="zh-CN" w:bidi="ar-SA"/>
        </w:rPr>
        <w:t>霍山县土地总面积306.6万亩，林地面积237.6万亩，占土地总面积的77.5%，森林覆盖率75.93%。属北亚热带湿润季风气候区，是国家级生态县。</w:t>
      </w:r>
    </w:p>
    <w:p w14:paraId="4DC35AF6">
      <w:pPr>
        <w:pStyle w:val="4"/>
        <w:bidi w:val="0"/>
        <w:rPr>
          <w:rFonts w:hint="eastAsia"/>
          <w:color w:val="000000"/>
          <w:lang w:val="en-US" w:eastAsia="zh-CN"/>
        </w:rPr>
      </w:pPr>
      <w:bookmarkStart w:id="93" w:name="_Toc20837"/>
      <w:r>
        <w:rPr>
          <w:rFonts w:hint="eastAsia"/>
          <w:color w:val="000000"/>
          <w:lang w:val="en-US" w:eastAsia="zh-CN"/>
        </w:rPr>
        <w:t>3.1 地理位置</w:t>
      </w:r>
      <w:bookmarkEnd w:id="92"/>
      <w:bookmarkEnd w:id="93"/>
    </w:p>
    <w:p w14:paraId="2AEE3AE0">
      <w:pPr>
        <w:bidi w:val="0"/>
        <w:rPr>
          <w:rFonts w:hint="default"/>
          <w:color w:val="000000"/>
          <w:lang w:val="en-US" w:eastAsia="zh-CN"/>
        </w:rPr>
      </w:pPr>
      <w:r>
        <w:rPr>
          <w:rFonts w:hint="default"/>
          <w:color w:val="000000"/>
          <w:lang w:val="en-US" w:eastAsia="zh-CN"/>
        </w:rPr>
        <w:t>霍山县位于安徽西部、大别山腹地、淮河一级支流淠河上游，距省城合肥120公里，105国道和商景高速南北穿境，318、209省道东西贯通，曾为鄂豫皖红色区域中心。县域面积2043平方公里，地貌特征为“七山一水一分田，一分道路和庄园”，户籍人口356003人（数据来源于霍山县2023年统计公报），辖16个乡镇、1个省级经济开发区、124个行政村、20个社区，是一个山区县、库区县和革命老区县。</w:t>
      </w:r>
    </w:p>
    <w:p w14:paraId="01FAAC08">
      <w:pPr>
        <w:bidi w:val="0"/>
        <w:ind w:left="0" w:leftChars="0" w:firstLine="0" w:firstLineChars="0"/>
        <w:jc w:val="center"/>
        <w:rPr>
          <w:rFonts w:hint="eastAsia" w:ascii="黑体" w:hAnsi="黑体" w:eastAsia="黑体" w:cs="黑体"/>
          <w:color w:val="000000"/>
          <w:sz w:val="20"/>
          <w:szCs w:val="20"/>
          <w:lang w:eastAsia="zh-CN"/>
        </w:rPr>
      </w:pPr>
      <w:r>
        <w:rPr>
          <w:rFonts w:hint="default"/>
          <w:color w:val="000000"/>
          <w:lang w:val="en-US" w:eastAsia="zh-CN"/>
        </w:rPr>
        <w:pict>
          <v:shape id="_x0000_i1033" o:spt="75" alt="00f6fd71-4d2f-48a5-a484-555a4bb99e50" type="#_x0000_t75" style="height:413.95pt;width:426.75pt;" filled="f" o:preferrelative="t" stroked="f" coordsize="21600,21600">
            <v:path/>
            <v:fill on="f" focussize="0,0"/>
            <v:stroke on="f"/>
            <v:imagedata r:id="rId47" o:title="00f6fd71-4d2f-48a5-a484-555a4bb99e50"/>
            <o:lock v:ext="edit" aspectratio="t"/>
            <w10:wrap type="none"/>
            <w10:anchorlock/>
          </v:shape>
        </w:pict>
      </w:r>
    </w:p>
    <w:p w14:paraId="42CD0751">
      <w:pPr>
        <w:spacing w:before="159"/>
        <w:ind w:left="0" w:right="53" w:firstLine="0"/>
        <w:jc w:val="center"/>
        <w:rPr>
          <w:rFonts w:hint="default" w:ascii="黑体" w:hAnsi="黑体" w:eastAsia="黑体" w:cs="黑体"/>
          <w:color w:val="000000"/>
          <w:sz w:val="21"/>
          <w:szCs w:val="21"/>
        </w:rPr>
      </w:pPr>
      <w:r>
        <w:rPr>
          <w:rFonts w:hint="default" w:ascii="Times New Roman" w:hAnsi="Times New Roman" w:eastAsia="宋体" w:cs="Times New Roman"/>
          <w:b/>
          <w:bCs/>
          <w:color w:val="000000"/>
          <w:sz w:val="24"/>
          <w:szCs w:val="24"/>
        </w:rPr>
        <w:t>图</w:t>
      </w:r>
      <w:r>
        <w:rPr>
          <w:rFonts w:hint="default" w:ascii="Times New Roman" w:hAnsi="Times New Roman" w:eastAsia="宋体" w:cs="Times New Roman"/>
          <w:b/>
          <w:bCs/>
          <w:color w:val="000000"/>
          <w:sz w:val="24"/>
          <w:szCs w:val="24"/>
          <w:lang w:val="en-US" w:eastAsia="zh-CN"/>
        </w:rPr>
        <w:t>3.1-1</w:t>
      </w:r>
      <w:r>
        <w:rPr>
          <w:rFonts w:hint="default" w:ascii="Times New Roman" w:hAnsi="Times New Roman" w:eastAsia="宋体" w:cs="Times New Roman"/>
          <w:b/>
          <w:bCs/>
          <w:color w:val="000000"/>
          <w:spacing w:val="-1"/>
          <w:sz w:val="24"/>
          <w:szCs w:val="24"/>
        </w:rPr>
        <w:t xml:space="preserve"> </w:t>
      </w:r>
      <w:r>
        <w:rPr>
          <w:rFonts w:hint="default" w:ascii="Times New Roman" w:hAnsi="Times New Roman" w:eastAsia="宋体" w:cs="Times New Roman"/>
          <w:b/>
          <w:bCs/>
          <w:color w:val="000000"/>
          <w:sz w:val="24"/>
          <w:szCs w:val="24"/>
        </w:rPr>
        <w:t>工程区位图</w:t>
      </w:r>
    </w:p>
    <w:p w14:paraId="548B1466">
      <w:pPr>
        <w:pStyle w:val="4"/>
        <w:bidi w:val="0"/>
        <w:rPr>
          <w:rFonts w:hint="eastAsia"/>
          <w:color w:val="000000"/>
          <w:lang w:val="en-US" w:eastAsia="zh-CN"/>
        </w:rPr>
      </w:pPr>
      <w:bookmarkStart w:id="94" w:name="_Toc14319"/>
      <w:bookmarkStart w:id="95" w:name="_Toc7544"/>
      <w:r>
        <w:rPr>
          <w:rFonts w:hint="eastAsia"/>
          <w:color w:val="000000"/>
          <w:lang w:val="en-US" w:eastAsia="zh-CN"/>
        </w:rPr>
        <w:t>3.2</w:t>
      </w:r>
      <w:bookmarkEnd w:id="94"/>
      <w:r>
        <w:rPr>
          <w:rFonts w:hint="eastAsia"/>
          <w:color w:val="000000"/>
          <w:lang w:val="en-US" w:eastAsia="zh-CN"/>
        </w:rPr>
        <w:t>地质地貌</w:t>
      </w:r>
      <w:bookmarkEnd w:id="95"/>
    </w:p>
    <w:p w14:paraId="62A3DCCA">
      <w:pPr>
        <w:keepNext w:val="0"/>
        <w:keepLines w:val="0"/>
        <w:widowControl/>
        <w:suppressLineNumbers w:val="0"/>
        <w:jc w:val="left"/>
        <w:rPr>
          <w:rFonts w:hint="default"/>
          <w:color w:val="000000"/>
          <w:lang w:val="zh-CN"/>
        </w:rPr>
      </w:pPr>
      <w:r>
        <w:rPr>
          <w:rFonts w:hint="eastAsia" w:ascii="宋体" w:hAnsi="宋体" w:eastAsia="宋体" w:cs="宋体"/>
          <w:color w:val="000000"/>
          <w:kern w:val="0"/>
          <w:sz w:val="24"/>
          <w:szCs w:val="24"/>
          <w:lang w:val="en-US" w:eastAsia="zh-CN" w:bidi="ar"/>
        </w:rPr>
        <w:t>霍山县总体为山地地貌，地势由东南向西北倾斜。依次可分为中山、低山和丘陵畈区，并间有一些小型的河谷盆地。中山区位于县境西南部，大体范围在磨子潭、大化坪、漫水河、上土市、太阳、太平畈几个乡镇，面积</w:t>
      </w:r>
      <w:r>
        <w:rPr>
          <w:rFonts w:hint="default" w:ascii="Times New Roman" w:hAnsi="Times New Roman" w:eastAsia="宋体" w:cs="Times New Roman"/>
          <w:color w:val="000000"/>
          <w:kern w:val="0"/>
          <w:sz w:val="24"/>
          <w:szCs w:val="24"/>
          <w:lang w:val="en-US" w:eastAsia="zh-CN" w:bidi="ar"/>
        </w:rPr>
        <w:t>896</w:t>
      </w:r>
      <w:r>
        <w:rPr>
          <w:rFonts w:hint="eastAsia" w:ascii="宋体" w:hAnsi="宋体" w:eastAsia="宋体" w:cs="宋体"/>
          <w:color w:val="000000"/>
          <w:kern w:val="0"/>
          <w:sz w:val="24"/>
          <w:szCs w:val="24"/>
          <w:lang w:val="en-US" w:eastAsia="zh-CN" w:bidi="ar"/>
        </w:rPr>
        <w:t>平方千米，占全县总面积的</w:t>
      </w:r>
      <w:r>
        <w:rPr>
          <w:rFonts w:hint="default" w:ascii="Times New Roman" w:hAnsi="Times New Roman" w:eastAsia="宋体" w:cs="Times New Roman"/>
          <w:color w:val="000000"/>
          <w:kern w:val="0"/>
          <w:sz w:val="24"/>
          <w:szCs w:val="24"/>
          <w:lang w:val="en-US" w:eastAsia="zh-CN" w:bidi="ar"/>
        </w:rPr>
        <w:t>44%</w:t>
      </w:r>
      <w:r>
        <w:rPr>
          <w:rFonts w:hint="eastAsia" w:ascii="宋体" w:hAnsi="宋体" w:eastAsia="宋体" w:cs="宋体"/>
          <w:color w:val="000000"/>
          <w:kern w:val="0"/>
          <w:sz w:val="24"/>
          <w:szCs w:val="24"/>
          <w:lang w:val="en-US" w:eastAsia="zh-CN" w:bidi="ar"/>
        </w:rPr>
        <w:t>。该区山势雄峻，谷深坡陡，海拔大都在</w:t>
      </w:r>
      <w:r>
        <w:rPr>
          <w:rFonts w:hint="default" w:ascii="Times New Roman" w:hAnsi="Times New Roman" w:eastAsia="宋体" w:cs="Times New Roman"/>
          <w:color w:val="000000"/>
          <w:kern w:val="0"/>
          <w:sz w:val="24"/>
          <w:szCs w:val="24"/>
          <w:lang w:val="en-US" w:eastAsia="zh-CN" w:bidi="ar"/>
        </w:rPr>
        <w:t>800</w:t>
      </w:r>
      <w:r>
        <w:rPr>
          <w:rFonts w:hint="eastAsia" w:ascii="宋体" w:hAnsi="宋体" w:eastAsia="宋体" w:cs="宋体"/>
          <w:color w:val="000000"/>
          <w:kern w:val="0"/>
          <w:sz w:val="24"/>
          <w:szCs w:val="24"/>
          <w:lang w:val="en-US" w:eastAsia="zh-CN" w:bidi="ar"/>
        </w:rPr>
        <w:t>米以上，平均</w:t>
      </w:r>
      <w:r>
        <w:rPr>
          <w:rFonts w:hint="default" w:ascii="Times New Roman" w:hAnsi="Times New Roman" w:eastAsia="宋体" w:cs="Times New Roman"/>
          <w:color w:val="000000"/>
          <w:kern w:val="0"/>
          <w:sz w:val="24"/>
          <w:szCs w:val="24"/>
          <w:lang w:val="en-US" w:eastAsia="zh-CN" w:bidi="ar"/>
        </w:rPr>
        <w:t>1000</w:t>
      </w:r>
      <w:r>
        <w:rPr>
          <w:rFonts w:hint="eastAsia" w:ascii="宋体" w:hAnsi="宋体" w:eastAsia="宋体" w:cs="宋体"/>
          <w:color w:val="000000"/>
          <w:kern w:val="0"/>
          <w:sz w:val="24"/>
          <w:szCs w:val="24"/>
          <w:lang w:val="en-US" w:eastAsia="zh-CN" w:bidi="ar"/>
        </w:rPr>
        <w:t>米左右，最高处达</w:t>
      </w:r>
      <w:r>
        <w:rPr>
          <w:rFonts w:hint="default" w:ascii="Times New Roman" w:hAnsi="Times New Roman" w:eastAsia="宋体" w:cs="Times New Roman"/>
          <w:color w:val="000000"/>
          <w:kern w:val="0"/>
          <w:sz w:val="24"/>
          <w:szCs w:val="24"/>
          <w:lang w:val="en-US" w:eastAsia="zh-CN" w:bidi="ar"/>
        </w:rPr>
        <w:t>1700</w:t>
      </w:r>
      <w:r>
        <w:rPr>
          <w:rFonts w:hint="eastAsia" w:ascii="宋体" w:hAnsi="宋体" w:eastAsia="宋体" w:cs="宋体"/>
          <w:color w:val="000000"/>
          <w:kern w:val="0"/>
          <w:sz w:val="24"/>
          <w:szCs w:val="24"/>
          <w:lang w:val="en-US" w:eastAsia="zh-CN" w:bidi="ar"/>
        </w:rPr>
        <w:t>多米，千米以上的高峰几十座。大别山主峰白马尖及其姊妹峰多云尖，均坐落在这里。气候、植被、土壤呈明显的垂直分布，是用材林、水源涵养林和药材生长的主要区域。低山区位于县境中部，大致包括诸佛庵、落儿岭、黑石渡、佛子岭、单龙寺、东西溪几个乡镇，面积</w:t>
      </w:r>
      <w:r>
        <w:rPr>
          <w:rFonts w:hint="default" w:ascii="Times New Roman" w:hAnsi="Times New Roman" w:eastAsia="宋体" w:cs="Times New Roman"/>
          <w:color w:val="000000"/>
          <w:kern w:val="0"/>
          <w:sz w:val="24"/>
          <w:szCs w:val="24"/>
          <w:lang w:val="en-US" w:eastAsia="zh-CN" w:bidi="ar"/>
        </w:rPr>
        <w:t>713</w:t>
      </w:r>
      <w:r>
        <w:rPr>
          <w:rFonts w:hint="eastAsia" w:ascii="宋体" w:hAnsi="宋体" w:eastAsia="宋体" w:cs="宋体"/>
          <w:color w:val="000000"/>
          <w:kern w:val="0"/>
          <w:sz w:val="24"/>
          <w:szCs w:val="24"/>
          <w:lang w:val="en-US" w:eastAsia="zh-CN" w:bidi="ar"/>
        </w:rPr>
        <w:t>平方千米，占全县总面积的</w:t>
      </w:r>
      <w:r>
        <w:rPr>
          <w:rFonts w:hint="default" w:ascii="Times New Roman" w:hAnsi="Times New Roman" w:eastAsia="宋体" w:cs="Times New Roman"/>
          <w:color w:val="000000"/>
          <w:kern w:val="0"/>
          <w:sz w:val="24"/>
          <w:szCs w:val="24"/>
          <w:lang w:val="en-US" w:eastAsia="zh-CN" w:bidi="ar"/>
        </w:rPr>
        <w:t>35%</w:t>
      </w:r>
      <w:r>
        <w:rPr>
          <w:rFonts w:hint="eastAsia" w:ascii="宋体" w:hAnsi="宋体" w:eastAsia="宋体" w:cs="宋体"/>
          <w:color w:val="000000"/>
          <w:kern w:val="0"/>
          <w:sz w:val="24"/>
          <w:szCs w:val="24"/>
          <w:lang w:val="en-US" w:eastAsia="zh-CN" w:bidi="ar"/>
        </w:rPr>
        <w:t>。该区海拔</w:t>
      </w:r>
      <w:r>
        <w:rPr>
          <w:rFonts w:hint="default" w:ascii="Times New Roman" w:hAnsi="Times New Roman" w:eastAsia="宋体" w:cs="Times New Roman"/>
          <w:color w:val="000000"/>
          <w:kern w:val="0"/>
          <w:sz w:val="24"/>
          <w:szCs w:val="24"/>
          <w:lang w:val="en-US" w:eastAsia="zh-CN" w:bidi="ar"/>
        </w:rPr>
        <w:t>500-800</w:t>
      </w:r>
      <w:r>
        <w:rPr>
          <w:rFonts w:hint="eastAsia" w:ascii="宋体" w:hAnsi="宋体" w:eastAsia="宋体" w:cs="宋体"/>
          <w:color w:val="000000"/>
          <w:kern w:val="0"/>
          <w:sz w:val="24"/>
          <w:szCs w:val="24"/>
          <w:lang w:val="en-US" w:eastAsia="zh-CN" w:bidi="ar"/>
        </w:rPr>
        <w:t>米，山体破碎，坡度较缓，土地肥沃，水源充足，是以林木、毛竹、粮食为主的多种经营区。丘陵畈区位于县境东北部，基本范围为衡山、下符桥、但家庙、与儿街</w:t>
      </w: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镇，面积</w:t>
      </w:r>
      <w:r>
        <w:rPr>
          <w:rFonts w:hint="default" w:ascii="Times New Roman" w:hAnsi="Times New Roman" w:eastAsia="宋体" w:cs="Times New Roman"/>
          <w:color w:val="000000"/>
          <w:kern w:val="0"/>
          <w:sz w:val="24"/>
          <w:szCs w:val="24"/>
          <w:lang w:val="en-US" w:eastAsia="zh-CN" w:bidi="ar"/>
        </w:rPr>
        <w:t>434</w:t>
      </w:r>
      <w:r>
        <w:rPr>
          <w:rFonts w:hint="eastAsia" w:ascii="宋体" w:hAnsi="宋体" w:eastAsia="宋体" w:cs="宋体"/>
          <w:color w:val="000000"/>
          <w:kern w:val="0"/>
          <w:sz w:val="24"/>
          <w:szCs w:val="24"/>
          <w:lang w:val="en-US" w:eastAsia="zh-CN" w:bidi="ar"/>
        </w:rPr>
        <w:t>平方千米，占全县总面积的</w:t>
      </w:r>
      <w:r>
        <w:rPr>
          <w:rFonts w:hint="default" w:ascii="Times New Roman" w:hAnsi="Times New Roman" w:eastAsia="宋体" w:cs="Times New Roman"/>
          <w:color w:val="000000"/>
          <w:kern w:val="0"/>
          <w:sz w:val="24"/>
          <w:szCs w:val="24"/>
          <w:lang w:val="en-US" w:eastAsia="zh-CN" w:bidi="ar"/>
        </w:rPr>
        <w:t>21%</w:t>
      </w:r>
      <w:r>
        <w:rPr>
          <w:rFonts w:hint="eastAsia" w:ascii="宋体" w:hAnsi="宋体" w:eastAsia="宋体" w:cs="宋体"/>
          <w:color w:val="000000"/>
          <w:kern w:val="0"/>
          <w:sz w:val="24"/>
          <w:szCs w:val="24"/>
          <w:lang w:val="en-US" w:eastAsia="zh-CN" w:bidi="ar"/>
        </w:rPr>
        <w:t>。该区海拔</w:t>
      </w:r>
      <w:r>
        <w:rPr>
          <w:rFonts w:hint="default" w:ascii="Times New Roman" w:hAnsi="Times New Roman" w:eastAsia="宋体" w:cs="Times New Roman"/>
          <w:color w:val="000000"/>
          <w:kern w:val="0"/>
          <w:sz w:val="24"/>
          <w:szCs w:val="24"/>
          <w:lang w:val="en-US" w:eastAsia="zh-CN" w:bidi="ar"/>
        </w:rPr>
        <w:t>500</w:t>
      </w:r>
      <w:r>
        <w:rPr>
          <w:rFonts w:hint="eastAsia" w:ascii="宋体" w:hAnsi="宋体" w:eastAsia="宋体" w:cs="宋体"/>
          <w:color w:val="000000"/>
          <w:kern w:val="0"/>
          <w:sz w:val="24"/>
          <w:szCs w:val="24"/>
          <w:lang w:val="en-US" w:eastAsia="zh-CN" w:bidi="ar"/>
        </w:rPr>
        <w:t>米以下，最低处仅</w:t>
      </w:r>
      <w:r>
        <w:rPr>
          <w:rFonts w:hint="default" w:ascii="Times New Roman" w:hAnsi="Times New Roman" w:eastAsia="宋体" w:cs="Times New Roman"/>
          <w:color w:val="000000"/>
          <w:kern w:val="0"/>
          <w:sz w:val="24"/>
          <w:szCs w:val="24"/>
          <w:lang w:val="en-US" w:eastAsia="zh-CN" w:bidi="ar"/>
        </w:rPr>
        <w:t>50</w:t>
      </w:r>
      <w:r>
        <w:rPr>
          <w:rFonts w:hint="eastAsia" w:ascii="宋体" w:hAnsi="宋体" w:eastAsia="宋体" w:cs="宋体"/>
          <w:color w:val="000000"/>
          <w:kern w:val="0"/>
          <w:sz w:val="24"/>
          <w:szCs w:val="24"/>
          <w:lang w:val="en-US" w:eastAsia="zh-CN" w:bidi="ar"/>
        </w:rPr>
        <w:t>米。河谷宽阔，丘岗平地相间，光照、气候、土壤、水源等自然条件优越，是霍山县主要粮油产区。小型河谷盆地中山区、低山区和丘陵畈区皆有，较为典型的有霍山城关及上土市、太平畈、大化坪、诸佛庵、东西溪等乡镇政府所在地。</w:t>
      </w:r>
    </w:p>
    <w:p w14:paraId="4A603CDC">
      <w:pPr>
        <w:pStyle w:val="4"/>
        <w:bidi w:val="0"/>
        <w:rPr>
          <w:rFonts w:hint="eastAsia" w:ascii="Times New Roman" w:hAnsi="Times New Roman" w:cs="Times New Roman"/>
          <w:color w:val="000000"/>
          <w:lang w:val="en-US" w:eastAsia="zh-CN"/>
        </w:rPr>
      </w:pPr>
      <w:bookmarkStart w:id="96" w:name="_Toc22867"/>
      <w:bookmarkStart w:id="97" w:name="_Toc8599"/>
      <w:r>
        <w:rPr>
          <w:rFonts w:hint="eastAsia" w:ascii="Times New Roman" w:hAnsi="Times New Roman" w:cs="Times New Roman"/>
          <w:color w:val="000000"/>
          <w:lang w:val="en-US" w:eastAsia="zh-CN"/>
        </w:rPr>
        <w:t>3.3</w:t>
      </w:r>
      <w:bookmarkEnd w:id="96"/>
      <w:r>
        <w:rPr>
          <w:rFonts w:hint="eastAsia" w:ascii="Times New Roman" w:hAnsi="Times New Roman" w:cs="Times New Roman"/>
          <w:color w:val="000000"/>
          <w:lang w:val="en-US" w:eastAsia="zh-CN"/>
        </w:rPr>
        <w:t>气候概况</w:t>
      </w:r>
      <w:bookmarkEnd w:id="97"/>
    </w:p>
    <w:p w14:paraId="6E6589F2">
      <w:pPr>
        <w:bidi w:val="0"/>
        <w:ind w:firstLine="480" w:firstLineChars="200"/>
        <w:outlineLvl w:val="9"/>
        <w:rPr>
          <w:color w:val="000000"/>
        </w:rPr>
      </w:pPr>
      <w:r>
        <w:rPr>
          <w:rFonts w:hint="eastAsia" w:ascii="宋体" w:hAnsi="宋体" w:eastAsia="宋体" w:cs="宋体"/>
          <w:b w:val="0"/>
          <w:bCs/>
          <w:color w:val="000000"/>
          <w:sz w:val="24"/>
          <w:szCs w:val="24"/>
          <w:lang w:val="en-US" w:eastAsia="zh-CN"/>
        </w:rPr>
        <w:t>霍山县属北亚热带湿润季风气候区，主要气候特征是：季风气候明显，雨量充沛，冷热适中；区域差异和垂直变化大；光、热、水等气候资源丰富</w:t>
      </w:r>
      <w:r>
        <w:rPr>
          <w:rFonts w:hint="eastAsia" w:ascii="Times New Roman" w:hAnsi="Times New Roman" w:eastAsia="宋体" w:cs="Times New Roman"/>
          <w:b w:val="0"/>
          <w:color w:val="000000"/>
          <w:kern w:val="2"/>
          <w:sz w:val="24"/>
          <w:szCs w:val="24"/>
          <w:lang w:val="en-US" w:eastAsia="zh-CN" w:bidi="ar-SA"/>
        </w:rPr>
        <w:t>。</w:t>
      </w:r>
    </w:p>
    <w:p w14:paraId="45E93152">
      <w:pPr>
        <w:pStyle w:val="4"/>
        <w:bidi w:val="0"/>
        <w:rPr>
          <w:rFonts w:hint="eastAsia"/>
          <w:color w:val="000000"/>
          <w:lang w:val="en-US" w:eastAsia="zh-CN"/>
        </w:rPr>
      </w:pPr>
      <w:bookmarkStart w:id="98" w:name="_Toc17836"/>
      <w:bookmarkStart w:id="99" w:name="_Toc18084"/>
      <w:r>
        <w:rPr>
          <w:rFonts w:hint="eastAsia"/>
          <w:color w:val="000000"/>
          <w:lang w:val="en-US" w:eastAsia="zh-CN"/>
        </w:rPr>
        <w:t>3.4 河流水系</w:t>
      </w:r>
      <w:bookmarkEnd w:id="98"/>
      <w:bookmarkEnd w:id="99"/>
    </w:p>
    <w:p w14:paraId="69949BD9">
      <w:pPr>
        <w:bidi w:val="0"/>
        <w:rPr>
          <w:color w:val="000000"/>
        </w:rPr>
      </w:pPr>
      <w:r>
        <w:rPr>
          <w:color w:val="000000"/>
        </w:rPr>
        <w:t>霍山县溪河密布，水系发达。河流分属淮河流域的淠河水系，以及长江流域的杭埠河水系。淠河水系境内控制面积1911.9平方千米，占全县总流域面积的97.3%；杭埠河水系境内控制面积54平方千米，仅占全县总流域面积的2.7%。淠河水系又以东淠河为主，西淠河次之。东淠河发源于大别山北坡，是贯穿全县最大的一条河流，全长100多千米（主干道白佛子岭水库坝下至下符桥镇的团山嘴），宽10-950米，最大泄洪量4000立方米</w:t>
      </w:r>
      <w:r>
        <w:rPr>
          <w:rFonts w:hint="eastAsia"/>
          <w:color w:val="000000"/>
          <w:lang w:val="en-US" w:eastAsia="zh-CN"/>
        </w:rPr>
        <w:t>/</w:t>
      </w:r>
      <w:r>
        <w:rPr>
          <w:color w:val="000000"/>
        </w:rPr>
        <w:t>秒。该河总流域面积2663平方千米，县内控制面积1846.6平方千米。主要支流有漫水河（含马槽河、石羊河等）、黄尾河（境内河段为板河，含东流河、扫帚河等）、熊家河、深水河、孔家河。西淠河在境内只有诸佛庵镇的石家河与沿河涧，2条河总长22.6千米，宽3-30米，平均比降31.4%，洪峰流量145-314立方米</w:t>
      </w:r>
      <w:r>
        <w:rPr>
          <w:rFonts w:hint="eastAsia"/>
          <w:color w:val="000000"/>
          <w:lang w:val="en-US" w:eastAsia="zh-CN"/>
        </w:rPr>
        <w:t>/</w:t>
      </w:r>
      <w:r>
        <w:rPr>
          <w:color w:val="000000"/>
        </w:rPr>
        <w:t>秒，流域面积73平方千米。此外，境内还有下符桥镇的龙井河，不属东、西淠河，直人淠河总干流。杭埠河水系境内只有与儿街镇的真龙地河（下游为滑石河），以及东西溪乡的梅开河（下游为救母河）、杨三河（下游为石塞河），3条河在境内的长度、宽度和流量都较小。全县河流的主要特点是河道弯曲、切割深、落差大。同时，80%为内流河，呈同心状。虽然水流湍急，易发洪涝灾害，但蓄水及利用条件较好，水力资源丰富。全县河流密度每平方千米0.74千米，水域面积21.6万亩。。</w:t>
      </w:r>
    </w:p>
    <w:p w14:paraId="5D305C8A">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000000"/>
          <w:spacing w:val="-5"/>
          <w:sz w:val="24"/>
          <w:szCs w:val="24"/>
          <w:highlight w:val="none"/>
          <w:lang w:val="en-US" w:eastAsia="zh-CN"/>
        </w:rPr>
      </w:pPr>
      <w:r>
        <w:rPr>
          <w:rFonts w:hint="default" w:ascii="Times New Roman" w:hAnsi="Times New Roman" w:eastAsia="宋体" w:cs="Times New Roman"/>
          <w:b/>
          <w:bCs/>
          <w:color w:val="000000"/>
          <w:spacing w:val="-5"/>
          <w:sz w:val="24"/>
          <w:szCs w:val="24"/>
          <w:highlight w:val="none"/>
          <w:lang w:val="en-US" w:eastAsia="zh-CN"/>
        </w:rPr>
        <w:pict>
          <v:shape id="_x0000_i1034" o:spt="75" alt="a66f5ba8-5f21-4b65-84d5-c888283eb4a1" type="#_x0000_t75" style="height:510.2pt;width:365.95pt;" filled="f" o:preferrelative="t" stroked="f" coordsize="21600,21600">
            <v:path/>
            <v:fill on="f" focussize="0,0"/>
            <v:stroke on="f"/>
            <v:imagedata r:id="rId48" o:title="a66f5ba8-5f21-4b65-84d5-c888283eb4a1"/>
            <o:lock v:ext="edit" aspectratio="t"/>
            <w10:wrap type="none"/>
            <w10:anchorlock/>
          </v:shape>
        </w:pict>
      </w:r>
    </w:p>
    <w:p w14:paraId="1634FDDC">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0" w:firstLineChars="0"/>
        <w:jc w:val="center"/>
        <w:rPr>
          <w:rFonts w:hint="default" w:ascii="Times New Roman" w:hAnsi="Times New Roman" w:eastAsia="宋体" w:cs="Times New Roman"/>
          <w:b/>
          <w:bCs/>
          <w:color w:val="000000"/>
          <w:spacing w:val="-5"/>
          <w:sz w:val="24"/>
          <w:szCs w:val="24"/>
          <w:highlight w:val="none"/>
          <w:lang w:val="en-US" w:eastAsia="zh-CN"/>
        </w:rPr>
      </w:pPr>
      <w:r>
        <w:rPr>
          <w:rFonts w:hint="default" w:ascii="Times New Roman" w:hAnsi="Times New Roman" w:eastAsia="宋体" w:cs="Times New Roman"/>
          <w:b/>
          <w:bCs/>
          <w:color w:val="000000"/>
          <w:spacing w:val="-5"/>
          <w:sz w:val="24"/>
          <w:szCs w:val="24"/>
          <w:highlight w:val="none"/>
          <w:lang w:val="en-US" w:eastAsia="zh-CN"/>
        </w:rPr>
        <w:t>图</w:t>
      </w:r>
      <w:r>
        <w:rPr>
          <w:rFonts w:hint="eastAsia" w:cs="Times New Roman"/>
          <w:b/>
          <w:bCs/>
          <w:color w:val="000000"/>
          <w:spacing w:val="-5"/>
          <w:sz w:val="24"/>
          <w:szCs w:val="24"/>
          <w:highlight w:val="none"/>
          <w:lang w:val="en-US" w:eastAsia="zh-CN"/>
        </w:rPr>
        <w:t xml:space="preserve">3-1 </w:t>
      </w:r>
      <w:r>
        <w:rPr>
          <w:rFonts w:hint="default" w:ascii="Times New Roman" w:hAnsi="Times New Roman" w:eastAsia="宋体" w:cs="Times New Roman"/>
          <w:b/>
          <w:bCs/>
          <w:color w:val="000000"/>
          <w:spacing w:val="-5"/>
          <w:sz w:val="24"/>
          <w:szCs w:val="24"/>
          <w:highlight w:val="none"/>
          <w:lang w:val="en-US" w:eastAsia="zh-CN"/>
        </w:rPr>
        <w:t>六安市水系图</w:t>
      </w:r>
    </w:p>
    <w:p w14:paraId="30B43AD7">
      <w:pPr>
        <w:pStyle w:val="3"/>
        <w:bidi w:val="0"/>
        <w:rPr>
          <w:rFonts w:hint="default"/>
          <w:color w:val="000000"/>
          <w:lang w:val="en-US"/>
        </w:rPr>
      </w:pPr>
      <w:r>
        <w:rPr>
          <w:rStyle w:val="58"/>
          <w:rFonts w:hint="eastAsia"/>
          <w:b/>
          <w:bCs/>
          <w:color w:val="000000"/>
          <w:lang w:val="en-US" w:eastAsia="zh-CN"/>
        </w:rPr>
        <w:br w:type="page"/>
      </w:r>
      <w:bookmarkStart w:id="100" w:name="_Toc22308"/>
      <w:bookmarkStart w:id="101" w:name="_Toc17396"/>
      <w:r>
        <w:rPr>
          <w:rFonts w:hint="eastAsia"/>
          <w:color w:val="000000"/>
          <w:lang w:val="en-US" w:eastAsia="zh-CN"/>
        </w:rPr>
        <w:t>4 生态环境现状</w:t>
      </w:r>
      <w:bookmarkEnd w:id="100"/>
      <w:bookmarkEnd w:id="101"/>
    </w:p>
    <w:p w14:paraId="11235E1D">
      <w:pPr>
        <w:pStyle w:val="4"/>
        <w:bidi w:val="0"/>
        <w:rPr>
          <w:rFonts w:hint="default" w:ascii="Times New Roman" w:hAnsi="Times New Roman" w:cs="Times New Roman"/>
          <w:color w:val="000000"/>
          <w:lang w:val="en-US" w:eastAsia="zh-CN"/>
        </w:rPr>
      </w:pPr>
      <w:bookmarkStart w:id="102" w:name="_Toc3216"/>
      <w:bookmarkStart w:id="103" w:name="_Toc17551"/>
      <w:r>
        <w:rPr>
          <w:rFonts w:hint="eastAsia"/>
          <w:color w:val="000000"/>
          <w:lang w:val="en-US" w:eastAsia="zh-CN"/>
        </w:rPr>
        <w:t xml:space="preserve">4.1 </w:t>
      </w:r>
      <w:bookmarkEnd w:id="102"/>
      <w:r>
        <w:rPr>
          <w:rFonts w:hint="default" w:ascii="Times New Roman" w:hAnsi="Times New Roman" w:cs="Times New Roman"/>
          <w:color w:val="000000"/>
          <w:lang w:val="en-US" w:eastAsia="zh-CN"/>
        </w:rPr>
        <w:t>生态环境现状</w:t>
      </w:r>
      <w:bookmarkEnd w:id="103"/>
    </w:p>
    <w:p w14:paraId="34B42D4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eastAsia" w:ascii="Times New Roman" w:hAnsi="Times New Roman" w:eastAsia="宋体" w:cs="Times New Roman"/>
          <w:color w:val="000000"/>
          <w:kern w:val="0"/>
          <w:sz w:val="24"/>
          <w:highlight w:val="none"/>
          <w:lang w:eastAsia="zh-CN"/>
        </w:rPr>
        <w:t>（1）</w:t>
      </w:r>
      <w:r>
        <w:rPr>
          <w:rFonts w:hint="default" w:ascii="Times New Roman" w:hAnsi="Times New Roman" w:eastAsia="宋体" w:cs="Times New Roman"/>
          <w:color w:val="000000"/>
          <w:kern w:val="0"/>
          <w:sz w:val="24"/>
          <w:highlight w:val="none"/>
        </w:rPr>
        <w:t>主体功能区规划</w:t>
      </w:r>
    </w:p>
    <w:p w14:paraId="77117C8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default" w:ascii="Times New Roman" w:hAnsi="Times New Roman" w:eastAsia="宋体" w:cs="Times New Roman"/>
          <w:color w:val="000000"/>
          <w:kern w:val="0"/>
          <w:sz w:val="24"/>
          <w:highlight w:val="none"/>
          <w:lang w:val="en-US" w:eastAsia="zh-CN"/>
        </w:rPr>
        <w:t>根据《全国主体功能区规划》、《安徽省主体功能区规划》，安徽省主体功能区划分为重点开发区域、限制开发区域和禁止开发区域三类，没有优化开发区。</w:t>
      </w:r>
    </w:p>
    <w:p w14:paraId="55D99FC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本项目位于安徽省六安市霍山县境内，区域属于“限制开发区域-国家重点生态功能区-六安片区（霍山县）”，国家重点生态功能区主要分布于皖西大别山区，包括金寨、霍山、岳西、太湖、潜山、石台县，属国家大别山水土保持生态功能区，国土面积1.34万平方公里，占全省国土面积9.60%。</w:t>
      </w:r>
    </w:p>
    <w:p w14:paraId="1239D76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该区域是淮河中游和长江下游的重要水源补给区，土壤侵蚀敏感性程度高，山地生态系统功能退化，水土流失严重，是全国重要的水土保持型和水源涵养型生态功能区，是全省乃至长三角地区的重要生态屏障。</w:t>
      </w:r>
    </w:p>
    <w:p w14:paraId="5401B0E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——遏制区域水土流失。禁止毁林开荒，逐步恢复和扩大森林植被，增强水土保持能力，确保水库、湖泊安全。</w:t>
      </w:r>
    </w:p>
    <w:p w14:paraId="6CC7580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lang w:val="en-US" w:eastAsia="zh-CN"/>
        </w:rPr>
        <w:t>——加强流域综合治理。开展封山育林，河、湖、库上游要大力营造水源涵养林和水土保持林，加快区域生态防护林体系建设，提高防洪减灾能力，减轻对长江、淮河的洪水压力。</w:t>
      </w:r>
    </w:p>
    <w:p w14:paraId="7DBD771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default" w:ascii="Times New Roman" w:hAnsi="Times New Roman" w:eastAsia="宋体" w:cs="Times New Roman"/>
          <w:color w:val="000000"/>
          <w:kern w:val="0"/>
          <w:sz w:val="24"/>
          <w:highlight w:val="none"/>
          <w:lang w:val="en-US" w:eastAsia="zh-CN"/>
        </w:rPr>
        <w:t>——严格监管资源开发。禁止发展与生态保护相矛盾的产业和项目，加大矿山环境整治和生态修复力度，控制人为因素对土壤的侵蚀。适度合理开发旅游资源和农产品资源。</w:t>
      </w:r>
    </w:p>
    <w:p w14:paraId="7356440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kern w:val="0"/>
          <w:sz w:val="24"/>
          <w:highlight w:val="none"/>
        </w:rPr>
        <w:t>本项目为县城排水防涝能力提升项目。</w:t>
      </w:r>
      <w:r>
        <w:rPr>
          <w:rFonts w:hint="default" w:ascii="Times New Roman" w:hAnsi="Times New Roman" w:eastAsia="宋体" w:cs="Times New Roman"/>
          <w:color w:val="000000"/>
          <w:kern w:val="0"/>
          <w:sz w:val="24"/>
          <w:highlight w:val="none"/>
          <w:lang w:val="en-US" w:eastAsia="zh-CN"/>
        </w:rPr>
        <w:t>工程实施能够增加污水收集率和处理率，保护片区水环境，提升片区排涝标准。对改善片区水环境和水安全以及保障片区经济、社会发展具有战略意义。同时能够有效完善市政基础设施建设，对提高区域整体环境和形象，实现乡村振兴有很大的作用，项目建设不会改变区域的功能区划，符合安徽省主体功能。</w:t>
      </w:r>
      <w:r>
        <w:rPr>
          <w:rFonts w:hint="eastAsia" w:cs="Times New Roman"/>
          <w:color w:val="000000"/>
          <w:kern w:val="0"/>
          <w:sz w:val="24"/>
          <w:highlight w:val="none"/>
          <w:lang w:val="en-US" w:eastAsia="zh-CN"/>
        </w:rPr>
        <w:t>本项目</w:t>
      </w:r>
      <w:r>
        <w:rPr>
          <w:rFonts w:hint="default"/>
          <w:color w:val="000000"/>
          <w:spacing w:val="3"/>
          <w:sz w:val="24"/>
        </w:rPr>
        <w:t>不涉及生态保护红线和占用永久基本农田。</w:t>
      </w:r>
    </w:p>
    <w:p w14:paraId="6845FE3D">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4"/>
          <w:highlight w:val="none"/>
          <w:lang w:val="en-US" w:eastAsia="zh-CN"/>
        </w:rPr>
      </w:pPr>
      <w:r>
        <w:rPr>
          <w:rFonts w:hint="default" w:ascii="Times New Roman" w:hAnsi="Times New Roman" w:eastAsia="宋体" w:cs="Times New Roman"/>
          <w:color w:val="000000"/>
          <w:sz w:val="24"/>
        </w:rPr>
        <w:pict>
          <v:shape id="矩形标注 4" o:spid="_x0000_s1026" o:spt="61" type="#_x0000_t61" style="position:absolute;left:0pt;margin-left:44.2pt;margin-top:288.7pt;height:26.25pt;width:64.45pt;z-index:251664384;v-text-anchor:middle;mso-width-relative:page;mso-height-relative:page;" filled="f" stroked="t" coordsize="21600,21600" o:gfxdata="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RCiJb2wAAAAoBAAAPAAAAAAAAAAEAIAAAACIAAABkcnMvZG93bnJl&#10;di54bWxQSwECFAAUAAAACACHTuJAM40KI6UCAAAuBQAADgAAAAAAAAABACAAAAAqAQAAZHJzL2Uy&#10;b0RvYy54bWxQSwUGAAAAAAYABgBZAQAAQQYAAAAA&#10;" adj="26392,32955">
            <v:path/>
            <v:fill on="f" focussize="0,0"/>
            <v:stroke weight="2pt" color="#FF0000" joinstyle="round"/>
            <v:imagedata o:title=""/>
            <o:lock v:ext="edit" aspectratio="f"/>
            <v:textbox>
              <w:txbxContent>
                <w:p w14:paraId="0A68FED1">
                  <w:pPr>
                    <w:spacing w:line="240" w:lineRule="auto"/>
                    <w:ind w:left="0" w:leftChars="0" w:firstLine="0" w:firstLineChars="0"/>
                    <w:jc w:val="both"/>
                    <w:rPr>
                      <w:rFonts w:hint="default" w:eastAsia="宋体"/>
                      <w:color w:val="FF0000"/>
                      <w:sz w:val="18"/>
                      <w:szCs w:val="18"/>
                      <w:lang w:val="en-US" w:eastAsia="zh-CN"/>
                    </w:rPr>
                  </w:pPr>
                  <w:r>
                    <w:rPr>
                      <w:rFonts w:hint="eastAsia"/>
                      <w:color w:val="FF0000"/>
                      <w:sz w:val="18"/>
                      <w:szCs w:val="18"/>
                      <w:lang w:val="en-US" w:eastAsia="zh-CN"/>
                    </w:rPr>
                    <w:t>项目所在地</w:t>
                  </w:r>
                </w:p>
              </w:txbxContent>
            </v:textbox>
          </v:shape>
        </w:pict>
      </w:r>
      <w:r>
        <w:rPr>
          <w:rFonts w:hint="default" w:ascii="Times New Roman" w:hAnsi="Times New Roman" w:eastAsia="宋体" w:cs="Times New Roman"/>
          <w:color w:val="000000"/>
          <w:sz w:val="24"/>
        </w:rPr>
        <w:pict>
          <v:shape id="五角星 3" o:spid="_x0000_s1027" style="position:absolute;left:0pt;margin-left:122.95pt;margin-top:323.05pt;height:8.25pt;width:9pt;z-index:251663360;v-text-anchor:middle;mso-width-relative:page;mso-height-relative:page;" fillcolor="#FFFF00" filled="t" stroked="t" coordsize="114300,104775" o:gfxdata="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ABVnibaAAAACwEAAA8AAAAAAAAAAQAgAAAAIgAAAGRycy9k&#10;b3ducmV2LnhtbFBLAQIUABQAAAAIAIdO4kBh5SoUcgIAAOwEAAAOAAAAAAAAAAEAIAAAACkBAABk&#10;cnMvZTJvRG9jLnhtbFBLBQYAAAAABgAGAFkBAAANBgAAAAA=&#10;" path="m0,40020l43658,40020,57150,0,70641,40020,114299,40020,78978,64754,92470,104774,57150,80040,21829,104774,35321,64754xe">
            <v:path o:connectlocs="57150,0;0,40020;21829,104774;92470,104774;114299,40020" o:connectangles="247,164,82,82,0"/>
            <v:fill on="t" focussize="0,0"/>
            <v:stroke weight="2pt" color="#FFFF00" joinstyle="round"/>
            <v:imagedata o:title=""/>
            <o:lock v:ext="edit" aspectratio="f"/>
          </v:shape>
        </w:pict>
      </w:r>
      <w:r>
        <w:rPr>
          <w:rFonts w:hint="default" w:ascii="Times New Roman" w:hAnsi="Times New Roman" w:eastAsia="宋体" w:cs="Times New Roman"/>
          <w:color w:val="000000"/>
          <w:sz w:val="24"/>
          <w:szCs w:val="24"/>
        </w:rPr>
        <w:pict>
          <v:shape id="_x0000_i1035" o:spt="75" alt="IMG_256" type="#_x0000_t75" style="height:546.1pt;width:390.5pt;" filled="f" o:preferrelative="t" stroked="f" coordsize="21600,21600">
            <v:path/>
            <v:fill on="f" focussize="0,0"/>
            <v:stroke on="f"/>
            <v:imagedata r:id="rId40" o:title="IMG_256"/>
            <o:lock v:ext="edit" aspectratio="t"/>
            <w10:wrap type="none"/>
            <w10:anchorlock/>
          </v:shape>
        </w:pict>
      </w:r>
    </w:p>
    <w:p w14:paraId="4E5D28F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b/>
          <w:bCs/>
          <w:color w:val="000000"/>
          <w:kern w:val="0"/>
          <w:sz w:val="24"/>
          <w:highlight w:val="none"/>
          <w:lang w:val="en-US" w:eastAsia="zh-CN"/>
        </w:rPr>
      </w:pPr>
      <w:r>
        <w:rPr>
          <w:rFonts w:hint="default" w:ascii="Times New Roman" w:hAnsi="Times New Roman" w:eastAsia="宋体" w:cs="Times New Roman"/>
          <w:b/>
          <w:bCs/>
          <w:color w:val="000000"/>
          <w:kern w:val="0"/>
          <w:sz w:val="24"/>
          <w:highlight w:val="none"/>
          <w:lang w:val="en-US" w:eastAsia="zh-CN"/>
        </w:rPr>
        <w:t>图</w:t>
      </w:r>
      <w:r>
        <w:rPr>
          <w:rFonts w:hint="eastAsia" w:cs="Times New Roman"/>
          <w:b/>
          <w:bCs/>
          <w:color w:val="000000"/>
          <w:kern w:val="0"/>
          <w:sz w:val="24"/>
          <w:highlight w:val="none"/>
          <w:lang w:val="en-US" w:eastAsia="zh-CN"/>
        </w:rPr>
        <w:t xml:space="preserve"> </w:t>
      </w:r>
      <w:r>
        <w:rPr>
          <w:rFonts w:hint="eastAsia" w:ascii="Times New Roman" w:hAnsi="Times New Roman" w:eastAsia="宋体" w:cs="Times New Roman"/>
          <w:b/>
          <w:bCs/>
          <w:color w:val="000000"/>
          <w:kern w:val="0"/>
          <w:sz w:val="24"/>
          <w:highlight w:val="none"/>
          <w:lang w:val="en-US" w:eastAsia="zh-CN"/>
        </w:rPr>
        <w:t>4</w:t>
      </w:r>
      <w:r>
        <w:rPr>
          <w:rFonts w:hint="default" w:ascii="Times New Roman" w:hAnsi="Times New Roman" w:eastAsia="宋体" w:cs="Times New Roman"/>
          <w:b/>
          <w:bCs/>
          <w:color w:val="000000"/>
          <w:kern w:val="0"/>
          <w:sz w:val="24"/>
          <w:highlight w:val="none"/>
          <w:lang w:val="en-US" w:eastAsia="zh-CN"/>
        </w:rPr>
        <w:t>-1 安徽省主体功能区划图</w:t>
      </w:r>
    </w:p>
    <w:p w14:paraId="27C309FF">
      <w:pPr>
        <w:keepNext w:val="0"/>
        <w:keepLines w:val="0"/>
        <w:suppressLineNumbers w:val="0"/>
        <w:spacing w:before="0" w:beforeAutospacing="0" w:after="0" w:afterAutospacing="0"/>
        <w:ind w:left="0" w:leftChars="0" w:right="0" w:firstLine="0" w:firstLineChars="0"/>
        <w:outlineLvl w:val="9"/>
        <w:rPr>
          <w:rFonts w:hint="default"/>
          <w:color w:val="000000"/>
          <w:lang w:val="en-US" w:eastAsia="zh-CN"/>
        </w:rPr>
      </w:pPr>
    </w:p>
    <w:p w14:paraId="19DE6B21">
      <w:pPr>
        <w:keepNext/>
        <w:keepLines/>
        <w:pageBreakBefore w:val="0"/>
        <w:widowControl w:val="0"/>
        <w:suppressLineNumbers w:val="0"/>
        <w:kinsoku/>
        <w:wordWrap/>
        <w:overflowPunct/>
        <w:topLinePunct w:val="0"/>
        <w:autoSpaceDE/>
        <w:autoSpaceDN/>
        <w:bidi w:val="0"/>
        <w:adjustRightInd/>
        <w:snapToGrid/>
        <w:spacing w:before="0" w:after="0" w:line="240" w:lineRule="auto"/>
        <w:ind w:left="0" w:leftChars="0" w:right="0" w:firstLine="0" w:firstLineChars="0"/>
        <w:jc w:val="both"/>
        <w:textAlignment w:val="auto"/>
        <w:outlineLvl w:val="9"/>
        <w:rPr>
          <w:rFonts w:hint="default" w:ascii="Times New Roman" w:hAnsi="Times New Roman" w:eastAsia="宋体" w:cs="Times New Roman"/>
          <w:b/>
          <w:bCs/>
          <w:color w:val="000000"/>
          <w:kern w:val="0"/>
          <w:sz w:val="24"/>
          <w:szCs w:val="24"/>
          <w:highlight w:val="none"/>
          <w:lang w:val="en-US" w:eastAsia="zh-CN" w:bidi="ar-SA"/>
        </w:rPr>
      </w:pPr>
      <w:r>
        <w:rPr>
          <w:color w:val="000000"/>
          <w:sz w:val="24"/>
        </w:rPr>
        <w:pict>
          <v:shape id="文本框 536" o:spid="_x0000_s1028" o:spt="202" type="#_x0000_t202" style="position:absolute;left:0pt;margin-left:363.9pt;margin-top:14.65pt;height:54pt;width:68.25pt;mso-wrap-style:none;z-index:251665408;mso-width-relative:page;mso-height-relative:page;" filled="f" stroked="f" coordsize="21600,21600">
            <v:path/>
            <v:fill on="f" focussize="0,0"/>
            <v:stroke on="f"/>
            <v:imagedata o:title=""/>
            <o:lock v:ext="edit" aspectratio="f"/>
            <v:textbox style="mso-fit-shape-to-text:t;">
              <w:txbxContent>
                <w:p w14:paraId="00FD53FE">
                  <w:pPr>
                    <w:ind w:left="0" w:leftChars="0" w:firstLine="0" w:firstLineChars="0"/>
                    <w:rPr>
                      <w:rFonts w:hint="eastAsia" w:eastAsia="宋体"/>
                      <w:lang w:eastAsia="zh-CN"/>
                    </w:rPr>
                  </w:pPr>
                  <w:r>
                    <w:rPr>
                      <w:rFonts w:hint="eastAsia" w:eastAsia="宋体"/>
                      <w:lang w:eastAsia="zh-CN"/>
                    </w:rPr>
                    <w:pict>
                      <v:shape id="_x0000_i1036" o:spt="75" alt="560dd769-4727-4aff-99fc-b1065266e261" type="#_x0000_t75" style="height:40.05pt;width:53.05pt;" filled="f" o:preferrelative="t" stroked="f" coordsize="21600,21600">
                        <v:path/>
                        <v:fill on="f" focussize="0,0"/>
                        <v:stroke on="f"/>
                        <v:imagedata r:id="rId49" o:title="560dd769-4727-4aff-99fc-b1065266e261"/>
                        <o:lock v:ext="edit" aspectratio="t"/>
                        <w10:wrap type="none"/>
                        <w10:anchorlock/>
                      </v:shape>
                    </w:pict>
                  </w:r>
                </w:p>
              </w:txbxContent>
            </v:textbox>
          </v:shape>
        </w:pict>
      </w:r>
      <w:r>
        <w:rPr>
          <w:rFonts w:hint="default" w:ascii="Times New Roman" w:hAnsi="Times New Roman" w:eastAsia="宋体" w:cs="Times New Roman"/>
          <w:b/>
          <w:bCs/>
          <w:color w:val="000000"/>
          <w:kern w:val="0"/>
          <w:sz w:val="24"/>
          <w:szCs w:val="24"/>
          <w:highlight w:val="none"/>
          <w:lang w:val="en-US" w:eastAsia="zh-CN" w:bidi="ar-SA"/>
        </w:rPr>
        <w:pict>
          <v:shape id="_x0000_i1037" o:spt="75" alt="ccc73eb1b36e27183b6d4e2d1ba6e8fa" type="#_x0000_t75" style="height:311.3pt;width:438.85pt;" filled="f" o:preferrelative="t" stroked="f" coordsize="21600,21600">
            <v:path/>
            <v:fill on="f" focussize="0,0"/>
            <v:stroke on="f"/>
            <v:imagedata r:id="rId50" o:title="ccc73eb1b36e27183b6d4e2d1ba6e8fa"/>
            <o:lock v:ext="edit" aspectratio="t"/>
            <w10:wrap type="none"/>
            <w10:anchorlock/>
          </v:shape>
        </w:pict>
      </w:r>
    </w:p>
    <w:p w14:paraId="4B3BBB01">
      <w:pPr>
        <w:keepNext/>
        <w:keepLines/>
        <w:pageBreakBefore w:val="0"/>
        <w:widowControl w:val="0"/>
        <w:suppressLineNumbers w:val="0"/>
        <w:kinsoku/>
        <w:wordWrap/>
        <w:overflowPunct/>
        <w:topLinePunct w:val="0"/>
        <w:autoSpaceDE/>
        <w:autoSpaceDN/>
        <w:bidi w:val="0"/>
        <w:adjustRightInd/>
        <w:snapToGrid/>
        <w:spacing w:before="0" w:after="0" w:line="240" w:lineRule="auto"/>
        <w:ind w:left="0" w:leftChars="0" w:right="0" w:firstLine="0" w:firstLineChars="0"/>
        <w:jc w:val="center"/>
        <w:textAlignment w:val="auto"/>
        <w:outlineLvl w:val="9"/>
        <w:rPr>
          <w:rFonts w:hint="eastAsia" w:ascii="Times New Roman" w:hAnsi="Times New Roman" w:eastAsia="宋体" w:cs="Times New Roman"/>
          <w:color w:val="000000"/>
          <w:kern w:val="0"/>
          <w:sz w:val="24"/>
          <w:highlight w:val="none"/>
          <w:lang w:eastAsia="zh-CN"/>
        </w:rPr>
      </w:pPr>
      <w:r>
        <w:rPr>
          <w:rFonts w:hint="default" w:ascii="Times New Roman" w:hAnsi="Times New Roman" w:eastAsia="宋体" w:cs="Times New Roman"/>
          <w:b/>
          <w:bCs/>
          <w:color w:val="000000"/>
          <w:kern w:val="0"/>
          <w:sz w:val="24"/>
          <w:szCs w:val="24"/>
          <w:highlight w:val="none"/>
          <w:lang w:val="en-US" w:eastAsia="zh-CN" w:bidi="ar-SA"/>
        </w:rPr>
        <w:t>图</w:t>
      </w:r>
      <w:r>
        <w:rPr>
          <w:rFonts w:hint="eastAsia" w:ascii="Times New Roman" w:hAnsi="Times New Roman" w:eastAsia="宋体" w:cs="Times New Roman"/>
          <w:b/>
          <w:bCs/>
          <w:color w:val="000000"/>
          <w:kern w:val="0"/>
          <w:sz w:val="24"/>
          <w:szCs w:val="24"/>
          <w:highlight w:val="none"/>
          <w:lang w:val="en-US" w:eastAsia="zh-CN" w:bidi="ar-SA"/>
        </w:rPr>
        <w:t>4</w:t>
      </w:r>
      <w:r>
        <w:rPr>
          <w:rFonts w:hint="default" w:ascii="Times New Roman" w:hAnsi="Times New Roman" w:eastAsia="宋体" w:cs="Times New Roman"/>
          <w:b/>
          <w:bCs/>
          <w:color w:val="000000"/>
          <w:kern w:val="0"/>
          <w:sz w:val="24"/>
          <w:szCs w:val="24"/>
          <w:highlight w:val="none"/>
          <w:lang w:val="en-US" w:eastAsia="zh-CN" w:bidi="ar-SA"/>
        </w:rPr>
        <w:t>-</w:t>
      </w:r>
      <w:r>
        <w:rPr>
          <w:rFonts w:hint="eastAsia" w:ascii="Times New Roman" w:hAnsi="Times New Roman" w:eastAsia="宋体" w:cs="Times New Roman"/>
          <w:b/>
          <w:bCs/>
          <w:color w:val="000000"/>
          <w:kern w:val="0"/>
          <w:sz w:val="24"/>
          <w:szCs w:val="24"/>
          <w:highlight w:val="none"/>
          <w:lang w:val="en-US" w:eastAsia="zh-CN" w:bidi="ar-SA"/>
        </w:rPr>
        <w:t xml:space="preserve">2  </w:t>
      </w:r>
      <w:r>
        <w:rPr>
          <w:rFonts w:hint="default" w:ascii="Times New Roman" w:hAnsi="Times New Roman" w:eastAsia="宋体" w:cs="Times New Roman"/>
          <w:b/>
          <w:bCs/>
          <w:color w:val="000000"/>
          <w:kern w:val="0"/>
          <w:sz w:val="24"/>
          <w:szCs w:val="24"/>
          <w:highlight w:val="none"/>
          <w:lang w:val="en-US" w:eastAsia="zh-CN" w:bidi="ar-SA"/>
        </w:rPr>
        <w:t>工程</w:t>
      </w:r>
      <w:r>
        <w:rPr>
          <w:rFonts w:hint="eastAsia" w:ascii="Times New Roman" w:hAnsi="Times New Roman" w:eastAsia="宋体" w:cs="Times New Roman"/>
          <w:b/>
          <w:bCs/>
          <w:color w:val="000000"/>
          <w:kern w:val="0"/>
          <w:sz w:val="24"/>
          <w:szCs w:val="24"/>
          <w:highlight w:val="none"/>
          <w:lang w:val="en-US" w:eastAsia="zh-CN" w:bidi="ar-SA"/>
        </w:rPr>
        <w:t>范围与生态红线位置</w:t>
      </w:r>
      <w:r>
        <w:rPr>
          <w:rFonts w:hint="default" w:ascii="Times New Roman" w:hAnsi="Times New Roman" w:eastAsia="宋体" w:cs="Times New Roman"/>
          <w:b/>
          <w:bCs/>
          <w:color w:val="000000"/>
          <w:kern w:val="0"/>
          <w:sz w:val="24"/>
          <w:szCs w:val="24"/>
          <w:highlight w:val="none"/>
          <w:lang w:val="en-US" w:eastAsia="zh-CN" w:bidi="ar-SA"/>
        </w:rPr>
        <w:t>示意图</w:t>
      </w:r>
    </w:p>
    <w:p w14:paraId="3E28985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eastAsia" w:ascii="Times New Roman" w:hAnsi="Times New Roman" w:eastAsia="宋体" w:cs="Times New Roman"/>
          <w:color w:val="000000"/>
          <w:kern w:val="0"/>
          <w:sz w:val="24"/>
          <w:highlight w:val="none"/>
          <w:lang w:eastAsia="zh-CN"/>
        </w:rPr>
        <w:t>（2）</w:t>
      </w:r>
      <w:r>
        <w:rPr>
          <w:rFonts w:hint="default" w:ascii="Times New Roman" w:hAnsi="Times New Roman" w:eastAsia="宋体" w:cs="Times New Roman"/>
          <w:color w:val="000000"/>
          <w:kern w:val="0"/>
          <w:sz w:val="24"/>
          <w:highlight w:val="none"/>
        </w:rPr>
        <w:t>生态功能区划</w:t>
      </w:r>
    </w:p>
    <w:p w14:paraId="169265DE">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default" w:ascii="Times New Roman" w:hAnsi="Times New Roman" w:eastAsia="宋体" w:cs="Times New Roman"/>
          <w:color w:val="000000"/>
          <w:kern w:val="0"/>
          <w:sz w:val="24"/>
          <w:highlight w:val="none"/>
          <w:lang w:val="en-US" w:eastAsia="zh-CN"/>
        </w:rPr>
        <w:t>本项目位于安徽省六安市，根据《安徽省生态功能区划》，本项目区涉及Ⅲ1梅响磨佛水库水源涵养与生物多样性保护生态功能区、Ⅲ2龙河口水库上游水源涵养与水土保持生态功能区</w:t>
      </w:r>
      <w:r>
        <w:rPr>
          <w:rFonts w:hint="default" w:ascii="Times New Roman" w:hAnsi="Times New Roman" w:eastAsia="宋体" w:cs="Times New Roman"/>
          <w:color w:val="000000"/>
          <w:kern w:val="0"/>
          <w:sz w:val="24"/>
          <w:highlight w:val="none"/>
        </w:rPr>
        <w:t>。</w:t>
      </w:r>
    </w:p>
    <w:p w14:paraId="1176BF9B">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vertAlign w:val="subscript"/>
        </w:rPr>
        <w:t>1</w:t>
      </w:r>
      <w:r>
        <w:rPr>
          <w:rFonts w:hint="default" w:ascii="Times New Roman" w:hAnsi="Times New Roman" w:eastAsia="宋体" w:cs="Times New Roman"/>
          <w:color w:val="000000"/>
          <w:sz w:val="24"/>
          <w:szCs w:val="24"/>
        </w:rPr>
        <w:t>梅响磨佛水库水源涵养与生物多样性保护生态功能区行政区划包括金寨县全部、霍山县大部、六安市辖区西南部地区，面积6746k</w:t>
      </w:r>
      <w:r>
        <w:rPr>
          <w:rFonts w:hint="eastAsia" w:cs="Times New Roman"/>
          <w:color w:val="000000"/>
          <w:sz w:val="24"/>
          <w:szCs w:val="24"/>
          <w:lang w:eastAsia="zh-CN"/>
        </w:rPr>
        <w:t>m</w:t>
      </w:r>
      <w:r>
        <w:rPr>
          <w:rFonts w:hint="default" w:ascii="Times New Roman" w:hAnsi="Times New Roman" w:eastAsia="宋体" w:cs="Times New Roman"/>
          <w:color w:val="000000"/>
          <w:sz w:val="24"/>
          <w:szCs w:val="24"/>
          <w:vertAlign w:val="superscript"/>
        </w:rPr>
        <w:t>2</w:t>
      </w:r>
      <w:r>
        <w:rPr>
          <w:rFonts w:hint="default" w:ascii="Times New Roman" w:hAnsi="Times New Roman" w:eastAsia="宋体" w:cs="Times New Roman"/>
          <w:color w:val="000000"/>
          <w:sz w:val="24"/>
          <w:szCs w:val="24"/>
        </w:rPr>
        <w:t>。年均降水1400</w:t>
      </w:r>
      <w:r>
        <w:rPr>
          <w:rFonts w:hint="eastAsia" w:cs="Times New Roman"/>
          <w:color w:val="000000"/>
          <w:sz w:val="24"/>
          <w:szCs w:val="24"/>
          <w:lang w:eastAsia="zh-CN"/>
        </w:rPr>
        <w:t>mm</w:t>
      </w:r>
      <w:r>
        <w:rPr>
          <w:rFonts w:hint="default" w:ascii="Times New Roman" w:hAnsi="Times New Roman" w:eastAsia="宋体" w:cs="Times New Roman"/>
          <w:color w:val="000000"/>
          <w:sz w:val="24"/>
          <w:szCs w:val="24"/>
        </w:rPr>
        <w:t>左右，是安徽省的降水次中心。本生态功能区以森林生态系统为主，植被类型属暖温带落叶阔叶林向亚热带常绿阔叶林过渡型，植被垂直分布带谱明显，野生动植物资源丰富，区系成份复杂，特有种多。天马国家级自然保护区内保存了大批珍稀、古老孑遗物种和典型、多样的生物群落，目前已查明维管束植物有2000多种，陆栖脊椎动物200多种，其中国家重点保护的野生植物有大别山五针松、香果树、杜仲等25种，而且还是香果树、领春木、大别山五针松、连香树、鹅掌楸、金钱松、天女花、厚朴、大鲵、原麝等保护物种的集中分布区，其中中国特有植物13属及地方特有动植物十余种，被喻为“大别山区的天然物种基因库”。本区还是淮河重要支流史河、淠河的发源地和下游梅山、响洪甸、磨子潭和佛子岭四大水库的水源涵养区。</w:t>
      </w:r>
    </w:p>
    <w:p w14:paraId="478AE577">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vertAlign w:val="subscript"/>
        </w:rPr>
        <w:t>1</w:t>
      </w:r>
      <w:r>
        <w:rPr>
          <w:rFonts w:hint="default" w:ascii="Times New Roman" w:hAnsi="Times New Roman" w:eastAsia="宋体" w:cs="Times New Roman"/>
          <w:color w:val="000000"/>
          <w:sz w:val="24"/>
          <w:szCs w:val="24"/>
        </w:rPr>
        <w:t>梅响磨佛水库水源涵养与生物多样性保护生态功能区存在着以下生态环境问题：（1）由于人为活动频繁，区内水土流失问题较为突出，直接影响到水库的使用寿命和下游的生态安全；（2）区内人多地少，交通不便，出于生态保护的需要，为下游作出了较大的经济上的牺牲，目前仍然是贫困地区，人民生活水平不高，区域经济状况整体不发达；（3）水能资源丰富，开发不够；（4）部分地区基础设施建设时的保护措施不利，造成了崩塌、滑坡等地质灾害频发。</w:t>
      </w:r>
    </w:p>
    <w:p w14:paraId="63E759C0">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生态功能区在生物多样性保护、水源涵养、水土流失控制生态系统服务功能方面具有非常重要的地位，是安徽省生态系统保护的热点地区之一。因此，本功能区的发展应以保护区域生态系统服务功能为中心，利用当地丰富的自然资源，结合区内的生态示范区建设，发展生态型经济，茶叶、板栗、食用菌、毛竹、中药材、桑蚕以及水能源和生态旅游等经济活动均需要严格按照生态示范区规划的要求去发展。</w:t>
      </w:r>
    </w:p>
    <w:p w14:paraId="2612C572">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default" w:ascii="Times New Roman" w:hAnsi="Times New Roman" w:eastAsia="宋体" w:cs="Times New Roman"/>
          <w:color w:val="000000"/>
          <w:sz w:val="24"/>
          <w:szCs w:val="24"/>
        </w:rPr>
        <w:t>Ⅲ</w:t>
      </w:r>
      <w:r>
        <w:rPr>
          <w:rFonts w:hint="default" w:ascii="Times New Roman" w:hAnsi="Times New Roman" w:eastAsia="宋体" w:cs="Times New Roman"/>
          <w:color w:val="000000"/>
          <w:sz w:val="24"/>
          <w:szCs w:val="24"/>
          <w:vertAlign w:val="subscript"/>
        </w:rPr>
        <w:t>2</w:t>
      </w:r>
      <w:r>
        <w:rPr>
          <w:rFonts w:hint="default" w:ascii="Times New Roman" w:hAnsi="Times New Roman" w:eastAsia="宋体" w:cs="Times New Roman"/>
          <w:color w:val="000000"/>
          <w:sz w:val="24"/>
          <w:szCs w:val="24"/>
        </w:rPr>
        <w:t>龙河口水库上游水源涵养与水土保持生态功能区行政区划包括舒城县中南部、霍山县东北部丘陵区以及金安区南部地区，主要为龙河口水库上游汇水区及下游部分地区。本区北接江淮丘陵岗地生态区的巢湖盆地农业与城镇生态亚区，南邻皖江沿江平原生态区的大别山南麓山前丘陵平原农业生态亚区。该区地貌类型以低山丘陵为主，在龙河口水库下游有畈区平原分布。生态功能区以森林生态系统为主，植被类型属暖温带落叶阔叶林向亚热带常绿阔叶林过渡型，境内生物多样性丰富，本区还是巢湖最大支流杭埠河的发源地及龙河口水库（万佛湖）的水源涵养区，以龙河口水库为主要水源的杭埠河灌区还是淠史杭灌区的重要组成部分。</w:t>
      </w:r>
    </w:p>
    <w:p w14:paraId="54E0C8BE">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highlight w:val="none"/>
        </w:rPr>
      </w:pPr>
      <w:r>
        <w:rPr>
          <w:rFonts w:hint="default" w:ascii="Times New Roman" w:hAnsi="Times New Roman" w:eastAsia="宋体" w:cs="Times New Roman"/>
          <w:color w:val="000000"/>
          <w:kern w:val="0"/>
          <w:highlight w:val="none"/>
        </w:rPr>
        <w:t>Ⅲ</w:t>
      </w:r>
      <w:r>
        <w:rPr>
          <w:rFonts w:hint="default" w:ascii="Times New Roman" w:hAnsi="Times New Roman" w:eastAsia="宋体" w:cs="Times New Roman"/>
          <w:color w:val="000000"/>
          <w:kern w:val="0"/>
          <w:highlight w:val="none"/>
          <w:vertAlign w:val="subscript"/>
        </w:rPr>
        <w:t>2</w:t>
      </w:r>
      <w:r>
        <w:rPr>
          <w:rFonts w:hint="default" w:ascii="Times New Roman" w:hAnsi="Times New Roman" w:eastAsia="宋体" w:cs="Times New Roman"/>
          <w:color w:val="000000"/>
          <w:kern w:val="0"/>
          <w:highlight w:val="none"/>
        </w:rPr>
        <w:t>龙河口水库上游水源涵养与水土保持生态功能区主要生态环境问题有：（1）区内降水丰沛，地形坡度大，水土流失问题较为突出，是导致杭埠河道及巢湖淤积的重要原因；（2）目前区内旅游开发活动活跃，但生态保护措施有待于进一步加强；（3）龙河口水库修建后淹没了大量土地，人口移民后加重了周边地区的压力。</w:t>
      </w:r>
    </w:p>
    <w:p w14:paraId="6A2F5D33">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highlight w:val="none"/>
        </w:rPr>
      </w:pPr>
      <w:r>
        <w:rPr>
          <w:rFonts w:hint="default" w:ascii="Times New Roman" w:hAnsi="Times New Roman" w:eastAsia="宋体" w:cs="Times New Roman"/>
          <w:color w:val="000000"/>
          <w:kern w:val="0"/>
          <w:highlight w:val="none"/>
        </w:rPr>
        <w:t>本生态功能区在生物多样性保护、水源涵养、水土流失控制等方面非常重要。因此，本功能区的发展应以保护龙河口水库上游水源涵养生态公益林为中心，加强生物多样性保护，生物措施与工程相结合进行水土流失控制，适度开展生态型旅游，避免因不当或过度开发导致区域生态系统退化乃至崩溃，利用距离合肥市近的地理优势，发展生态农业、观光农业和生态林业，提高茶叶、板栗等产品附加值。</w:t>
      </w:r>
    </w:p>
    <w:p w14:paraId="2154735B">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eastAsia" w:ascii="Times New Roman" w:hAnsi="Times New Roman" w:eastAsia="宋体" w:cs="Times New Roman"/>
          <w:color w:val="000000"/>
          <w:kern w:val="0"/>
          <w:highlight w:val="none"/>
          <w:lang w:eastAsia="zh-CN"/>
        </w:rPr>
      </w:pPr>
      <w:r>
        <w:rPr>
          <w:rFonts w:hint="eastAsia" w:cs="Times New Roman"/>
          <w:color w:val="000000"/>
          <w:kern w:val="0"/>
          <w:highlight w:val="none"/>
          <w:lang w:eastAsia="zh-CN"/>
        </w:rPr>
        <w:t>项目用地在</w:t>
      </w:r>
      <w:r>
        <w:rPr>
          <w:rFonts w:hint="default" w:ascii="Times New Roman" w:hAnsi="Times New Roman" w:eastAsia="宋体" w:cs="Times New Roman"/>
          <w:color w:val="000000"/>
          <w:kern w:val="0"/>
          <w:highlight w:val="none"/>
        </w:rPr>
        <w:t>佛子岭镇</w:t>
      </w:r>
      <w:r>
        <w:rPr>
          <w:rFonts w:hint="eastAsia" w:cs="Times New Roman"/>
          <w:color w:val="000000"/>
          <w:kern w:val="0"/>
          <w:highlight w:val="none"/>
          <w:lang w:eastAsia="zh-CN"/>
        </w:rPr>
        <w:t>、</w:t>
      </w:r>
      <w:r>
        <w:rPr>
          <w:rFonts w:hint="default" w:ascii="Times New Roman" w:hAnsi="Times New Roman" w:eastAsia="宋体" w:cs="Times New Roman"/>
          <w:color w:val="000000"/>
          <w:kern w:val="0"/>
          <w:highlight w:val="none"/>
        </w:rPr>
        <w:t>衡山镇</w:t>
      </w:r>
      <w:r>
        <w:rPr>
          <w:rFonts w:hint="eastAsia" w:ascii="Times New Roman" w:hAnsi="Times New Roman" w:eastAsia="宋体" w:cs="Times New Roman"/>
          <w:color w:val="000000"/>
          <w:kern w:val="0"/>
          <w:highlight w:val="none"/>
          <w:lang w:eastAsia="zh-CN"/>
        </w:rPr>
        <w:t>、</w:t>
      </w:r>
      <w:r>
        <w:rPr>
          <w:rFonts w:hint="default" w:ascii="Times New Roman" w:hAnsi="Times New Roman" w:eastAsia="宋体" w:cs="Times New Roman"/>
          <w:color w:val="000000"/>
          <w:kern w:val="0"/>
          <w:highlight w:val="none"/>
        </w:rPr>
        <w:t>黑石渡镇</w:t>
      </w:r>
      <w:r>
        <w:rPr>
          <w:rFonts w:hint="eastAsia" w:cs="Times New Roman"/>
          <w:color w:val="000000"/>
          <w:kern w:val="0"/>
          <w:highlight w:val="none"/>
          <w:lang w:eastAsia="zh-CN"/>
        </w:rPr>
        <w:t>境内。</w:t>
      </w:r>
    </w:p>
    <w:p w14:paraId="2DCB2412">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highlight w:val="none"/>
        </w:rPr>
      </w:pPr>
      <w:r>
        <w:rPr>
          <w:rFonts w:hint="default" w:ascii="Times New Roman" w:hAnsi="Times New Roman" w:eastAsia="宋体" w:cs="Times New Roman"/>
          <w:color w:val="000000"/>
          <w:kern w:val="0"/>
          <w:highlight w:val="none"/>
        </w:rPr>
        <w:t>项目与生态保护红线关系：经核查，项目红线范围及施工作业带不涉及国家及安徽省、六安市、霍山县划定的生态保护红线范围。</w:t>
      </w:r>
    </w:p>
    <w:p w14:paraId="5A7BF6F8">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highlight w:val="none"/>
        </w:rPr>
      </w:pPr>
      <w:r>
        <w:rPr>
          <w:rFonts w:hint="default" w:ascii="Times New Roman" w:hAnsi="Times New Roman" w:eastAsia="宋体" w:cs="Times New Roman"/>
          <w:color w:val="000000"/>
          <w:kern w:val="0"/>
          <w:highlight w:val="none"/>
        </w:rPr>
        <w:t>项目与环境敏感区关系：项目选址基本规避了集中式饮用水水源保护区（如佛子岭水库等）、风景名胜区核心区等法定环境敏感区。</w:t>
      </w:r>
    </w:p>
    <w:p w14:paraId="336E7415">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color w:val="000000"/>
          <w:kern w:val="0"/>
          <w:sz w:val="24"/>
          <w:highlight w:val="none"/>
        </w:rPr>
      </w:pPr>
      <w:r>
        <w:rPr>
          <w:rFonts w:hint="default" w:ascii="Times New Roman" w:hAnsi="Times New Roman" w:eastAsia="宋体" w:cs="Times New Roman"/>
          <w:color w:val="000000"/>
          <w:kern w:val="0"/>
          <w:highlight w:val="none"/>
        </w:rPr>
        <w:t>本项目严格控制项目施工用地范围，避免越界施工，涉及山边、河岸或绿化带的工程（如河湖水系整治岸线、透水铺装），将严格保护现有乡土植被和重要生境。优化施工时序（避让鸟类繁殖、洄游期等），减少扰动。避免对原有植被的破坏；建筑垃圾应及时清理，同时做好水土流失防护工作，同时做好水土流失防护工作，符合生态保护措施要求</w:t>
      </w:r>
      <w:r>
        <w:rPr>
          <w:rFonts w:hint="default" w:ascii="Times New Roman" w:hAnsi="Times New Roman" w:eastAsia="宋体" w:cs="Times New Roman"/>
          <w:color w:val="000000"/>
          <w:kern w:val="0"/>
          <w:sz w:val="24"/>
          <w:highlight w:val="none"/>
        </w:rPr>
        <w:t>。</w:t>
      </w:r>
    </w:p>
    <w:p w14:paraId="718576D5">
      <w:pPr>
        <w:suppressLineNumbers w:val="0"/>
        <w:ind w:left="0" w:right="0"/>
        <w:jc w:val="both"/>
        <w:outlineLvl w:val="9"/>
        <w:rPr>
          <w:rFonts w:hint="default" w:ascii="Times New Roman" w:hAnsi="Times New Roman" w:eastAsia="宋体" w:cs="Times New Roman"/>
          <w:color w:val="000000"/>
          <w:lang w:eastAsia="zh-CN"/>
        </w:rPr>
      </w:pPr>
      <w:r>
        <w:rPr>
          <w:rFonts w:hint="default" w:ascii="Times New Roman" w:hAnsi="Times New Roman" w:eastAsia="宋体" w:cs="Times New Roman"/>
          <w:color w:val="000000"/>
          <w:lang w:eastAsia="zh-CN"/>
        </w:rPr>
        <w:pict>
          <v:shape id="_x0000_i1038" o:spt="75" alt="e2d9e79c-cf2f-4240-88bc-6144fa1f4c54" type="#_x0000_t75" style="height:503.25pt;width:361.5pt;" filled="f" o:preferrelative="t" stroked="f" coordsize="21600,21600">
            <v:path/>
            <v:fill on="f" focussize="0,0"/>
            <v:stroke on="f"/>
            <v:imagedata r:id="rId42" o:title=""/>
            <o:lock v:ext="edit" aspectratio="t"/>
            <w10:wrap type="none"/>
            <w10:anchorlock/>
          </v:shape>
        </w:pict>
      </w:r>
    </w:p>
    <w:p w14:paraId="7C7D880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color w:val="000000"/>
          <w:lang w:eastAsia="zh-CN"/>
        </w:rPr>
      </w:pPr>
      <w:r>
        <w:rPr>
          <w:rFonts w:hint="default" w:ascii="Times New Roman" w:hAnsi="Times New Roman" w:eastAsia="宋体" w:cs="Times New Roman"/>
          <w:b/>
          <w:bCs/>
          <w:color w:val="000000"/>
          <w:kern w:val="0"/>
          <w:sz w:val="24"/>
          <w:highlight w:val="none"/>
          <w:lang w:val="en-US" w:eastAsia="zh-CN"/>
        </w:rPr>
        <w:t>图</w:t>
      </w:r>
      <w:r>
        <w:rPr>
          <w:rFonts w:hint="eastAsia" w:cs="Times New Roman"/>
          <w:b/>
          <w:bCs/>
          <w:color w:val="000000"/>
          <w:kern w:val="0"/>
          <w:sz w:val="24"/>
          <w:highlight w:val="none"/>
          <w:lang w:val="en-US" w:eastAsia="zh-CN"/>
        </w:rPr>
        <w:t xml:space="preserve"> </w:t>
      </w:r>
      <w:r>
        <w:rPr>
          <w:rFonts w:hint="eastAsia" w:ascii="Times New Roman" w:hAnsi="Times New Roman" w:eastAsia="宋体" w:cs="Times New Roman"/>
          <w:b/>
          <w:bCs/>
          <w:color w:val="000000"/>
          <w:kern w:val="0"/>
          <w:sz w:val="24"/>
          <w:highlight w:val="none"/>
          <w:lang w:val="en-US" w:eastAsia="zh-CN"/>
        </w:rPr>
        <w:t>4</w:t>
      </w:r>
      <w:r>
        <w:rPr>
          <w:rFonts w:hint="default" w:ascii="Times New Roman" w:hAnsi="Times New Roman" w:eastAsia="宋体" w:cs="Times New Roman"/>
          <w:b/>
          <w:bCs/>
          <w:color w:val="000000"/>
          <w:kern w:val="0"/>
          <w:sz w:val="24"/>
          <w:highlight w:val="none"/>
          <w:lang w:val="en-US" w:eastAsia="zh-CN"/>
        </w:rPr>
        <w:t>-</w:t>
      </w:r>
      <w:r>
        <w:rPr>
          <w:rFonts w:hint="eastAsia" w:cs="Times New Roman"/>
          <w:b/>
          <w:bCs/>
          <w:color w:val="000000"/>
          <w:kern w:val="0"/>
          <w:sz w:val="24"/>
          <w:highlight w:val="none"/>
          <w:lang w:val="en-US" w:eastAsia="zh-CN"/>
        </w:rPr>
        <w:t xml:space="preserve">3 </w:t>
      </w:r>
      <w:r>
        <w:rPr>
          <w:rFonts w:hint="default" w:ascii="Times New Roman" w:hAnsi="Times New Roman" w:eastAsia="宋体" w:cs="Times New Roman"/>
          <w:b/>
          <w:bCs/>
          <w:color w:val="000000"/>
          <w:kern w:val="0"/>
          <w:sz w:val="24"/>
          <w:highlight w:val="none"/>
          <w:lang w:val="en-US" w:eastAsia="zh-CN"/>
        </w:rPr>
        <w:t xml:space="preserve"> 安徽省生态功能区划图</w:t>
      </w:r>
    </w:p>
    <w:p w14:paraId="11445832">
      <w:pPr>
        <w:pStyle w:val="4"/>
        <w:bidi w:val="0"/>
        <w:rPr>
          <w:rFonts w:hint="default" w:ascii="Times New Roman" w:hAnsi="Times New Roman" w:cs="Times New Roman"/>
          <w:color w:val="000000"/>
          <w:lang w:val="en-US" w:eastAsia="zh-CN"/>
        </w:rPr>
      </w:pPr>
      <w:bookmarkStart w:id="104" w:name="_Toc24394"/>
      <w:r>
        <w:rPr>
          <w:rFonts w:hint="eastAsia" w:ascii="Times New Roman" w:hAnsi="Times New Roman" w:cs="Times New Roman"/>
          <w:color w:val="000000"/>
          <w:lang w:val="en-US" w:eastAsia="zh-CN"/>
        </w:rPr>
        <w:t>4.2</w:t>
      </w:r>
      <w:r>
        <w:rPr>
          <w:rFonts w:hint="default" w:ascii="Times New Roman" w:hAnsi="Times New Roman" w:cs="Times New Roman"/>
          <w:color w:val="000000"/>
          <w:lang w:val="en-US" w:eastAsia="zh-CN"/>
        </w:rPr>
        <w:t>、生态环境现状调查</w:t>
      </w:r>
      <w:bookmarkEnd w:id="104"/>
    </w:p>
    <w:p w14:paraId="5C4BB818">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highlight w:val="none"/>
          <w:lang w:val="en-US" w:eastAsia="zh-CN"/>
        </w:rPr>
      </w:pPr>
      <w:r>
        <w:rPr>
          <w:rFonts w:hint="default" w:ascii="Times New Roman" w:hAnsi="Times New Roman" w:eastAsia="宋体" w:cs="Times New Roman"/>
          <w:bCs/>
          <w:color w:val="000000"/>
          <w:highlight w:val="none"/>
          <w:lang w:val="en-US" w:eastAsia="zh-CN"/>
        </w:rPr>
        <w:t>本次评价生态现状调查采用收集资料和现场调查等相结合方式，本次评价生态现状调查内容包括（1）</w:t>
      </w:r>
      <w:r>
        <w:rPr>
          <w:rFonts w:hint="eastAsia" w:cs="Times New Roman"/>
          <w:bCs/>
          <w:color w:val="000000"/>
          <w:highlight w:val="none"/>
          <w:lang w:val="en-US" w:eastAsia="zh-CN"/>
        </w:rPr>
        <w:t>土壤现状；</w:t>
      </w:r>
      <w:r>
        <w:rPr>
          <w:rFonts w:hint="default" w:ascii="Times New Roman" w:hAnsi="Times New Roman" w:eastAsia="宋体" w:cs="Times New Roman"/>
          <w:bCs/>
          <w:color w:val="000000"/>
          <w:highlight w:val="none"/>
          <w:lang w:val="en-US" w:eastAsia="zh-CN"/>
        </w:rPr>
        <w:t>（2）陆生生态现状；（3）</w:t>
      </w:r>
      <w:r>
        <w:rPr>
          <w:rFonts w:hint="eastAsia" w:cs="Times New Roman"/>
          <w:bCs/>
          <w:color w:val="000000"/>
          <w:highlight w:val="none"/>
          <w:lang w:val="en-US" w:eastAsia="zh-CN"/>
        </w:rPr>
        <w:t>水</w:t>
      </w:r>
      <w:r>
        <w:rPr>
          <w:rFonts w:hint="default" w:ascii="Times New Roman" w:hAnsi="Times New Roman" w:eastAsia="宋体" w:cs="Times New Roman"/>
          <w:bCs/>
          <w:color w:val="000000"/>
          <w:highlight w:val="none"/>
          <w:lang w:val="en-US" w:eastAsia="zh-CN"/>
        </w:rPr>
        <w:t>生生态现状；</w:t>
      </w:r>
    </w:p>
    <w:p w14:paraId="2B836566">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highlight w:val="none"/>
          <w:lang w:eastAsia="zh-CN"/>
        </w:rPr>
      </w:pPr>
      <w:r>
        <w:rPr>
          <w:rFonts w:hint="default" w:ascii="Times New Roman" w:hAnsi="Times New Roman" w:eastAsia="宋体" w:cs="Times New Roman"/>
          <w:bCs/>
          <w:color w:val="000000"/>
          <w:highlight w:val="none"/>
          <w:lang w:val="en-US" w:eastAsia="zh-CN"/>
        </w:rPr>
        <w:t>在考虑评价范围布点均匀性的基础上，重点在工程施工区域附近布点，所选择的样地植被为评价范围内有分布的类型</w:t>
      </w:r>
      <w:r>
        <w:rPr>
          <w:rFonts w:hint="eastAsia" w:cs="Times New Roman"/>
          <w:bCs/>
          <w:color w:val="000000"/>
          <w:highlight w:val="none"/>
          <w:lang w:val="en-US" w:eastAsia="zh-CN"/>
        </w:rPr>
        <w:t>；</w:t>
      </w:r>
      <w:r>
        <w:rPr>
          <w:rFonts w:hint="default" w:ascii="Times New Roman" w:hAnsi="Times New Roman" w:eastAsia="宋体" w:cs="Times New Roman"/>
          <w:bCs/>
          <w:color w:val="000000"/>
          <w:highlight w:val="none"/>
          <w:lang w:val="en-US" w:eastAsia="zh-CN"/>
        </w:rPr>
        <w:t>尽量避免取样误差，两人以上进行观察记录，消除主观因素</w:t>
      </w:r>
      <w:r>
        <w:rPr>
          <w:rFonts w:hint="eastAsia" w:cs="Times New Roman"/>
          <w:bCs/>
          <w:color w:val="000000"/>
          <w:highlight w:val="none"/>
          <w:lang w:val="en-US" w:eastAsia="zh-CN"/>
        </w:rPr>
        <w:t>；</w:t>
      </w:r>
      <w:r>
        <w:rPr>
          <w:rFonts w:hint="default" w:ascii="Times New Roman" w:hAnsi="Times New Roman" w:eastAsia="宋体" w:cs="Times New Roman"/>
          <w:bCs/>
          <w:color w:val="000000"/>
          <w:highlight w:val="none"/>
          <w:lang w:val="en-US" w:eastAsia="zh-CN"/>
        </w:rPr>
        <w:t>样方布设选择有代表性、典型性的植物群系类型进行。样方调查采用典型样方调查法，乔木林样方面积为20mx20m，灌丛样方为5mx5m，灌草丛样方面积为lmxlm，记录样方的位置、群落类型、地形地貌特征、群落高度、结构、层次及各自的总盖度等信息。</w:t>
      </w:r>
    </w:p>
    <w:p w14:paraId="6563BD39">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lang w:eastAsia="zh-CN"/>
        </w:rPr>
        <w:t>（</w:t>
      </w:r>
      <w:r>
        <w:rPr>
          <w:rFonts w:hint="default" w:ascii="Times New Roman" w:hAnsi="Times New Roman" w:eastAsia="宋体" w:cs="Times New Roman"/>
          <w:bCs/>
          <w:color w:val="000000"/>
          <w:highlight w:val="none"/>
          <w:lang w:val="en-US" w:eastAsia="zh-CN"/>
        </w:rPr>
        <w:t>1</w:t>
      </w:r>
      <w:r>
        <w:rPr>
          <w:rFonts w:hint="default" w:ascii="Times New Roman" w:hAnsi="Times New Roman" w:eastAsia="宋体" w:cs="Times New Roman"/>
          <w:bCs/>
          <w:color w:val="000000"/>
          <w:highlight w:val="none"/>
          <w:lang w:eastAsia="zh-CN"/>
        </w:rPr>
        <w:t>）</w:t>
      </w:r>
      <w:r>
        <w:rPr>
          <w:rFonts w:hint="default" w:ascii="Times New Roman" w:hAnsi="Times New Roman" w:eastAsia="宋体" w:cs="Times New Roman"/>
          <w:bCs/>
          <w:color w:val="000000"/>
          <w:highlight w:val="none"/>
        </w:rPr>
        <w:t>土壤现状</w:t>
      </w:r>
    </w:p>
    <w:p w14:paraId="48E8619B">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t>本项目区域</w:t>
      </w:r>
      <w:bookmarkStart w:id="105" w:name="OLE_LINK10"/>
      <w:r>
        <w:rPr>
          <w:rFonts w:hint="default" w:ascii="Times New Roman" w:hAnsi="Times New Roman" w:eastAsia="宋体" w:cs="Times New Roman"/>
          <w:bCs/>
          <w:color w:val="000000"/>
          <w:highlight w:val="none"/>
        </w:rPr>
        <w:t>土壤类型</w:t>
      </w:r>
      <w:bookmarkEnd w:id="105"/>
      <w:r>
        <w:rPr>
          <w:rFonts w:hint="default" w:ascii="Times New Roman" w:hAnsi="Times New Roman" w:eastAsia="宋体" w:cs="Times New Roman"/>
          <w:bCs/>
          <w:color w:val="000000"/>
          <w:highlight w:val="none"/>
        </w:rPr>
        <w:t>主要为</w:t>
      </w:r>
      <w:bookmarkStart w:id="106" w:name="OLE_LINK12"/>
      <w:r>
        <w:rPr>
          <w:rFonts w:hint="default" w:ascii="Times New Roman" w:hAnsi="Times New Roman" w:eastAsia="宋体" w:cs="Times New Roman"/>
          <w:bCs/>
          <w:color w:val="000000"/>
          <w:highlight w:val="none"/>
        </w:rPr>
        <w:t>灰褐土和暗黑垆土</w:t>
      </w:r>
      <w:bookmarkEnd w:id="106"/>
      <w:r>
        <w:rPr>
          <w:rFonts w:hint="default" w:ascii="Times New Roman" w:hAnsi="Times New Roman" w:eastAsia="宋体" w:cs="Times New Roman"/>
          <w:bCs/>
          <w:color w:val="000000"/>
          <w:highlight w:val="none"/>
        </w:rPr>
        <w:t>，土层较深厚，土体干燥。由于受洪积和冲积的影响，土壤剖面有明显的层性，土壤有机质含量低，盐碱含量</w:t>
      </w:r>
      <w:r>
        <w:rPr>
          <w:rFonts w:hint="default" w:ascii="Times New Roman" w:hAnsi="Times New Roman" w:eastAsia="宋体" w:cs="Times New Roman"/>
          <w:bCs/>
          <w:color w:val="000000"/>
          <w:highlight w:val="none"/>
          <w:lang w:eastAsia="zh-CN"/>
        </w:rPr>
        <w:t>低</w:t>
      </w:r>
      <w:r>
        <w:rPr>
          <w:rFonts w:hint="default" w:ascii="Times New Roman" w:hAnsi="Times New Roman" w:eastAsia="宋体" w:cs="Times New Roman"/>
          <w:bCs/>
          <w:color w:val="000000"/>
          <w:highlight w:val="none"/>
        </w:rPr>
        <w:t>。项目区风沙土厚度在50c</w:t>
      </w:r>
      <w:r>
        <w:rPr>
          <w:rFonts w:hint="eastAsia" w:cs="Times New Roman"/>
          <w:bCs/>
          <w:color w:val="000000"/>
          <w:highlight w:val="none"/>
          <w:lang w:eastAsia="zh-CN"/>
        </w:rPr>
        <w:t>m</w:t>
      </w:r>
      <w:r>
        <w:rPr>
          <w:rFonts w:hint="default" w:ascii="Times New Roman" w:hAnsi="Times New Roman" w:eastAsia="宋体" w:cs="Times New Roman"/>
          <w:bCs/>
          <w:color w:val="000000"/>
          <w:highlight w:val="none"/>
        </w:rPr>
        <w:t>~300c</w:t>
      </w:r>
      <w:r>
        <w:rPr>
          <w:rFonts w:hint="eastAsia" w:cs="Times New Roman"/>
          <w:bCs/>
          <w:color w:val="000000"/>
          <w:highlight w:val="none"/>
          <w:lang w:eastAsia="zh-CN"/>
        </w:rPr>
        <w:t>m</w:t>
      </w:r>
      <w:r>
        <w:rPr>
          <w:rFonts w:hint="default" w:ascii="Times New Roman" w:hAnsi="Times New Roman" w:eastAsia="宋体" w:cs="Times New Roman"/>
          <w:bCs/>
          <w:color w:val="000000"/>
          <w:highlight w:val="none"/>
        </w:rPr>
        <w:t>之间，土层较厚，下部为钙积层，呈暗灰褐色至黑褐色。</w:t>
      </w:r>
    </w:p>
    <w:p w14:paraId="21AAEA61">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2</w:t>
      </w: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陆生生态现状调查</w:t>
      </w:r>
    </w:p>
    <w:p w14:paraId="295057CC">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bCs/>
          <w:color w:val="000000"/>
          <w:highlight w:val="none"/>
          <w:lang w:val="en-US" w:eastAsia="zh-CN"/>
        </w:rPr>
      </w:pPr>
      <w:r>
        <w:rPr>
          <w:rFonts w:hint="default" w:ascii="Times New Roman" w:hAnsi="Times New Roman" w:eastAsia="宋体" w:cs="Times New Roman"/>
          <w:bCs/>
          <w:color w:val="000000"/>
          <w:highlight w:val="none"/>
          <w:lang w:val="en-US" w:eastAsia="zh-CN"/>
        </w:rPr>
        <w:t>通过现场调查及查阅相关资料，管网工程施工区大量分布的是一些人工林和次生性的灌木或草木群落，城镇中除了人工种植的植物外，自然生长的仅有草本和灌木植物。根据现场踏勘，管网工程区主要为人工种植的绿化树种、景观树种及绿化草皮。因受人类活动影响，两侧动物主要为鼠类、蛙类等动物。泵站工程建设区域周围地表植被以杂草、灌丛为主，由于人类活动影响，评价区域无大面积落叶阔叶林，现状植被均是次生植被，属典型农村生态环境。</w:t>
      </w:r>
    </w:p>
    <w:p w14:paraId="39970641">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2" w:firstLineChars="200"/>
        <w:textAlignment w:val="auto"/>
        <w:outlineLvl w:val="9"/>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根据全国生物多样性调查网格设置和划分，霍山县境内工作网格数为</w:t>
      </w:r>
      <w:r>
        <w:rPr>
          <w:rFonts w:hint="default" w:ascii="Times New Roman" w:hAnsi="Times New Roman" w:eastAsia="宋体" w:cs="Times New Roman"/>
          <w:b/>
          <w:bCs/>
          <w:color w:val="000000"/>
          <w:kern w:val="0"/>
          <w:sz w:val="24"/>
          <w:szCs w:val="24"/>
          <w:lang w:val="en-US" w:eastAsia="zh-CN" w:bidi="ar"/>
        </w:rPr>
        <w:t>26</w:t>
      </w:r>
      <w:r>
        <w:rPr>
          <w:rFonts w:hint="eastAsia" w:ascii="宋体" w:hAnsi="宋体" w:eastAsia="宋体" w:cs="宋体"/>
          <w:b/>
          <w:bCs/>
          <w:color w:val="000000"/>
          <w:kern w:val="0"/>
          <w:sz w:val="24"/>
          <w:szCs w:val="24"/>
          <w:lang w:val="en-US" w:eastAsia="zh-CN" w:bidi="ar"/>
        </w:rPr>
        <w:t>个，其中有自然保护地和（或）生态保护红线的重点调查网格数为</w:t>
      </w:r>
      <w:r>
        <w:rPr>
          <w:rFonts w:hint="default" w:ascii="Times New Roman" w:hAnsi="Times New Roman" w:eastAsia="宋体" w:cs="Times New Roman"/>
          <w:b/>
          <w:bCs/>
          <w:color w:val="000000"/>
          <w:kern w:val="0"/>
          <w:sz w:val="24"/>
          <w:szCs w:val="24"/>
          <w:lang w:val="en-US" w:eastAsia="zh-CN" w:bidi="ar"/>
        </w:rPr>
        <w:t>22</w:t>
      </w:r>
      <w:r>
        <w:rPr>
          <w:rFonts w:hint="eastAsia" w:ascii="宋体" w:hAnsi="宋体" w:eastAsia="宋体" w:cs="宋体"/>
          <w:b/>
          <w:bCs/>
          <w:color w:val="000000"/>
          <w:kern w:val="0"/>
          <w:sz w:val="24"/>
          <w:szCs w:val="24"/>
          <w:lang w:val="en-US" w:eastAsia="zh-CN" w:bidi="ar"/>
        </w:rPr>
        <w:t>个（图中红色部分为重点网格），一般调查网格数为</w:t>
      </w:r>
      <w:r>
        <w:rPr>
          <w:rFonts w:hint="default" w:ascii="Times New Roman" w:hAnsi="Times New Roman" w:eastAsia="宋体" w:cs="Times New Roman"/>
          <w:b/>
          <w:bCs/>
          <w:color w:val="000000"/>
          <w:kern w:val="0"/>
          <w:sz w:val="24"/>
          <w:szCs w:val="24"/>
          <w:lang w:val="en-US" w:eastAsia="zh-CN" w:bidi="ar"/>
        </w:rPr>
        <w:t>4</w:t>
      </w:r>
      <w:r>
        <w:rPr>
          <w:rFonts w:hint="eastAsia" w:ascii="宋体" w:hAnsi="宋体" w:eastAsia="宋体" w:cs="宋体"/>
          <w:b/>
          <w:bCs/>
          <w:color w:val="000000"/>
          <w:kern w:val="0"/>
          <w:sz w:val="24"/>
          <w:szCs w:val="24"/>
          <w:lang w:val="en-US" w:eastAsia="zh-CN" w:bidi="ar"/>
        </w:rPr>
        <w:t>个。</w:t>
      </w:r>
    </w:p>
    <w:p w14:paraId="101F7366">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cs="Times New Roman"/>
          <w:bCs/>
          <w:color w:val="000000"/>
          <w:highlight w:val="none"/>
          <w:lang w:val="en-US" w:eastAsia="zh-CN"/>
        </w:rPr>
      </w:pPr>
      <w:r>
        <w:rPr>
          <w:rFonts w:hint="eastAsia" w:cs="Times New Roman"/>
          <w:bCs/>
          <w:color w:val="000000"/>
          <w:highlight w:val="none"/>
          <w:lang w:val="en-US" w:eastAsia="zh-CN"/>
        </w:rPr>
        <w:t>本项目涉及到网格主要有60403390、60503390、60403380。</w:t>
      </w:r>
    </w:p>
    <w:p w14:paraId="3E780F93">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eastAsia"/>
          <w:color w:val="000000"/>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内容，霍山县兽类优势种有东北刺猬、赤腹松鼠、小麂和野猪，它们的分布从海拔400m至1700m都有分布。啮齿目以及翼手目多分布在村落和农耕地附近，与人类活动高度关联。猪獾、亚洲狗獾等小型食肉目动物多分布在200～600m的区域，海拔相对低，小麂主要分布在600～1000m的中海拔地区，安徽麝主要分布在海拔1000m以上的高海拔地区。</w:t>
      </w:r>
    </w:p>
    <w:p w14:paraId="4BA54332">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pict>
          <v:shape id="_x0000_i1039" o:spt="75" alt="b025ea5c-3f9e-43d7-8139-4b4eb715ef00" type="#_x0000_t75" style="height:313.55pt;width:373.85pt;" filled="f" o:preferrelative="t" stroked="f" coordsize="21600,21600">
            <v:path/>
            <v:fill on="f" focussize="0,0"/>
            <v:stroke on="f"/>
            <v:imagedata r:id="rId51" o:title="b025ea5c-3f9e-43d7-8139-4b4eb715ef00"/>
            <o:lock v:ext="edit" aspectratio="t"/>
            <w10:wrap type="none"/>
            <w10:anchorlock/>
          </v:shape>
        </w:pict>
      </w:r>
    </w:p>
    <w:p w14:paraId="23E523B3">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2" w:firstLineChars="200"/>
        <w:jc w:val="center"/>
        <w:textAlignment w:val="auto"/>
        <w:outlineLvl w:val="9"/>
        <w:rPr>
          <w:rFonts w:hint="eastAsia" w:cs="Times New Roman"/>
          <w:b/>
          <w:bCs w:val="0"/>
          <w:color w:val="000000"/>
          <w:highlight w:val="none"/>
          <w:lang w:val="en-US" w:eastAsia="zh-CN"/>
        </w:rPr>
      </w:pPr>
      <w:r>
        <w:rPr>
          <w:rFonts w:hint="eastAsia" w:cs="Times New Roman"/>
          <w:b/>
          <w:bCs w:val="0"/>
          <w:color w:val="000000"/>
          <w:highlight w:val="none"/>
          <w:lang w:val="en-US" w:eastAsia="zh-CN"/>
        </w:rPr>
        <w:t>图4-4  霍山县网格划分图</w:t>
      </w:r>
    </w:p>
    <w:p w14:paraId="38FBA3A8">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jc w:val="left"/>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t>调查结果显示，大多数重点保护兽类活动海拔约在400～1300m之间，其中安徽麝在500-1200m的海拔区段活动，小麂、花面狸、猪獾、貉、黄鼬在400～1300m左右海拔区段均有活动；整体分布海拔跨度广，其中鼬獾海拔分布最窄，在海拔400～900m左右海拔区段活动。</w:t>
      </w:r>
    </w:p>
    <w:p w14:paraId="17046D41">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p>
    <w:p w14:paraId="637D243B">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default" w:ascii="Calibri" w:hAnsi="Calibri" w:eastAsia="宋体" w:cs="Calibri"/>
          <w:b/>
          <w:bCs/>
          <w:color w:val="000000"/>
          <w:kern w:val="0"/>
          <w:sz w:val="24"/>
          <w:szCs w:val="24"/>
          <w:lang w:val="en-US" w:eastAsia="zh-CN" w:bidi="ar"/>
        </w:rPr>
        <w:t>①</w:t>
      </w:r>
      <w:r>
        <w:rPr>
          <w:rFonts w:hint="eastAsia" w:ascii="宋体" w:hAnsi="宋体" w:eastAsia="宋体" w:cs="宋体"/>
          <w:b/>
          <w:bCs/>
          <w:color w:val="000000"/>
          <w:kern w:val="0"/>
          <w:sz w:val="24"/>
          <w:szCs w:val="24"/>
          <w:lang w:val="en-US" w:eastAsia="zh-CN" w:bidi="ar"/>
        </w:rPr>
        <w:t xml:space="preserve">小灵猫 </w:t>
      </w:r>
      <w:r>
        <w:rPr>
          <w:rFonts w:hint="default" w:ascii="Times New Roman" w:hAnsi="Times New Roman" w:eastAsia="宋体" w:cs="Times New Roman"/>
          <w:b/>
          <w:bCs/>
          <w:i/>
          <w:iCs/>
          <w:color w:val="000000"/>
          <w:kern w:val="0"/>
          <w:sz w:val="24"/>
          <w:szCs w:val="24"/>
          <w:lang w:val="en-US" w:eastAsia="zh-CN" w:bidi="ar"/>
        </w:rPr>
        <w:t xml:space="preserve">Viverricula indica </w:t>
      </w:r>
    </w:p>
    <w:p w14:paraId="753D09AF">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kern w:val="0"/>
          <w:sz w:val="24"/>
          <w:szCs w:val="24"/>
          <w:lang w:val="en-US" w:eastAsia="zh-CN" w:bidi="ar"/>
        </w:rPr>
        <w:t>分类地位：</w:t>
      </w:r>
      <w:r>
        <w:rPr>
          <w:rFonts w:hint="eastAsia" w:ascii="宋体" w:hAnsi="宋体" w:eastAsia="宋体" w:cs="宋体"/>
          <w:color w:val="000000"/>
          <w:kern w:val="0"/>
          <w:sz w:val="24"/>
          <w:szCs w:val="24"/>
          <w:lang w:val="en-US" w:eastAsia="zh-CN" w:bidi="ar"/>
        </w:rPr>
        <w:t xml:space="preserve">食肉目 灵猫科 </w:t>
      </w:r>
    </w:p>
    <w:p w14:paraId="71EAF3CB">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kern w:val="0"/>
          <w:sz w:val="24"/>
          <w:szCs w:val="24"/>
          <w:lang w:val="en-US" w:eastAsia="zh-CN" w:bidi="ar"/>
        </w:rPr>
        <w:t>保护级别：</w:t>
      </w:r>
      <w:r>
        <w:rPr>
          <w:rFonts w:hint="eastAsia" w:ascii="宋体" w:hAnsi="宋体" w:eastAsia="宋体" w:cs="宋体"/>
          <w:color w:val="000000"/>
          <w:kern w:val="0"/>
          <w:sz w:val="24"/>
          <w:szCs w:val="24"/>
          <w:lang w:val="en-US" w:eastAsia="zh-CN" w:bidi="ar"/>
        </w:rPr>
        <w:t>国家一级重点保护野生动物</w:t>
      </w:r>
    </w:p>
    <w:p w14:paraId="5B7DB763">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kern w:val="0"/>
          <w:sz w:val="24"/>
          <w:szCs w:val="24"/>
          <w:lang w:val="en-US" w:eastAsia="zh-CN" w:bidi="ar"/>
        </w:rPr>
        <w:t>鉴别特征：</w:t>
      </w:r>
      <w:r>
        <w:rPr>
          <w:rFonts w:hint="eastAsia" w:ascii="宋体" w:hAnsi="宋体" w:eastAsia="宋体" w:cs="宋体"/>
          <w:color w:val="000000"/>
          <w:kern w:val="0"/>
          <w:sz w:val="24"/>
          <w:szCs w:val="24"/>
          <w:lang w:val="en-US" w:eastAsia="zh-CN" w:bidi="ar"/>
        </w:rPr>
        <w:t>中等体型的灵猫科动物，头体长</w:t>
      </w:r>
      <w:r>
        <w:rPr>
          <w:rFonts w:hint="default" w:ascii="Times New Roman" w:hAnsi="Times New Roman" w:eastAsia="宋体" w:cs="Times New Roman"/>
          <w:color w:val="000000"/>
          <w:kern w:val="0"/>
          <w:sz w:val="24"/>
          <w:szCs w:val="24"/>
          <w:lang w:val="en-US" w:eastAsia="zh-CN" w:bidi="ar"/>
        </w:rPr>
        <w:t>45-68c</w:t>
      </w:r>
      <w:r>
        <w:rPr>
          <w:rFonts w:hint="eastAsia"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，尾长</w:t>
      </w:r>
      <w:r>
        <w:rPr>
          <w:rFonts w:hint="default" w:ascii="Times New Roman" w:hAnsi="Times New Roman" w:eastAsia="宋体" w:cs="Times New Roman"/>
          <w:color w:val="000000"/>
          <w:kern w:val="0"/>
          <w:sz w:val="24"/>
          <w:szCs w:val="24"/>
          <w:lang w:val="en-US" w:eastAsia="zh-CN" w:bidi="ar"/>
        </w:rPr>
        <w:t>30-43c</w:t>
      </w:r>
      <w:r>
        <w:rPr>
          <w:rFonts w:hint="eastAsia" w:cs="Times New Roman"/>
          <w:color w:val="000000"/>
          <w:kern w:val="0"/>
          <w:sz w:val="24"/>
          <w:szCs w:val="24"/>
          <w:lang w:val="en-US" w:eastAsia="zh-CN" w:bidi="ar"/>
        </w:rPr>
        <w:t>m</w:t>
      </w:r>
      <w:r>
        <w:rPr>
          <w:rFonts w:hint="eastAsia" w:ascii="宋体" w:hAnsi="宋体" w:eastAsia="宋体" w:cs="宋体"/>
          <w:color w:val="000000"/>
          <w:kern w:val="0"/>
          <w:sz w:val="24"/>
          <w:szCs w:val="24"/>
          <w:lang w:val="en-US" w:eastAsia="zh-CN" w:bidi="ar"/>
        </w:rPr>
        <w:t>，体重</w:t>
      </w:r>
      <w:r>
        <w:rPr>
          <w:rFonts w:hint="default" w:ascii="Times New Roman" w:hAnsi="Times New Roman" w:eastAsia="宋体" w:cs="Times New Roman"/>
          <w:color w:val="000000"/>
          <w:kern w:val="0"/>
          <w:sz w:val="24"/>
          <w:szCs w:val="24"/>
          <w:lang w:val="en-US" w:eastAsia="zh-CN" w:bidi="ar"/>
        </w:rPr>
        <w:t>2-4kg</w:t>
      </w:r>
      <w:r>
        <w:rPr>
          <w:rFonts w:hint="eastAsia" w:ascii="宋体" w:hAnsi="宋体" w:eastAsia="宋体" w:cs="宋体"/>
          <w:color w:val="000000"/>
          <w:kern w:val="0"/>
          <w:sz w:val="24"/>
          <w:szCs w:val="24"/>
          <w:lang w:val="en-US" w:eastAsia="zh-CN" w:bidi="ar"/>
        </w:rPr>
        <w:t>。体型纤细，四肢较短且后肢略长于前肢，吻部尖而突出，体表具斑点，尾巴粗长且具明显的黑色环纹。身体毛色灰色至灰棕色，四足色深近黑。体表密布呈纵向排列的深色斑点；在背部中央及两侧，这些斑点相互连接形成</w:t>
      </w:r>
      <w:r>
        <w:rPr>
          <w:rFonts w:hint="default" w:ascii="Times New Roman" w:hAnsi="Times New Roman" w:eastAsia="宋体" w:cs="Times New Roman"/>
          <w:color w:val="000000"/>
          <w:kern w:val="0"/>
          <w:sz w:val="24"/>
          <w:szCs w:val="24"/>
          <w:lang w:val="en-US" w:eastAsia="zh-CN" w:bidi="ar"/>
        </w:rPr>
        <w:t>5-7</w:t>
      </w:r>
      <w:r>
        <w:rPr>
          <w:rFonts w:hint="eastAsia" w:ascii="宋体" w:hAnsi="宋体" w:eastAsia="宋体" w:cs="宋体"/>
          <w:color w:val="000000"/>
          <w:kern w:val="0"/>
          <w:sz w:val="24"/>
          <w:szCs w:val="24"/>
          <w:lang w:val="en-US" w:eastAsia="zh-CN" w:bidi="ar"/>
        </w:rPr>
        <w:t>条纵纹，从肩部延伸至臀部。尾巴具黑棕相间的环纹，尾尖毛色白。尾长大于头体长之半。</w:t>
      </w:r>
    </w:p>
    <w:p w14:paraId="19C07AFA">
      <w:pPr>
        <w:keepNext w:val="0"/>
        <w:keepLines w:val="0"/>
        <w:widowControl/>
        <w:suppressLineNumbers w:val="0"/>
        <w:spacing w:before="0" w:beforeAutospacing="0" w:after="0" w:afterAutospacing="0" w:line="360" w:lineRule="auto"/>
        <w:ind w:left="0" w:right="0"/>
        <w:jc w:val="left"/>
        <w:outlineLvl w:val="9"/>
        <w:rPr>
          <w:rFonts w:hint="default"/>
          <w:color w:val="000000"/>
        </w:rPr>
      </w:pPr>
      <w:r>
        <w:rPr>
          <w:rFonts w:hint="eastAsia" w:ascii="宋体" w:hAnsi="宋体" w:eastAsia="宋体" w:cs="宋体"/>
          <w:b/>
          <w:bCs/>
          <w:color w:val="000000"/>
          <w:kern w:val="0"/>
          <w:sz w:val="24"/>
          <w:szCs w:val="24"/>
          <w:lang w:val="en-US" w:eastAsia="zh-CN" w:bidi="ar"/>
        </w:rPr>
        <w:t>生态习性：</w:t>
      </w:r>
      <w:r>
        <w:rPr>
          <w:rFonts w:hint="eastAsia" w:ascii="宋体" w:hAnsi="宋体" w:eastAsia="宋体" w:cs="宋体"/>
          <w:color w:val="000000"/>
          <w:kern w:val="0"/>
          <w:sz w:val="24"/>
          <w:szCs w:val="24"/>
          <w:lang w:val="en-US" w:eastAsia="zh-CN" w:bidi="ar"/>
        </w:rPr>
        <w:t>该物种是杂食动物，喜食小型兽类、昆虫、蚯蚓、鸟类、鸟蛋、爬行类、甲壳动物、蜘蛛、蜗牛等，偶会取食植物果实与嫩芽。小灵猫为独居动物以夜间及晨昏活动为主。阴腺可分泌油性分泌物，被涂抹或喷射在各种物体上用于标记个体领地。</w:t>
      </w:r>
    </w:p>
    <w:p w14:paraId="5B60B2E3">
      <w:pPr>
        <w:keepNext w:val="0"/>
        <w:keepLines w:val="0"/>
        <w:widowControl/>
        <w:suppressLineNumbers w:val="0"/>
        <w:spacing w:before="0" w:beforeAutospacing="0" w:after="0" w:afterAutospacing="0" w:line="360" w:lineRule="auto"/>
        <w:ind w:left="0" w:right="0"/>
        <w:jc w:val="left"/>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分布情况：</w:t>
      </w:r>
      <w:r>
        <w:rPr>
          <w:rFonts w:hint="eastAsia" w:ascii="宋体" w:hAnsi="宋体" w:eastAsia="宋体" w:cs="宋体"/>
          <w:color w:val="000000"/>
          <w:kern w:val="0"/>
          <w:sz w:val="24"/>
          <w:szCs w:val="24"/>
          <w:lang w:val="en-US" w:eastAsia="zh-CN" w:bidi="ar"/>
        </w:rPr>
        <w:t>在大别山低海拔地区有分布，近些年仅在霍山县救助过</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只。野外数量极其稀少，野外罕见。</w:t>
      </w:r>
    </w:p>
    <w:p w14:paraId="1D5B6025">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pict>
          <v:shape id="_x0000_i1040" o:spt="75" alt="7e47bb28-8414-4f53-886f-63c0f8e4ce24" type="#_x0000_t75" style="height:282.1pt;width:390.6pt;" filled="f" o:preferrelative="t" stroked="f" coordsize="21600,21600">
            <v:path/>
            <v:fill on="f" focussize="0,0"/>
            <v:stroke on="f"/>
            <v:imagedata r:id="rId52" o:title="7e47bb28-8414-4f53-886f-63c0f8e4ce24"/>
            <o:lock v:ext="edit" aspectratio="t"/>
            <w10:wrap type="none"/>
            <w10:anchorlock/>
          </v:shape>
        </w:pict>
      </w:r>
    </w:p>
    <w:p w14:paraId="0ECEA112">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cs="Times New Roman"/>
          <w:b/>
          <w:bCs w:val="0"/>
          <w:color w:val="000000"/>
          <w:highlight w:val="none"/>
          <w:lang w:val="en-US" w:eastAsia="zh-CN"/>
        </w:rPr>
      </w:pPr>
      <w:r>
        <w:rPr>
          <w:rFonts w:hint="eastAsia" w:cs="Times New Roman"/>
          <w:b/>
          <w:bCs w:val="0"/>
          <w:color w:val="000000"/>
          <w:highlight w:val="none"/>
          <w:lang w:val="en-US" w:eastAsia="zh-CN"/>
        </w:rPr>
        <w:t>图4-5  霍山县国家和安徽省重点保护哺乳动物分布图</w:t>
      </w:r>
    </w:p>
    <w:p w14:paraId="2F46AC60">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》技术报告中表5.3-2霍山县国家和安徽省重点保护哺乳动物分布位点信息表中内容可知，小灵猫发现点位于西门畈村。位于柳林河东侧位置。</w:t>
      </w:r>
    </w:p>
    <w:p w14:paraId="6013426D">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eastAsia="宋体" w:cs="Times New Roman"/>
          <w:bCs/>
          <w:color w:val="000000"/>
          <w:highlight w:val="none"/>
          <w:lang w:val="en-US" w:eastAsia="zh-CN"/>
        </w:rPr>
      </w:pPr>
      <w:r>
        <w:rPr>
          <w:rFonts w:hint="default" w:cs="Times New Roman"/>
          <w:bCs/>
          <w:color w:val="000000"/>
          <w:highlight w:val="none"/>
          <w:lang w:val="en-US" w:eastAsia="zh-CN"/>
        </w:rPr>
        <w:pict>
          <v:shape id="_x0000_i1041" o:spt="75" alt="f5c395d0-aa26-43f5-bb6f-55cce592bd0f" type="#_x0000_t75" style="height:127.55pt;width:390.05pt;" filled="f" o:preferrelative="t" stroked="f" coordsize="21600,21600">
            <v:path/>
            <v:fill on="f" focussize="0,0"/>
            <v:stroke on="f"/>
            <v:imagedata r:id="rId53" o:title="f5c395d0-aa26-43f5-bb6f-55cce592bd0f"/>
            <o:lock v:ext="edit" aspectratio="t"/>
            <w10:wrap type="none"/>
            <w10:anchorlock/>
          </v:shape>
        </w:pict>
      </w:r>
    </w:p>
    <w:p w14:paraId="5206D970">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Times New Roman" w:hAnsi="Times New Roman" w:eastAsia="宋体" w:cs="Times New Roman"/>
          <w:bCs/>
          <w:color w:val="000000"/>
          <w:highlight w:val="none"/>
        </w:rPr>
      </w:pP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3</w:t>
      </w:r>
      <w:r>
        <w:rPr>
          <w:rFonts w:hint="default" w:ascii="Times New Roman" w:hAnsi="Times New Roman" w:eastAsia="宋体" w:cs="Times New Roman"/>
          <w:bCs/>
          <w:color w:val="000000"/>
          <w:highlight w:val="none"/>
        </w:rPr>
        <w:t>）</w:t>
      </w:r>
      <w:r>
        <w:rPr>
          <w:rFonts w:hint="default" w:ascii="Times New Roman" w:hAnsi="Times New Roman" w:eastAsia="宋体" w:cs="Times New Roman"/>
          <w:bCs/>
          <w:color w:val="000000"/>
          <w:highlight w:val="none"/>
          <w:lang w:val="en-US" w:eastAsia="zh-CN"/>
        </w:rPr>
        <w:t>水生生态环境现状</w:t>
      </w:r>
    </w:p>
    <w:p w14:paraId="16374288">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480" w:firstLineChars="200"/>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本项目位于六安市霍山县衡山镇，属淮河流域，其境内主要水系为淠河水系。</w:t>
      </w:r>
    </w:p>
    <w:p w14:paraId="2D3E48A4">
      <w:pPr>
        <w:keepNext w:val="0"/>
        <w:keepLines w:val="0"/>
        <w:pageBreakBefore w:val="0"/>
        <w:suppressLineNumbers w:val="0"/>
        <w:kinsoku/>
        <w:bidi w:val="0"/>
        <w:adjustRightInd/>
        <w:snapToGrid/>
        <w:spacing w:before="0" w:beforeAutospacing="0" w:after="0" w:afterAutospacing="0" w:line="360" w:lineRule="auto"/>
        <w:ind w:left="0" w:leftChars="0" w:right="0" w:rightChars="0" w:firstLine="480" w:firstLineChars="200"/>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淠河有东、西两条源流。东源又称东淠河，发源于鄂、皖交界的桂龙尖，全长103k</w:t>
      </w:r>
      <w:r>
        <w:rPr>
          <w:rFonts w:hint="eastAsia" w:cs="Times New Roman"/>
          <w:color w:val="000000"/>
          <w:lang w:val="en-US" w:eastAsia="zh-CN"/>
        </w:rPr>
        <w:t>m</w:t>
      </w:r>
      <w:r>
        <w:rPr>
          <w:rFonts w:hint="default" w:ascii="Times New Roman" w:hAnsi="Times New Roman" w:eastAsia="宋体" w:cs="Times New Roman"/>
          <w:color w:val="000000"/>
          <w:lang w:val="en-US" w:eastAsia="zh-CN"/>
        </w:rPr>
        <w:t>，流域面积2697k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。西源又称西淠河，发源于鄂、皖交界的三省垴。长68k</w:t>
      </w:r>
      <w:r>
        <w:rPr>
          <w:rFonts w:hint="eastAsia" w:cs="Times New Roman"/>
          <w:color w:val="000000"/>
          <w:lang w:val="en-US" w:eastAsia="zh-CN"/>
        </w:rPr>
        <w:t>m</w:t>
      </w:r>
      <w:r>
        <w:rPr>
          <w:rFonts w:hint="default" w:ascii="Times New Roman" w:hAnsi="Times New Roman" w:eastAsia="宋体" w:cs="Times New Roman"/>
          <w:color w:val="000000"/>
          <w:lang w:val="en-US" w:eastAsia="zh-CN"/>
        </w:rPr>
        <w:t>，流域面积1585k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。东、西淠河于两河口处汇合后始称淠河，北流经横排头、苏家埠、六安、马头集、迎河镇，在正阳关入淮河。两河口至横排头河道长9k</w:t>
      </w:r>
      <w:r>
        <w:rPr>
          <w:rFonts w:hint="eastAsia" w:cs="Times New Roman"/>
          <w:color w:val="000000"/>
          <w:lang w:val="en-US" w:eastAsia="zh-CN"/>
        </w:rPr>
        <w:t>m</w:t>
      </w:r>
      <w:r>
        <w:rPr>
          <w:rFonts w:hint="default" w:ascii="Times New Roman" w:hAnsi="Times New Roman" w:eastAsia="宋体" w:cs="Times New Roman"/>
          <w:color w:val="000000"/>
          <w:lang w:val="en-US" w:eastAsia="zh-CN"/>
        </w:rPr>
        <w:t>，横排头以上流域面积4370k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，六安以上流域面积4920k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淠河流域在两河口以上呈扇形。支流发达，河流汇流集中；两河口以下呈带状，无较大支流汇入，汇流分散。淠河流城面积中山区占72%，丘陵区占17%，沿河平源洼地占11%。流域地形呈南高北低和东西高中间低的狭长带状。按地形及汇水条件，大致将佛子岭、响洪甸水库以上划定为上游，两库坝下至横排头为中游，横排头至河口为下游。上游流域面积3240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，为山区；中游区间面积1130k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，为山丘区；下游区间面积1630k</w:t>
      </w:r>
      <w:r>
        <w:rPr>
          <w:rFonts w:hint="eastAsia" w:cs="Times New Roman"/>
          <w:color w:val="000000"/>
          <w:lang w:val="en-US" w:eastAsia="zh-CN"/>
        </w:rPr>
        <w:t>m</w:t>
      </w:r>
      <w:r>
        <w:rPr>
          <w:rFonts w:hint="default" w:ascii="Times New Roman" w:hAnsi="Times New Roman" w:eastAsia="宋体" w:cs="Times New Roman"/>
          <w:color w:val="000000"/>
          <w:vertAlign w:val="superscript"/>
          <w:lang w:val="en-US" w:eastAsia="zh-CN"/>
        </w:rPr>
        <w:t>2</w:t>
      </w:r>
      <w:r>
        <w:rPr>
          <w:rFonts w:hint="default" w:ascii="Times New Roman" w:hAnsi="Times New Roman" w:eastAsia="宋体" w:cs="Times New Roman"/>
          <w:color w:val="000000"/>
          <w:lang w:val="en-US" w:eastAsia="zh-CN"/>
        </w:rPr>
        <w:t>，为丘陵和平原洼地。上游河道及中游支流河道坡降一般较大，河床下切，存在不同程度的水土流失现象。中下游干流河道比降相对平缓，平均坡降为0.18～0.3%，主河槽宽度100~300</w:t>
      </w:r>
      <w:r>
        <w:rPr>
          <w:rFonts w:hint="eastAsia" w:cs="Times New Roman"/>
          <w:color w:val="000000"/>
          <w:lang w:val="en-US" w:eastAsia="zh-CN"/>
        </w:rPr>
        <w:t>m</w:t>
      </w:r>
      <w:r>
        <w:rPr>
          <w:rFonts w:hint="default" w:ascii="Times New Roman" w:hAnsi="Times New Roman" w:eastAsia="宋体" w:cs="Times New Roman"/>
          <w:color w:val="000000"/>
          <w:lang w:val="en-US" w:eastAsia="zh-CN"/>
        </w:rPr>
        <w:t>，河面相对较宽，河床皆为沙质，受两岸阶地的钳制，河流基本顺直。</w:t>
      </w:r>
    </w:p>
    <w:p w14:paraId="72589CDB">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1、东淠河</w:t>
      </w:r>
    </w:p>
    <w:p w14:paraId="58109EC9">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东淠河上游建有佛子岭、磨子潭、白莲崖三大水库，其泄流从直接佛子岭水库进入东淠河。霍山城区位于东淠河佛子岭水库坝下7k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，下至两河口16k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。位置大致是东淠河下段或淠河中游上段，控制流域面积2150k</w:t>
      </w:r>
      <w:r>
        <w:rPr>
          <w:rFonts w:hint="default" w:ascii="Times New Roman" w:hAnsi="Times New Roman" w:cs="Times New Roman"/>
          <w:b w:val="0"/>
          <w:bCs/>
          <w:color w:val="000000"/>
          <w:sz w:val="24"/>
          <w:szCs w:val="24"/>
          <w:lang w:val="en-US" w:eastAsia="zh-CN"/>
        </w:rPr>
        <w:t>m</w:t>
      </w:r>
      <w:r>
        <w:rPr>
          <w:rFonts w:hint="default" w:ascii="Times New Roman" w:hAnsi="Times New Roman" w:eastAsia="宋体" w:cs="Times New Roman"/>
          <w:b w:val="0"/>
          <w:bCs/>
          <w:color w:val="000000"/>
          <w:sz w:val="24"/>
          <w:szCs w:val="24"/>
          <w:vertAlign w:val="superscript"/>
          <w:lang w:val="en-US" w:eastAsia="zh-CN"/>
        </w:rPr>
        <w:t>2</w:t>
      </w:r>
      <w:r>
        <w:rPr>
          <w:rFonts w:hint="default" w:ascii="Times New Roman" w:hAnsi="Times New Roman" w:eastAsia="宋体" w:cs="Times New Roman"/>
          <w:b w:val="0"/>
          <w:color w:val="000000"/>
          <w:kern w:val="2"/>
          <w:sz w:val="24"/>
          <w:szCs w:val="24"/>
          <w:lang w:val="en-US" w:eastAsia="zh-CN" w:bidi="ar-SA"/>
        </w:rPr>
        <w:t>。佛子岭水库坝下，东淠河城区段主要支流有孔家河、深水河、戴家河、柳林河、幽芳河、高庙河、熊家河等先后汇入东淠河干流，东淠河城关圩堤防长度10.4k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w:t>
      </w:r>
    </w:p>
    <w:p w14:paraId="66A57F2B">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2、柳林河</w:t>
      </w:r>
    </w:p>
    <w:p w14:paraId="60B6D478">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柳林河为东淠河支流，主流发源于桃花寨，总流向先向西北，后折转向东北，流经通水灌（黄泥）、谢家畈、俞家山根、西门畈（俞家畈），在潜台寺西汇入东淠河干流。河道全长约15.92k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，流域面积35.78km</w:t>
      </w:r>
      <w:r>
        <w:rPr>
          <w:rFonts w:hint="default" w:ascii="Times New Roman" w:hAnsi="Times New Roman" w:eastAsia="宋体" w:cs="Times New Roman"/>
          <w:b w:val="0"/>
          <w:color w:val="000000"/>
          <w:kern w:val="2"/>
          <w:sz w:val="24"/>
          <w:szCs w:val="24"/>
          <w:vertAlign w:val="superscript"/>
          <w:lang w:val="en-US" w:eastAsia="zh-CN" w:bidi="ar-SA"/>
        </w:rPr>
        <w:t>2</w:t>
      </w:r>
      <w:r>
        <w:rPr>
          <w:rFonts w:hint="default" w:ascii="Times New Roman" w:hAnsi="Times New Roman" w:eastAsia="宋体" w:cs="Times New Roman"/>
          <w:b w:val="0"/>
          <w:color w:val="000000"/>
          <w:kern w:val="2"/>
          <w:sz w:val="24"/>
          <w:szCs w:val="24"/>
          <w:lang w:val="en-US" w:eastAsia="zh-CN" w:bidi="ar-SA"/>
        </w:rPr>
        <w:t>，河道平均坡降8.1‰。</w:t>
      </w:r>
    </w:p>
    <w:p w14:paraId="6CD68567">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3、高庙河</w:t>
      </w:r>
    </w:p>
    <w:p w14:paraId="0A7BCB31">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高庙河源于霍山县白沙岭，向北流经牛角冲、桥头堰、县渔场，在北镇庙汇入东淠河干流，河道全长约为28.51k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，流域面积27.14k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vertAlign w:val="superscript"/>
          <w:lang w:val="en-US" w:eastAsia="zh-CN" w:bidi="ar-SA"/>
        </w:rPr>
        <w:t>2</w:t>
      </w:r>
      <w:r>
        <w:rPr>
          <w:rFonts w:hint="default" w:ascii="Times New Roman" w:hAnsi="Times New Roman" w:eastAsia="宋体" w:cs="Times New Roman"/>
          <w:b w:val="0"/>
          <w:color w:val="000000"/>
          <w:kern w:val="2"/>
          <w:sz w:val="24"/>
          <w:szCs w:val="24"/>
          <w:lang w:val="en-US" w:eastAsia="zh-CN" w:bidi="ar-SA"/>
        </w:rPr>
        <w:t>，河道平均坡降8.3‰。</w:t>
      </w:r>
    </w:p>
    <w:p w14:paraId="635C8C40">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4、幽芳河</w:t>
      </w:r>
    </w:p>
    <w:p w14:paraId="490AC24C">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幽芳河发源于白石岗，经东石门，在县城东门外石担桥下汇入护城河，河道全长约10.5k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，流域面积28.25k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vertAlign w:val="superscript"/>
          <w:lang w:val="en-US" w:eastAsia="zh-CN" w:bidi="ar-SA"/>
        </w:rPr>
        <w:t>2</w:t>
      </w:r>
      <w:r>
        <w:rPr>
          <w:rFonts w:hint="default" w:ascii="Times New Roman" w:hAnsi="Times New Roman" w:eastAsia="宋体" w:cs="Times New Roman"/>
          <w:b w:val="0"/>
          <w:color w:val="000000"/>
          <w:kern w:val="2"/>
          <w:sz w:val="24"/>
          <w:szCs w:val="24"/>
          <w:lang w:val="en-US" w:eastAsia="zh-CN" w:bidi="ar-SA"/>
        </w:rPr>
        <w:t>，平均比降10.2‰。</w:t>
      </w:r>
    </w:p>
    <w:p w14:paraId="5C6F926E">
      <w:pPr>
        <w:pStyle w:val="2"/>
        <w:rPr>
          <w:rFonts w:hint="default"/>
          <w:color w:val="000000"/>
          <w:lang w:val="en-US" w:eastAsia="zh-CN"/>
        </w:rPr>
      </w:pPr>
    </w:p>
    <w:p w14:paraId="22F75434">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b w:val="0"/>
          <w:color w:val="000000"/>
          <w:kern w:val="2"/>
          <w:sz w:val="24"/>
          <w:szCs w:val="24"/>
          <w:lang w:val="en-US" w:eastAsia="zh-CN" w:bidi="ar-SA"/>
        </w:rPr>
      </w:pPr>
      <w:r>
        <w:rPr>
          <w:rFonts w:hint="default" w:ascii="Times New Roman" w:hAnsi="Times New Roman" w:eastAsia="宋体" w:cs="Times New Roman"/>
          <w:b w:val="0"/>
          <w:color w:val="000000"/>
          <w:kern w:val="2"/>
          <w:sz w:val="24"/>
          <w:szCs w:val="24"/>
          <w:lang w:val="en-US" w:eastAsia="zh-CN" w:bidi="ar-SA"/>
        </w:rPr>
        <w:t>5、新店河</w:t>
      </w:r>
    </w:p>
    <w:p w14:paraId="41CBBA4D">
      <w:pPr>
        <w:pageBreakBefore w:val="0"/>
        <w:widowControl w:val="0"/>
        <w:suppressLineNumbers w:val="0"/>
        <w:kinsoku/>
        <w:wordWrap/>
        <w:overflowPunct/>
        <w:topLinePunct w:val="0"/>
        <w:autoSpaceDE/>
        <w:autoSpaceDN/>
        <w:bidi w:val="0"/>
        <w:adjustRightInd/>
        <w:snapToGrid/>
        <w:spacing w:before="0" w:beforeLines="0" w:after="0" w:afterLines="0"/>
        <w:ind w:left="0" w:right="0"/>
        <w:textAlignment w:val="auto"/>
        <w:outlineLvl w:val="9"/>
        <w:rPr>
          <w:rFonts w:hint="default" w:ascii="Times New Roman" w:hAnsi="Times New Roman" w:eastAsia="宋体" w:cs="Times New Roman"/>
          <w:color w:val="000000"/>
          <w:lang w:val="en-US" w:eastAsia="zh-CN"/>
        </w:rPr>
      </w:pPr>
      <w:r>
        <w:rPr>
          <w:rFonts w:hint="default" w:ascii="Times New Roman" w:hAnsi="Times New Roman" w:eastAsia="宋体" w:cs="Times New Roman"/>
          <w:b w:val="0"/>
          <w:color w:val="000000"/>
          <w:kern w:val="2"/>
          <w:sz w:val="24"/>
          <w:szCs w:val="24"/>
          <w:lang w:val="en-US" w:eastAsia="zh-CN" w:bidi="ar-SA"/>
        </w:rPr>
        <w:t>新店河治理段干流总长7.0k</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，起点为印墩村，终点汇入戴家河。干流河底高程116.82~70.00</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，纵坡纵坡6.6‰，河口宽11~30</w:t>
      </w:r>
      <w:r>
        <w:rPr>
          <w:rFonts w:hint="eastAsia" w:ascii="Times New Roman" w:hAnsi="Times New Roman" w:cs="Times New Roman"/>
          <w:b w:val="0"/>
          <w:color w:val="000000"/>
          <w:kern w:val="2"/>
          <w:sz w:val="24"/>
          <w:szCs w:val="24"/>
          <w:lang w:val="en-US" w:eastAsia="zh-CN" w:bidi="ar-SA"/>
        </w:rPr>
        <w:t>m</w:t>
      </w:r>
      <w:r>
        <w:rPr>
          <w:rFonts w:hint="default" w:ascii="Times New Roman" w:hAnsi="Times New Roman" w:eastAsia="宋体" w:cs="Times New Roman"/>
          <w:b w:val="0"/>
          <w:color w:val="000000"/>
          <w:kern w:val="2"/>
          <w:sz w:val="24"/>
          <w:szCs w:val="24"/>
          <w:lang w:val="en-US" w:eastAsia="zh-CN" w:bidi="ar-SA"/>
        </w:rPr>
        <w:t>。</w:t>
      </w:r>
    </w:p>
    <w:p w14:paraId="7A00BA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》技术报告中内容：水生生物调查范围主要为霍山县域内的东淠河、佛子岭水库、磨子潭水库和白莲崖水库及周边水域，其中白莲崖水库属漫水河蒙古红鲌国家级水产种质资源保护区范围。</w:t>
      </w:r>
    </w:p>
    <w:p w14:paraId="348AC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eastAsia" w:cs="Times New Roman"/>
          <w:bCs/>
          <w:color w:val="000000"/>
          <w:highlight w:val="none"/>
          <w:lang w:val="en-US" w:eastAsia="zh-CN"/>
        </w:rPr>
      </w:pPr>
      <w:r>
        <w:rPr>
          <w:rFonts w:hint="eastAsia" w:cs="Times New Roman"/>
          <w:bCs/>
          <w:color w:val="000000"/>
          <w:highlight w:val="none"/>
          <w:lang w:val="en-US" w:eastAsia="zh-CN"/>
        </w:rPr>
        <w:t>调查中共发现鱼类物种6目15科39属42种。其中，鲤形目29种，所占比例最多，为69.05%；鲈形目6种，占总物种数的14.29%；鲇形目4种，占总物种数的9.52%；鳉形目、合鳃鱼目等均为1种，占比均为2.38%。鲤形目中，鲤科物种数最多，有19属22种，多数为长江流域常见鱼类，如鲤（Cyprinus carpio）、鲫（Carassius auratus）、鲢（Hypophthalmichthys molitrix）、鳙（Aristichthys nobilis）、鳊等（Parabramis pekinensis）；鳅科和鮈亚科均为3属3种，包括泥鳅（misgurnus anguillicaudatus）、紫薄鳅（Leptobotia taeniaps）、中华花鳅（Cobitis sinensis）、片唇鮈（Platysmacheilus exiguus）、蛇鮈（Saurogobio dabryi）和银鮈（Squalidus argentatus）。鲈形目中，有鮨科1属2种，为大眼鳜（Siniperca kneri Garman）和斑鳜（Siniperca scherzeri）；刺鳅科、虾虎鱼科、沙塘鳢科、鳢科各1种。鲇形目中，有鲿科2属2种，为黄颡鱼（Tachysurus fulvidraco）和圆尾拟鲿。</w:t>
      </w:r>
    </w:p>
    <w:p w14:paraId="6BFCF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cs="Times New Roman"/>
          <w:bCs/>
          <w:color w:val="000000"/>
          <w:highlight w:val="none"/>
          <w:lang w:val="en-US" w:eastAsia="zh-CN"/>
        </w:rPr>
      </w:pPr>
      <w:r>
        <w:rPr>
          <w:rFonts w:hint="default" w:cs="Times New Roman"/>
          <w:bCs/>
          <w:color w:val="000000"/>
          <w:highlight w:val="none"/>
          <w:lang w:val="en-US" w:eastAsia="zh-CN"/>
        </w:rPr>
        <w:t>发现底栖动物物种3门8纲33种。其中节肢动物门昆虫纲物种数最多，共13种，占总物种数39.4%；其次为软体动物门腹足纲，共5种，占总物种数15.2%；再次为节肢动物门软甲纲和环节动物门寡毛纲，各4种，占总物种数12.1%；然后是软体动物门双壳纲，共3种，占总物种数9.1%；然后是节肢动物门甲壳纲，共1种，占总物种数6.1%。最后是软体动物门肺螺亚纲和软体动物门瓣鳃纲，各1种，占总物种数3%。</w:t>
      </w:r>
    </w:p>
    <w:p w14:paraId="1DBB88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cs="Times New Roman"/>
          <w:bCs/>
          <w:color w:val="000000"/>
          <w:highlight w:val="none"/>
          <w:lang w:val="en-US" w:eastAsia="zh-CN"/>
        </w:rPr>
      </w:pPr>
      <w:r>
        <w:rPr>
          <w:rFonts w:hint="default" w:cs="Times New Roman"/>
          <w:bCs/>
          <w:color w:val="000000"/>
          <w:highlight w:val="none"/>
          <w:lang w:val="en-US" w:eastAsia="zh-CN"/>
        </w:rPr>
        <w:t>发现水生维管植物22科29属30种。其中挺水植物14科19种，占比63.33%；浮水植物6科7种，占比23.33%；沉水植物3科4种，占比13.33%。</w:t>
      </w:r>
    </w:p>
    <w:p w14:paraId="0FBC05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outlineLvl w:val="9"/>
        <w:rPr>
          <w:rFonts w:hint="default" w:ascii="宋体" w:hAnsi="宋体" w:eastAsia="宋体" w:cs="宋体"/>
          <w:color w:val="000000"/>
          <w:sz w:val="21"/>
          <w:szCs w:val="21"/>
        </w:rPr>
        <w:sectPr>
          <w:pgSz w:w="11911" w:h="16838"/>
          <w:pgMar w:top="1417" w:right="1417" w:bottom="1417" w:left="1701" w:header="794" w:footer="1123" w:gutter="0"/>
          <w:pgBorders>
            <w:top w:val="none" w:sz="0" w:space="0"/>
            <w:left w:val="none" w:sz="0" w:space="0"/>
            <w:bottom w:val="none" w:sz="0" w:space="0"/>
            <w:right w:val="none" w:sz="0" w:space="0"/>
          </w:pgBorders>
          <w:pgNumType w:fmt="decimal"/>
          <w:cols w:space="720" w:num="1"/>
          <w:rtlGutter w:val="0"/>
          <w:docGrid w:linePitch="0" w:charSpace="0"/>
        </w:sectPr>
      </w:pPr>
      <w:r>
        <w:rPr>
          <w:rFonts w:hint="default" w:ascii="Times New Roman" w:hAnsi="Times New Roman" w:eastAsia="宋体" w:cs="Times New Roman"/>
          <w:color w:val="000000"/>
          <w:lang w:val="en-US" w:eastAsia="zh-CN"/>
        </w:rPr>
        <w:t>根据现场调查，本项目涉及水域</w:t>
      </w:r>
      <w:r>
        <w:rPr>
          <w:rFonts w:hint="eastAsia" w:cs="Times New Roman"/>
          <w:color w:val="000000"/>
          <w:lang w:val="en-US" w:eastAsia="zh-CN"/>
        </w:rPr>
        <w:t>，</w:t>
      </w:r>
      <w:r>
        <w:rPr>
          <w:rFonts w:hint="default" w:ascii="Times New Roman" w:hAnsi="Times New Roman" w:eastAsia="宋体" w:cs="Times New Roman"/>
          <w:color w:val="000000"/>
          <w:lang w:val="en-US" w:eastAsia="zh-CN"/>
        </w:rPr>
        <w:t>项目区无鱼类产卵场、索饵场和越冬场等三场”，项目区无珍稀、特有鱼类。</w:t>
      </w:r>
    </w:p>
    <w:p w14:paraId="770040E6">
      <w:pPr>
        <w:pStyle w:val="4"/>
        <w:bidi w:val="0"/>
        <w:ind w:left="0" w:leftChars="0" w:firstLine="0" w:firstLineChars="0"/>
        <w:jc w:val="center"/>
        <w:outlineLvl w:val="0"/>
        <w:rPr>
          <w:rFonts w:hint="default"/>
          <w:color w:val="000000"/>
          <w:lang w:val="en-US" w:eastAsia="zh-CN"/>
        </w:rPr>
      </w:pPr>
      <w:bookmarkStart w:id="107" w:name="_Toc22966"/>
      <w:bookmarkStart w:id="108" w:name="_Toc29730"/>
      <w:bookmarkStart w:id="109" w:name="_Toc26339"/>
      <w:r>
        <w:rPr>
          <w:rStyle w:val="58"/>
          <w:rFonts w:hint="eastAsia"/>
          <w:b/>
          <w:color w:val="000000"/>
          <w:lang w:val="en-US" w:eastAsia="zh-CN"/>
        </w:rPr>
        <w:t>5 生态环境影响预测与评价</w:t>
      </w:r>
      <w:bookmarkEnd w:id="107"/>
      <w:bookmarkEnd w:id="108"/>
      <w:bookmarkEnd w:id="109"/>
    </w:p>
    <w:p w14:paraId="2781CA0A">
      <w:pPr>
        <w:pStyle w:val="4"/>
        <w:bidi w:val="0"/>
        <w:rPr>
          <w:rFonts w:hint="default" w:ascii="Times New Roman" w:hAnsi="Times New Roman" w:eastAsia="宋体" w:cs="Times New Roman"/>
          <w:b/>
          <w:color w:val="000000"/>
          <w:kern w:val="0"/>
          <w:sz w:val="24"/>
        </w:rPr>
      </w:pPr>
      <w:bookmarkStart w:id="110" w:name="_Toc107"/>
      <w:bookmarkStart w:id="111" w:name="_Toc32720"/>
      <w:r>
        <w:rPr>
          <w:rFonts w:hint="eastAsia"/>
          <w:color w:val="000000"/>
          <w:lang w:val="en-US" w:eastAsia="zh-CN"/>
        </w:rPr>
        <w:t>5.1 施工期生态环境影响分析</w:t>
      </w:r>
      <w:bookmarkEnd w:id="110"/>
      <w:bookmarkEnd w:id="111"/>
    </w:p>
    <w:p w14:paraId="3AEDAE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1、生态环境影响分析</w:t>
      </w:r>
    </w:p>
    <w:p w14:paraId="31314C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本次</w:t>
      </w:r>
      <w:r>
        <w:rPr>
          <w:rFonts w:hint="default" w:ascii="Times New Roman" w:hAnsi="Times New Roman" w:eastAsia="宋体" w:cs="Times New Roman"/>
          <w:color w:val="000000"/>
          <w:kern w:val="0"/>
          <w:sz w:val="24"/>
          <w:lang w:eastAsia="zh-CN"/>
        </w:rPr>
        <w:t>排水防涝能力提升工程</w:t>
      </w:r>
      <w:r>
        <w:rPr>
          <w:rFonts w:hint="default" w:ascii="Times New Roman" w:hAnsi="Times New Roman" w:eastAsia="宋体" w:cs="Times New Roman"/>
          <w:color w:val="000000"/>
          <w:kern w:val="0"/>
          <w:sz w:val="24"/>
        </w:rPr>
        <w:t>，主要是在已建防洪工程基础上，在确保防洪安全的情况下，结合当地的发展需要，提升城市排水防涝应急响应和处置能力，加强极端暴雨条件下城市排水防涝应急处置能力建设。</w:t>
      </w:r>
    </w:p>
    <w:p w14:paraId="4AA1CBD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项目采取分段施工，</w:t>
      </w:r>
      <w:r>
        <w:rPr>
          <w:rFonts w:hint="default" w:ascii="Times New Roman" w:hAnsi="Times New Roman" w:eastAsia="宋体" w:cs="Times New Roman"/>
          <w:color w:val="000000"/>
          <w:kern w:val="0"/>
          <w:sz w:val="24"/>
          <w:lang w:val="en-US" w:eastAsia="zh-CN"/>
        </w:rPr>
        <w:t>本工程安排在非汛期施工，但考虑降雨有可能引发洪水，对护岸工程及沿河台地土料场造成影响。因此，施工时必须考虑降雨及洪水对本工程造成的危害，及时做好天气预报，并合理安排施工措施。一旦出现洪水浸泡土料场后，待洪水退却后，将表层淤泥清理掉，料场开采用垂直开挖，将表层含水量高的土与下部含水量低的土充分混合，严禁水平开挖，含水率不满足设计要求的严禁作为填料土填筑。如垂直开挖含水率仍大于设计最优含水率的，则应对料场土料进行翻晒，直至满足设计最优含水率后才能进行填筑</w:t>
      </w:r>
      <w:r>
        <w:rPr>
          <w:rFonts w:hint="default" w:ascii="Times New Roman" w:hAnsi="Times New Roman" w:eastAsia="宋体" w:cs="Times New Roman"/>
          <w:color w:val="000000"/>
          <w:kern w:val="0"/>
          <w:sz w:val="24"/>
        </w:rPr>
        <w:t>。</w:t>
      </w:r>
    </w:p>
    <w:p w14:paraId="2D994C6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eastAsia="zh-CN"/>
        </w:rPr>
        <w:t>（</w:t>
      </w:r>
      <w:r>
        <w:rPr>
          <w:rFonts w:hint="eastAsia" w:eastAsia="宋体" w:cs="Times New Roman"/>
          <w:color w:val="000000"/>
          <w:kern w:val="0"/>
          <w:sz w:val="24"/>
          <w:lang w:val="en-US" w:eastAsia="zh-CN"/>
        </w:rPr>
        <w:t>1）</w:t>
      </w:r>
      <w:r>
        <w:rPr>
          <w:rFonts w:hint="default" w:ascii="Times New Roman" w:hAnsi="Times New Roman" w:eastAsia="宋体" w:cs="Times New Roman"/>
          <w:color w:val="000000"/>
          <w:kern w:val="0"/>
          <w:sz w:val="24"/>
        </w:rPr>
        <w:t>生态环境现状</w:t>
      </w:r>
    </w:p>
    <w:p w14:paraId="14ED129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根据现场调查，本项目工程周边主要为未利用地及</w:t>
      </w:r>
      <w:r>
        <w:rPr>
          <w:rFonts w:hint="default" w:ascii="Times New Roman" w:hAnsi="Times New Roman" w:eastAsia="宋体" w:cs="Times New Roman"/>
          <w:color w:val="000000"/>
          <w:kern w:val="0"/>
          <w:sz w:val="24"/>
          <w:lang w:eastAsia="zh-CN"/>
        </w:rPr>
        <w:t>河滩地</w:t>
      </w:r>
      <w:r>
        <w:rPr>
          <w:rFonts w:hint="default" w:ascii="Times New Roman" w:hAnsi="Times New Roman" w:eastAsia="宋体" w:cs="Times New Roman"/>
          <w:color w:val="000000"/>
          <w:kern w:val="0"/>
          <w:sz w:val="24"/>
        </w:rPr>
        <w:t>，对项目区域内的植物种类进行现场调查，本项目拟建场地</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r>
        <w:rPr>
          <w:rFonts w:hint="default" w:ascii="Times New Roman" w:hAnsi="Times New Roman" w:eastAsia="宋体" w:cs="Times New Roman"/>
          <w:color w:val="000000"/>
          <w:kern w:val="0"/>
          <w:sz w:val="24"/>
        </w:rPr>
        <w:t>。</w:t>
      </w:r>
    </w:p>
    <w:p w14:paraId="4F1D14A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eastAsia="zh-CN"/>
        </w:rPr>
      </w:pPr>
      <w:r>
        <w:rPr>
          <w:rFonts w:hint="eastAsia" w:eastAsia="宋体" w:cs="Times New Roman"/>
          <w:color w:val="000000"/>
          <w:kern w:val="0"/>
          <w:sz w:val="24"/>
          <w:lang w:val="en-US" w:eastAsia="zh-CN"/>
        </w:rPr>
        <w:t>（2）工程占地影响分析</w:t>
      </w:r>
    </w:p>
    <w:p w14:paraId="6A6B060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eastAsia="zh-CN"/>
        </w:rPr>
      </w:pPr>
      <w:r>
        <w:rPr>
          <w:rFonts w:hint="eastAsia" w:eastAsia="宋体" w:cs="Times New Roman"/>
          <w:color w:val="000000"/>
          <w:kern w:val="0"/>
          <w:sz w:val="24"/>
          <w:lang w:val="en-US" w:eastAsia="zh-CN"/>
        </w:rPr>
        <w:t>工程临时设施主要包括施工场地、临时堆场等，均为临时占地。本项目施工期不新建临时施工道路，利用现有公路及主体工程布设的施工道路，临时施工道路不涉及重要物种及动植物生境的占用。</w:t>
      </w:r>
    </w:p>
    <w:p w14:paraId="0605EE0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eastAsia="zh-CN"/>
        </w:rPr>
      </w:pPr>
      <w:r>
        <w:rPr>
          <w:rFonts w:hint="eastAsia" w:eastAsia="宋体" w:cs="Times New Roman"/>
          <w:color w:val="000000"/>
          <w:kern w:val="0"/>
          <w:sz w:val="24"/>
          <w:lang w:val="en-US" w:eastAsia="zh-CN"/>
        </w:rPr>
        <w:t>本项目工程开挖、弃渣等将破坏原有的植被和水保设施，改变原有地貌和景观，使其失去固土防冲能力，从而造成水土流失。工程占地将使植被和生物量减少，并影响到野生动物的栖息环境。</w:t>
      </w:r>
    </w:p>
    <w:p w14:paraId="5C8D304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（3）植物生态影响分析</w:t>
      </w:r>
    </w:p>
    <w:p w14:paraId="645756A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霍山县县域内植物种类丰富，在中国植被分区上，霍山县属于落叶、阔叶一常绿阔叶混交林带。有木本和草本植物3000多种，其中用材林有200多个树种，以松、杉和竹类为主，次之有栎、杨、柳、槐、枫、檀、榆、椿、桦、泡桐等树种</w:t>
      </w:r>
      <w:r>
        <w:rPr>
          <w:rFonts w:hint="eastAsia" w:eastAsia="宋体" w:cs="Times New Roman"/>
          <w:color w:val="000000"/>
          <w:kern w:val="0"/>
          <w:sz w:val="24"/>
          <w:lang w:val="en-US" w:eastAsia="zh-CN"/>
        </w:rPr>
        <w:t>；</w:t>
      </w:r>
      <w:r>
        <w:rPr>
          <w:rFonts w:hint="eastAsia" w:ascii="Times New Roman" w:hAnsi="Times New Roman" w:eastAsia="宋体" w:cs="Times New Roman"/>
          <w:color w:val="000000"/>
          <w:kern w:val="0"/>
          <w:sz w:val="24"/>
          <w:lang w:val="en-US" w:eastAsia="zh-CN"/>
        </w:rPr>
        <w:t>经济林有100多个树种，以板栗、油茶、乌桕为大宗。药用植物有1866多种，其中珍稀名贵和大宗地道药用植物有霍山石斛、安徽贝母、杜仲、厚朴、人参、桔梗、枣皮、断血流、药百合、野菊花、何首乌等，霍山石斛为名贵特产。观赏植物有1100多种，其中观赏价值高或分布较广的有雪松、鹅掌楸、天女花、杜鹃花、广玉兰、白兰、含笑、夜来香、望春花、腊梅、菊花、桂花、兰花等。牧草有几十种，以芭茅、野蒿和巴根草居多。</w:t>
      </w:r>
    </w:p>
    <w:p w14:paraId="1774617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以上各类植物中，属国家I级重点保护的野生植物有银杏、香果树</w:t>
      </w:r>
      <w:r>
        <w:rPr>
          <w:rFonts w:hint="eastAsia" w:eastAsia="宋体" w:cs="Times New Roman"/>
          <w:color w:val="000000"/>
          <w:kern w:val="0"/>
          <w:sz w:val="24"/>
          <w:lang w:val="en-US" w:eastAsia="zh-CN"/>
        </w:rPr>
        <w:t>；</w:t>
      </w:r>
      <w:r>
        <w:rPr>
          <w:rFonts w:hint="eastAsia" w:ascii="Times New Roman" w:hAnsi="Times New Roman" w:eastAsia="宋体" w:cs="Times New Roman"/>
          <w:color w:val="000000"/>
          <w:kern w:val="0"/>
          <w:sz w:val="24"/>
          <w:lang w:val="en-US" w:eastAsia="zh-CN"/>
        </w:rPr>
        <w:t>国家II级重点保护的野生植物有大别山五针松、刺楸、鹅掌楸、榉树、连香树、杜仲、厚朴</w:t>
      </w:r>
      <w:r>
        <w:rPr>
          <w:rFonts w:hint="eastAsia" w:eastAsia="宋体" w:cs="Times New Roman"/>
          <w:color w:val="000000"/>
          <w:kern w:val="0"/>
          <w:sz w:val="24"/>
          <w:lang w:val="en-US" w:eastAsia="zh-CN"/>
        </w:rPr>
        <w:t>；</w:t>
      </w:r>
      <w:r>
        <w:rPr>
          <w:rFonts w:hint="eastAsia" w:ascii="Times New Roman" w:hAnsi="Times New Roman" w:eastAsia="宋体" w:cs="Times New Roman"/>
          <w:color w:val="000000"/>
          <w:kern w:val="0"/>
          <w:sz w:val="24"/>
          <w:lang w:val="en-US" w:eastAsia="zh-CN"/>
        </w:rPr>
        <w:t>国家III级重点保护的野生植物有天女花等。省级重点保护的野生植物有三尖杉、金钱松、领春木、天目木姜子、青檀、粗框、银雀树、青钱柳、小勾儿茶、醉翁榆、琅琊榆、天竺桂、天目木兰、巨紫荆等。其他珍稀濒危树种及花草有蝴蝶树、樟树、紫楠、大别柳、红豆杉、黄山杜鹃、都支杜鹃、云锦杜鹃等。</w:t>
      </w:r>
    </w:p>
    <w:p w14:paraId="2551CA1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kern w:val="0"/>
          <w:sz w:val="24"/>
          <w:lang w:val="en-US" w:eastAsia="zh-CN"/>
        </w:rPr>
      </w:pPr>
      <w:r>
        <w:rPr>
          <w:rFonts w:hint="eastAsia" w:ascii="Times New Roman" w:hAnsi="Times New Roman" w:eastAsia="宋体" w:cs="Times New Roman"/>
          <w:color w:val="000000"/>
          <w:kern w:val="0"/>
          <w:sz w:val="24"/>
          <w:lang w:val="en-US" w:eastAsia="zh-CN"/>
        </w:rPr>
        <w:t>本项目施工期间，施工方案中需明确，严格要求对岸边沿线植物、古树名木的保护。严禁砍伐，不准攀折树枝，不准剥损树皮，不准借树木搭棚、作业，不准在树上挂物、敲钉、刻划。在树冠垂直投影外两米的范围内，不准挖土、堆物、造房、作业，不准倾倒有害的废水废渣。禁止其他一切影响重点保护的野生植物生长的行为。对影响、危害重点保护的野生植物生长的生产设施、生产单位应采取积极措施，消除其影响、危害。重点保护的野生植物树干以外10～15米为生长保护范围，在生长保护范围内的工程，必须满足重点保护野生植物根系生长和日照要求，并在施工期间落实养护措施。</w:t>
      </w:r>
      <w:r>
        <w:rPr>
          <w:rFonts w:hint="eastAsia" w:eastAsia="宋体" w:cs="Times New Roman"/>
          <w:color w:val="000000"/>
          <w:kern w:val="0"/>
          <w:sz w:val="24"/>
          <w:lang w:val="en-US" w:eastAsia="zh-CN"/>
        </w:rPr>
        <w:t>结合实际施工情况对</w:t>
      </w:r>
      <w:r>
        <w:rPr>
          <w:rFonts w:hint="eastAsia" w:ascii="Times New Roman" w:hAnsi="Times New Roman" w:eastAsia="宋体" w:cs="Times New Roman"/>
          <w:color w:val="000000"/>
          <w:kern w:val="0"/>
          <w:sz w:val="24"/>
          <w:lang w:val="en-US" w:eastAsia="zh-CN"/>
        </w:rPr>
        <w:t>重点保护野生植物</w:t>
      </w:r>
      <w:r>
        <w:rPr>
          <w:rFonts w:hint="eastAsia" w:eastAsia="宋体" w:cs="Times New Roman"/>
          <w:color w:val="000000"/>
          <w:kern w:val="0"/>
          <w:sz w:val="24"/>
          <w:lang w:val="en-US" w:eastAsia="zh-CN"/>
        </w:rPr>
        <w:t>所在地设置围挡或者移栽等措施。</w:t>
      </w:r>
      <w:r>
        <w:rPr>
          <w:rFonts w:hint="eastAsia" w:ascii="Times New Roman" w:hAnsi="Times New Roman" w:eastAsia="宋体" w:cs="Times New Roman"/>
          <w:color w:val="000000"/>
          <w:kern w:val="0"/>
          <w:sz w:val="24"/>
          <w:lang w:val="en-US" w:eastAsia="zh-CN"/>
        </w:rPr>
        <w:t>管理部门应加重点保护的野生植物的宣传教育、普及科学知识，组织和指导重点保护野生植物的养护管理。</w:t>
      </w:r>
    </w:p>
    <w:p w14:paraId="2D0FDCD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lang w:val="en-US" w:eastAsia="zh-CN"/>
        </w:rPr>
        <w:t>（4）</w:t>
      </w:r>
      <w:r>
        <w:rPr>
          <w:rFonts w:hint="default" w:ascii="Times New Roman" w:hAnsi="Times New Roman" w:eastAsia="宋体" w:cs="Times New Roman"/>
          <w:color w:val="000000"/>
          <w:kern w:val="0"/>
          <w:sz w:val="24"/>
        </w:rPr>
        <w:t>动物生态环境影响分析</w:t>
      </w:r>
    </w:p>
    <w:p w14:paraId="4E6FA382">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eastAsia" w:cs="Times New Roman"/>
          <w:bCs/>
          <w:color w:val="000000"/>
          <w:highlight w:val="none"/>
          <w:lang w:val="en-US" w:eastAsia="zh-CN"/>
        </w:rPr>
      </w:pPr>
      <w:r>
        <w:rPr>
          <w:rFonts w:hint="eastAsia" w:cs="Times New Roman"/>
          <w:bCs/>
          <w:color w:val="000000"/>
          <w:highlight w:val="none"/>
          <w:lang w:val="en-US" w:eastAsia="zh-CN"/>
        </w:rPr>
        <w:t>霍山县兽类优势种有东北刺猬、赤腹松鼠、小麂和野猪，它们的分布从海拔400m至1700m都有分布。啮齿目以及翼手目多分布在村落和农耕地附近，与人类活动高度关联。猪獾、亚洲狗獾等小型食肉目动物多分布在200～600m的区域，海拔相对低，小麂主要分布在600～1000m的中海拔地区，安徽麝主要分布在海拔1000m以上的高海拔地区。</w:t>
      </w:r>
    </w:p>
    <w:p w14:paraId="44C21450">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jc w:val="left"/>
        <w:textAlignment w:val="auto"/>
        <w:rPr>
          <w:rFonts w:hint="eastAsia" w:cs="Times New Roman"/>
          <w:bCs/>
          <w:color w:val="000000"/>
          <w:highlight w:val="none"/>
          <w:lang w:val="en-US" w:eastAsia="zh-CN"/>
        </w:rPr>
      </w:pPr>
      <w:r>
        <w:rPr>
          <w:rFonts w:hint="eastAsia" w:cs="Times New Roman"/>
          <w:bCs/>
          <w:color w:val="000000"/>
          <w:highlight w:val="none"/>
          <w:lang w:val="en-US" w:eastAsia="zh-CN"/>
        </w:rPr>
        <w:t>调查结果显示，大多数重点保护兽类活动海拔约在400～1300m之间，其中安徽麝在500-1200m的海拔区段活动，小麂、花面狸、猪獾、貉、黄鼬在400～1300m左右海拔区段均有活动；整体分布海拔跨度广，其中鼬獾海拔分布最窄，在海拔400～900m左右海拔区段活动。</w:t>
      </w:r>
    </w:p>
    <w:p w14:paraId="62A7B25C">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eastAsia" w:cs="Times New Roman"/>
          <w:bCs/>
          <w:color w:val="000000"/>
          <w:highlight w:val="none"/>
          <w:lang w:val="en-US" w:eastAsia="zh-CN"/>
        </w:rPr>
      </w:pP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主要为小灵猫，小灵猫分布</w:t>
      </w:r>
      <w:r>
        <w:rPr>
          <w:rFonts w:hint="eastAsia" w:ascii="宋体" w:hAnsi="宋体" w:eastAsia="宋体" w:cs="宋体"/>
          <w:color w:val="000000"/>
          <w:kern w:val="0"/>
          <w:sz w:val="24"/>
          <w:szCs w:val="24"/>
          <w:lang w:val="en-US" w:eastAsia="zh-CN" w:bidi="ar"/>
        </w:rPr>
        <w:t>在大别山低海拔地区，近些年仅在霍山县救助过</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只</w:t>
      </w:r>
      <w:r>
        <w:rPr>
          <w:rFonts w:hint="eastAsia" w:cs="Times New Roman"/>
          <w:bCs/>
          <w:color w:val="000000"/>
          <w:highlight w:val="none"/>
          <w:lang w:val="en-US" w:eastAsia="zh-CN"/>
        </w:rPr>
        <w:t>。本项目要求对施工人员加强宣传，增强施工人员对野生动物的保护意识。加强监管，严禁抓捕野生动物，且施工期较短，小灵猫可短暂迁徙周边其他区域活动，可有效降低对小灵猫的生态影响。</w:t>
      </w:r>
    </w:p>
    <w:p w14:paraId="31EA447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sz w:val="24"/>
        </w:rPr>
        <w:t>在施工作业时会对动物造成惊扰，迫使项目区附近的动物迁徙，对动物的生存产生一定的影响。由于施工区环境与施工区以外的环境十分相似，施工区动物比较容易就近找到新的栖息地，同时，由于施工范围有限，项目的建设对动物影响的范围不大且影响时间较短。</w:t>
      </w:r>
      <w:r>
        <w:rPr>
          <w:rFonts w:hint="default" w:ascii="Times New Roman" w:hAnsi="Times New Roman" w:eastAsia="宋体" w:cs="Times New Roman"/>
          <w:color w:val="000000"/>
          <w:kern w:val="0"/>
          <w:sz w:val="24"/>
        </w:rPr>
        <w:t>施工期工程占地不会缩小动物的栖息空间，不影响动物的活动区域、迁徙途径和觅食范围。本项目的建设对于动物的影响是轻微的，其影响类型为暂时性影响。</w:t>
      </w:r>
    </w:p>
    <w:p w14:paraId="284359A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项目建成运行后，不会对区域动物生态环境造成影响。</w:t>
      </w:r>
    </w:p>
    <w:p w14:paraId="5D979F2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val="en-US" w:eastAsia="zh-CN"/>
        </w:rPr>
      </w:pPr>
      <w:r>
        <w:rPr>
          <w:rFonts w:hint="eastAsia" w:eastAsia="宋体" w:cs="Times New Roman"/>
          <w:color w:val="000000"/>
          <w:kern w:val="0"/>
          <w:sz w:val="24"/>
          <w:lang w:eastAsia="zh-CN"/>
        </w:rPr>
        <w:t>（</w:t>
      </w:r>
      <w:r>
        <w:rPr>
          <w:rFonts w:hint="eastAsia" w:eastAsia="宋体" w:cs="Times New Roman"/>
          <w:color w:val="000000"/>
          <w:kern w:val="0"/>
          <w:sz w:val="24"/>
          <w:lang w:val="en-US" w:eastAsia="zh-CN"/>
        </w:rPr>
        <w:t>5）水生生态影响</w:t>
      </w:r>
    </w:p>
    <w:p w14:paraId="19BFFA7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val="en-US" w:eastAsia="zh-CN"/>
        </w:rPr>
      </w:pPr>
      <w:r>
        <w:rPr>
          <w:rFonts w:hint="eastAsia" w:eastAsia="宋体" w:cs="Times New Roman"/>
          <w:color w:val="000000"/>
          <w:kern w:val="0"/>
          <w:sz w:val="24"/>
          <w:lang w:val="en-US" w:eastAsia="zh-CN"/>
        </w:rPr>
        <w:t>施工期设备振动和运输车辆噪声会对水生物种产生一定影响，同时河道疏浚还有对水质产生扰动。环评要求项目优选施工时间，避开重点保护动物活动、繁殖和觅食的高峰时段进行施工作业；优化施工方案，施工区域优先避开重点保护动物活动范围、加强施工人员环保教育、保护动物等方式降低施工期影响。</w:t>
      </w:r>
    </w:p>
    <w:p w14:paraId="2274848A">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val="en-US" w:eastAsia="zh-CN"/>
        </w:rPr>
      </w:pPr>
      <w:r>
        <w:rPr>
          <w:rFonts w:hint="eastAsia" w:eastAsia="宋体" w:cs="Times New Roman"/>
          <w:color w:val="000000"/>
          <w:kern w:val="0"/>
          <w:sz w:val="24"/>
          <w:lang w:val="en-US" w:eastAsia="zh-CN"/>
        </w:rPr>
        <w:t>随着施工活动的结束，区域水体中悬浮物会逐渐沉降，水体透明度增加，透光率和光照强度也会迅速提高，加上水体的流动交换作用，区域水域中的浮游生物会逐步恢复并明显改善。项目施工结束后一段时间后底栖生物将缓慢恢复。</w:t>
      </w:r>
    </w:p>
    <w:p w14:paraId="1D13177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val="en-US" w:eastAsia="zh-CN"/>
        </w:rPr>
      </w:pPr>
      <w:r>
        <w:rPr>
          <w:rFonts w:hint="eastAsia" w:eastAsia="宋体" w:cs="Times New Roman"/>
          <w:color w:val="000000"/>
          <w:kern w:val="0"/>
          <w:sz w:val="24"/>
          <w:lang w:val="en-US" w:eastAsia="zh-CN"/>
        </w:rPr>
        <w:t>总体上，项目施工将对工程范围内的底栖生物生态环境造成直接扰动和破坏，但工程施工对底质的改变并不至于会改变整个区域的生态结构，底栖生物群落结构和种群数量也可以在一定时间内达到新的平衡。因此，本环评要求施工单位在涉及水域施工时，加强施工管理，及时将淤泥、泥浆、渣土、建筑垃圾等运出，禁止进行倾倒固废、清洗机械设备等行为，大限度地减少施工废物对水质的不利影响。施工废水经沉淀后回用，禁止外排。由于施工过程只是是暂时的和局部的，所涉及的范围也是有限的，所以施工对水生生态环境的影响是短期的和可迅速恢复的。</w:t>
      </w:r>
    </w:p>
    <w:p w14:paraId="0140423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val="en-US" w:eastAsia="zh-CN"/>
        </w:rPr>
      </w:pPr>
      <w:r>
        <w:rPr>
          <w:rFonts w:hint="eastAsia" w:eastAsia="宋体" w:cs="Times New Roman"/>
          <w:color w:val="000000"/>
          <w:kern w:val="0"/>
          <w:sz w:val="24"/>
          <w:lang w:val="en-US" w:eastAsia="zh-CN"/>
        </w:rPr>
        <w:t>在落实以上措施后，施工期水生动物可得到有效保护，对水生生物的影响不明显。并在项目施工结束后，栖息地将得到进一步提升，有利于水生生物保护。</w:t>
      </w:r>
    </w:p>
    <w:p w14:paraId="7056D78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eastAsia" w:eastAsia="宋体" w:cs="Times New Roman"/>
          <w:color w:val="000000"/>
          <w:kern w:val="2"/>
          <w:sz w:val="24"/>
          <w:szCs w:val="24"/>
          <w:lang w:val="en-US" w:eastAsia="zh-CN" w:bidi="ar-SA"/>
        </w:rPr>
        <w:t>（6）</w:t>
      </w:r>
      <w:r>
        <w:rPr>
          <w:rFonts w:hint="default" w:ascii="Times New Roman" w:hAnsi="Times New Roman" w:eastAsia="宋体" w:cs="Times New Roman"/>
          <w:color w:val="000000"/>
          <w:kern w:val="2"/>
          <w:sz w:val="24"/>
          <w:szCs w:val="24"/>
          <w:lang w:val="en-US" w:eastAsia="zh-CN" w:bidi="ar-SA"/>
        </w:rPr>
        <w:t>水土流失的影响分析</w:t>
      </w:r>
    </w:p>
    <w:p w14:paraId="01C54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本工程直接影响区主要为工程建设占地以</w:t>
      </w:r>
      <w:r>
        <w:rPr>
          <w:rFonts w:hint="eastAsia" w:eastAsia="宋体" w:cs="Times New Roman"/>
          <w:color w:val="000000"/>
          <w:kern w:val="2"/>
          <w:sz w:val="24"/>
          <w:szCs w:val="24"/>
          <w:lang w:val="en-US" w:eastAsia="zh-CN" w:bidi="ar-SA"/>
        </w:rPr>
        <w:t>内</w:t>
      </w:r>
      <w:r>
        <w:rPr>
          <w:rFonts w:hint="default" w:ascii="Times New Roman" w:hAnsi="Times New Roman" w:eastAsia="宋体" w:cs="Times New Roman"/>
          <w:color w:val="000000"/>
          <w:kern w:val="2"/>
          <w:sz w:val="24"/>
          <w:szCs w:val="24"/>
          <w:lang w:val="en-US" w:eastAsia="zh-CN" w:bidi="ar-SA"/>
        </w:rPr>
        <w:t>、因工程建设活动可能造成水土流失影响的区域。结合本工程实际，直接影响工程主要有河道堤防工程，放水涵闸工程上下游以及施工临时工程周边等区域。项目临时占地和绿化面积较多，完工后构建筑物占地较少，因此，本项目施工期仍然为水土流失防治和监测的重点时段。</w:t>
      </w:r>
    </w:p>
    <w:p w14:paraId="50583777">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sz w:val="24"/>
        </w:rPr>
        <w:t>随着施工作业的进行，施工机械的扰动，地表结皮被破坏，在大雨或大风情况下，易造成水土流失。</w:t>
      </w:r>
      <w:r>
        <w:rPr>
          <w:rFonts w:hint="default" w:ascii="Times New Roman" w:hAnsi="Times New Roman" w:eastAsia="宋体" w:cs="Times New Roman"/>
          <w:color w:val="000000"/>
          <w:kern w:val="2"/>
          <w:sz w:val="24"/>
          <w:szCs w:val="24"/>
          <w:lang w:val="en-US" w:eastAsia="zh-CN" w:bidi="ar-SA"/>
        </w:rPr>
        <w:t>如不采取有效的水土保持措施，将对当地的水土资源及生态环境带来不利的影响，主要表现在：</w:t>
      </w:r>
    </w:p>
    <w:p w14:paraId="37EC26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破坏原地貌，加剧水土流失。在工程建设过程中，由于破坏了原有的自然地貌，施工裸地增加，同时因扰动表土层，为各种侵蚀创造了条件，在降雨径流的作用下，极易造成水土流失，加剧项目区人为新的水土流失危害。</w:t>
      </w:r>
    </w:p>
    <w:p w14:paraId="4A6087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由于各类土方开挖、坑洼地回填及施工机械碾压等，松散裸露的地表容易形成扬尘，影响周围大气环境质量。项目建设破坏原地貌而产生的大量裸露地表，形成的松散临时堆土等，遇到一定降雨条件时，便可产生较大的径流，造成施工场地内泥水横流，影响施工安全和施工进度。</w:t>
      </w:r>
    </w:p>
    <w:p w14:paraId="57C5F2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因此，采取主体工程区</w:t>
      </w:r>
      <w:r>
        <w:rPr>
          <w:rFonts w:hint="eastAsia" w:eastAsia="宋体" w:cs="Times New Roman"/>
          <w:color w:val="000000"/>
          <w:kern w:val="2"/>
          <w:sz w:val="24"/>
          <w:szCs w:val="24"/>
          <w:lang w:val="en-US" w:eastAsia="zh-CN" w:bidi="ar-SA"/>
        </w:rPr>
        <w:t>采取</w:t>
      </w:r>
      <w:r>
        <w:rPr>
          <w:rFonts w:hint="default" w:ascii="Times New Roman" w:hAnsi="Times New Roman" w:eastAsia="宋体" w:cs="Times New Roman"/>
          <w:color w:val="000000"/>
          <w:kern w:val="2"/>
          <w:sz w:val="24"/>
          <w:szCs w:val="24"/>
          <w:lang w:val="en-US" w:eastAsia="zh-CN" w:bidi="ar-SA"/>
        </w:rPr>
        <w:t>临时苫盖措施；避开雨季施工</w:t>
      </w:r>
      <w:r>
        <w:rPr>
          <w:rFonts w:hint="eastAsia"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在施工场地应注意土方的合理堆置，临时堆土区施工前彩条布临时铺垫，周围设编织袋装土拦挡，雨季在临时堆料顶面用塑料彩条布对其进行覆盖，挡土墙外设临时排水沟，施工期土石方妥善处置等措施</w:t>
      </w:r>
      <w:r>
        <w:rPr>
          <w:rFonts w:hint="eastAsia" w:eastAsia="宋体" w:cs="Times New Roman"/>
          <w:color w:val="000000"/>
          <w:kern w:val="2"/>
          <w:sz w:val="24"/>
          <w:szCs w:val="24"/>
          <w:lang w:val="en-US" w:eastAsia="zh-CN" w:bidi="ar-SA"/>
        </w:rPr>
        <w:t>，</w:t>
      </w:r>
      <w:r>
        <w:rPr>
          <w:rFonts w:hint="default" w:ascii="Times New Roman" w:hAnsi="Times New Roman" w:eastAsia="宋体" w:cs="Times New Roman"/>
          <w:color w:val="000000"/>
          <w:kern w:val="2"/>
          <w:sz w:val="24"/>
          <w:szCs w:val="24"/>
          <w:lang w:val="en-US" w:eastAsia="zh-CN" w:bidi="ar-SA"/>
        </w:rPr>
        <w:t>通过实施水土保持措施积极防护，可降低对周边区域的水土流失影响。</w:t>
      </w:r>
    </w:p>
    <w:p w14:paraId="1A164E1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2、大气环境影响分析</w:t>
      </w:r>
    </w:p>
    <w:p w14:paraId="2218755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本项目施工废气主要为施工扬尘</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rPr>
        <w:t>机械运行产生的机械尾气</w:t>
      </w:r>
      <w:r>
        <w:rPr>
          <w:rFonts w:hint="eastAsia" w:eastAsia="宋体" w:cs="Times New Roman"/>
          <w:color w:val="000000"/>
          <w:kern w:val="0"/>
          <w:sz w:val="24"/>
          <w:lang w:eastAsia="zh-CN"/>
        </w:rPr>
        <w:t>、</w:t>
      </w:r>
      <w:r>
        <w:rPr>
          <w:rFonts w:hint="eastAsia" w:eastAsia="宋体" w:cs="Times New Roman"/>
          <w:color w:val="000000"/>
          <w:kern w:val="0"/>
          <w:sz w:val="24"/>
          <w:lang w:val="en-US" w:eastAsia="zh-CN"/>
        </w:rPr>
        <w:t>疏浚、</w:t>
      </w:r>
      <w:r>
        <w:rPr>
          <w:rFonts w:hint="default" w:ascii="Times New Roman" w:hAnsi="Times New Roman" w:eastAsia="宋体" w:cs="Times New Roman"/>
          <w:color w:val="000000"/>
          <w:kern w:val="0"/>
          <w:sz w:val="24"/>
          <w:lang w:val="en-US" w:eastAsia="zh-CN"/>
        </w:rPr>
        <w:t>清淤恶臭等。</w:t>
      </w:r>
    </w:p>
    <w:p w14:paraId="32D97CC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eastAsia="zh-CN"/>
        </w:rPr>
        <w:t>（1）</w:t>
      </w:r>
      <w:r>
        <w:rPr>
          <w:rFonts w:hint="default" w:ascii="Times New Roman" w:hAnsi="Times New Roman" w:eastAsia="宋体" w:cs="Times New Roman"/>
          <w:color w:val="000000"/>
          <w:kern w:val="0"/>
          <w:sz w:val="24"/>
        </w:rPr>
        <w:t>施工扬尘</w:t>
      </w:r>
    </w:p>
    <w:p w14:paraId="16C31C8E">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施工作业面扬尘：施工作业面的裸露地面，在干燥天气，尤其是在大风时容易产生扬尘；开挖面、开挖场、推整点和利用料堆放场等施工作业面均会产生扬尘；扬尘产生量与作业面大小、施工机械、施工方法、天气状况及洒水频率等都有关系。工程区主要是土方开挖、临时料堆放等施工过程会产生粉尘。根据施工工程的调查资料，工程施工期间施工现场近地面粉尘浓度可达1.5～30</w:t>
      </w:r>
      <w:r>
        <w:rPr>
          <w:rFonts w:hint="eastAsia" w:eastAsia="宋体" w:cs="Times New Roman"/>
          <w:color w:val="000000"/>
          <w:kern w:val="0"/>
          <w:sz w:val="24"/>
          <w:lang w:eastAsia="zh-CN"/>
        </w:rPr>
        <w:t>m</w:t>
      </w:r>
      <w:r>
        <w:rPr>
          <w:rFonts w:hint="default" w:ascii="Times New Roman" w:hAnsi="Times New Roman" w:eastAsia="宋体" w:cs="Times New Roman"/>
          <w:color w:val="000000"/>
          <w:kern w:val="0"/>
          <w:sz w:val="24"/>
        </w:rPr>
        <w:t>g/</w:t>
      </w:r>
      <w:r>
        <w:rPr>
          <w:rFonts w:hint="eastAsia" w:eastAsia="宋体" w:cs="Times New Roman"/>
          <w:color w:val="000000"/>
          <w:kern w:val="0"/>
          <w:sz w:val="24"/>
          <w:lang w:eastAsia="zh-CN"/>
        </w:rPr>
        <w:t>m</w:t>
      </w:r>
      <w:r>
        <w:rPr>
          <w:rFonts w:hint="default" w:ascii="Times New Roman" w:hAnsi="Times New Roman" w:eastAsia="宋体" w:cs="Times New Roman"/>
          <w:color w:val="000000"/>
          <w:kern w:val="0"/>
          <w:sz w:val="24"/>
          <w:vertAlign w:val="superscript"/>
        </w:rPr>
        <w:t>3</w:t>
      </w:r>
      <w:r>
        <w:rPr>
          <w:rFonts w:hint="default" w:ascii="Times New Roman" w:hAnsi="Times New Roman" w:eastAsia="宋体" w:cs="Times New Roman"/>
          <w:color w:val="000000"/>
          <w:kern w:val="0"/>
          <w:sz w:val="24"/>
        </w:rPr>
        <w:t>。施工中土石方开挖等产生的扬尘，基本上都是间歇式排放。一般只要定时洒水，施工作业面扬尘即可得到有效控制，对环境影响较小。</w:t>
      </w:r>
    </w:p>
    <w:p w14:paraId="2E39748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交通运输扬尘：根据有关资料，施工过程中车辆行驶产生的扬尘约占施工总扬尘量的60%以上。一般情况车辆行驶产生的扬尘在同样路面清洁程度下，车速越快，扬尘量越大；而在同样车速下，路面条件越差扬尘量越大。工程交通运输扬尘的影响对象为现场施工人员。</w:t>
      </w:r>
    </w:p>
    <w:p w14:paraId="0618083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eastAsia="zh-CN"/>
        </w:rPr>
        <w:t>（2）</w:t>
      </w:r>
      <w:r>
        <w:rPr>
          <w:rFonts w:hint="default" w:ascii="Times New Roman" w:hAnsi="Times New Roman" w:eastAsia="宋体" w:cs="Times New Roman"/>
          <w:color w:val="000000"/>
          <w:kern w:val="0"/>
          <w:sz w:val="24"/>
        </w:rPr>
        <w:t>机械尾气</w:t>
      </w:r>
    </w:p>
    <w:p w14:paraId="2388A146">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项目施工期间，使用液体燃料的施工机械及运输车辆排放的尾气中含有CO、NOx以及未完全燃烧的THC等，</w:t>
      </w:r>
      <w:r>
        <w:rPr>
          <w:rFonts w:hint="default" w:ascii="Times New Roman" w:hAnsi="Times New Roman" w:eastAsia="宋体" w:cs="Times New Roman"/>
          <w:color w:val="000000"/>
          <w:kern w:val="0"/>
          <w:sz w:val="24"/>
          <w:lang w:val="en-US" w:eastAsia="zh-CN"/>
        </w:rPr>
        <w:t>一般来说，这部分废气产生量较小，属间断性、分散性排放。由于这部分污染物排放强度很小，加之施工区域开阔，空气流动条件好，有利于废气稀释、扩散。此外，项目施工过程中，施工方案采用分段施工，施工场地为线状分布，同一施工区域中不同工程内容施工时间不同，施工扬尘和尾气排放源密度不大，因此，施工机械和运输车辆所产生污染在空气中经自然扩散和稀释后，对评价区域的空气环境质量影响不大。</w:t>
      </w:r>
    </w:p>
    <w:p w14:paraId="45F5D7B5">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（3）</w:t>
      </w:r>
      <w:r>
        <w:rPr>
          <w:rFonts w:hint="eastAsia" w:eastAsia="宋体" w:cs="Times New Roman"/>
          <w:b w:val="0"/>
          <w:bCs/>
          <w:color w:val="000000"/>
          <w:kern w:val="0"/>
          <w:sz w:val="24"/>
          <w:lang w:val="en-US" w:eastAsia="zh-CN"/>
        </w:rPr>
        <w:t>疏浚、</w:t>
      </w:r>
      <w:r>
        <w:rPr>
          <w:rFonts w:hint="default" w:ascii="Times New Roman" w:hAnsi="Times New Roman" w:eastAsia="宋体" w:cs="Times New Roman"/>
          <w:b w:val="0"/>
          <w:bCs/>
          <w:color w:val="000000"/>
          <w:kern w:val="0"/>
          <w:sz w:val="24"/>
          <w:lang w:val="en-US" w:eastAsia="zh-CN"/>
        </w:rPr>
        <w:t>清淤恶臭</w:t>
      </w:r>
    </w:p>
    <w:p w14:paraId="6B1C706F">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河道</w:t>
      </w:r>
      <w:r>
        <w:rPr>
          <w:rFonts w:hint="eastAsia" w:eastAsia="宋体" w:cs="Times New Roman"/>
          <w:b w:val="0"/>
          <w:bCs/>
          <w:color w:val="000000"/>
          <w:kern w:val="0"/>
          <w:sz w:val="24"/>
          <w:lang w:val="en-US" w:eastAsia="zh-CN"/>
        </w:rPr>
        <w:t>疏浚、</w:t>
      </w:r>
      <w:r>
        <w:rPr>
          <w:rFonts w:hint="default" w:ascii="Times New Roman" w:hAnsi="Times New Roman" w:eastAsia="宋体" w:cs="Times New Roman"/>
          <w:b w:val="0"/>
          <w:bCs/>
          <w:color w:val="000000"/>
          <w:kern w:val="0"/>
          <w:sz w:val="24"/>
          <w:lang w:val="en-US" w:eastAsia="zh-CN"/>
        </w:rPr>
        <w:t>清淤时底泥散发的恶臭气体是多种低浓度混合气体，其主要成分有氨、硫化氢和甲硫醇，它们的性质如下：氨：无色气体，有强烈刺激气味；硫化氢：无色气体，有强烈刺激气味；甲硫醇：有特殊臭味的气体。河道底泥疏挖的各恶臭源的恶臭散发多以无组织的自然扩散为主，散发到大气环境后又以气体、气溶胶和雾三种形式存在，故对其进行采样分析和定量预测相对而言是较困难的，加之施工时是完全敞开式，其排放量和影响程度及范围受气象条件、水温、水质、pH值及操作与管理水平等多种因素的影响。</w:t>
      </w:r>
    </w:p>
    <w:p w14:paraId="3DF2BF02">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val="0"/>
          <w:bCs/>
          <w:color w:val="000000"/>
          <w:kern w:val="0"/>
          <w:sz w:val="24"/>
        </w:rPr>
      </w:pPr>
      <w:r>
        <w:rPr>
          <w:rFonts w:hint="default" w:ascii="Times New Roman" w:hAnsi="Times New Roman" w:eastAsia="宋体" w:cs="Times New Roman"/>
          <w:b w:val="0"/>
          <w:bCs/>
          <w:color w:val="000000"/>
          <w:kern w:val="0"/>
          <w:sz w:val="24"/>
          <w:lang w:val="en-US" w:eastAsia="zh-CN"/>
        </w:rPr>
        <w:t>本项目清淤工程在枯水期进行，底泥的气味不易扩散。同时，清淤的淤泥及时清运，在岸边停留的时间很短，清淤过程中在岸边将不会有较为明显的臭味</w:t>
      </w:r>
      <w:r>
        <w:rPr>
          <w:rFonts w:hint="eastAsia" w:eastAsia="宋体" w:cs="Times New Roman"/>
          <w:b w:val="0"/>
          <w:bCs/>
          <w:color w:val="000000"/>
          <w:kern w:val="0"/>
          <w:sz w:val="24"/>
          <w:lang w:val="en-US" w:eastAsia="zh-CN"/>
        </w:rPr>
        <w:t>。</w:t>
      </w:r>
      <w:r>
        <w:rPr>
          <w:rFonts w:hint="default" w:ascii="Times New Roman" w:hAnsi="Times New Roman" w:eastAsia="宋体" w:cs="Times New Roman"/>
          <w:b w:val="0"/>
          <w:bCs/>
          <w:color w:val="000000"/>
          <w:kern w:val="0"/>
          <w:sz w:val="24"/>
          <w:lang w:val="en-US" w:eastAsia="zh-CN"/>
        </w:rPr>
        <w:t>据现场调查，河道周边有少量居民点与项目区距离小于50m，清淤过程产生的淤泥臭味对周围居民有一定的影响，但恶臭对周边居民影响只是暂时的，随着施工期的结束影响也随之消失。因此，清淤过程散发的恶臭气体对环境和周围居民生活环境影响不大。</w:t>
      </w:r>
    </w:p>
    <w:p w14:paraId="17371C12">
      <w:pPr>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rightChars="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val="0"/>
          <w:bCs/>
          <w:color w:val="000000"/>
          <w:kern w:val="0"/>
          <w:sz w:val="24"/>
          <w:lang w:val="en-US" w:eastAsia="zh-CN"/>
        </w:rPr>
        <w:t>为避免底泥臭气对周围环境的影响，通过强化作业管理，保证设备运行稳定，可减少疏浚过程臭气的产生。如发现部分清淤点有明显臭气产生时，采取建挡板、加强对施工工人的保护、把受影响人群降至最少。此外，淤泥产生恶臭主要是对施工人员有一定的影响，但是施工期较短，影响是短期的，在施工过程中应注意施工人员的防护措施。</w:t>
      </w:r>
    </w:p>
    <w:p w14:paraId="7617C15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3、水环境影响分析</w:t>
      </w:r>
    </w:p>
    <w:p w14:paraId="65FF074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eastAsia="zh-CN"/>
        </w:rPr>
      </w:pPr>
      <w:r>
        <w:rPr>
          <w:rFonts w:hint="default" w:ascii="Times New Roman" w:hAnsi="Times New Roman" w:eastAsia="宋体" w:cs="Times New Roman"/>
          <w:color w:val="000000"/>
          <w:kern w:val="0"/>
          <w:sz w:val="24"/>
        </w:rPr>
        <w:t>施工期废水主要包括施工废水和施工人员的生活污水。</w:t>
      </w:r>
    </w:p>
    <w:p w14:paraId="3AD2D62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eastAsia="zh-CN"/>
        </w:rPr>
        <w:t>（</w:t>
      </w:r>
      <w:r>
        <w:rPr>
          <w:rFonts w:hint="eastAsia" w:eastAsia="宋体" w:cs="Times New Roman"/>
          <w:color w:val="000000"/>
          <w:kern w:val="0"/>
          <w:sz w:val="24"/>
          <w:lang w:val="en-US" w:eastAsia="zh-CN"/>
        </w:rPr>
        <w:t>1）</w:t>
      </w:r>
      <w:r>
        <w:rPr>
          <w:rFonts w:hint="default" w:ascii="Times New Roman" w:hAnsi="Times New Roman" w:eastAsia="宋体" w:cs="Times New Roman"/>
          <w:color w:val="000000"/>
          <w:kern w:val="0"/>
          <w:sz w:val="24"/>
        </w:rPr>
        <w:t>施工废水环境影响</w:t>
      </w:r>
    </w:p>
    <w:p w14:paraId="6EF8BA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①机械冲洗废水</w:t>
      </w:r>
    </w:p>
    <w:p w14:paraId="61853E5E">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项目施工现场严禁进行机械、设备的维修工作。因此不产生含油机修废水。施工期间产生的废水主要为施工机械冲洗产生的废水等，主要污染物是SS。施工现场设置临时沉淀池，对施工废水进行沉淀处理。经沉淀处理后，回用于施工场地洒水降尘等，不外排</w:t>
      </w:r>
      <w:r>
        <w:rPr>
          <w:rFonts w:hint="default" w:ascii="Times New Roman" w:hAnsi="Times New Roman" w:eastAsia="宋体" w:cs="Times New Roman"/>
          <w:color w:val="000000"/>
          <w:kern w:val="0"/>
          <w:lang w:val="en-US" w:eastAsia="zh-CN"/>
        </w:rPr>
        <w:t>，对水环境影响很小。</w:t>
      </w:r>
    </w:p>
    <w:p w14:paraId="2BAA2B0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sz w:val="24"/>
        </w:rPr>
        <w:t>②</w:t>
      </w:r>
      <w:r>
        <w:rPr>
          <w:rFonts w:hint="default" w:ascii="Times New Roman" w:hAnsi="Times New Roman" w:eastAsia="宋体" w:cs="Times New Roman"/>
          <w:color w:val="000000"/>
          <w:kern w:val="0"/>
        </w:rPr>
        <w:t>围堰及基坑排水</w:t>
      </w:r>
    </w:p>
    <w:p w14:paraId="5498E3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根据施工组织设计，施工时需要进行施工围堰导流，会产生基坑排水，基坑排水主要为地下渗水和降雨，污染物单一，且较易沉降。</w:t>
      </w:r>
    </w:p>
    <w:p w14:paraId="14E8F26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val="en-US" w:eastAsia="zh-CN"/>
        </w:rPr>
        <w:t>根据建设单位提供的资料可知，围堰采用袋装土围堰，围堰最大高度为1.5m，放坡波比均为1：1.5。袋装土进行人工抛投，抛填时根据设计围堰断面尺寸进行均匀抛填，待围堰出水后人工叠实袋装土。</w:t>
      </w:r>
    </w:p>
    <w:p w14:paraId="0BA52A2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sz w:val="24"/>
          <w:lang w:val="en-US" w:eastAsia="zh-CN"/>
        </w:rPr>
        <w:t>围堰拆除采用挖掘机进行。先用挖掘机拆除至河水位高程，再用挖掘机退挖。自卸汽车运输至弃土场。围堰修建过程中仅造成围堰附近河道水体中SS浓度增高，一旦围堰修建结束，其对水环境的不利影响也将随之结束；挖掘机进行围堰拆除作业施工时，其造成的水体SS浓度增高仅限于施工作业期间的局部区域，随着围堰拆除作业的结束这一不利影响也将随之消失。</w:t>
      </w:r>
    </w:p>
    <w:p w14:paraId="40CBDA9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基坑排水分初期排水和经常性排水，初期排水主要对象是原来的河水、地下渗水和降水，SS浓度相对较低；基坑经常性排水主要来自围堰渗水及雨水等，主要污染物为SS。</w:t>
      </w:r>
    </w:p>
    <w:p w14:paraId="3E013F3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根据水利工程经验，基坑初期排水水量相对较大、水质与河流水质基本相同，不会增加对所在</w:t>
      </w:r>
      <w:r>
        <w:rPr>
          <w:rFonts w:hint="eastAsia" w:eastAsia="宋体" w:cs="Times New Roman"/>
          <w:color w:val="000000"/>
          <w:kern w:val="0"/>
          <w:lang w:eastAsia="zh-CN"/>
        </w:rPr>
        <w:t>河流</w:t>
      </w:r>
      <w:r>
        <w:rPr>
          <w:rFonts w:hint="default" w:ascii="Times New Roman" w:hAnsi="Times New Roman" w:eastAsia="宋体" w:cs="Times New Roman"/>
          <w:color w:val="000000"/>
          <w:kern w:val="0"/>
        </w:rPr>
        <w:t>水质的污染。</w:t>
      </w:r>
      <w:r>
        <w:rPr>
          <w:rFonts w:hint="default" w:ascii="Times New Roman" w:hAnsi="Times New Roman" w:eastAsia="宋体" w:cs="Times New Roman"/>
          <w:color w:val="000000"/>
          <w:kern w:val="0"/>
          <w:lang w:val="en-US" w:eastAsia="zh-CN"/>
        </w:rPr>
        <w:t>根据施工进度安排，施工时段选择11~3月完成，基坑经常性排水为间歇排放，每次水量较小，根据工程经验，基坑水经沉淀2个小时后，悬浮物浓度可降到200mg/L以下，可回用作运输道路洒水和施工场地洒水，不外排。另外，禁止在雨季开挖施工。基坑排水回用于洒水降尘、施工生产，不得直接排入渠道，对水环境影响很小。</w:t>
      </w:r>
    </w:p>
    <w:p w14:paraId="42C6C33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③</w:t>
      </w:r>
      <w:r>
        <w:rPr>
          <w:rFonts w:hint="default" w:ascii="Times New Roman" w:hAnsi="Times New Roman" w:eastAsia="宋体" w:cs="Times New Roman"/>
          <w:color w:val="000000"/>
          <w:kern w:val="0"/>
          <w:lang w:val="en-US" w:eastAsia="zh-CN"/>
        </w:rPr>
        <w:t>清淤作业对水质的影响</w:t>
      </w:r>
    </w:p>
    <w:p w14:paraId="3604045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sz w:val="24"/>
        </w:rPr>
        <w:t>本项目</w:t>
      </w:r>
      <w:r>
        <w:rPr>
          <w:rFonts w:hint="default" w:ascii="Times New Roman" w:hAnsi="Times New Roman" w:eastAsia="宋体" w:cs="Times New Roman"/>
          <w:color w:val="000000"/>
          <w:kern w:val="0"/>
          <w:sz w:val="24"/>
          <w:lang w:val="en-US" w:eastAsia="zh-CN"/>
        </w:rPr>
        <w:t>施工</w:t>
      </w:r>
      <w:r>
        <w:rPr>
          <w:rFonts w:hint="default" w:ascii="Times New Roman" w:hAnsi="Times New Roman" w:eastAsia="宋体" w:cs="Times New Roman"/>
          <w:color w:val="000000"/>
          <w:kern w:val="0"/>
          <w:sz w:val="24"/>
        </w:rPr>
        <w:t>过程主要</w:t>
      </w:r>
      <w:r>
        <w:rPr>
          <w:rFonts w:hint="eastAsia" w:eastAsia="宋体" w:cs="Times New Roman"/>
          <w:color w:val="000000"/>
          <w:kern w:val="0"/>
          <w:sz w:val="24"/>
          <w:lang w:eastAsia="zh-CN"/>
        </w:rPr>
        <w:t>对</w:t>
      </w:r>
      <w:r>
        <w:rPr>
          <w:rFonts w:hint="default" w:ascii="Times New Roman" w:hAnsi="Times New Roman" w:eastAsia="宋体" w:cs="Times New Roman"/>
          <w:color w:val="000000"/>
        </w:rPr>
        <w:t>城区幽芳河、高庙河、柳林河、新店河等4条排涝通道</w:t>
      </w:r>
      <w:r>
        <w:rPr>
          <w:rFonts w:hint="eastAsia" w:ascii="Times New Roman" w:hAnsi="Times New Roman" w:eastAsia="宋体" w:cs="Times New Roman"/>
          <w:color w:val="000000"/>
          <w:lang w:eastAsia="zh-CN"/>
        </w:rPr>
        <w:t>进行疏浚、</w:t>
      </w:r>
      <w:r>
        <w:rPr>
          <w:rFonts w:hint="default" w:ascii="Times New Roman" w:hAnsi="Times New Roman" w:eastAsia="宋体" w:cs="Times New Roman"/>
          <w:color w:val="000000"/>
          <w:kern w:val="0"/>
          <w:lang w:val="en-US" w:eastAsia="zh-CN"/>
        </w:rPr>
        <w:t>清淤过程中，挖掘和抽水过程中会搅动河道中的部分淤泥，使其中的污染物散发，</w:t>
      </w:r>
      <w:r>
        <w:rPr>
          <w:rFonts w:hint="default" w:ascii="Times New Roman" w:hAnsi="Times New Roman" w:eastAsia="宋体" w:cs="Times New Roman"/>
          <w:color w:val="000000"/>
          <w:kern w:val="0"/>
          <w:sz w:val="24"/>
        </w:rPr>
        <w:t>施工引起的悬浮物均会在短时间内造成水质超标，对工程位置附近的水环境造成一定影响</w:t>
      </w:r>
      <w:r>
        <w:rPr>
          <w:rFonts w:hint="default" w:ascii="Times New Roman" w:hAnsi="Times New Roman" w:eastAsia="宋体" w:cs="Times New Roman"/>
          <w:color w:val="000000"/>
          <w:kern w:val="0"/>
          <w:lang w:val="en-US" w:eastAsia="zh-CN"/>
        </w:rPr>
        <w:t>。根据类似清淤工程监测资料可知，在作业点附近，底层水体中悬浮物含量在300～400mg/L之间，表层水体中悬浮物含量在100～180mg/L之间，悬浮物含量升高，对项目范围内的水质影响较明显，但悬浮物质为颗粒态，它随着河水运动的同时在河水中沉降，并最终淤积于河底，这一特性决定了它的影响范围和影响时间是有限的，清淤引起的悬浮物扩散的影响将随施工结束而消失。</w:t>
      </w:r>
      <w:r>
        <w:rPr>
          <w:rFonts w:hint="eastAsia" w:eastAsia="宋体" w:cs="Times New Roman"/>
          <w:color w:val="000000"/>
          <w:kern w:val="0"/>
          <w:sz w:val="24"/>
          <w:lang w:eastAsia="zh-CN"/>
        </w:rPr>
        <w:t>且</w:t>
      </w:r>
      <w:r>
        <w:rPr>
          <w:rFonts w:hint="default" w:ascii="Times New Roman" w:hAnsi="Times New Roman" w:eastAsia="宋体" w:cs="Times New Roman"/>
          <w:color w:val="000000"/>
          <w:kern w:val="2"/>
          <w:sz w:val="24"/>
          <w:szCs w:val="24"/>
          <w:highlight w:val="none"/>
          <w:lang w:val="en-US" w:eastAsia="zh-CN" w:bidi="ar-SA"/>
        </w:rPr>
        <w:t>施工主</w:t>
      </w:r>
      <w:r>
        <w:rPr>
          <w:rFonts w:hint="eastAsia" w:eastAsia="宋体" w:cs="Times New Roman"/>
          <w:color w:val="000000"/>
          <w:kern w:val="2"/>
          <w:sz w:val="24"/>
          <w:szCs w:val="24"/>
          <w:highlight w:val="none"/>
          <w:lang w:val="en-US" w:eastAsia="zh-CN" w:bidi="ar-SA"/>
        </w:rPr>
        <w:t>要</w:t>
      </w:r>
      <w:r>
        <w:rPr>
          <w:rFonts w:hint="default" w:ascii="Times New Roman" w:hAnsi="Times New Roman" w:eastAsia="宋体" w:cs="Times New Roman"/>
          <w:color w:val="000000"/>
          <w:kern w:val="2"/>
          <w:sz w:val="24"/>
          <w:szCs w:val="24"/>
          <w:highlight w:val="none"/>
          <w:lang w:val="en-US" w:eastAsia="zh-CN" w:bidi="ar-SA"/>
        </w:rPr>
        <w:t>安排在非汛期</w:t>
      </w:r>
      <w:r>
        <w:rPr>
          <w:rFonts w:hint="default" w:ascii="Times New Roman" w:hAnsi="Times New Roman" w:eastAsia="宋体" w:cs="Times New Roman"/>
          <w:color w:val="000000"/>
          <w:kern w:val="0"/>
          <w:lang w:val="en-US" w:eastAsia="zh-CN"/>
        </w:rPr>
        <w:t>，对河道水质影响较小，仅仅是在围堰的初期和拆除围堰时会产生暂时性的影响。</w:t>
      </w:r>
    </w:p>
    <w:p w14:paraId="4DF42E5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lang w:eastAsia="zh-CN"/>
        </w:rPr>
        <w:t>（</w:t>
      </w:r>
      <w:r>
        <w:rPr>
          <w:rFonts w:hint="eastAsia" w:ascii="Times New Roman" w:hAnsi="Times New Roman" w:eastAsia="宋体" w:cs="Times New Roman"/>
          <w:color w:val="000000"/>
          <w:kern w:val="0"/>
          <w:sz w:val="24"/>
          <w:lang w:val="en-US" w:eastAsia="zh-CN"/>
        </w:rPr>
        <w:t>2</w:t>
      </w:r>
      <w:r>
        <w:rPr>
          <w:rFonts w:hint="eastAsia"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rPr>
        <w:t>生活污水</w:t>
      </w:r>
    </w:p>
    <w:p w14:paraId="44188815">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本项目施工人员为附近居民，</w:t>
      </w:r>
      <w:r>
        <w:rPr>
          <w:rFonts w:hint="default" w:ascii="Times New Roman" w:hAnsi="Times New Roman" w:eastAsia="宋体" w:cs="Times New Roman"/>
          <w:color w:val="000000"/>
          <w:kern w:val="0"/>
          <w:sz w:val="24"/>
          <w:highlight w:val="none"/>
          <w:lang w:val="en-US" w:eastAsia="zh-CN"/>
        </w:rPr>
        <w:t>施工生活区租赁周边民房，</w:t>
      </w:r>
      <w:r>
        <w:rPr>
          <w:rFonts w:hint="default" w:ascii="Times New Roman" w:hAnsi="Times New Roman" w:eastAsia="宋体" w:cs="Times New Roman"/>
          <w:color w:val="000000"/>
          <w:kern w:val="0"/>
        </w:rPr>
        <w:t>生活污水主要污染物为BOD</w:t>
      </w:r>
      <w:r>
        <w:rPr>
          <w:rFonts w:hint="default" w:ascii="Times New Roman" w:hAnsi="Times New Roman" w:eastAsia="宋体" w:cs="Times New Roman"/>
          <w:color w:val="000000"/>
          <w:kern w:val="0"/>
          <w:vertAlign w:val="subscript"/>
        </w:rPr>
        <w:t>5</w:t>
      </w:r>
      <w:r>
        <w:rPr>
          <w:rFonts w:hint="default" w:ascii="Times New Roman" w:hAnsi="Times New Roman" w:eastAsia="宋体" w:cs="Times New Roman"/>
          <w:color w:val="000000"/>
          <w:kern w:val="0"/>
        </w:rPr>
        <w:t>、COD、氨氮和SS。</w:t>
      </w:r>
      <w:r>
        <w:rPr>
          <w:rFonts w:hint="default" w:ascii="Times New Roman" w:hAnsi="Times New Roman" w:eastAsia="宋体" w:cs="Times New Roman"/>
          <w:color w:val="000000"/>
          <w:kern w:val="0"/>
          <w:sz w:val="24"/>
          <w:highlight w:val="none"/>
          <w:lang w:val="en-US" w:eastAsia="zh-CN"/>
        </w:rPr>
        <w:t>生活污水经化粪池预处理后厌氧沤肥后农用或接管市政污水管网</w:t>
      </w:r>
      <w:r>
        <w:rPr>
          <w:rFonts w:hint="eastAsia" w:ascii="Times New Roman" w:hAnsi="Times New Roman" w:eastAsia="宋体" w:cs="Times New Roman"/>
          <w:color w:val="000000"/>
          <w:kern w:val="0"/>
          <w:lang w:eastAsia="zh-CN"/>
        </w:rPr>
        <w:t>。</w:t>
      </w:r>
      <w:r>
        <w:rPr>
          <w:rFonts w:hint="default" w:ascii="Times New Roman" w:hAnsi="Times New Roman" w:eastAsia="宋体" w:cs="Times New Roman"/>
          <w:color w:val="000000"/>
          <w:kern w:val="0"/>
        </w:rPr>
        <w:t>施工期应加强施工管理，加强施工人员的环保意识，禁止随意在街道倾倒废水及残渣废物。</w:t>
      </w:r>
    </w:p>
    <w:p w14:paraId="5154D0A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rPr>
        <w:t>综上，项目施工期产生的</w:t>
      </w:r>
      <w:r>
        <w:rPr>
          <w:rFonts w:hint="eastAsia" w:ascii="Times New Roman" w:hAnsi="Times New Roman" w:eastAsia="宋体" w:cs="Times New Roman"/>
          <w:color w:val="000000"/>
          <w:kern w:val="0"/>
          <w:lang w:eastAsia="zh-CN"/>
        </w:rPr>
        <w:t>废水</w:t>
      </w:r>
      <w:r>
        <w:rPr>
          <w:rFonts w:hint="default" w:ascii="Times New Roman" w:hAnsi="Times New Roman" w:eastAsia="宋体" w:cs="Times New Roman"/>
          <w:color w:val="000000"/>
          <w:kern w:val="0"/>
        </w:rPr>
        <w:t>和生活</w:t>
      </w:r>
      <w:r>
        <w:rPr>
          <w:rFonts w:hint="eastAsia" w:ascii="Times New Roman" w:hAnsi="Times New Roman" w:eastAsia="宋体" w:cs="Times New Roman"/>
          <w:color w:val="000000"/>
          <w:kern w:val="0"/>
          <w:lang w:eastAsia="zh-CN"/>
        </w:rPr>
        <w:t>污</w:t>
      </w:r>
      <w:r>
        <w:rPr>
          <w:rFonts w:hint="default" w:ascii="Times New Roman" w:hAnsi="Times New Roman" w:eastAsia="宋体" w:cs="Times New Roman"/>
          <w:color w:val="000000"/>
          <w:kern w:val="0"/>
        </w:rPr>
        <w:t>水均能得到合理处置时，将不会对区域地表水体产生明显不利影响。</w:t>
      </w:r>
    </w:p>
    <w:p w14:paraId="38F59DB9">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4、声环境影响分析</w:t>
      </w:r>
    </w:p>
    <w:p w14:paraId="064F7BEF">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施工期噪声主要为施工机械产生噪声。施工期噪声包括各建筑机械和运输车辆噪声，声级值一般在85~100dB(A)。施工过程采用的钻机、振捣棒等机械设备以及运输车辆在运行时会产生一定量的噪声施工期噪声影响来源于施工机械作业噪声、运输车辆噪声等，均为间歇性噪声源。根据同类型施工的噪声监测数据，施工器械的噪声源强大多处于70~105dB</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rPr>
        <w:t>A</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rPr>
        <w:t>之间，噪声较高的噪声源分布在土方开挖施工区和施工道路交通运输，噪声影响随施工结束而结束。</w:t>
      </w:r>
    </w:p>
    <w:p w14:paraId="726A290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rPr>
      </w:pPr>
      <w:r>
        <w:rPr>
          <w:rFonts w:hint="default" w:ascii="Times New Roman" w:hAnsi="Times New Roman" w:eastAsia="宋体" w:cs="Times New Roman"/>
          <w:b/>
          <w:color w:val="000000"/>
          <w:kern w:val="0"/>
          <w:sz w:val="24"/>
        </w:rPr>
        <w:t>5、固体废物环境影响分析及防治措施</w:t>
      </w:r>
    </w:p>
    <w:p w14:paraId="2B75306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ascii="Times New Roman" w:hAnsi="Times New Roman" w:eastAsia="宋体" w:cs="Times New Roman"/>
          <w:color w:val="000000"/>
          <w:kern w:val="0"/>
          <w:sz w:val="24"/>
          <w:lang w:eastAsia="zh-CN"/>
        </w:rPr>
      </w:pPr>
      <w:r>
        <w:rPr>
          <w:rFonts w:hint="default" w:ascii="Times New Roman" w:hAnsi="Times New Roman" w:eastAsia="宋体" w:cs="Times New Roman"/>
          <w:color w:val="000000"/>
          <w:kern w:val="0"/>
          <w:sz w:val="24"/>
        </w:rPr>
        <w:t>本项目施工期产生的固体废物主要为施工场所产生施工人员活动产生的生活垃圾</w:t>
      </w:r>
      <w:r>
        <w:rPr>
          <w:rFonts w:hint="default" w:ascii="Times New Roman" w:hAnsi="Times New Roman" w:eastAsia="宋体" w:cs="Times New Roman"/>
          <w:color w:val="000000"/>
          <w:kern w:val="0"/>
          <w:sz w:val="24"/>
          <w:lang w:eastAsia="zh-CN"/>
        </w:rPr>
        <w:t>、</w:t>
      </w:r>
      <w:r>
        <w:rPr>
          <w:rFonts w:hint="default" w:ascii="Times New Roman" w:hAnsi="Times New Roman" w:eastAsia="宋体" w:cs="Times New Roman"/>
          <w:color w:val="000000"/>
          <w:kern w:val="0"/>
          <w:sz w:val="24"/>
          <w:lang w:val="en-US" w:eastAsia="zh-CN"/>
        </w:rPr>
        <w:t>多余土方及排洪渠清理产生的垃圾及沟道清淤等</w:t>
      </w:r>
      <w:r>
        <w:rPr>
          <w:rFonts w:hint="default" w:ascii="Times New Roman" w:hAnsi="Times New Roman" w:eastAsia="宋体" w:cs="Times New Roman"/>
          <w:color w:val="000000"/>
          <w:kern w:val="0"/>
          <w:sz w:val="24"/>
        </w:rPr>
        <w:t>。</w:t>
      </w:r>
    </w:p>
    <w:p w14:paraId="40203B0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eastAsia="zh-CN"/>
        </w:rPr>
        <w:t>（</w:t>
      </w:r>
      <w:r>
        <w:rPr>
          <w:rFonts w:hint="eastAsia" w:eastAsia="宋体" w:cs="Times New Roman"/>
          <w:color w:val="000000"/>
          <w:kern w:val="0"/>
          <w:sz w:val="24"/>
          <w:lang w:val="en-US" w:eastAsia="zh-CN"/>
        </w:rPr>
        <w:t>1）</w:t>
      </w:r>
      <w:r>
        <w:rPr>
          <w:rFonts w:hint="default" w:ascii="Times New Roman" w:hAnsi="Times New Roman" w:eastAsia="宋体" w:cs="Times New Roman"/>
          <w:color w:val="000000"/>
          <w:kern w:val="0"/>
          <w:sz w:val="24"/>
        </w:rPr>
        <w:t>生活垃圾</w:t>
      </w:r>
    </w:p>
    <w:p w14:paraId="60B6B98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生活垃圾：施工期高峰人数为</w:t>
      </w:r>
      <w:r>
        <w:rPr>
          <w:rFonts w:hint="default" w:ascii="Times New Roman" w:hAnsi="Times New Roman" w:eastAsia="宋体" w:cs="Times New Roman"/>
          <w:color w:val="000000"/>
          <w:kern w:val="0"/>
          <w:sz w:val="24"/>
          <w:lang w:val="en-US" w:eastAsia="zh-CN"/>
        </w:rPr>
        <w:t>5</w:t>
      </w:r>
      <w:r>
        <w:rPr>
          <w:rFonts w:hint="default" w:ascii="Times New Roman" w:hAnsi="Times New Roman" w:eastAsia="宋体" w:cs="Times New Roman"/>
          <w:color w:val="000000"/>
          <w:kern w:val="0"/>
          <w:sz w:val="24"/>
        </w:rPr>
        <w:t>0人，按每人每天产生生活垃圾量</w:t>
      </w:r>
      <w:r>
        <w:rPr>
          <w:rFonts w:hint="eastAsia" w:eastAsia="宋体" w:cs="Times New Roman"/>
          <w:color w:val="000000"/>
          <w:kern w:val="0"/>
          <w:sz w:val="24"/>
          <w:lang w:val="en-US" w:eastAsia="zh-CN"/>
        </w:rPr>
        <w:t>1</w:t>
      </w:r>
      <w:r>
        <w:rPr>
          <w:rFonts w:hint="default" w:ascii="Times New Roman" w:hAnsi="Times New Roman" w:eastAsia="宋体" w:cs="Times New Roman"/>
          <w:color w:val="000000"/>
          <w:kern w:val="0"/>
          <w:sz w:val="24"/>
        </w:rPr>
        <w:t>kg计算，则生活垃圾产生量为0.0</w:t>
      </w:r>
      <w:r>
        <w:rPr>
          <w:rFonts w:hint="default" w:ascii="Times New Roman" w:hAnsi="Times New Roman" w:eastAsia="宋体" w:cs="Times New Roman"/>
          <w:color w:val="000000"/>
          <w:kern w:val="0"/>
          <w:sz w:val="24"/>
          <w:lang w:val="en-US" w:eastAsia="zh-CN"/>
        </w:rPr>
        <w:t>5</w:t>
      </w:r>
      <w:r>
        <w:rPr>
          <w:rFonts w:hint="default" w:ascii="Times New Roman" w:hAnsi="Times New Roman" w:eastAsia="宋体" w:cs="Times New Roman"/>
          <w:color w:val="000000"/>
          <w:kern w:val="0"/>
          <w:sz w:val="24"/>
        </w:rPr>
        <w:t>t/d，整个施工期约</w:t>
      </w:r>
      <w:r>
        <w:rPr>
          <w:rFonts w:hint="eastAsia" w:eastAsia="宋体" w:cs="Times New Roman"/>
          <w:color w:val="000000"/>
          <w:kern w:val="0"/>
          <w:sz w:val="24"/>
          <w:lang w:val="en-US" w:eastAsia="zh-CN"/>
        </w:rPr>
        <w:t>14个月</w:t>
      </w:r>
      <w:r>
        <w:rPr>
          <w:rFonts w:hint="default" w:ascii="Times New Roman" w:hAnsi="Times New Roman" w:eastAsia="宋体" w:cs="Times New Roman"/>
          <w:color w:val="000000"/>
          <w:kern w:val="0"/>
          <w:sz w:val="24"/>
        </w:rPr>
        <w:t>，产生生活垃圾</w:t>
      </w:r>
      <w:r>
        <w:rPr>
          <w:rFonts w:hint="eastAsia" w:eastAsia="宋体" w:cs="Times New Roman"/>
          <w:color w:val="000000"/>
          <w:kern w:val="0"/>
          <w:sz w:val="24"/>
          <w:lang w:val="en-US" w:eastAsia="zh-CN"/>
        </w:rPr>
        <w:t>21</w:t>
      </w:r>
      <w:r>
        <w:rPr>
          <w:rFonts w:hint="default" w:ascii="Times New Roman" w:hAnsi="Times New Roman" w:eastAsia="宋体" w:cs="Times New Roman"/>
          <w:color w:val="000000"/>
          <w:kern w:val="0"/>
          <w:sz w:val="24"/>
        </w:rPr>
        <w:t>t。主要污染物为垃圾袋、果核、矿泉水瓶等，集中收集后由施工单位清运至垃圾中转站，由环卫部门统一处理。</w:t>
      </w:r>
    </w:p>
    <w:p w14:paraId="20FAE67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eastAsia="zh-CN"/>
        </w:rPr>
        <w:t>（</w:t>
      </w:r>
      <w:r>
        <w:rPr>
          <w:rFonts w:hint="eastAsia" w:eastAsia="宋体" w:cs="Times New Roman"/>
          <w:color w:val="000000"/>
          <w:kern w:val="0"/>
          <w:sz w:val="24"/>
          <w:lang w:val="en-US" w:eastAsia="zh-CN"/>
        </w:rPr>
        <w:t>2）</w:t>
      </w:r>
      <w:r>
        <w:rPr>
          <w:rFonts w:hint="default" w:ascii="Times New Roman" w:hAnsi="Times New Roman" w:eastAsia="宋体" w:cs="Times New Roman"/>
          <w:color w:val="000000"/>
          <w:kern w:val="0"/>
          <w:sz w:val="24"/>
        </w:rPr>
        <w:t>土石方弃土</w:t>
      </w:r>
    </w:p>
    <w:p w14:paraId="31A5D0F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eastAsia="zh-CN"/>
        </w:rPr>
      </w:pPr>
      <w:r>
        <w:rPr>
          <w:rFonts w:hint="default" w:ascii="Times New Roman" w:hAnsi="Times New Roman" w:eastAsia="宋体" w:cs="Times New Roman"/>
          <w:color w:val="000000"/>
          <w:kern w:val="0"/>
          <w:sz w:val="24"/>
          <w:szCs w:val="24"/>
          <w:highlight w:val="none"/>
          <w:lang w:val="en-US" w:eastAsia="zh-CN" w:bidi="ar"/>
        </w:rPr>
        <w:t>本项目建设期土石方开挖总量为</w:t>
      </w:r>
      <w:r>
        <w:rPr>
          <w:rFonts w:hint="eastAsia" w:ascii="Times New Roman" w:hAnsi="Times New Roman" w:eastAsia="宋体" w:cs="Times New Roman"/>
          <w:color w:val="000000"/>
          <w:kern w:val="0"/>
          <w:sz w:val="24"/>
          <w:highlight w:val="none"/>
          <w:lang w:val="en-US" w:eastAsia="zh-CN"/>
        </w:rPr>
        <w:t>57.4261</w:t>
      </w:r>
      <w:r>
        <w:rPr>
          <w:rFonts w:hint="default" w:ascii="Times New Roman" w:hAnsi="Times New Roman" w:eastAsia="宋体" w:cs="Times New Roman"/>
          <w:color w:val="000000"/>
          <w:kern w:val="0"/>
          <w:sz w:val="24"/>
          <w:highlight w:val="none"/>
          <w:lang w:val="en-US" w:eastAsia="zh-CN"/>
        </w:rPr>
        <w:t>万</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vertAlign w:val="superscript"/>
          <w:lang w:val="en-US" w:eastAsia="zh-CN"/>
        </w:rPr>
        <w:t>3</w:t>
      </w:r>
      <w:r>
        <w:rPr>
          <w:rFonts w:hint="default" w:ascii="Times New Roman" w:hAnsi="Times New Roman" w:eastAsia="宋体" w:cs="Times New Roman"/>
          <w:color w:val="000000"/>
          <w:kern w:val="0"/>
          <w:sz w:val="24"/>
          <w:highlight w:val="none"/>
          <w:lang w:val="en-US" w:eastAsia="zh-CN"/>
        </w:rPr>
        <w:t>；土方填筑总量</w:t>
      </w:r>
      <w:r>
        <w:rPr>
          <w:rFonts w:hint="eastAsia" w:ascii="Times New Roman" w:hAnsi="Times New Roman" w:eastAsia="宋体" w:cs="Times New Roman"/>
          <w:color w:val="000000"/>
          <w:kern w:val="0"/>
          <w:sz w:val="24"/>
          <w:highlight w:val="none"/>
          <w:lang w:val="en-US" w:eastAsia="zh-CN"/>
        </w:rPr>
        <w:t>57.4261</w:t>
      </w:r>
      <w:r>
        <w:rPr>
          <w:rFonts w:hint="default" w:ascii="Times New Roman" w:hAnsi="Times New Roman" w:eastAsia="宋体" w:cs="Times New Roman"/>
          <w:color w:val="000000"/>
          <w:kern w:val="0"/>
          <w:sz w:val="24"/>
          <w:highlight w:val="none"/>
          <w:lang w:val="en-US" w:eastAsia="zh-CN"/>
        </w:rPr>
        <w:t>万</w:t>
      </w:r>
      <w:r>
        <w:rPr>
          <w:rFonts w:hint="eastAsia" w:eastAsia="宋体" w:cs="Times New Roman"/>
          <w:color w:val="000000"/>
          <w:kern w:val="0"/>
          <w:sz w:val="24"/>
          <w:highlight w:val="none"/>
          <w:lang w:val="en-US" w:eastAsia="zh-CN"/>
        </w:rPr>
        <w:t>m</w:t>
      </w:r>
      <w:r>
        <w:rPr>
          <w:rFonts w:hint="default" w:ascii="Times New Roman" w:hAnsi="Times New Roman" w:eastAsia="宋体" w:cs="Times New Roman"/>
          <w:color w:val="000000"/>
          <w:kern w:val="0"/>
          <w:sz w:val="24"/>
          <w:highlight w:val="none"/>
          <w:vertAlign w:val="superscript"/>
          <w:lang w:val="en-US" w:eastAsia="zh-CN"/>
        </w:rPr>
        <w:t>3</w:t>
      </w:r>
      <w:r>
        <w:rPr>
          <w:rFonts w:hint="default" w:ascii="Times New Roman" w:hAnsi="Times New Roman" w:eastAsia="宋体" w:cs="Times New Roman"/>
          <w:color w:val="000000"/>
          <w:kern w:val="0"/>
          <w:sz w:val="24"/>
          <w:szCs w:val="24"/>
          <w:highlight w:val="none"/>
          <w:lang w:val="en-US" w:eastAsia="zh-CN" w:bidi="ar"/>
        </w:rPr>
        <w:t>，</w:t>
      </w:r>
      <w:r>
        <w:rPr>
          <w:rFonts w:hint="eastAsia" w:eastAsia="宋体" w:cs="Times New Roman"/>
          <w:color w:val="000000"/>
          <w:kern w:val="0"/>
          <w:sz w:val="24"/>
          <w:szCs w:val="24"/>
          <w:highlight w:val="none"/>
          <w:lang w:val="en-US" w:eastAsia="zh-CN" w:bidi="ar"/>
        </w:rPr>
        <w:t>不产生</w:t>
      </w:r>
      <w:r>
        <w:rPr>
          <w:rFonts w:hint="default" w:ascii="Times New Roman" w:hAnsi="Times New Roman" w:eastAsia="宋体" w:cs="Times New Roman"/>
          <w:color w:val="000000"/>
          <w:kern w:val="0"/>
          <w:sz w:val="24"/>
        </w:rPr>
        <w:t>废弃土方</w:t>
      </w:r>
      <w:r>
        <w:rPr>
          <w:rFonts w:hint="default" w:ascii="Times New Roman" w:hAnsi="Times New Roman" w:eastAsia="宋体" w:cs="Times New Roman"/>
          <w:color w:val="000000"/>
          <w:kern w:val="0"/>
          <w:sz w:val="24"/>
          <w:highlight w:val="none"/>
          <w:lang w:val="en-US" w:eastAsia="zh-CN"/>
        </w:rPr>
        <w:t>。</w:t>
      </w:r>
    </w:p>
    <w:p w14:paraId="380C3013">
      <w:pPr>
        <w:keepNext w:val="0"/>
        <w:keepLines w:val="0"/>
        <w:pageBreakBefore w:val="0"/>
        <w:widowControl w:val="0"/>
        <w:numPr>
          <w:ilvl w:val="0"/>
          <w:numId w:val="3"/>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eastAsia" w:eastAsia="宋体" w:cs="Times New Roman"/>
          <w:color w:val="000000"/>
          <w:kern w:val="0"/>
          <w:sz w:val="24"/>
          <w:lang w:val="en-US" w:eastAsia="zh-CN"/>
        </w:rPr>
      </w:pPr>
      <w:r>
        <w:rPr>
          <w:rFonts w:hint="eastAsia" w:eastAsia="宋体" w:cs="Times New Roman"/>
          <w:color w:val="000000"/>
          <w:kern w:val="0"/>
          <w:sz w:val="24"/>
          <w:lang w:val="en-US" w:eastAsia="zh-CN"/>
        </w:rPr>
        <w:t>河道疏浚、清淤</w:t>
      </w:r>
    </w:p>
    <w:p w14:paraId="278EDA10">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000000"/>
          <w:kern w:val="0"/>
          <w:sz w:val="24"/>
          <w:lang w:eastAsia="zh-CN" w:bidi="ar"/>
        </w:rPr>
      </w:pPr>
      <w:r>
        <w:rPr>
          <w:rFonts w:hint="default" w:ascii="Times New Roman" w:hAnsi="Times New Roman" w:eastAsia="宋体" w:cs="Times New Roman"/>
          <w:color w:val="000000"/>
          <w:kern w:val="0"/>
          <w:sz w:val="24"/>
          <w:lang w:val="en-US" w:eastAsia="zh-CN" w:bidi="ar"/>
        </w:rPr>
        <w:t>本</w:t>
      </w:r>
      <w:r>
        <w:rPr>
          <w:rFonts w:hint="eastAsia" w:eastAsia="宋体" w:cs="Times New Roman"/>
          <w:color w:val="000000"/>
          <w:kern w:val="0"/>
          <w:sz w:val="24"/>
          <w:lang w:val="en-US" w:eastAsia="zh-CN" w:bidi="ar"/>
        </w:rPr>
        <w:t>项目河道疏浚、清淤</w:t>
      </w:r>
      <w:r>
        <w:rPr>
          <w:rFonts w:hint="default" w:ascii="Times New Roman" w:hAnsi="Times New Roman" w:eastAsia="宋体" w:cs="Times New Roman"/>
          <w:color w:val="000000"/>
          <w:kern w:val="0"/>
          <w:sz w:val="24"/>
          <w:lang w:val="en-US" w:eastAsia="zh-CN" w:bidi="ar"/>
        </w:rPr>
        <w:t>采用挖掘机干式</w:t>
      </w:r>
      <w:r>
        <w:rPr>
          <w:rFonts w:hint="eastAsia" w:eastAsia="宋体" w:cs="Times New Roman"/>
          <w:color w:val="000000"/>
          <w:kern w:val="0"/>
          <w:sz w:val="24"/>
          <w:lang w:val="en-US" w:eastAsia="zh-CN" w:bidi="ar"/>
        </w:rPr>
        <w:t>挖掘</w:t>
      </w:r>
      <w:r>
        <w:rPr>
          <w:rFonts w:hint="default" w:ascii="Times New Roman" w:hAnsi="Times New Roman" w:eastAsia="宋体" w:cs="Times New Roman"/>
          <w:color w:val="000000"/>
          <w:kern w:val="0"/>
          <w:sz w:val="24"/>
          <w:lang w:val="en-US" w:eastAsia="zh-CN" w:bidi="ar"/>
        </w:rPr>
        <w:t>，随挖随运，不在项目区堆放。运输将严格按照六安市有关渣土运输的有关规定，选用性能良好、车厢封闭较好、证件齐全的车辆，严格按照指定的线路行驶。做到运输车辆不超载，车厢上部全部用篷布覆盖，避免运输过程中渣土散落污染周边道路及环境。同时需在运输的区间段内安排清洁人员，随时对车辆散落下来的土块、泥块进行清扫，并安排专人进行巡视、值班、组织路口交通。</w:t>
      </w:r>
    </w:p>
    <w:p w14:paraId="4B6F282B">
      <w:pPr>
        <w:keepNext w:val="0"/>
        <w:keepLines w:val="0"/>
        <w:pageBreakBefore w:val="0"/>
        <w:widowControl w:val="0"/>
        <w:numPr>
          <w:ilvl w:val="0"/>
          <w:numId w:val="0"/>
        </w:numPr>
        <w:suppressLineNumbers w:val="0"/>
        <w:kinsoku/>
        <w:wordWrap/>
        <w:overflowPunct/>
        <w:topLinePunct w:val="0"/>
        <w:autoSpaceDE w:val="0"/>
        <w:autoSpaceDN w:val="0"/>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color w:val="000000"/>
          <w:kern w:val="0"/>
          <w:sz w:val="24"/>
          <w:lang w:eastAsia="zh-CN"/>
        </w:rPr>
      </w:pPr>
      <w:r>
        <w:rPr>
          <w:rFonts w:hint="default" w:ascii="Times New Roman" w:hAnsi="Times New Roman" w:eastAsia="宋体" w:cs="Times New Roman"/>
          <w:color w:val="000000"/>
          <w:kern w:val="0"/>
          <w:sz w:val="24"/>
          <w:lang w:eastAsia="zh-CN" w:bidi="ar"/>
        </w:rPr>
        <w:t>根据项目实地考察，</w:t>
      </w:r>
      <w:r>
        <w:rPr>
          <w:rFonts w:hint="eastAsia" w:eastAsia="宋体" w:cs="Times New Roman"/>
          <w:color w:val="000000"/>
          <w:kern w:val="0"/>
          <w:sz w:val="24"/>
          <w:lang w:eastAsia="zh-CN" w:bidi="ar"/>
        </w:rPr>
        <w:t>河道</w:t>
      </w:r>
      <w:r>
        <w:rPr>
          <w:rFonts w:hint="default" w:ascii="Times New Roman" w:hAnsi="Times New Roman" w:eastAsia="宋体" w:cs="Times New Roman"/>
          <w:color w:val="000000"/>
          <w:kern w:val="0"/>
          <w:sz w:val="24"/>
          <w:lang w:eastAsia="zh-CN" w:bidi="ar"/>
        </w:rPr>
        <w:t>产生的固体废弃物为雨水冲刷山体产生的植物枯叶和沙土，对环境无影响，由建设单位</w:t>
      </w:r>
      <w:r>
        <w:rPr>
          <w:rFonts w:hint="default" w:ascii="Times New Roman" w:hAnsi="Times New Roman" w:eastAsia="宋体" w:cs="Times New Roman"/>
          <w:color w:val="000000"/>
          <w:kern w:val="0"/>
          <w:sz w:val="24"/>
          <w:lang w:eastAsia="zh-CN"/>
        </w:rPr>
        <w:t>清理。</w:t>
      </w:r>
    </w:p>
    <w:p w14:paraId="0B93295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val="en-US" w:eastAsia="zh-CN"/>
        </w:rPr>
        <w:t>（4）建筑垃圾</w:t>
      </w:r>
    </w:p>
    <w:p w14:paraId="327F9BCE">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szCs w:val="24"/>
          <w:lang w:val="en-US" w:eastAsia="zh-CN" w:bidi="ar"/>
        </w:rPr>
        <w:t>本项目在建设过程中产生的建筑垃圾主要为建材损耗产生的垃圾，主要产生在施工场地修建过程中。在施工过程中产生的建筑垃圾包括砂土、石块、水泥、碎木料、锯木屑、废金属、钢筋、铁丝、土石方等杂物。工程施工过程中产生的各类建渣，</w:t>
      </w:r>
      <w:r>
        <w:rPr>
          <w:rFonts w:hint="default" w:ascii="Times New Roman" w:hAnsi="Times New Roman" w:eastAsia="宋体" w:cs="Times New Roman"/>
          <w:color w:val="000000"/>
          <w:kern w:val="0"/>
          <w:sz w:val="24"/>
          <w:lang w:eastAsia="zh-CN" w:bidi="ar"/>
        </w:rPr>
        <w:t>由建设单位</w:t>
      </w:r>
      <w:r>
        <w:rPr>
          <w:rFonts w:hint="default" w:ascii="Times New Roman" w:hAnsi="Times New Roman" w:eastAsia="宋体" w:cs="Times New Roman"/>
          <w:color w:val="000000"/>
          <w:kern w:val="0"/>
          <w:sz w:val="24"/>
          <w:lang w:eastAsia="zh-CN"/>
        </w:rPr>
        <w:t>清理至建筑垃圾填埋场处理。</w:t>
      </w:r>
    </w:p>
    <w:p w14:paraId="2B9ED75B">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建设单位应要求施工单位规范处理，首先将建筑垃圾分类，尽量回收其中尚可利用的部分建筑材料，对没有利用价值以及不能回填的废弃物应妥善堆放、及时处理，委托外运至城市指定建筑垃圾填埋场。施工产生的各类垃圾废弃物应堆置在规定的地点，在对其进行清运和回收处理前要进行围挡、遮盖，防止被雨水冲刷或大风刮起，进入水体，影响水质。在施工期间，施工车辆要按照指定路线行驶，不允许车辆进入水体，污染水体，严禁向水体中倾倒建筑废料，施工中不得随意抛弃建筑材料、残土、旧料和其他杂物。</w:t>
      </w:r>
    </w:p>
    <w:p w14:paraId="26F76DB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color w:val="000000"/>
          <w:kern w:val="0"/>
          <w:sz w:val="24"/>
          <w:lang w:val="en-US" w:eastAsia="zh-CN"/>
        </w:rPr>
      </w:pPr>
      <w:r>
        <w:rPr>
          <w:rFonts w:hint="eastAsia" w:ascii="Times New Roman" w:hAnsi="Times New Roman" w:eastAsia="宋体" w:cs="Times New Roman"/>
          <w:b/>
          <w:color w:val="000000"/>
          <w:kern w:val="0"/>
          <w:sz w:val="24"/>
          <w:lang w:val="en-US" w:eastAsia="zh-CN"/>
        </w:rPr>
        <w:t>6、</w:t>
      </w:r>
      <w:r>
        <w:rPr>
          <w:rFonts w:hint="default" w:ascii="Times New Roman" w:hAnsi="Times New Roman" w:eastAsia="宋体" w:cs="Times New Roman"/>
          <w:b/>
          <w:color w:val="000000"/>
          <w:kern w:val="0"/>
          <w:sz w:val="24"/>
          <w:lang w:val="en-US" w:eastAsia="zh-CN"/>
        </w:rPr>
        <w:t>水文情势影响分析</w:t>
      </w:r>
    </w:p>
    <w:p w14:paraId="59AA0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本工程施工选择在枯水期，河道水量较小，工程施工不会影响水流的宣泄，故不会对河道上、下游水域的水文情势形成明显的影响。随着项目建设投入运行后，原河道水文情势的变化将得以恢复</w:t>
      </w:r>
      <w:r>
        <w:rPr>
          <w:rFonts w:hint="default" w:ascii="Times New Roman" w:hAnsi="Times New Roman" w:eastAsia="宋体" w:cs="Times New Roman"/>
          <w:color w:val="000000"/>
          <w:kern w:val="2"/>
          <w:sz w:val="24"/>
          <w:szCs w:val="24"/>
          <w:lang w:val="en-US" w:eastAsia="zh-CN" w:bidi="ar-SA"/>
        </w:rPr>
        <w:t>。</w:t>
      </w:r>
    </w:p>
    <w:p w14:paraId="1DF0408E">
      <w:pPr>
        <w:pStyle w:val="4"/>
        <w:bidi w:val="0"/>
        <w:rPr>
          <w:rFonts w:hint="eastAsia" w:ascii="Times New Roman" w:hAnsi="Times New Roman" w:cs="Times New Roman"/>
          <w:color w:val="000000"/>
          <w:lang w:val="en-US" w:eastAsia="zh-CN"/>
        </w:rPr>
      </w:pPr>
      <w:bookmarkStart w:id="112" w:name="_Toc5079"/>
      <w:bookmarkStart w:id="113" w:name="_Toc15311"/>
      <w:r>
        <w:rPr>
          <w:rFonts w:hint="eastAsia" w:ascii="Times New Roman" w:hAnsi="Times New Roman" w:cs="Times New Roman"/>
          <w:color w:val="000000"/>
          <w:lang w:val="en-US" w:eastAsia="zh-CN"/>
        </w:rPr>
        <w:t>5.2 运营期生态环境影响分析</w:t>
      </w:r>
      <w:bookmarkEnd w:id="112"/>
      <w:bookmarkEnd w:id="113"/>
    </w:p>
    <w:p w14:paraId="47D104D2">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本项目主要是排水防涝能力提升项目，通过</w:t>
      </w:r>
      <w:r>
        <w:rPr>
          <w:rFonts w:hint="default"/>
          <w:color w:val="000000"/>
        </w:rPr>
        <w:t>新建排水管网</w:t>
      </w:r>
      <w:r>
        <w:rPr>
          <w:rFonts w:hint="eastAsia"/>
          <w:color w:val="000000"/>
          <w:lang w:eastAsia="zh-CN"/>
        </w:rPr>
        <w:t>，</w:t>
      </w:r>
      <w:r>
        <w:rPr>
          <w:rFonts w:hint="default"/>
          <w:color w:val="000000"/>
        </w:rPr>
        <w:t>增设西部新城排涝泵站</w:t>
      </w:r>
      <w:r>
        <w:rPr>
          <w:rFonts w:hint="eastAsia"/>
          <w:color w:val="000000"/>
          <w:lang w:eastAsia="zh-CN"/>
        </w:rPr>
        <w:t>，</w:t>
      </w:r>
      <w:r>
        <w:rPr>
          <w:rFonts w:hint="default"/>
          <w:color w:val="000000"/>
        </w:rPr>
        <w:t>改造排涝沟</w:t>
      </w:r>
      <w:r>
        <w:rPr>
          <w:rFonts w:hint="eastAsia"/>
          <w:color w:val="000000"/>
          <w:lang w:eastAsia="zh-CN"/>
        </w:rPr>
        <w:t>，</w:t>
      </w:r>
      <w:r>
        <w:rPr>
          <w:rFonts w:hint="default"/>
          <w:color w:val="000000"/>
        </w:rPr>
        <w:t>整治城区柳林河、幽芳河、高庙河、新店河四条排涝通道</w:t>
      </w:r>
      <w:r>
        <w:rPr>
          <w:rFonts w:hint="eastAsia"/>
          <w:color w:val="000000"/>
          <w:lang w:eastAsia="zh-CN"/>
        </w:rPr>
        <w:t>，</w:t>
      </w:r>
      <w:r>
        <w:rPr>
          <w:rFonts w:hint="eastAsia" w:ascii="Times New Roman" w:hAnsi="Times New Roman" w:eastAsia="宋体" w:cs="Times New Roman"/>
          <w:color w:val="000000"/>
          <w:kern w:val="0"/>
          <w:sz w:val="24"/>
          <w:szCs w:val="24"/>
          <w:lang w:val="en-US" w:eastAsia="zh-CN" w:bidi="ar"/>
        </w:rPr>
        <w:t>完善必要的排水防涝能力，增加项目区抵抗自然灾害的能力，改善项目区生态环境。</w:t>
      </w:r>
      <w:r>
        <w:rPr>
          <w:rFonts w:hint="default" w:ascii="Times New Roman" w:hAnsi="Times New Roman" w:eastAsia="宋体" w:cs="Times New Roman"/>
          <w:color w:val="000000"/>
          <w:kern w:val="0"/>
          <w:sz w:val="24"/>
          <w:lang w:val="en-US" w:eastAsia="zh-CN"/>
        </w:rPr>
        <w:t>工程建成之后，将解决管网服务范围内的路面积水问题，减少了城市内涝的问题，并改善区域内居民生活环境，对</w:t>
      </w:r>
      <w:r>
        <w:rPr>
          <w:rFonts w:hint="eastAsia" w:eastAsia="宋体" w:cs="Times New Roman"/>
          <w:color w:val="000000"/>
          <w:kern w:val="0"/>
          <w:sz w:val="24"/>
          <w:lang w:val="en-US" w:eastAsia="zh-CN"/>
        </w:rPr>
        <w:t>霍山县</w:t>
      </w:r>
      <w:r>
        <w:rPr>
          <w:rFonts w:hint="default" w:ascii="Times New Roman" w:hAnsi="Times New Roman" w:eastAsia="宋体" w:cs="Times New Roman"/>
          <w:color w:val="000000"/>
          <w:kern w:val="0"/>
          <w:sz w:val="24"/>
          <w:lang w:val="en-US" w:eastAsia="zh-CN"/>
        </w:rPr>
        <w:t>城市建设的建设有着积极的意义。</w:t>
      </w:r>
    </w:p>
    <w:p w14:paraId="149D9462">
      <w:pPr>
        <w:keepNext w:val="0"/>
        <w:keepLines w:val="0"/>
        <w:pageBreakBefore w:val="0"/>
        <w:widowControl/>
        <w:numPr>
          <w:ilvl w:val="0"/>
          <w:numId w:val="0"/>
        </w:numPr>
        <w:suppressLineNumbers w:val="0"/>
        <w:kinsoku/>
        <w:bidi w:val="0"/>
        <w:adjustRightInd/>
        <w:snapToGrid/>
        <w:spacing w:before="0" w:beforeAutospacing="0" w:after="0" w:afterAutospacing="0" w:line="360" w:lineRule="auto"/>
        <w:ind w:leftChars="200" w:right="0" w:rightChars="0"/>
        <w:jc w:val="left"/>
        <w:rPr>
          <w:rFonts w:hint="eastAsia"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1、运营期大气影响分析</w:t>
      </w:r>
    </w:p>
    <w:p w14:paraId="6F860286">
      <w:pPr>
        <w:keepNext w:val="0"/>
        <w:keepLines w:val="0"/>
        <w:pageBreakBefore w:val="0"/>
        <w:widowControl/>
        <w:numPr>
          <w:ilvl w:val="0"/>
          <w:numId w:val="0"/>
        </w:numPr>
        <w:suppressLineNumbers w:val="0"/>
        <w:kinsoku/>
        <w:bidi w:val="0"/>
        <w:adjustRightInd/>
        <w:snapToGrid/>
        <w:spacing w:before="0" w:beforeAutospacing="0" w:after="0" w:afterAutospacing="0" w:line="360" w:lineRule="auto"/>
        <w:ind w:left="0" w:right="0" w:righ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本工程为排水防涝工程，运营期无废气污染源，工程实施后，对施工后的场地进行覆土绿化，可有效减少扬尘，从而减轻了扬尘对大气环境的影响。</w:t>
      </w:r>
    </w:p>
    <w:p w14:paraId="3539BA74">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ascii="Times New Roman" w:hAnsi="Times New Roman" w:eastAsia="宋体" w:cs="Times New Roman"/>
          <w:b/>
          <w:bCs/>
          <w:color w:val="000000"/>
          <w:kern w:val="0"/>
          <w:sz w:val="24"/>
          <w:szCs w:val="24"/>
          <w:lang w:val="en-US" w:eastAsia="zh-CN" w:bidi="ar"/>
        </w:rPr>
        <w:t>2、运营期对水环境影响分析</w:t>
      </w:r>
    </w:p>
    <w:p w14:paraId="44427815">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本工程为排水防涝工程，运行期废水</w:t>
      </w:r>
      <w:r>
        <w:rPr>
          <w:rFonts w:hint="eastAsia" w:eastAsia="宋体" w:cs="Times New Roman"/>
          <w:color w:val="000000"/>
          <w:kern w:val="0"/>
          <w:sz w:val="24"/>
          <w:szCs w:val="24"/>
          <w:lang w:val="en-US" w:eastAsia="zh-CN" w:bidi="ar"/>
        </w:rPr>
        <w:t>主要为收集的</w:t>
      </w:r>
      <w:r>
        <w:rPr>
          <w:rFonts w:hint="eastAsia"/>
          <w:color w:val="000000"/>
          <w:lang w:val="en-US" w:eastAsia="zh-CN"/>
        </w:rPr>
        <w:t>沿河居民生活污水</w:t>
      </w:r>
      <w:r>
        <w:rPr>
          <w:rFonts w:hint="eastAsia" w:ascii="Times New Roman" w:hAnsi="Times New Roman" w:eastAsia="宋体" w:cs="Times New Roman"/>
          <w:color w:val="000000"/>
          <w:kern w:val="0"/>
          <w:sz w:val="24"/>
          <w:szCs w:val="24"/>
          <w:lang w:val="en-US" w:eastAsia="zh-CN" w:bidi="ar"/>
        </w:rPr>
        <w:t>。</w:t>
      </w:r>
    </w:p>
    <w:p w14:paraId="7D38A0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lang w:val="en-US" w:eastAsia="zh-CN"/>
        </w:rPr>
      </w:pPr>
      <w:r>
        <w:rPr>
          <w:rFonts w:hint="eastAsia"/>
          <w:color w:val="000000"/>
          <w:lang w:val="en-US" w:eastAsia="zh-CN"/>
        </w:rPr>
        <w:t>运营期污水管网布置方案如下：</w:t>
      </w:r>
    </w:p>
    <w:p w14:paraId="6C915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lang w:val="en-US" w:eastAsia="zh-CN"/>
        </w:rPr>
      </w:pPr>
      <w:r>
        <w:rPr>
          <w:rFonts w:hint="eastAsia"/>
          <w:color w:val="000000"/>
          <w:lang w:val="en-US" w:eastAsia="zh-CN"/>
        </w:rPr>
        <w:t>沿柳林河西侧布置De315主管，接沿河居民住宅污水，由南向北接入现状市政管道至污水厂；沿幽芳河西侧布置De315主管，接沿河居民住宅污水，由南向北接入现状市政管道至污水厂，幽芳河上游段因地形起伏及河道隔断，采用一体化设施集中处理及资源化利用分散处理方式，收集东土路、三斑路两岸居民生活污水。</w:t>
      </w:r>
    </w:p>
    <w:p w14:paraId="267BD4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color w:val="000000"/>
          <w:lang w:val="en-US" w:eastAsia="zh-CN"/>
        </w:rPr>
      </w:pPr>
      <w:r>
        <w:rPr>
          <w:rFonts w:hint="eastAsia"/>
          <w:color w:val="000000"/>
          <w:lang w:val="en-US" w:eastAsia="zh-CN"/>
        </w:rPr>
        <w:t>除纳管的部分村庄外，较为集中的村庄采用集中污水处理，集中污水处理设施选用净化槽工艺，对于村庄较为分散的采用资源化利用工艺，出水达到安徽省地方标准《农村生活污水处理设施水污染物排放标准》(DB34/3527-2019)一级标准B标准。</w:t>
      </w:r>
    </w:p>
    <w:p w14:paraId="43809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Times New Roman" w:hAnsi="Times New Roman" w:eastAsia="宋体" w:cs="宋体"/>
          <w:color w:val="000000"/>
          <w:lang w:val="en-US" w:eastAsia="zh-CN"/>
        </w:rPr>
      </w:pPr>
      <w:r>
        <w:rPr>
          <w:rFonts w:hint="eastAsia" w:ascii="Times New Roman" w:hAnsi="Times New Roman" w:eastAsia="宋体" w:cs="宋体"/>
          <w:color w:val="000000"/>
          <w:lang w:val="en-US" w:eastAsia="zh-CN"/>
        </w:rPr>
        <w:t>集中收集模式是针对生活污水无法纳入城镇污水处理厂的居民区，将单个或多个居民的生活污水进行统一收集，再排至村级污水独立处理设施进行处理的污水收集模式。这种方式主要适用于居民较为集中，在</w:t>
      </w:r>
      <w:r>
        <w:rPr>
          <w:rFonts w:hint="default" w:ascii="Times New Roman" w:hAnsi="Times New Roman" w:eastAsia="宋体" w:cs="宋体"/>
          <w:color w:val="000000"/>
          <w:lang w:val="en-US" w:eastAsia="zh-CN"/>
        </w:rPr>
        <w:t>15</w:t>
      </w:r>
      <w:r>
        <w:rPr>
          <w:rFonts w:hint="eastAsia" w:ascii="Times New Roman" w:hAnsi="Times New Roman" w:eastAsia="宋体" w:cs="宋体"/>
          <w:color w:val="000000"/>
          <w:lang w:val="en-US" w:eastAsia="zh-CN"/>
        </w:rPr>
        <w:t>户以上的，地形条件有利于生活污水依靠重力统一流入污水处理设施的居民区。处理后废水排至人工湿地。</w:t>
      </w:r>
    </w:p>
    <w:p w14:paraId="4DB77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eastAsia" w:ascii="Times New Roman" w:hAnsi="Times New Roman" w:eastAsia="宋体" w:cs="宋体"/>
          <w:color w:val="000000"/>
          <w:lang w:val="en-US" w:eastAsia="zh-CN"/>
        </w:rPr>
      </w:pPr>
      <w:r>
        <w:rPr>
          <w:rFonts w:hint="eastAsia" w:ascii="Times New Roman" w:hAnsi="Times New Roman" w:eastAsia="宋体" w:cs="宋体"/>
          <w:color w:val="000000"/>
          <w:lang w:val="en-US" w:eastAsia="zh-CN"/>
        </w:rPr>
        <w:t>资源化利用模式指对单户或多户居民住户产生的生活污水就近处理，一般日处理能力小于</w:t>
      </w:r>
      <w:r>
        <w:rPr>
          <w:rFonts w:hint="default" w:ascii="Times New Roman" w:hAnsi="Times New Roman" w:eastAsia="宋体" w:cs="宋体"/>
          <w:color w:val="000000"/>
          <w:lang w:val="en-US" w:eastAsia="zh-CN"/>
        </w:rPr>
        <w:t>2</w:t>
      </w:r>
      <w:r>
        <w:rPr>
          <w:rFonts w:hint="eastAsia" w:cs="宋体"/>
          <w:color w:val="000000"/>
          <w:lang w:val="en-US" w:eastAsia="zh-CN"/>
        </w:rPr>
        <w:t>m</w:t>
      </w:r>
      <w:r>
        <w:rPr>
          <w:rFonts w:hint="default" w:ascii="Times New Roman" w:hAnsi="Times New Roman" w:eastAsia="宋体" w:cs="宋体"/>
          <w:color w:val="000000"/>
          <w:vertAlign w:val="superscript"/>
          <w:lang w:val="en-US" w:eastAsia="zh-CN"/>
        </w:rPr>
        <w:t>3</w:t>
      </w:r>
      <w:r>
        <w:rPr>
          <w:rFonts w:hint="eastAsia" w:ascii="Times New Roman" w:hAnsi="Times New Roman" w:eastAsia="宋体" w:cs="宋体"/>
          <w:color w:val="000000"/>
          <w:lang w:val="en-US" w:eastAsia="zh-CN"/>
        </w:rPr>
        <w:t>。这种方式主要适用于无法集中铺设管网或集中收集处理的居民区，住户较为分散、小于</w:t>
      </w:r>
      <w:r>
        <w:rPr>
          <w:rFonts w:hint="default" w:ascii="Times New Roman" w:hAnsi="Times New Roman" w:eastAsia="宋体" w:cs="宋体"/>
          <w:color w:val="000000"/>
          <w:lang w:val="en-US" w:eastAsia="zh-CN"/>
        </w:rPr>
        <w:t>15</w:t>
      </w:r>
      <w:r>
        <w:rPr>
          <w:rFonts w:hint="eastAsia" w:ascii="Times New Roman" w:hAnsi="Times New Roman" w:eastAsia="宋体" w:cs="宋体"/>
          <w:color w:val="000000"/>
          <w:lang w:val="en-US" w:eastAsia="zh-CN"/>
        </w:rPr>
        <w:t>户的，地形条件限制等因素难以统一收集、统一处理的乡镇地区特别是居住较为分散的山区、丘陵地带。收集污水经过处理后进行资源化利用，结合周边情况，可排入农灌沟进行农用回灌，或者进行林地漫灌。</w:t>
      </w:r>
    </w:p>
    <w:p w14:paraId="4B88B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rightChars="0"/>
        <w:jc w:val="left"/>
        <w:textAlignment w:val="auto"/>
        <w:rPr>
          <w:rFonts w:hint="default" w:ascii="Times New Roman" w:hAnsi="Times New Roman" w:eastAsia="宋体" w:cs="Times New Roman"/>
          <w:color w:val="000000"/>
          <w:kern w:val="0"/>
          <w:sz w:val="24"/>
          <w:szCs w:val="24"/>
          <w:lang w:val="en-US" w:eastAsia="zh-CN" w:bidi="ar"/>
        </w:rPr>
      </w:pPr>
      <w:r>
        <w:rPr>
          <w:rFonts w:hint="eastAsia"/>
          <w:color w:val="000000"/>
          <w:lang w:val="en-US" w:eastAsia="zh-CN"/>
        </w:rPr>
        <w:t>运营期收集的生活污水处理后不直接排放入地表水体，对地表水影响较小。</w:t>
      </w:r>
    </w:p>
    <w:p w14:paraId="1A268900">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kern w:val="0"/>
          <w:sz w:val="24"/>
        </w:rPr>
      </w:pPr>
      <w:r>
        <w:rPr>
          <w:rFonts w:hint="eastAsia" w:ascii="Times New Roman" w:hAnsi="Times New Roman" w:eastAsia="宋体" w:cs="Times New Roman"/>
          <w:color w:val="000000"/>
          <w:kern w:val="0"/>
          <w:sz w:val="24"/>
          <w:szCs w:val="24"/>
          <w:lang w:val="en-US" w:eastAsia="zh-CN" w:bidi="ar"/>
        </w:rPr>
        <w:t>3、</w:t>
      </w:r>
      <w:r>
        <w:rPr>
          <w:rFonts w:hint="eastAsia" w:ascii="Times New Roman" w:hAnsi="Times New Roman" w:eastAsia="宋体" w:cs="Times New Roman"/>
          <w:b/>
          <w:bCs/>
          <w:color w:val="000000"/>
          <w:kern w:val="0"/>
          <w:sz w:val="24"/>
          <w:szCs w:val="24"/>
          <w:lang w:val="en-US" w:eastAsia="zh-CN" w:bidi="ar"/>
        </w:rPr>
        <w:t>运营期声环境影响分析</w:t>
      </w:r>
    </w:p>
    <w:p w14:paraId="0C3BDC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val="en-US" w:eastAsia="zh-CN"/>
        </w:rPr>
        <w:t>项目运营后，主要噪声设备有排涝泵站设备，根据国内类比调查分析，本项目配套的水泵等动力设备，噪声源强约75~80dB。考虑到区域整体的协调性和降噪要求，泵房均设置在地下层内，经过墙体隔声和距离衰减后，噪声级可降至50dB。因此，地下层配套的水泵房运行噪声不会对周围环境造成明显的不利影响。并以灌木绿化屏蔽，可确保其运行噪声对周边居民无影响。</w:t>
      </w:r>
    </w:p>
    <w:p w14:paraId="5ED5186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val="en-US" w:eastAsia="zh-CN"/>
        </w:rPr>
        <w:t>综上所述，项目营运期产生的噪声经过隔声、距离衰减及绿化带降噪后，噪声排放可以满足《工业企业厂界环境噪声排放标准》（GB12348-2008）</w:t>
      </w:r>
      <w:r>
        <w:rPr>
          <w:rFonts w:hint="eastAsia" w:eastAsia="宋体" w:cs="Times New Roman"/>
          <w:color w:val="000000"/>
          <w:kern w:val="0"/>
          <w:sz w:val="24"/>
          <w:lang w:val="en-US" w:eastAsia="zh-CN"/>
        </w:rPr>
        <w:t>2</w:t>
      </w:r>
      <w:r>
        <w:rPr>
          <w:rFonts w:hint="default" w:ascii="Times New Roman" w:hAnsi="Times New Roman" w:eastAsia="宋体" w:cs="Times New Roman"/>
          <w:color w:val="000000"/>
          <w:kern w:val="0"/>
          <w:sz w:val="24"/>
          <w:lang w:val="en-US" w:eastAsia="zh-CN"/>
        </w:rPr>
        <w:t>类标准</w:t>
      </w:r>
      <w:r>
        <w:rPr>
          <w:rFonts w:hint="eastAsia" w:eastAsia="宋体" w:cs="Times New Roman"/>
          <w:color w:val="000000"/>
          <w:kern w:val="0"/>
          <w:sz w:val="24"/>
          <w:lang w:val="en-US" w:eastAsia="zh-CN"/>
        </w:rPr>
        <w:t>。</w:t>
      </w:r>
    </w:p>
    <w:p w14:paraId="6378DEB6">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rPr>
          <w:rFonts w:hint="default" w:ascii="Times New Roman" w:hAnsi="Times New Roman" w:eastAsia="宋体" w:cs="Times New Roman"/>
          <w:b/>
          <w:bCs/>
          <w:color w:val="000000"/>
          <w:kern w:val="0"/>
          <w:sz w:val="24"/>
          <w:szCs w:val="24"/>
          <w:lang w:val="en-US" w:eastAsia="zh-CN" w:bidi="ar"/>
        </w:rPr>
      </w:pPr>
      <w:r>
        <w:rPr>
          <w:rFonts w:hint="eastAsia" w:eastAsia="宋体" w:cs="Times New Roman"/>
          <w:b/>
          <w:bCs/>
          <w:color w:val="000000"/>
          <w:kern w:val="0"/>
          <w:sz w:val="24"/>
          <w:lang w:val="en-US" w:eastAsia="zh-CN"/>
        </w:rPr>
        <w:t>4、</w:t>
      </w:r>
      <w:r>
        <w:rPr>
          <w:rFonts w:hint="eastAsia" w:ascii="Times New Roman" w:hAnsi="Times New Roman" w:eastAsia="宋体" w:cs="Times New Roman"/>
          <w:b/>
          <w:bCs/>
          <w:color w:val="000000"/>
          <w:kern w:val="0"/>
          <w:sz w:val="24"/>
          <w:szCs w:val="24"/>
          <w:lang w:val="en-US" w:eastAsia="zh-CN" w:bidi="ar"/>
        </w:rPr>
        <w:t>运营期固废影响分析</w:t>
      </w:r>
    </w:p>
    <w:p w14:paraId="3C5A7413">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本项目运营期产生的固废主要为一般固废和危废。</w:t>
      </w:r>
    </w:p>
    <w:p w14:paraId="5A7C69DA">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一般固废主要为截留杂物，其产生量受其排涝片区环境质量影响，加强片区城市环境卫生，可减少该部分垃圾量。拦截的垃圾量应打捞后由环卫部门运至垃圾填埋场处理。</w:t>
      </w:r>
    </w:p>
    <w:p w14:paraId="016A0118">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eastAsia" w:ascii="Times New Roman" w:hAnsi="Times New Roman" w:eastAsia="宋体" w:cs="Times New Roman"/>
          <w:b w:val="0"/>
          <w:color w:val="000000"/>
          <w:kern w:val="0"/>
          <w:sz w:val="24"/>
          <w:szCs w:val="24"/>
          <w:lang w:val="en-US" w:eastAsia="zh-CN" w:bidi="ar"/>
        </w:rPr>
      </w:pPr>
      <w:r>
        <w:rPr>
          <w:rFonts w:hint="eastAsia" w:ascii="Times New Roman" w:hAnsi="Times New Roman" w:eastAsia="宋体" w:cs="Times New Roman"/>
          <w:b w:val="0"/>
          <w:color w:val="000000"/>
          <w:kern w:val="0"/>
          <w:sz w:val="24"/>
          <w:szCs w:val="24"/>
          <w:lang w:val="en-US" w:eastAsia="zh-CN" w:bidi="ar"/>
        </w:rPr>
        <w:t>本项目运营期产生的危废主要为泵站、闸门检修产生的废矿物油及沾染物，按危险废物管理要求进行集中回收处理，不会对环境造成影响。</w:t>
      </w:r>
    </w:p>
    <w:p w14:paraId="49B0AF0C">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kern w:val="0"/>
          <w:sz w:val="24"/>
          <w:lang w:val="en-US" w:eastAsia="zh-CN"/>
        </w:rPr>
      </w:pPr>
      <w:r>
        <w:rPr>
          <w:rFonts w:hint="default" w:ascii="Times New Roman" w:hAnsi="Times New Roman" w:eastAsia="宋体" w:cs="Times New Roman"/>
          <w:b/>
          <w:bCs/>
          <w:color w:val="000000"/>
          <w:kern w:val="0"/>
          <w:sz w:val="24"/>
          <w:lang w:val="en-US" w:eastAsia="zh-CN"/>
        </w:rPr>
        <w:t>5、运营期生态环境影响分析</w:t>
      </w:r>
    </w:p>
    <w:p w14:paraId="301FA282">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（1）陆生生态</w:t>
      </w:r>
    </w:p>
    <w:p w14:paraId="63F0C041">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eastAsia="宋体" w:cs="Times New Roman"/>
          <w:color w:val="000000"/>
          <w:kern w:val="0"/>
          <w:sz w:val="24"/>
          <w:lang w:val="en-US" w:eastAsia="zh-CN"/>
        </w:rPr>
        <w:t>本项目实施后</w:t>
      </w:r>
      <w:r>
        <w:rPr>
          <w:rFonts w:hint="default" w:ascii="Times New Roman" w:hAnsi="Times New Roman" w:eastAsia="宋体" w:cs="Times New Roman"/>
          <w:color w:val="000000"/>
          <w:kern w:val="0"/>
          <w:sz w:val="24"/>
        </w:rPr>
        <w:t>水土流失进一步减少，运营期对生态的影响为正效益。</w:t>
      </w:r>
    </w:p>
    <w:p w14:paraId="2982BF37">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（2）水生生态</w:t>
      </w:r>
    </w:p>
    <w:p w14:paraId="2D3AB246">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运营期建设单位应按照有关部门</w:t>
      </w:r>
      <w:r>
        <w:rPr>
          <w:rFonts w:hint="eastAsia" w:eastAsia="宋体" w:cs="Times New Roman"/>
          <w:color w:val="000000"/>
          <w:kern w:val="0"/>
          <w:sz w:val="24"/>
          <w:lang w:val="en-US" w:eastAsia="zh-CN"/>
        </w:rPr>
        <w:t>要求</w:t>
      </w:r>
      <w:r>
        <w:rPr>
          <w:rFonts w:hint="default" w:ascii="Times New Roman" w:hAnsi="Times New Roman" w:eastAsia="宋体" w:cs="Times New Roman"/>
          <w:color w:val="000000"/>
          <w:kern w:val="0"/>
          <w:sz w:val="24"/>
        </w:rPr>
        <w:t>做好沿岸的水土保持工程和绿化工程的维护和管理工作。按照生态环境、水政等部门</w:t>
      </w:r>
      <w:r>
        <w:rPr>
          <w:rFonts w:hint="eastAsia" w:eastAsia="宋体" w:cs="Times New Roman"/>
          <w:color w:val="000000"/>
          <w:kern w:val="0"/>
          <w:sz w:val="24"/>
          <w:lang w:val="en-US" w:eastAsia="zh-CN"/>
        </w:rPr>
        <w:t>要求</w:t>
      </w:r>
      <w:r>
        <w:rPr>
          <w:rFonts w:hint="default" w:ascii="Times New Roman" w:hAnsi="Times New Roman" w:eastAsia="宋体" w:cs="Times New Roman"/>
          <w:color w:val="000000"/>
          <w:kern w:val="0"/>
          <w:sz w:val="24"/>
        </w:rPr>
        <w:t>做好</w:t>
      </w:r>
      <w:r>
        <w:rPr>
          <w:rFonts w:hint="eastAsia" w:eastAsia="宋体" w:cs="Times New Roman"/>
          <w:color w:val="000000"/>
          <w:kern w:val="0"/>
          <w:sz w:val="24"/>
          <w:lang w:val="en-US" w:eastAsia="zh-CN"/>
        </w:rPr>
        <w:t>河道</w:t>
      </w:r>
      <w:r>
        <w:rPr>
          <w:rFonts w:hint="default" w:ascii="Times New Roman" w:hAnsi="Times New Roman" w:eastAsia="宋体" w:cs="Times New Roman"/>
          <w:color w:val="000000"/>
          <w:kern w:val="0"/>
          <w:sz w:val="24"/>
        </w:rPr>
        <w:t>的保护工作。加强巡查，严禁在</w:t>
      </w:r>
      <w:r>
        <w:rPr>
          <w:rFonts w:hint="eastAsia" w:eastAsia="宋体" w:cs="Times New Roman"/>
          <w:color w:val="000000"/>
          <w:kern w:val="0"/>
          <w:sz w:val="24"/>
          <w:lang w:val="en-US" w:eastAsia="zh-CN"/>
        </w:rPr>
        <w:t>河道</w:t>
      </w:r>
      <w:r>
        <w:rPr>
          <w:rFonts w:hint="default" w:ascii="Times New Roman" w:hAnsi="Times New Roman" w:eastAsia="宋体" w:cs="Times New Roman"/>
          <w:color w:val="000000"/>
          <w:kern w:val="0"/>
          <w:sz w:val="24"/>
        </w:rPr>
        <w:t>周边倾倒垃圾及其它杂物</w:t>
      </w:r>
      <w:r>
        <w:rPr>
          <w:rFonts w:hint="eastAsia" w:eastAsia="宋体" w:cs="Times New Roman"/>
          <w:color w:val="000000"/>
          <w:kern w:val="0"/>
          <w:sz w:val="24"/>
          <w:lang w:eastAsia="zh-CN"/>
        </w:rPr>
        <w:t>，</w:t>
      </w:r>
      <w:r>
        <w:rPr>
          <w:rFonts w:hint="default" w:ascii="Times New Roman" w:hAnsi="Times New Roman" w:eastAsia="宋体" w:cs="Times New Roman"/>
          <w:color w:val="000000"/>
          <w:kern w:val="0"/>
          <w:sz w:val="24"/>
        </w:rPr>
        <w:t>及时清除周边及水面垃圾、杂质，保持周边及水面清洁和美观。</w:t>
      </w:r>
      <w:r>
        <w:rPr>
          <w:rFonts w:hint="eastAsia" w:eastAsia="宋体" w:cs="Times New Roman"/>
          <w:color w:val="000000"/>
          <w:kern w:val="0"/>
          <w:sz w:val="24"/>
          <w:lang w:val="en-US" w:eastAsia="zh-CN"/>
        </w:rPr>
        <w:t>项目实施后</w:t>
      </w:r>
      <w:r>
        <w:rPr>
          <w:rFonts w:hint="default" w:ascii="Times New Roman" w:hAnsi="Times New Roman" w:eastAsia="宋体" w:cs="Times New Roman"/>
          <w:color w:val="000000"/>
          <w:kern w:val="0"/>
          <w:sz w:val="24"/>
        </w:rPr>
        <w:t>，更有利于防止水土流失</w:t>
      </w:r>
      <w:r>
        <w:rPr>
          <w:rFonts w:hint="eastAsia" w:eastAsia="宋体" w:cs="Times New Roman"/>
          <w:color w:val="000000"/>
          <w:kern w:val="0"/>
          <w:sz w:val="24"/>
          <w:lang w:eastAsia="zh-CN"/>
        </w:rPr>
        <w:t>。</w:t>
      </w:r>
      <w:r>
        <w:rPr>
          <w:rFonts w:hint="default" w:ascii="Times New Roman" w:hAnsi="Times New Roman" w:eastAsia="宋体" w:cs="Times New Roman"/>
          <w:color w:val="000000"/>
          <w:kern w:val="0"/>
          <w:sz w:val="24"/>
        </w:rPr>
        <w:t>因此，原有的被利用的水域水质将有明显改善，对生态环境有正效益。</w:t>
      </w:r>
    </w:p>
    <w:p w14:paraId="2EE66EE3">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（3）景观生态</w:t>
      </w:r>
    </w:p>
    <w:p w14:paraId="2E3AEF5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项目建成后，及时复垦还林，恢复之前景观。</w:t>
      </w:r>
    </w:p>
    <w:p w14:paraId="68CA5F6C">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eastAsia"/>
          <w:color w:val="000000"/>
          <w:lang w:val="en-US" w:eastAsia="zh-CN"/>
        </w:rPr>
      </w:pPr>
      <w:r>
        <w:rPr>
          <w:rFonts w:hint="eastAsia" w:ascii="Times New Roman" w:hAnsi="Times New Roman" w:eastAsia="宋体" w:cs="Times New Roman"/>
          <w:b w:val="0"/>
          <w:color w:val="000000"/>
          <w:kern w:val="0"/>
          <w:sz w:val="24"/>
          <w:szCs w:val="24"/>
          <w:lang w:val="en-US" w:eastAsia="zh-CN" w:bidi="ar"/>
        </w:rPr>
        <w:br w:type="page"/>
      </w:r>
    </w:p>
    <w:p w14:paraId="71C6A318">
      <w:pPr>
        <w:pStyle w:val="3"/>
        <w:bidi w:val="0"/>
        <w:rPr>
          <w:rFonts w:hint="eastAsia"/>
          <w:color w:val="000000"/>
          <w:lang w:val="en-US" w:eastAsia="zh-CN"/>
        </w:rPr>
      </w:pPr>
      <w:bookmarkStart w:id="114" w:name="_Toc3970"/>
      <w:bookmarkStart w:id="115" w:name="_Toc26336"/>
      <w:r>
        <w:rPr>
          <w:rFonts w:hint="eastAsia"/>
          <w:color w:val="000000"/>
          <w:lang w:val="en-US" w:eastAsia="zh-CN"/>
        </w:rPr>
        <w:t>6 生态保护与恢复措施</w:t>
      </w:r>
      <w:bookmarkEnd w:id="114"/>
      <w:bookmarkEnd w:id="115"/>
    </w:p>
    <w:p w14:paraId="6A4B29D1">
      <w:pPr>
        <w:pStyle w:val="4"/>
        <w:bidi w:val="0"/>
        <w:rPr>
          <w:rFonts w:hint="default"/>
          <w:color w:val="000000"/>
          <w:lang w:val="en-US" w:eastAsia="zh-CN"/>
        </w:rPr>
      </w:pPr>
      <w:bookmarkStart w:id="116" w:name="_Toc25791"/>
      <w:bookmarkStart w:id="117" w:name="_Toc11876"/>
      <w:r>
        <w:rPr>
          <w:rFonts w:hint="eastAsia"/>
          <w:color w:val="000000"/>
          <w:lang w:val="en-US" w:eastAsia="zh-CN"/>
        </w:rPr>
        <w:t>6.1 施工期生态保护措施</w:t>
      </w:r>
      <w:bookmarkEnd w:id="116"/>
      <w:bookmarkEnd w:id="117"/>
    </w:p>
    <w:p w14:paraId="53EA5B8B">
      <w:pPr>
        <w:keepNext w:val="0"/>
        <w:keepLines w:val="0"/>
        <w:pageBreakBefore w:val="0"/>
        <w:widowControl w:val="0"/>
        <w:numPr>
          <w:ilvl w:val="0"/>
          <w:numId w:val="5"/>
        </w:numPr>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522" w:firstLineChars="200"/>
        <w:textAlignment w:val="auto"/>
        <w:rPr>
          <w:rFonts w:hint="default" w:ascii="Times New Roman" w:hAnsi="Times New Roman" w:eastAsia="宋体" w:cs="Times New Roman"/>
          <w:b/>
          <w:bCs/>
          <w:color w:val="000000"/>
          <w:spacing w:val="10"/>
          <w:sz w:val="24"/>
        </w:rPr>
      </w:pPr>
      <w:r>
        <w:rPr>
          <w:rFonts w:hint="default" w:ascii="Times New Roman" w:hAnsi="Times New Roman" w:eastAsia="宋体" w:cs="Times New Roman"/>
          <w:b/>
          <w:bCs/>
          <w:color w:val="000000"/>
          <w:spacing w:val="10"/>
          <w:sz w:val="24"/>
        </w:rPr>
        <w:t>生态环境</w:t>
      </w:r>
      <w:r>
        <w:rPr>
          <w:rFonts w:hint="default" w:ascii="Times New Roman" w:hAnsi="Times New Roman" w:eastAsia="宋体" w:cs="Times New Roman"/>
          <w:b/>
          <w:bCs/>
          <w:color w:val="000000"/>
          <w:spacing w:val="10"/>
          <w:sz w:val="24"/>
          <w:lang w:val="en-US" w:eastAsia="zh-CN"/>
        </w:rPr>
        <w:t>保护</w:t>
      </w:r>
      <w:r>
        <w:rPr>
          <w:rFonts w:hint="default" w:ascii="Times New Roman" w:hAnsi="Times New Roman" w:eastAsia="宋体" w:cs="Times New Roman"/>
          <w:b/>
          <w:bCs/>
          <w:color w:val="000000"/>
          <w:spacing w:val="10"/>
          <w:sz w:val="24"/>
        </w:rPr>
        <w:t>措施</w:t>
      </w:r>
    </w:p>
    <w:p w14:paraId="55F97C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eastAsia="zh-CN"/>
        </w:rPr>
        <w:t>工程建设中有土方开挖、机械碾压等工作，这样势必会造成占地范围植被的破坏，部分施工活动会影响区域周边的动物的栖息和觅食，同时会带来扬尘、水土流失等环境问题。为了有效保护工程所在区域的生态环境，本项目施工期生态防治措施：</w:t>
      </w:r>
    </w:p>
    <w:p w14:paraId="3BD7B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val="0"/>
          <w:color w:val="000000"/>
          <w:sz w:val="24"/>
          <w:lang w:eastAsia="zh-CN"/>
        </w:rPr>
      </w:pPr>
      <w:r>
        <w:rPr>
          <w:rFonts w:hint="default" w:ascii="Times New Roman" w:hAnsi="Times New Roman" w:eastAsia="宋体" w:cs="Times New Roman"/>
          <w:b/>
          <w:bCs w:val="0"/>
          <w:color w:val="000000"/>
          <w:sz w:val="24"/>
          <w:lang w:val="en-US" w:eastAsia="zh-CN"/>
        </w:rPr>
        <w:t xml:space="preserve">1.1 管理措施 </w:t>
      </w:r>
    </w:p>
    <w:p w14:paraId="6C62F1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（1）施工活动开始之前，需制定详细的施工方案，限定施工人员的活动区域，尽量控制施工动土范围，以保持原生生态系统的稳定性和完整性。</w:t>
      </w:r>
    </w:p>
    <w:p w14:paraId="1FCB6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施工前对需要保护的植物进行移栽保护或者设置围挡</w:t>
      </w:r>
      <w:r>
        <w:rPr>
          <w:rFonts w:hint="eastAsia" w:eastAsia="宋体" w:cs="Times New Roman"/>
          <w:bCs/>
          <w:color w:val="000000"/>
          <w:sz w:val="24"/>
          <w:lang w:val="en-US" w:eastAsia="zh-CN"/>
        </w:rPr>
        <w:t>；</w:t>
      </w:r>
      <w:r>
        <w:rPr>
          <w:rFonts w:hint="default" w:ascii="Times New Roman" w:hAnsi="Times New Roman" w:eastAsia="宋体" w:cs="Times New Roman"/>
          <w:bCs/>
          <w:color w:val="000000"/>
          <w:sz w:val="24"/>
          <w:lang w:val="en-US" w:eastAsia="zh-CN"/>
        </w:rPr>
        <w:t>施工期，减少开挖作业面，严格施工区域，禁止对施工临时占地范围内植物进行破坏。</w:t>
      </w:r>
    </w:p>
    <w:p w14:paraId="57387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通过优化方案，有效降低项目建设对评价范围内植物、植被的影响和破坏。</w:t>
      </w:r>
    </w:p>
    <w:p w14:paraId="68348228">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在所有永久建筑完成后，应立即进行裸露区的恢复，恢复时对施工迹地进行绿化回覆，尽量减少工程区内的施工痕迹。施工迹地的绿化恢复过程中将完全采用当地树种、草种。</w:t>
      </w:r>
    </w:p>
    <w:p w14:paraId="5BEF41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（3）在施工中须有效地防止机械检修、冲洗废水等随意排放，对工程废物进行快速、集中处理，减少对环境的污染，对于施工人员产生的垃圾集中进行处理。</w:t>
      </w:r>
    </w:p>
    <w:p w14:paraId="5811F0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（4）为减少施工期间的景观影响，应对施工场地内施工机械整齐放置、合理布设，散乱的建筑材料和物品尽量加以覆盖，开挖后的区域尽快平整，保持施工场地及周围的整齐美观。</w:t>
      </w:r>
    </w:p>
    <w:p w14:paraId="1291B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（5）加强管理，保护水质。避免因污水的直接排放对水体产生污染而引起对水生生物的影响。</w:t>
      </w:r>
    </w:p>
    <w:p w14:paraId="6F81E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（6）建设单位应在施工过程中加强施工管理，严格执行施工操作规程，弃土务必运至指定地点。合理安排施工周期，在发生大暴雨时应停止施工，并采取短期覆盖措施，减少水土流失。</w:t>
      </w:r>
    </w:p>
    <w:p w14:paraId="38F07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7）对施工单位和施工人员进行水土保持教育，广泛宣传水土保持法律法规及有关方针政策，普及水土保持知识，提高其水土保持意识，规范其水土保持行为。在工程建设中，尽量采用先进的施工手段和合理的施工程序以减少和避免水土流失。</w:t>
      </w:r>
    </w:p>
    <w:p w14:paraId="7FBF66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（8）项目在施工过程中应加强施工管理，避免雨水冲刷。道路运输避免沿途抛弃，减少水土流失。工程施工后期，植树种草，覆盖表土，避免水土流失，计划植草、植水保树等。</w:t>
      </w:r>
    </w:p>
    <w:p w14:paraId="74F111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（9）做好水土保持和生态保护工作，项目施工过程应注意保护生态环境，尽量减少施工区的数量和面积。</w:t>
      </w:r>
    </w:p>
    <w:p w14:paraId="320465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（10）在施工过程中应合理安排工期，做好施工场地等的规划设置工作，最大限度地减少对植被的影响。</w:t>
      </w:r>
    </w:p>
    <w:p w14:paraId="49C8E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（11）在施工结束后进行植树补偿，以保持自然和生态环境免遭破坏。</w:t>
      </w:r>
    </w:p>
    <w:p w14:paraId="6E8B37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（12）施工结束后，要及时清理、恢复施工场所的生态环境和路面进行修复。</w:t>
      </w:r>
    </w:p>
    <w:p w14:paraId="114572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（13）临时开挖出的土方堆放，要采取防浸泡、防冲刷、防止水土流失等措施，避免给环境带来二次污染。</w:t>
      </w:r>
    </w:p>
    <w:p w14:paraId="298C6D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14）项目水土保持措施有：土地平整、排水沟、直播种草、乔灌木栽植、临时排水沟等，工程建设应严格控制地表扰动和植被损坏范围，尽量减少工程占地、加强工程建设管理、优化施工工艺、加强水土保持防护，控制可能造成的水土流失。</w:t>
      </w:r>
    </w:p>
    <w:p w14:paraId="1164832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2" w:firstLineChars="200"/>
        <w:textAlignment w:val="auto"/>
        <w:rPr>
          <w:rFonts w:hint="default" w:ascii="Times New Roman" w:hAnsi="Times New Roman" w:eastAsia="宋体" w:cs="Times New Roman"/>
          <w:b/>
          <w:bCs/>
          <w:color w:val="000000"/>
          <w:kern w:val="0"/>
          <w:sz w:val="24"/>
          <w:lang w:bidi="ar"/>
        </w:rPr>
      </w:pPr>
      <w:r>
        <w:rPr>
          <w:rFonts w:hint="eastAsia" w:eastAsia="宋体" w:cs="Times New Roman"/>
          <w:b/>
          <w:bCs/>
          <w:color w:val="000000"/>
          <w:kern w:val="0"/>
          <w:sz w:val="24"/>
          <w:lang w:val="en-US" w:eastAsia="zh-CN" w:bidi="ar"/>
        </w:rPr>
        <w:t>1.2</w:t>
      </w:r>
      <w:r>
        <w:rPr>
          <w:rFonts w:hint="default" w:ascii="Times New Roman" w:hAnsi="Times New Roman" w:eastAsia="宋体" w:cs="Times New Roman"/>
          <w:b/>
          <w:bCs/>
          <w:color w:val="000000"/>
          <w:kern w:val="0"/>
          <w:sz w:val="24"/>
          <w:lang w:bidi="ar"/>
        </w:rPr>
        <w:t>陆生生态保护措施</w:t>
      </w:r>
    </w:p>
    <w:p w14:paraId="71DDA99A">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lang w:bidi="ar"/>
        </w:rPr>
        <w:t>1）植物保护措施</w:t>
      </w:r>
    </w:p>
    <w:p w14:paraId="1CDD036B">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rPr>
      </w:pPr>
      <w:bookmarkStart w:id="118" w:name="_Toc8196"/>
      <w:bookmarkStart w:id="119" w:name="_Toc25282"/>
      <w:bookmarkStart w:id="120" w:name="_Toc20096"/>
      <w:bookmarkStart w:id="121" w:name="_Toc8318"/>
      <w:bookmarkStart w:id="122" w:name="_Toc8352"/>
      <w:r>
        <w:rPr>
          <w:rFonts w:hint="default" w:ascii="Times New Roman" w:hAnsi="Times New Roman" w:eastAsia="宋体" w:cs="Times New Roman"/>
          <w:bCs/>
          <w:color w:val="000000"/>
          <w:sz w:val="24"/>
        </w:rPr>
        <w:t>①避让措施</w:t>
      </w:r>
    </w:p>
    <w:p w14:paraId="4FB004EE">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rPr>
        <w:t>施工期严格控制和管理车辆机械和施工人员的活动范围，防止扩大对地表的扰动，设置水土保持管理措施。</w:t>
      </w:r>
      <w:r>
        <w:rPr>
          <w:rFonts w:hint="default" w:ascii="Times New Roman" w:hAnsi="Times New Roman" w:eastAsia="宋体" w:cs="Times New Roman"/>
          <w:bCs/>
          <w:color w:val="000000"/>
          <w:sz w:val="24"/>
          <w:lang w:eastAsia="zh-CN"/>
        </w:rPr>
        <w:t>采用半封闭施工方式，尽量减少多陆生动物及栖息地的破坏。</w:t>
      </w:r>
    </w:p>
    <w:p w14:paraId="4FFBE81D">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bCs/>
          <w:color w:val="000000"/>
          <w:sz w:val="24"/>
        </w:rPr>
        <w:t>②</w:t>
      </w:r>
      <w:r>
        <w:rPr>
          <w:rFonts w:hint="default" w:ascii="Times New Roman" w:hAnsi="Times New Roman" w:eastAsia="宋体" w:cs="Times New Roman"/>
          <w:color w:val="000000"/>
          <w:kern w:val="0"/>
          <w:sz w:val="24"/>
        </w:rPr>
        <w:t>减缓措施</w:t>
      </w:r>
      <w:bookmarkEnd w:id="118"/>
      <w:bookmarkEnd w:id="119"/>
      <w:bookmarkEnd w:id="120"/>
      <w:bookmarkEnd w:id="121"/>
      <w:bookmarkEnd w:id="122"/>
    </w:p>
    <w:p w14:paraId="5C3A093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eastAsia" w:ascii="宋体" w:hAnsi="宋体" w:eastAsia="宋体" w:cs="宋体"/>
          <w:color w:val="000000"/>
          <w:kern w:val="0"/>
          <w:sz w:val="24"/>
          <w:szCs w:val="24"/>
          <w:lang w:val="en-US" w:eastAsia="zh-CN" w:bidi="ar"/>
        </w:rPr>
        <w:t>优化施工方案，尽可能地减轻在施工过程中运输造成扬尘污染以及雨季施工潜在的水土流失。优化施工时序，尽量避开雨季，尽可能避免水土流失，从而缓解其对植物的影响；同时，尽可能选择枯水季节施工，避免植物生长及繁殖期。</w:t>
      </w:r>
    </w:p>
    <w:p w14:paraId="269793A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严格控制工程活动范围，加强监理工作。确保工人在征地范围内活动，从而减轻非因素对周围植物及植被的占用与压踏。</w:t>
      </w:r>
    </w:p>
    <w:p w14:paraId="76465F24">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设置警示牌，在工程现场各主要区域、生态保护目标及植被较好的地段设置生态保护警示牌。警示牌上标明工程区范围，禁止越界施工，尽量减少占地造成的植被损失。</w:t>
      </w:r>
    </w:p>
    <w:p w14:paraId="2EBE754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加强宣传教育活动，强化对现有生态的保护。开工前印发生态保护手册，加强对工人的法律和生态保护知识的宣传教育，强化生态保护意识。</w:t>
      </w:r>
    </w:p>
    <w:p w14:paraId="091F5DFC">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bookmarkStart w:id="123" w:name="_Toc24011"/>
      <w:bookmarkStart w:id="124" w:name="_Toc16605"/>
      <w:bookmarkStart w:id="125" w:name="_Toc1587"/>
      <w:bookmarkStart w:id="126" w:name="_Toc23100"/>
      <w:bookmarkStart w:id="127" w:name="_Toc9743"/>
      <w:r>
        <w:rPr>
          <w:rFonts w:hint="default" w:ascii="Times New Roman" w:hAnsi="Times New Roman" w:eastAsia="宋体" w:cs="Times New Roman"/>
          <w:color w:val="000000"/>
          <w:kern w:val="0"/>
          <w:sz w:val="24"/>
        </w:rPr>
        <w:t>③恢复与补偿措施</w:t>
      </w:r>
      <w:bookmarkEnd w:id="123"/>
      <w:bookmarkEnd w:id="124"/>
      <w:bookmarkEnd w:id="125"/>
      <w:bookmarkEnd w:id="126"/>
      <w:bookmarkEnd w:id="127"/>
    </w:p>
    <w:p w14:paraId="56EF7B29">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工程结束后，对</w:t>
      </w:r>
      <w:r>
        <w:rPr>
          <w:rFonts w:hint="default" w:ascii="Times New Roman" w:hAnsi="Times New Roman" w:eastAsia="宋体" w:cs="Times New Roman"/>
          <w:color w:val="000000"/>
          <w:kern w:val="0"/>
          <w:sz w:val="24"/>
          <w:lang w:val="en-US" w:eastAsia="zh-CN"/>
        </w:rPr>
        <w:t>施工区域</w:t>
      </w:r>
      <w:r>
        <w:rPr>
          <w:rFonts w:hint="default" w:ascii="Times New Roman" w:hAnsi="Times New Roman" w:eastAsia="宋体" w:cs="Times New Roman"/>
          <w:color w:val="000000"/>
          <w:kern w:val="0"/>
          <w:sz w:val="24"/>
        </w:rPr>
        <w:t>应进行场地清理、土地整治后采取复垦的方式恢复</w:t>
      </w:r>
      <w:r>
        <w:rPr>
          <w:rFonts w:hint="default" w:ascii="Times New Roman" w:hAnsi="Times New Roman" w:eastAsia="宋体" w:cs="Times New Roman"/>
          <w:color w:val="000000"/>
          <w:kern w:val="0"/>
          <w:sz w:val="24"/>
          <w:lang w:val="en-US" w:eastAsia="zh-CN"/>
        </w:rPr>
        <w:t>生态环境</w:t>
      </w:r>
      <w:r>
        <w:rPr>
          <w:rFonts w:hint="default" w:ascii="Times New Roman" w:hAnsi="Times New Roman" w:eastAsia="宋体" w:cs="Times New Roman"/>
          <w:color w:val="000000"/>
          <w:kern w:val="0"/>
          <w:sz w:val="24"/>
        </w:rPr>
        <w:t>。植被恢复时应遵循“适地适草”的原则。在植被恢复措施中应注意的技术要点有：</w:t>
      </w:r>
    </w:p>
    <w:p w14:paraId="73508225">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保护原有生态系统：在植被修复过程中，必须尽量保护占地区域原有体系的生态环境。</w:t>
      </w:r>
    </w:p>
    <w:p w14:paraId="77D6CB69">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选择适宜的恢复物种：尽量选用适生性强、生长快、自我繁殖和更新能力强的乡土植物进行植被恢复，同时为提高区域生物多样性，应适当引进新的优良植物，在恢复物种选择时应防止外来入侵种的扩散。</w:t>
      </w:r>
    </w:p>
    <w:p w14:paraId="6B7FA9E1">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bookmarkStart w:id="128" w:name="_Toc28522"/>
      <w:bookmarkStart w:id="129" w:name="_Toc5854"/>
      <w:bookmarkStart w:id="130" w:name="_Toc21852"/>
      <w:bookmarkStart w:id="131" w:name="_Toc21504"/>
      <w:bookmarkStart w:id="132" w:name="_Toc4179"/>
      <w:r>
        <w:rPr>
          <w:rFonts w:hint="default" w:ascii="Times New Roman" w:hAnsi="Times New Roman" w:eastAsia="宋体" w:cs="Times New Roman"/>
          <w:color w:val="000000"/>
          <w:kern w:val="0"/>
          <w:sz w:val="24"/>
        </w:rPr>
        <w:t>④管理措施</w:t>
      </w:r>
      <w:bookmarkEnd w:id="128"/>
      <w:bookmarkEnd w:id="129"/>
      <w:bookmarkEnd w:id="130"/>
      <w:bookmarkEnd w:id="131"/>
      <w:bookmarkEnd w:id="132"/>
    </w:p>
    <w:p w14:paraId="03E2D329">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制定工程建设的生态保护规定。成立项目生态保护工作领导小组，明确职责和工作范围，加强对工程建设过程中生态保护工作的领导和监督。</w:t>
      </w:r>
    </w:p>
    <w:p w14:paraId="7BBF8BE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在工程管理机构应设置生态环境管理人员，建立各种生态管理及报告制度。</w:t>
      </w:r>
    </w:p>
    <w:p w14:paraId="100D047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加强对施工人员、周边居民的宣传教育培训工作，树立生态绿色施工理念，提高环保认知。</w:t>
      </w:r>
    </w:p>
    <w:p w14:paraId="13D1477D">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加强对施工人员及施工活动的管理。施工过程中，加强人员的管理，禁止施工人员对植被滥砍滥伐，严格限制施工人员在施工现场的活动范围，防止破坏沿线的生态环境。</w:t>
      </w:r>
    </w:p>
    <w:p w14:paraId="3E768818">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val="0"/>
          <w:color w:val="000000"/>
          <w:spacing w:val="10"/>
          <w:sz w:val="24"/>
        </w:rPr>
      </w:pPr>
      <w:r>
        <w:rPr>
          <w:rFonts w:hint="default" w:ascii="Times New Roman" w:hAnsi="Times New Roman" w:eastAsia="宋体" w:cs="Times New Roman"/>
          <w:color w:val="000000"/>
          <w:kern w:val="0"/>
          <w:sz w:val="24"/>
        </w:rPr>
        <w:t>虽然评价区未发现重点保护野生植物，但仍建议制定评价区内可能出现的重点保护野生植物宣传册，提高施工人员识别能力，发现后及时上报并采取相应的保护措施。</w:t>
      </w:r>
    </w:p>
    <w:p w14:paraId="64753234">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2）动物保护措施</w:t>
      </w:r>
    </w:p>
    <w:p w14:paraId="5F5B456F">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bookmarkStart w:id="133" w:name="_Toc16462"/>
      <w:bookmarkStart w:id="134" w:name="_Toc936"/>
      <w:bookmarkStart w:id="135" w:name="_Toc698"/>
      <w:bookmarkStart w:id="136" w:name="_Toc26569"/>
      <w:bookmarkStart w:id="137" w:name="_Toc13991"/>
      <w:r>
        <w:rPr>
          <w:rFonts w:hint="default" w:ascii="Times New Roman" w:hAnsi="Times New Roman" w:eastAsia="宋体" w:cs="Times New Roman"/>
          <w:color w:val="000000"/>
          <w:kern w:val="0"/>
          <w:sz w:val="24"/>
        </w:rPr>
        <w:t>①避免和消减措施</w:t>
      </w:r>
      <w:bookmarkEnd w:id="133"/>
      <w:bookmarkEnd w:id="134"/>
      <w:bookmarkEnd w:id="135"/>
      <w:bookmarkEnd w:id="136"/>
      <w:bookmarkEnd w:id="137"/>
    </w:p>
    <w:p w14:paraId="4655B42F">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color w:val="000000"/>
        </w:rPr>
      </w:pPr>
      <w:r>
        <w:rPr>
          <w:rFonts w:hint="default" w:ascii="Times New Roman" w:hAnsi="Times New Roman" w:eastAsia="宋体" w:cs="Times New Roman"/>
          <w:color w:val="000000"/>
          <w:kern w:val="0"/>
          <w:sz w:val="24"/>
        </w:rPr>
        <w:t>增强工程人员的保护意识，严禁捕猎野生动物。工人必须遵守《中华人民共和国野生动物保护法》。对工人进行宣传教育，严禁捕杀野生动物，施工过程中如遇到要尽量保护。杜绝施工人员猎捕施工作业区附近的蛙类、蛇类、鸟类等现象。建议在主要施工场地设置警示牌，提醒施工人员保护野生动物，禁止任何人员、采取任何方式进行捕捉和猎杀动物等非法行为。</w:t>
      </w:r>
    </w:p>
    <w:p w14:paraId="695691F4">
      <w:pPr>
        <w:pStyle w:val="6"/>
        <w:keepNext/>
        <w:keepLines/>
        <w:pageBreakBefore w:val="0"/>
        <w:widowControl w:val="0"/>
        <w:suppressLineNumbers w:val="0"/>
        <w:kinsoku/>
        <w:wordWrap/>
        <w:overflowPunct/>
        <w:topLinePunct w:val="0"/>
        <w:autoSpaceDE/>
        <w:autoSpaceDN/>
        <w:bidi w:val="0"/>
        <w:adjustRightInd/>
        <w:snapToGrid/>
        <w:spacing w:before="0" w:after="0" w:line="360" w:lineRule="auto"/>
        <w:ind w:left="0" w:right="0"/>
        <w:textAlignment w:val="auto"/>
        <w:rPr>
          <w:rFonts w:hint="default"/>
          <w:b w:val="0"/>
          <w:bCs/>
          <w:color w:val="000000"/>
        </w:rPr>
      </w:pPr>
      <w:r>
        <w:rPr>
          <w:rFonts w:hint="default"/>
          <w:b w:val="0"/>
          <w:bCs/>
          <w:color w:val="000000"/>
        </w:rPr>
        <w:t>采取先进的工艺和技术，减少振动对</w:t>
      </w:r>
      <w:r>
        <w:rPr>
          <w:rFonts w:hint="eastAsia"/>
          <w:b w:val="0"/>
          <w:bCs/>
          <w:color w:val="000000"/>
          <w:lang w:eastAsia="zh-CN"/>
        </w:rPr>
        <w:t>小灵猫</w:t>
      </w:r>
      <w:r>
        <w:rPr>
          <w:rFonts w:hint="default"/>
          <w:b w:val="0"/>
          <w:bCs/>
          <w:color w:val="000000"/>
        </w:rPr>
        <w:t>带来的干扰。</w:t>
      </w:r>
    </w:p>
    <w:p w14:paraId="351A8EFB">
      <w:pPr>
        <w:pStyle w:val="6"/>
        <w:keepNext/>
        <w:keepLines/>
        <w:pageBreakBefore w:val="0"/>
        <w:widowControl w:val="0"/>
        <w:suppressLineNumbers w:val="0"/>
        <w:kinsoku/>
        <w:wordWrap/>
        <w:overflowPunct/>
        <w:topLinePunct w:val="0"/>
        <w:autoSpaceDE/>
        <w:autoSpaceDN/>
        <w:bidi w:val="0"/>
        <w:adjustRightInd/>
        <w:snapToGrid/>
        <w:spacing w:before="0" w:after="0" w:line="360" w:lineRule="auto"/>
        <w:ind w:left="0" w:right="0"/>
        <w:textAlignment w:val="auto"/>
        <w:rPr>
          <w:rFonts w:hint="default" w:ascii="Times New Roman" w:hAnsi="Times New Roman" w:eastAsia="宋体" w:cs="Times New Roman"/>
          <w:color w:val="000000"/>
          <w:kern w:val="0"/>
          <w:sz w:val="24"/>
        </w:rPr>
      </w:pPr>
      <w:r>
        <w:rPr>
          <w:rFonts w:hint="default"/>
          <w:b w:val="0"/>
          <w:bCs/>
          <w:color w:val="000000"/>
        </w:rPr>
        <w:t>通过积极的日常巡护管理工作加强对野生动物的保护管理。</w:t>
      </w:r>
    </w:p>
    <w:p w14:paraId="611079E1">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高噪声作业等要避开野生动物活动的高峰期，如晨昏等。夜行</w:t>
      </w:r>
      <w:r>
        <w:rPr>
          <w:rFonts w:hint="default" w:ascii="Times New Roman" w:hAnsi="Times New Roman" w:eastAsia="宋体" w:cs="Times New Roman"/>
          <w:color w:val="000000"/>
          <w:kern w:val="0"/>
          <w:sz w:val="24"/>
          <w:lang w:eastAsia="zh-CN"/>
        </w:rPr>
        <w:t>性</w:t>
      </w:r>
      <w:r>
        <w:rPr>
          <w:rFonts w:hint="default" w:ascii="Times New Roman" w:hAnsi="Times New Roman" w:eastAsia="宋体" w:cs="Times New Roman"/>
          <w:color w:val="000000"/>
          <w:kern w:val="0"/>
          <w:sz w:val="24"/>
        </w:rPr>
        <w:t>动物对灯光较为敏感，开工尽量安排在白天进行，避免夜间施工对野生动物正常栖息生活造成影响。禁止高噪声设备在晨昏和夜间运行，减少噪声对动物的干扰。</w:t>
      </w:r>
    </w:p>
    <w:p w14:paraId="4DF1328A">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加强施工管理，严格控制在征地范围内施工，避免对征地范围外</w:t>
      </w:r>
      <w:r>
        <w:rPr>
          <w:rFonts w:hint="default" w:ascii="Times New Roman" w:hAnsi="Times New Roman" w:eastAsia="宋体" w:cs="Times New Roman"/>
          <w:color w:val="000000"/>
          <w:kern w:val="0"/>
          <w:sz w:val="24"/>
          <w:lang w:eastAsia="zh-CN"/>
        </w:rPr>
        <w:t>的其他</w:t>
      </w:r>
      <w:r>
        <w:rPr>
          <w:rFonts w:hint="default" w:ascii="Times New Roman" w:hAnsi="Times New Roman" w:eastAsia="宋体" w:cs="Times New Roman"/>
          <w:color w:val="000000"/>
          <w:kern w:val="0"/>
          <w:sz w:val="24"/>
        </w:rPr>
        <w:t>土地的占用，减少对野生动物</w:t>
      </w:r>
      <w:r>
        <w:rPr>
          <w:rFonts w:hint="default" w:ascii="Times New Roman" w:hAnsi="Times New Roman" w:eastAsia="宋体" w:cs="Times New Roman"/>
          <w:color w:val="000000"/>
          <w:kern w:val="0"/>
          <w:sz w:val="24"/>
          <w:lang w:val="en-US" w:eastAsia="zh-CN"/>
        </w:rPr>
        <w:t>生存环境</w:t>
      </w:r>
      <w:r>
        <w:rPr>
          <w:rFonts w:hint="default" w:ascii="Times New Roman" w:hAnsi="Times New Roman" w:eastAsia="宋体" w:cs="Times New Roman"/>
          <w:color w:val="000000"/>
          <w:kern w:val="0"/>
          <w:sz w:val="24"/>
        </w:rPr>
        <w:t>的占用。</w:t>
      </w:r>
    </w:p>
    <w:p w14:paraId="0720F49A">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设置警示牌，严格控制车速，避免对两栖爬行类及小型兽类造成碾压。</w:t>
      </w:r>
    </w:p>
    <w:p w14:paraId="23AA5D3E">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施工期间加强施工人员管理，严禁使用烟火，防止发生火灾。</w:t>
      </w:r>
    </w:p>
    <w:p w14:paraId="353CE19D">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bookmarkStart w:id="138" w:name="_Toc1188"/>
      <w:bookmarkStart w:id="139" w:name="_Toc26621"/>
      <w:bookmarkStart w:id="140" w:name="_Toc8386"/>
      <w:bookmarkStart w:id="141" w:name="_Toc27065"/>
      <w:bookmarkStart w:id="142" w:name="_Toc4656"/>
      <w:r>
        <w:rPr>
          <w:rFonts w:hint="default" w:ascii="Times New Roman" w:hAnsi="Times New Roman" w:eastAsia="宋体" w:cs="Times New Roman"/>
          <w:color w:val="000000"/>
          <w:kern w:val="0"/>
          <w:sz w:val="24"/>
        </w:rPr>
        <w:t>②恢复和补偿措施</w:t>
      </w:r>
      <w:bookmarkEnd w:id="138"/>
      <w:bookmarkEnd w:id="139"/>
      <w:bookmarkEnd w:id="140"/>
      <w:bookmarkEnd w:id="141"/>
      <w:bookmarkEnd w:id="142"/>
    </w:p>
    <w:p w14:paraId="4CD9A41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项目工程完成后，采取一些人工辅助的生态恢复措施，对</w:t>
      </w:r>
      <w:r>
        <w:rPr>
          <w:rFonts w:hint="default" w:ascii="Times New Roman" w:hAnsi="Times New Roman" w:eastAsia="宋体" w:cs="Times New Roman"/>
          <w:color w:val="000000"/>
          <w:kern w:val="0"/>
          <w:sz w:val="24"/>
          <w:lang w:val="en-US" w:eastAsia="zh-CN"/>
        </w:rPr>
        <w:t>施工区域</w:t>
      </w:r>
      <w:r>
        <w:rPr>
          <w:rFonts w:hint="default" w:ascii="Times New Roman" w:hAnsi="Times New Roman" w:eastAsia="宋体" w:cs="Times New Roman"/>
          <w:color w:val="000000"/>
          <w:kern w:val="0"/>
          <w:sz w:val="24"/>
        </w:rPr>
        <w:t>及时进行植被恢复。</w:t>
      </w:r>
    </w:p>
    <w:p w14:paraId="59A6578F">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bookmarkStart w:id="143" w:name="_Toc29949"/>
      <w:bookmarkStart w:id="144" w:name="_Toc12586"/>
      <w:bookmarkStart w:id="145" w:name="_Toc15057"/>
      <w:bookmarkStart w:id="146" w:name="_Toc14366"/>
      <w:bookmarkStart w:id="147" w:name="_Toc25811"/>
      <w:r>
        <w:rPr>
          <w:rFonts w:hint="default" w:ascii="Times New Roman" w:hAnsi="Times New Roman" w:eastAsia="宋体" w:cs="Times New Roman"/>
          <w:color w:val="000000"/>
          <w:kern w:val="0"/>
          <w:sz w:val="24"/>
        </w:rPr>
        <w:t>③管理措施</w:t>
      </w:r>
      <w:bookmarkEnd w:id="143"/>
      <w:bookmarkEnd w:id="144"/>
      <w:bookmarkEnd w:id="145"/>
      <w:bookmarkEnd w:id="146"/>
      <w:bookmarkEnd w:id="147"/>
    </w:p>
    <w:p w14:paraId="1C4061D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加强施工监控和管理。企业必须配备包括保护野生动物和生态环境在内的专职或兼职巡护人员，加强生态环境的监控和管理，防止人类开发活动加剧造成的诸如动植物资源的破坏、水环境污染和火灾等对当地生物多样性的破坏。</w:t>
      </w:r>
    </w:p>
    <w:p w14:paraId="7D269A64">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
          <w:bCs w:val="0"/>
          <w:color w:val="000000"/>
          <w:spacing w:val="10"/>
          <w:sz w:val="24"/>
        </w:rPr>
      </w:pPr>
      <w:r>
        <w:rPr>
          <w:rFonts w:hint="default" w:ascii="Times New Roman" w:hAnsi="Times New Roman" w:eastAsia="宋体" w:cs="Times New Roman"/>
          <w:color w:val="000000"/>
          <w:kern w:val="0"/>
          <w:sz w:val="24"/>
        </w:rPr>
        <w:t>工程期间一定时间内在评价区内进行生态监测，以及时评估项目对生态环境的影响。</w:t>
      </w:r>
    </w:p>
    <w:p w14:paraId="08493FA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rPr>
        <w:t>3）</w:t>
      </w:r>
      <w:r>
        <w:rPr>
          <w:rFonts w:hint="default" w:ascii="Times New Roman" w:hAnsi="Times New Roman" w:eastAsia="宋体" w:cs="Times New Roman"/>
          <w:color w:val="000000"/>
          <w:kern w:val="0"/>
          <w:sz w:val="24"/>
          <w:lang w:bidi="ar"/>
        </w:rPr>
        <w:t>农田保护措施</w:t>
      </w:r>
    </w:p>
    <w:p w14:paraId="01EDB3F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rPr>
        <w:t>①</w:t>
      </w:r>
      <w:r>
        <w:rPr>
          <w:rFonts w:hint="default" w:ascii="Times New Roman" w:hAnsi="Times New Roman" w:eastAsia="宋体" w:cs="Times New Roman"/>
          <w:color w:val="000000"/>
          <w:kern w:val="0"/>
          <w:sz w:val="24"/>
          <w:lang w:bidi="ar"/>
        </w:rPr>
        <w:t>施工所产生的土方、废料以及底泥，存放于工程红线区内，采用围堰、遮盖等措施，不得占用农田。</w:t>
      </w:r>
    </w:p>
    <w:p w14:paraId="06B7FD1A">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rPr>
        <w:t>②</w:t>
      </w:r>
      <w:r>
        <w:rPr>
          <w:rFonts w:hint="default" w:ascii="Times New Roman" w:hAnsi="Times New Roman" w:eastAsia="宋体" w:cs="Times New Roman"/>
          <w:color w:val="000000"/>
          <w:kern w:val="0"/>
          <w:sz w:val="24"/>
          <w:lang w:bidi="ar"/>
        </w:rPr>
        <w:t>加强施工人员管理，不得踩踏农田，不得在农田丢弃垃圾。</w:t>
      </w:r>
    </w:p>
    <w:p w14:paraId="036AFF92">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bidi="ar"/>
        </w:rPr>
      </w:pPr>
      <w:r>
        <w:rPr>
          <w:rFonts w:hint="default" w:ascii="Times New Roman" w:hAnsi="Times New Roman" w:eastAsia="宋体" w:cs="Times New Roman"/>
          <w:color w:val="000000"/>
          <w:kern w:val="0"/>
          <w:sz w:val="24"/>
        </w:rPr>
        <w:t>③</w:t>
      </w:r>
      <w:r>
        <w:rPr>
          <w:rFonts w:hint="default" w:ascii="Times New Roman" w:hAnsi="Times New Roman" w:eastAsia="宋体" w:cs="Times New Roman"/>
          <w:color w:val="000000"/>
          <w:kern w:val="0"/>
          <w:sz w:val="24"/>
          <w:lang w:bidi="ar"/>
        </w:rPr>
        <w:t>本工程应合理安排施工期，避开风、雨天气，避开农田灌溉期。</w:t>
      </w:r>
    </w:p>
    <w:p w14:paraId="01C18B9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lang w:bidi="ar"/>
        </w:rPr>
        <w:t>4）</w:t>
      </w:r>
      <w:r>
        <w:rPr>
          <w:rFonts w:hint="default" w:ascii="Times New Roman" w:hAnsi="Times New Roman" w:eastAsia="宋体" w:cs="Times New Roman"/>
          <w:color w:val="000000"/>
          <w:kern w:val="0"/>
          <w:sz w:val="24"/>
        </w:rPr>
        <w:t>水土保持措施</w:t>
      </w:r>
    </w:p>
    <w:p w14:paraId="7A1A359F">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本项目在建设过程中，容易造成水土流失，必须采取必要的防治措施以避免或减少水土流失。</w:t>
      </w:r>
    </w:p>
    <w:p w14:paraId="4620B000">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①工程措施：刮大风和降雨时应停止施工，以免造成水土流失；施工建设中，临时堆土可就近堆放，减少倒运，必要时采取拦挡措施、必须采取苫盖等措施；施工建设场地应统一规划，并采取临时性的防护措施，如布设临时拦挡、苫盖等设施，防治施工期间的水土流失；施工中对下游及周边造成影响的，必须采取相应的防护措施；施工中的裸露地，在遇暴雨时应布设防护措施。临时堆土裸露时间超过一个生长季节的，应进行临时植草加以防护。</w:t>
      </w:r>
    </w:p>
    <w:p w14:paraId="1366E621">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②防治分区原则：根据实地调查结果，在确定的防治责任范围内，依据工程布局、施工扰动特点、建设时序、地貌特征、自然属性、水土流失影响等进行水土流失防治分区。</w:t>
      </w:r>
    </w:p>
    <w:p w14:paraId="69658304">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rPr>
      </w:pPr>
      <w:r>
        <w:rPr>
          <w:rFonts w:hint="default" w:ascii="Times New Roman" w:hAnsi="Times New Roman" w:eastAsia="宋体" w:cs="Times New Roman"/>
          <w:color w:val="000000"/>
          <w:kern w:val="0"/>
          <w:sz w:val="24"/>
        </w:rPr>
        <w:t>③管理措施：需加强施工管理，机械和工人要按照作业范围进行，工程作业全部控制在红线之内。机械及其他材料不得乱停乱放，防止扰动道路红线以外的植被，爱护生态环境，禁止破坏道路红线以外的植被。</w:t>
      </w:r>
    </w:p>
    <w:p w14:paraId="1A3C29D7">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snapToGrid w:val="0"/>
          <w:color w:val="000000"/>
          <w:sz w:val="24"/>
          <w:szCs w:val="24"/>
          <w:highlight w:val="none"/>
          <w:vertAlign w:val="baseline"/>
          <w:lang w:val="en-US" w:eastAsia="zh-CN"/>
        </w:rPr>
      </w:pPr>
      <w:r>
        <w:rPr>
          <w:rFonts w:hint="default" w:ascii="Times New Roman" w:hAnsi="Times New Roman" w:eastAsia="宋体" w:cs="Times New Roman"/>
          <w:snapToGrid w:val="0"/>
          <w:color w:val="000000"/>
          <w:sz w:val="24"/>
          <w:szCs w:val="24"/>
          <w:highlight w:val="none"/>
          <w:vertAlign w:val="baseline"/>
          <w:lang w:val="en-US" w:eastAsia="zh-CN"/>
        </w:rPr>
        <w:t>④植物措施</w:t>
      </w:r>
    </w:p>
    <w:p w14:paraId="36EBCC29">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snapToGrid w:val="0"/>
          <w:color w:val="000000"/>
          <w:sz w:val="24"/>
          <w:szCs w:val="24"/>
          <w:highlight w:val="none"/>
          <w:vertAlign w:val="baseline"/>
          <w:lang w:val="en-US" w:eastAsia="zh-CN"/>
        </w:rPr>
      </w:pPr>
      <w:r>
        <w:rPr>
          <w:rFonts w:hint="default" w:ascii="Times New Roman" w:hAnsi="Times New Roman" w:eastAsia="宋体" w:cs="Times New Roman"/>
          <w:snapToGrid w:val="0"/>
          <w:color w:val="000000"/>
          <w:sz w:val="24"/>
          <w:szCs w:val="24"/>
          <w:highlight w:val="none"/>
          <w:vertAlign w:val="baseline"/>
          <w:lang w:val="en-US" w:eastAsia="zh-CN"/>
        </w:rPr>
        <w:t>施工生产生活区域通过种草措施对路边及田埂进行植被恢复。草种选用</w:t>
      </w:r>
      <w:r>
        <w:rPr>
          <w:rFonts w:hint="eastAsia" w:ascii="Times New Roman" w:hAnsi="Times New Roman" w:eastAsia="宋体" w:cs="Times New Roman"/>
          <w:snapToGrid w:val="0"/>
          <w:color w:val="000000"/>
          <w:sz w:val="24"/>
          <w:szCs w:val="24"/>
          <w:highlight w:val="none"/>
          <w:vertAlign w:val="baseline"/>
          <w:lang w:val="en-US" w:eastAsia="zh-CN"/>
        </w:rPr>
        <w:t>本地物种</w:t>
      </w:r>
      <w:r>
        <w:rPr>
          <w:rFonts w:hint="default" w:ascii="Times New Roman" w:hAnsi="Times New Roman" w:eastAsia="宋体" w:cs="Times New Roman"/>
          <w:snapToGrid w:val="0"/>
          <w:color w:val="000000"/>
          <w:sz w:val="24"/>
          <w:szCs w:val="24"/>
          <w:highlight w:val="none"/>
          <w:vertAlign w:val="baseline"/>
          <w:lang w:val="en-US" w:eastAsia="zh-CN"/>
        </w:rPr>
        <w:t>。</w:t>
      </w:r>
    </w:p>
    <w:p w14:paraId="13C91D57">
      <w:pPr>
        <w:keepNext w:val="0"/>
        <w:keepLines w:val="0"/>
        <w:pageBreakBefore w:val="0"/>
        <w:suppressLineNumbers w:val="0"/>
        <w:kinsoku/>
        <w:wordWrap/>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kern w:val="0"/>
          <w:sz w:val="24"/>
          <w:lang w:eastAsia="zh-CN"/>
        </w:rPr>
      </w:pPr>
      <w:r>
        <w:rPr>
          <w:rFonts w:hint="default" w:ascii="Times New Roman" w:hAnsi="Times New Roman" w:eastAsia="宋体" w:cs="Times New Roman"/>
          <w:color w:val="000000"/>
          <w:kern w:val="0"/>
          <w:sz w:val="24"/>
          <w:lang w:eastAsia="zh-CN"/>
        </w:rPr>
        <w:t>⑤临时措施</w:t>
      </w:r>
    </w:p>
    <w:p w14:paraId="53BAB562">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snapToGrid w:val="0"/>
          <w:color w:val="000000"/>
          <w:sz w:val="24"/>
          <w:szCs w:val="24"/>
          <w:highlight w:val="none"/>
          <w:vertAlign w:val="baseline"/>
          <w:lang w:val="en-US" w:eastAsia="zh-CN"/>
        </w:rPr>
      </w:pPr>
      <w:r>
        <w:rPr>
          <w:rFonts w:hint="default" w:ascii="Times New Roman" w:hAnsi="Times New Roman" w:eastAsia="宋体" w:cs="Times New Roman"/>
          <w:snapToGrid w:val="0"/>
          <w:color w:val="000000"/>
          <w:sz w:val="24"/>
          <w:szCs w:val="24"/>
          <w:highlight w:val="none"/>
          <w:vertAlign w:val="baseline"/>
          <w:lang w:val="en-US" w:eastAsia="zh-CN"/>
        </w:rPr>
        <w:t>表土苫盖：为防止风蚀和减小面蚀强度，对临时堆土场剥离的表土根据占地区实际情况定点堆放，堆高不大于3</w:t>
      </w:r>
      <w:r>
        <w:rPr>
          <w:rFonts w:hint="eastAsia" w:ascii="Times New Roman" w:hAnsi="Times New Roman" w:eastAsia="宋体" w:cs="Times New Roman"/>
          <w:snapToGrid w:val="0"/>
          <w:color w:val="000000"/>
          <w:sz w:val="24"/>
          <w:szCs w:val="24"/>
          <w:highlight w:val="none"/>
          <w:vertAlign w:val="baseline"/>
          <w:lang w:val="en-US" w:eastAsia="zh-CN"/>
        </w:rPr>
        <w:t>m</w:t>
      </w:r>
      <w:r>
        <w:rPr>
          <w:rFonts w:hint="default" w:ascii="Times New Roman" w:hAnsi="Times New Roman" w:eastAsia="宋体" w:cs="Times New Roman"/>
          <w:snapToGrid w:val="0"/>
          <w:color w:val="000000"/>
          <w:sz w:val="24"/>
          <w:szCs w:val="24"/>
          <w:highlight w:val="none"/>
          <w:vertAlign w:val="baseline"/>
          <w:lang w:val="en-US" w:eastAsia="zh-CN"/>
        </w:rPr>
        <w:t>，表面采用纤维网进行苫盖，苫盖面积为100</w:t>
      </w:r>
      <w:r>
        <w:rPr>
          <w:rFonts w:hint="eastAsia" w:ascii="Times New Roman" w:hAnsi="Times New Roman" w:eastAsia="宋体" w:cs="Times New Roman"/>
          <w:snapToGrid w:val="0"/>
          <w:color w:val="000000"/>
          <w:sz w:val="24"/>
          <w:szCs w:val="24"/>
          <w:highlight w:val="none"/>
          <w:vertAlign w:val="baseline"/>
          <w:lang w:val="en-US" w:eastAsia="zh-CN"/>
        </w:rPr>
        <w:t>m</w:t>
      </w:r>
      <w:r>
        <w:rPr>
          <w:rFonts w:hint="default" w:ascii="Times New Roman" w:hAnsi="Times New Roman" w:eastAsia="宋体" w:cs="Times New Roman"/>
          <w:snapToGrid w:val="0"/>
          <w:color w:val="000000"/>
          <w:sz w:val="24"/>
          <w:szCs w:val="24"/>
          <w:highlight w:val="none"/>
          <w:vertAlign w:val="superscript"/>
          <w:lang w:val="en-US" w:eastAsia="zh-CN"/>
        </w:rPr>
        <w:t>2</w:t>
      </w:r>
      <w:r>
        <w:rPr>
          <w:rFonts w:hint="default" w:ascii="Times New Roman" w:hAnsi="Times New Roman" w:eastAsia="宋体" w:cs="Times New Roman"/>
          <w:snapToGrid w:val="0"/>
          <w:color w:val="000000"/>
          <w:sz w:val="24"/>
          <w:szCs w:val="24"/>
          <w:highlight w:val="none"/>
          <w:vertAlign w:val="baseline"/>
          <w:lang w:val="en-US" w:eastAsia="zh-CN"/>
        </w:rPr>
        <w:t>。</w:t>
      </w:r>
    </w:p>
    <w:p w14:paraId="5D999629">
      <w:pPr>
        <w:pStyle w:val="23"/>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eastAsia="宋体" w:cs="Times New Roman"/>
          <w:snapToGrid w:val="0"/>
          <w:color w:val="000000"/>
          <w:sz w:val="24"/>
          <w:szCs w:val="24"/>
          <w:highlight w:val="none"/>
          <w:vertAlign w:val="baseline"/>
          <w:lang w:val="en-US" w:eastAsia="zh-CN"/>
        </w:rPr>
      </w:pPr>
      <w:r>
        <w:rPr>
          <w:rFonts w:hint="default" w:ascii="Times New Roman" w:hAnsi="Times New Roman" w:eastAsia="宋体" w:cs="Times New Roman"/>
          <w:snapToGrid w:val="0"/>
          <w:color w:val="000000"/>
          <w:sz w:val="24"/>
          <w:szCs w:val="24"/>
          <w:highlight w:val="none"/>
          <w:vertAlign w:val="baseline"/>
          <w:lang w:val="en-US" w:eastAsia="zh-CN"/>
        </w:rPr>
        <w:t>洒水降尘：弃土过程中，为防止尘土飞扬，对弃土区域内的拉运道路进行洒水降尘措施，洒水量以满足施工现场表面含水率大于3%为宜，每次洒水按3</w:t>
      </w:r>
      <w:r>
        <w:rPr>
          <w:rFonts w:hint="eastAsia" w:ascii="Times New Roman" w:hAnsi="Times New Roman" w:eastAsia="宋体" w:cs="Times New Roman"/>
          <w:snapToGrid w:val="0"/>
          <w:color w:val="000000"/>
          <w:sz w:val="24"/>
          <w:szCs w:val="24"/>
          <w:highlight w:val="none"/>
          <w:vertAlign w:val="baseline"/>
          <w:lang w:val="en-US" w:eastAsia="zh-CN"/>
        </w:rPr>
        <w:t>mm</w:t>
      </w:r>
      <w:r>
        <w:rPr>
          <w:rFonts w:hint="default" w:ascii="Times New Roman" w:hAnsi="Times New Roman" w:eastAsia="宋体" w:cs="Times New Roman"/>
          <w:snapToGrid w:val="0"/>
          <w:color w:val="000000"/>
          <w:sz w:val="24"/>
          <w:szCs w:val="24"/>
          <w:highlight w:val="none"/>
          <w:vertAlign w:val="baseline"/>
          <w:lang w:val="en-US" w:eastAsia="zh-CN"/>
        </w:rPr>
        <w:t>计。</w:t>
      </w:r>
    </w:p>
    <w:p w14:paraId="718C95AA">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b/>
          <w:bCs/>
          <w:snapToGrid w:val="0"/>
          <w:color w:val="000000"/>
          <w:kern w:val="0"/>
          <w:sz w:val="24"/>
          <w:szCs w:val="24"/>
          <w:highlight w:val="none"/>
          <w:vertAlign w:val="baseline"/>
          <w:lang w:val="en-US" w:eastAsia="zh-CN" w:bidi="ar-SA"/>
        </w:rPr>
      </w:pPr>
      <w:r>
        <w:rPr>
          <w:rFonts w:hint="eastAsia" w:ascii="Times New Roman" w:hAnsi="Times New Roman" w:eastAsia="宋体" w:cs="Times New Roman"/>
          <w:b/>
          <w:bCs/>
          <w:snapToGrid w:val="0"/>
          <w:color w:val="000000"/>
          <w:kern w:val="0"/>
          <w:sz w:val="24"/>
          <w:szCs w:val="24"/>
          <w:highlight w:val="none"/>
          <w:vertAlign w:val="baseline"/>
          <w:lang w:val="en-US" w:eastAsia="zh-CN" w:bidi="ar-SA"/>
        </w:rPr>
        <w:t>1.3水生生态保护措施</w:t>
      </w:r>
    </w:p>
    <w:p w14:paraId="72F1FA4D">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ascii="Times New Roman" w:hAnsi="Times New Roman" w:eastAsia="宋体" w:cs="Times New Roman"/>
          <w:snapToGrid w:val="0"/>
          <w:color w:val="000000"/>
          <w:kern w:val="0"/>
          <w:sz w:val="24"/>
          <w:szCs w:val="24"/>
          <w:highlight w:val="none"/>
          <w:vertAlign w:val="baseline"/>
          <w:lang w:val="en-US" w:eastAsia="zh-CN" w:bidi="ar-SA"/>
        </w:rPr>
        <w:t>（1）合理安排施工期，应选择枯水期进行施工。</w:t>
      </w:r>
    </w:p>
    <w:p w14:paraId="1E1FB7AC">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ascii="Times New Roman" w:hAnsi="Times New Roman" w:eastAsia="宋体" w:cs="Times New Roman"/>
          <w:snapToGrid w:val="0"/>
          <w:color w:val="000000"/>
          <w:kern w:val="0"/>
          <w:sz w:val="24"/>
          <w:szCs w:val="24"/>
          <w:highlight w:val="none"/>
          <w:vertAlign w:val="baseline"/>
          <w:lang w:val="en-US" w:eastAsia="zh-CN" w:bidi="ar-SA"/>
        </w:rPr>
        <w:t>（2）树立环境保护意识，在工程施工和运行等各环节都应认真考虑和正确对待资源环境因素，坚持工程建设与资源保护措施“三同时”原则。</w:t>
      </w:r>
    </w:p>
    <w:p w14:paraId="5E399E01">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ascii="Times New Roman" w:hAnsi="Times New Roman" w:eastAsia="宋体" w:cs="Times New Roman"/>
          <w:snapToGrid w:val="0"/>
          <w:color w:val="000000"/>
          <w:kern w:val="0"/>
          <w:sz w:val="24"/>
          <w:szCs w:val="24"/>
          <w:highlight w:val="none"/>
          <w:vertAlign w:val="baseline"/>
          <w:lang w:val="en-US" w:eastAsia="zh-CN" w:bidi="ar-SA"/>
        </w:rPr>
        <w:t>（3）施工期间严禁在水体中挖沙、取石、倾倒建筑垃圾、改变水流流向和加重泥沙含量等行为，这些行为将直接对鱼类生长繁殖、活动场所造成很大影响。尤其在鱼类繁殖季节，严禁向河道倾倒建设垃圾、从河中挖沙取石等严重破坏自然环境，影响鱼类产卵繁殖的行为。</w:t>
      </w:r>
    </w:p>
    <w:p w14:paraId="0AB1587E">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ascii="Times New Roman" w:hAnsi="Times New Roman" w:eastAsia="宋体" w:cs="Times New Roman"/>
          <w:snapToGrid w:val="0"/>
          <w:color w:val="000000"/>
          <w:kern w:val="0"/>
          <w:sz w:val="24"/>
          <w:szCs w:val="24"/>
          <w:highlight w:val="none"/>
          <w:vertAlign w:val="baseline"/>
          <w:lang w:val="en-US" w:eastAsia="zh-CN" w:bidi="ar-SA"/>
        </w:rPr>
        <w:t>（4）加强监管，严格按环保要求施工，生活污水和施工废水禁止排入水体，设置雨水截流沟，防止影响水生生物生境污染的事故发生。禁止将生活垃圾和其他施工机械的废弃物，尤其是油污类严重影响水体质量，威胁鱼类生存的污染物抛入水体，应收集后处理；有害的施工材料尤其是粉尘类材料的堆放要远离水体，降低对河流水质和水生生物的影响。</w:t>
      </w:r>
    </w:p>
    <w:p w14:paraId="18C067FE">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ascii="Times New Roman" w:hAnsi="Times New Roman" w:eastAsia="宋体" w:cs="Times New Roman"/>
          <w:snapToGrid w:val="0"/>
          <w:color w:val="000000"/>
          <w:kern w:val="0"/>
          <w:sz w:val="24"/>
          <w:szCs w:val="24"/>
          <w:highlight w:val="none"/>
          <w:vertAlign w:val="baseline"/>
          <w:lang w:val="en-US" w:eastAsia="zh-CN" w:bidi="ar-SA"/>
        </w:rPr>
        <w:t>（5）对破坏的植被尽快恢复，建立生态防护林和防护体系，防止水土流失，避免和减少泥沙和有害物质进入河流，影响水域环境。</w:t>
      </w:r>
    </w:p>
    <w:p w14:paraId="116AB9D1">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ascii="Times New Roman" w:hAnsi="Times New Roman" w:eastAsia="宋体" w:cs="Times New Roman"/>
          <w:snapToGrid w:val="0"/>
          <w:color w:val="000000"/>
          <w:kern w:val="0"/>
          <w:sz w:val="24"/>
          <w:szCs w:val="24"/>
          <w:highlight w:val="none"/>
          <w:vertAlign w:val="baseline"/>
          <w:lang w:val="en-US" w:eastAsia="zh-CN" w:bidi="ar-SA"/>
        </w:rPr>
        <w:t>（6）加强渔政管理。工程环境管理部门应积极协助当地渔政管理部门做好项目区鱼类的保护及宣传工作。加大执法力度，加强巡逻和检查，加强对施工人员的管理，严禁炸、电、毒鱼、捕鱼事件发生。</w:t>
      </w:r>
    </w:p>
    <w:p w14:paraId="40C8C7F4">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eastAsia="宋体" w:cs="Times New Roman"/>
          <w:snapToGrid w:val="0"/>
          <w:color w:val="000000"/>
          <w:kern w:val="0"/>
          <w:sz w:val="24"/>
          <w:szCs w:val="24"/>
          <w:highlight w:val="none"/>
          <w:vertAlign w:val="baseline"/>
          <w:lang w:val="en-US" w:eastAsia="zh-CN" w:bidi="ar-SA"/>
        </w:rPr>
        <w:t>（7）</w:t>
      </w:r>
      <w:r>
        <w:rPr>
          <w:rFonts w:hint="eastAsia" w:ascii="Times New Roman" w:hAnsi="Times New Roman" w:eastAsia="宋体" w:cs="Times New Roman"/>
          <w:snapToGrid w:val="0"/>
          <w:color w:val="000000"/>
          <w:kern w:val="0"/>
          <w:sz w:val="24"/>
          <w:szCs w:val="24"/>
          <w:highlight w:val="none"/>
          <w:vertAlign w:val="baseline"/>
          <w:lang w:val="en-US" w:eastAsia="zh-CN" w:bidi="ar-SA"/>
        </w:rPr>
        <w:t>施工期间，对施工人员和管理人员普及和讲解水生态环境保护的相关知识，加强水生生物的保护和宣传工作，禁止施工人员在水体中进行垂钓。</w:t>
      </w:r>
    </w:p>
    <w:p w14:paraId="5853379F">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eastAsia="宋体" w:cs="Times New Roman"/>
          <w:snapToGrid w:val="0"/>
          <w:color w:val="000000"/>
          <w:kern w:val="0"/>
          <w:sz w:val="24"/>
          <w:szCs w:val="24"/>
          <w:highlight w:val="none"/>
          <w:vertAlign w:val="baseline"/>
          <w:lang w:val="en-US" w:eastAsia="zh-CN" w:bidi="ar-SA"/>
        </w:rPr>
        <w:t>（8）</w:t>
      </w:r>
      <w:r>
        <w:rPr>
          <w:rFonts w:hint="eastAsia" w:ascii="Times New Roman" w:hAnsi="Times New Roman" w:eastAsia="宋体" w:cs="Times New Roman"/>
          <w:snapToGrid w:val="0"/>
          <w:color w:val="000000"/>
          <w:kern w:val="0"/>
          <w:sz w:val="24"/>
          <w:szCs w:val="24"/>
          <w:highlight w:val="none"/>
          <w:vertAlign w:val="baseline"/>
          <w:lang w:val="en-US" w:eastAsia="zh-CN" w:bidi="ar-SA"/>
        </w:rPr>
        <w:t>为减轻工程对生态环境的影响，必要采取一定的生态补偿措施，在水域施工区移植优质沉水植物，投放螺类等底栖动物，是修复施工区域水体生态环境行之有效的生态补偿措施。</w:t>
      </w:r>
    </w:p>
    <w:p w14:paraId="29B042C6">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textAlignment w:val="auto"/>
        <w:rPr>
          <w:rFonts w:hint="eastAsia" w:ascii="Times New Roman" w:hAnsi="Times New Roman" w:eastAsia="宋体" w:cs="Times New Roman"/>
          <w:snapToGrid w:val="0"/>
          <w:color w:val="000000"/>
          <w:kern w:val="0"/>
          <w:sz w:val="24"/>
          <w:szCs w:val="24"/>
          <w:highlight w:val="none"/>
          <w:vertAlign w:val="baseline"/>
          <w:lang w:val="en-US" w:eastAsia="zh-CN" w:bidi="ar-SA"/>
        </w:rPr>
      </w:pPr>
      <w:r>
        <w:rPr>
          <w:rFonts w:hint="eastAsia" w:eastAsia="宋体" w:cs="Times New Roman"/>
          <w:snapToGrid w:val="0"/>
          <w:color w:val="000000"/>
          <w:kern w:val="0"/>
          <w:sz w:val="24"/>
          <w:szCs w:val="24"/>
          <w:highlight w:val="none"/>
          <w:vertAlign w:val="baseline"/>
          <w:lang w:val="en-US" w:eastAsia="zh-CN" w:bidi="ar-SA"/>
        </w:rPr>
        <w:t>（9）</w:t>
      </w:r>
      <w:r>
        <w:rPr>
          <w:rFonts w:hint="eastAsia" w:ascii="Times New Roman" w:hAnsi="Times New Roman" w:eastAsia="宋体" w:cs="Times New Roman"/>
          <w:snapToGrid w:val="0"/>
          <w:color w:val="000000"/>
          <w:kern w:val="0"/>
          <w:sz w:val="24"/>
          <w:szCs w:val="24"/>
          <w:highlight w:val="none"/>
          <w:vertAlign w:val="baseline"/>
          <w:lang w:val="en-US" w:eastAsia="zh-CN" w:bidi="ar-SA"/>
        </w:rPr>
        <w:t>施工结束后，及时清理施工现场，做好河道沿岸的水土保持工作，最大程度地恢复水生生物原有的生境。</w:t>
      </w:r>
    </w:p>
    <w:p w14:paraId="7242D244">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82" w:firstLineChars="200"/>
        <w:textAlignment w:val="baseline"/>
        <w:rPr>
          <w:rFonts w:hint="default" w:ascii="Times New Roman" w:hAnsi="Times New Roman" w:eastAsia="宋体" w:cs="Times New Roman"/>
          <w:b/>
          <w:bCs/>
          <w:color w:val="000000"/>
          <w:sz w:val="24"/>
          <w:szCs w:val="24"/>
        </w:rPr>
      </w:pPr>
      <w:r>
        <w:rPr>
          <w:rFonts w:hint="default" w:ascii="Times New Roman" w:hAnsi="Times New Roman" w:cs="Times New Roman"/>
          <w:b/>
          <w:bCs/>
          <w:color w:val="000000"/>
          <w:kern w:val="0"/>
          <w:sz w:val="24"/>
          <w:highlight w:val="none"/>
          <w:lang w:val="en-US" w:eastAsia="zh-CN"/>
        </w:rPr>
        <w:t>1.4、</w:t>
      </w:r>
      <w:r>
        <w:rPr>
          <w:rFonts w:hint="default" w:ascii="Times New Roman" w:hAnsi="Times New Roman" w:eastAsia="宋体" w:cs="Times New Roman"/>
          <w:b/>
          <w:bCs/>
          <w:color w:val="000000"/>
          <w:sz w:val="24"/>
          <w:szCs w:val="24"/>
        </w:rPr>
        <w:t>施工场地及植被生态恢复措施</w:t>
      </w:r>
    </w:p>
    <w:p w14:paraId="061964CA">
      <w:pPr>
        <w:keepNext w:val="0"/>
        <w:keepLines w:val="0"/>
        <w:pageBreakBefore w:val="0"/>
        <w:widowControl w:val="0"/>
        <w:suppressLineNumbers w:val="0"/>
        <w:kinsoku/>
        <w:wordWrap w:val="0"/>
        <w:overflowPunct/>
        <w:topLinePunct w:val="0"/>
        <w:autoSpaceDE w:val="0"/>
        <w:autoSpaceDN w:val="0"/>
        <w:bidi w:val="0"/>
        <w:adjustRightInd/>
        <w:snapToGrid/>
        <w:spacing w:before="0" w:beforeAutospacing="0" w:after="0" w:afterAutospacing="0" w:line="360" w:lineRule="auto"/>
        <w:ind w:left="0" w:right="0" w:firstLine="480" w:firstLineChars="200"/>
        <w:jc w:val="left"/>
        <w:textAlignment w:val="baseline"/>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（1）施工完成后，依据植被生态演替的基本规律采取植被恢复措施，对裸露地表采取植被恢复措施或复垦措施，而且对于临时占用的施工场地也应恢复原状。</w:t>
      </w:r>
    </w:p>
    <w:p w14:paraId="0F4555E1">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宋体" w:cs="Times New Roman"/>
          <w:snapToGrid w:val="0"/>
          <w:color w:val="000000"/>
          <w:kern w:val="0"/>
          <w:sz w:val="24"/>
          <w:szCs w:val="24"/>
          <w:highlight w:val="none"/>
          <w:vertAlign w:val="baseline"/>
          <w:lang w:val="en-US" w:eastAsia="zh-CN" w:bidi="ar-SA"/>
        </w:rPr>
      </w:pPr>
      <w:r>
        <w:rPr>
          <w:rFonts w:hint="eastAsia" w:eastAsia="宋体" w:cs="Times New Roman"/>
          <w:snapToGrid w:val="0"/>
          <w:color w:val="000000"/>
          <w:kern w:val="0"/>
          <w:sz w:val="24"/>
          <w:szCs w:val="24"/>
          <w:highlight w:val="none"/>
          <w:vertAlign w:val="baseline"/>
          <w:lang w:val="en-US" w:eastAsia="zh-CN" w:bidi="ar-SA"/>
        </w:rPr>
        <w:t>1</w:t>
      </w:r>
      <w:r>
        <w:rPr>
          <w:rFonts w:hint="default" w:ascii="Times New Roman" w:hAnsi="Times New Roman" w:eastAsia="宋体" w:cs="Times New Roman"/>
          <w:snapToGrid w:val="0"/>
          <w:color w:val="000000"/>
          <w:kern w:val="0"/>
          <w:sz w:val="24"/>
          <w:szCs w:val="24"/>
          <w:highlight w:val="none"/>
          <w:vertAlign w:val="baseline"/>
          <w:lang w:val="en-US" w:eastAsia="zh-CN" w:bidi="ar-SA"/>
        </w:rPr>
        <w:t>）临时工程生态恢复措施</w:t>
      </w:r>
    </w:p>
    <w:p w14:paraId="703E2D3B">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eastAsia="宋体" w:cs="Times New Roman"/>
          <w:snapToGrid w:val="0"/>
          <w:color w:val="000000"/>
          <w:kern w:val="0"/>
          <w:sz w:val="24"/>
          <w:szCs w:val="24"/>
          <w:highlight w:val="none"/>
          <w:vertAlign w:val="baseline"/>
          <w:lang w:val="en-US" w:eastAsia="zh-CN" w:bidi="ar-SA"/>
        </w:rPr>
      </w:pPr>
      <w:r>
        <w:rPr>
          <w:rFonts w:hint="default" w:ascii="Times New Roman" w:hAnsi="Times New Roman" w:eastAsia="宋体" w:cs="Times New Roman"/>
          <w:snapToGrid w:val="0"/>
          <w:color w:val="000000"/>
          <w:kern w:val="0"/>
          <w:sz w:val="24"/>
          <w:szCs w:val="24"/>
          <w:highlight w:val="none"/>
          <w:vertAlign w:val="baseline"/>
          <w:lang w:val="en-US" w:eastAsia="zh-CN" w:bidi="ar-SA"/>
        </w:rPr>
        <w:t>①工程施工时由施工单位先剥离临时施工区0.5m表层土，由县矿产公司统一运输安置。</w:t>
      </w:r>
    </w:p>
    <w:p w14:paraId="5A647E36">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eastAsia="宋体" w:cs="Times New Roman"/>
          <w:snapToGrid w:val="0"/>
          <w:color w:val="000000"/>
          <w:kern w:val="0"/>
          <w:sz w:val="24"/>
          <w:szCs w:val="24"/>
          <w:highlight w:val="none"/>
          <w:vertAlign w:val="baseline"/>
          <w:lang w:val="en-US" w:eastAsia="zh-CN" w:bidi="ar-SA"/>
        </w:rPr>
      </w:pPr>
      <w:r>
        <w:rPr>
          <w:rFonts w:hint="default" w:ascii="Times New Roman" w:hAnsi="Times New Roman" w:eastAsia="宋体" w:cs="Times New Roman"/>
          <w:snapToGrid w:val="0"/>
          <w:color w:val="000000"/>
          <w:kern w:val="0"/>
          <w:sz w:val="24"/>
          <w:szCs w:val="24"/>
          <w:highlight w:val="none"/>
          <w:vertAlign w:val="baseline"/>
          <w:lang w:val="en-US" w:eastAsia="zh-CN" w:bidi="ar-SA"/>
        </w:rPr>
        <w:t>②施工结束后，由施工单位拆除施工道路的压实路面，将该工程垃圾运至指定地点，然后交由复垦单位进行复垦。</w:t>
      </w:r>
    </w:p>
    <w:p w14:paraId="7C87DEFD">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eastAsia="宋体" w:cs="Times New Roman"/>
          <w:snapToGrid w:val="0"/>
          <w:color w:val="000000"/>
          <w:kern w:val="0"/>
          <w:sz w:val="24"/>
          <w:szCs w:val="24"/>
          <w:highlight w:val="none"/>
          <w:vertAlign w:val="baseline"/>
          <w:lang w:val="en-US" w:eastAsia="zh-CN" w:bidi="ar-SA"/>
        </w:rPr>
      </w:pPr>
      <w:r>
        <w:rPr>
          <w:rFonts w:hint="default" w:ascii="Times New Roman" w:hAnsi="Times New Roman" w:eastAsia="宋体" w:cs="Times New Roman"/>
          <w:snapToGrid w:val="0"/>
          <w:color w:val="000000"/>
          <w:kern w:val="0"/>
          <w:sz w:val="24"/>
          <w:szCs w:val="24"/>
          <w:highlight w:val="none"/>
          <w:vertAlign w:val="baseline"/>
          <w:lang w:val="en-US" w:eastAsia="zh-CN" w:bidi="ar-SA"/>
        </w:rPr>
        <w:t>③土地翻耕、改良土壤。由于施工活动影响，临时工程用地土壤比较板结，需要采取深翻松耕和土壤改良措施。翻松土地深度不小于0.7m。</w:t>
      </w:r>
    </w:p>
    <w:p w14:paraId="028C187C">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eastAsia="宋体" w:cs="Times New Roman"/>
          <w:snapToGrid w:val="0"/>
          <w:color w:val="000000"/>
          <w:kern w:val="0"/>
          <w:sz w:val="24"/>
          <w:szCs w:val="24"/>
          <w:highlight w:val="none"/>
          <w:vertAlign w:val="baseline"/>
          <w:lang w:val="en-US" w:eastAsia="zh-CN" w:bidi="ar-SA"/>
        </w:rPr>
      </w:pPr>
      <w:r>
        <w:rPr>
          <w:rFonts w:hint="default" w:ascii="Times New Roman" w:hAnsi="Times New Roman" w:eastAsia="宋体" w:cs="Times New Roman"/>
          <w:snapToGrid w:val="0"/>
          <w:color w:val="000000"/>
          <w:kern w:val="0"/>
          <w:sz w:val="24"/>
          <w:szCs w:val="24"/>
          <w:highlight w:val="none"/>
          <w:vertAlign w:val="baseline"/>
          <w:lang w:val="en-US" w:eastAsia="zh-CN" w:bidi="ar-SA"/>
        </w:rPr>
        <w:t>④回填原地表表层土。将预先开挖剥离存放的原地表表层腐殖土从临时堆土区回运、回填表土，同时翻、耙、压，否则影响土层质量。</w:t>
      </w:r>
    </w:p>
    <w:p w14:paraId="40BC4382">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default" w:ascii="Times New Roman" w:hAnsi="Times New Roman" w:eastAsia="宋体" w:cs="Times New Roman"/>
          <w:snapToGrid w:val="0"/>
          <w:color w:val="000000"/>
          <w:kern w:val="0"/>
          <w:sz w:val="24"/>
          <w:szCs w:val="24"/>
          <w:highlight w:val="none"/>
          <w:vertAlign w:val="baseline"/>
          <w:lang w:val="en-US" w:eastAsia="zh-CN" w:bidi="ar-SA"/>
        </w:rPr>
      </w:pPr>
      <w:r>
        <w:rPr>
          <w:rFonts w:hint="default" w:ascii="Times New Roman" w:hAnsi="Times New Roman" w:eastAsia="宋体" w:cs="Times New Roman"/>
          <w:snapToGrid w:val="0"/>
          <w:color w:val="000000"/>
          <w:kern w:val="0"/>
          <w:sz w:val="24"/>
          <w:szCs w:val="24"/>
          <w:highlight w:val="none"/>
          <w:vertAlign w:val="baseline"/>
          <w:lang w:val="en-US" w:eastAsia="zh-CN" w:bidi="ar-SA"/>
        </w:rPr>
        <w:t>⑤在施工结束后尽可能恢复原地貌及原有土地利用功能。</w:t>
      </w:r>
    </w:p>
    <w:p w14:paraId="3512BAEB">
      <w:pPr>
        <w:pStyle w:val="5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480"/>
        <w:jc w:val="left"/>
        <w:textAlignment w:val="auto"/>
        <w:rPr>
          <w:rFonts w:hint="eastAsia" w:ascii="Times New Roman" w:hAnsi="Times New Roman" w:eastAsia="宋体" w:cs="Times New Roman"/>
          <w:color w:val="000000"/>
          <w:lang w:val="en-US" w:eastAsia="zh-CN"/>
        </w:rPr>
      </w:pPr>
      <w:r>
        <w:rPr>
          <w:rFonts w:hint="default" w:ascii="Times New Roman" w:hAnsi="Times New Roman" w:eastAsia="宋体" w:cs="Times New Roman"/>
          <w:color w:val="000000"/>
          <w:sz w:val="24"/>
          <w:szCs w:val="24"/>
        </w:rPr>
        <w:t>（2）施工期应限定施工范围，施工活动要在征地范围内进行。做好火源管理，开展防火教育，防范火灾。对工程涉及地段进行封育，严禁滥砍滥伐</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加强坡地绿化，加强项目周围植被恢复。植被恢复应当采用当地物种，避免生态入侵等风险</w:t>
      </w:r>
      <w:r>
        <w:rPr>
          <w:rFonts w:hint="default" w:ascii="Times New Roman" w:hAnsi="Times New Roman" w:eastAsia="宋体" w:cs="Times New Roman"/>
          <w:color w:val="000000"/>
          <w:sz w:val="24"/>
          <w:lang w:val="en-US" w:eastAsia="zh-CN"/>
        </w:rPr>
        <w:t>。</w:t>
      </w:r>
    </w:p>
    <w:p w14:paraId="2281F2C7">
      <w:pPr>
        <w:pStyle w:val="4"/>
        <w:bidi w:val="0"/>
        <w:rPr>
          <w:rFonts w:hint="eastAsia" w:ascii="Times New Roman" w:hAnsi="Times New Roman" w:cs="Times New Roman"/>
          <w:color w:val="000000"/>
          <w:lang w:val="en-US" w:eastAsia="zh-CN"/>
        </w:rPr>
      </w:pPr>
      <w:bookmarkStart w:id="148" w:name="_Toc7263"/>
      <w:bookmarkStart w:id="149" w:name="_Toc9228"/>
      <w:r>
        <w:rPr>
          <w:rFonts w:hint="eastAsia" w:ascii="Times New Roman" w:hAnsi="Times New Roman" w:cs="Times New Roman"/>
          <w:color w:val="000000"/>
          <w:lang w:val="en-US" w:eastAsia="zh-CN"/>
        </w:rPr>
        <w:t>6.2 运营期生态环境保护措施</w:t>
      </w:r>
      <w:bookmarkEnd w:id="148"/>
      <w:bookmarkEnd w:id="149"/>
    </w:p>
    <w:p w14:paraId="3388EDE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val="en-US" w:eastAsia="zh-CN"/>
        </w:rPr>
        <w:t>本工程建成后，可改善项目所在区域排水情况，缓解城市防洪压力，缓解城区淹积水问题，对保护水环境和居民生活环境有利。针对运营期产生的污染提出如下保护措施：</w:t>
      </w:r>
    </w:p>
    <w:p w14:paraId="4DFF9860">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color w:val="000000"/>
          <w:sz w:val="24"/>
          <w:lang w:eastAsia="zh-CN"/>
        </w:rPr>
      </w:pPr>
      <w:r>
        <w:rPr>
          <w:rFonts w:hint="default" w:ascii="Times New Roman" w:hAnsi="Times New Roman" w:eastAsia="宋体" w:cs="Times New Roman"/>
          <w:color w:val="000000"/>
          <w:sz w:val="24"/>
          <w:lang w:val="en-US" w:eastAsia="zh-CN"/>
        </w:rPr>
        <w:t>①加强排水管网的检修，及时对产生破损、泄漏的管（沟）进行维修，保障其正常排水功能。</w:t>
      </w:r>
    </w:p>
    <w:p w14:paraId="34A8466B">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leftChars="0" w:right="0" w:rightChars="0" w:firstLine="480" w:firstLineChars="200"/>
        <w:textAlignment w:val="auto"/>
        <w:rPr>
          <w:rFonts w:hint="default"/>
          <w:color w:val="000000"/>
        </w:rPr>
      </w:pPr>
      <w:r>
        <w:rPr>
          <w:rFonts w:hint="default" w:ascii="Times New Roman" w:hAnsi="Times New Roman" w:eastAsia="宋体" w:cs="Times New Roman"/>
          <w:color w:val="000000"/>
          <w:sz w:val="24"/>
          <w:lang w:val="en-US" w:eastAsia="zh-CN"/>
        </w:rPr>
        <w:t>②</w:t>
      </w:r>
      <w:r>
        <w:rPr>
          <w:rFonts w:hint="eastAsia" w:eastAsia="宋体" w:cs="Times New Roman"/>
          <w:color w:val="000000"/>
          <w:sz w:val="24"/>
          <w:lang w:val="en-US" w:eastAsia="zh-CN"/>
        </w:rPr>
        <w:t>一体式水处理设施</w:t>
      </w:r>
      <w:r>
        <w:rPr>
          <w:rFonts w:hint="default" w:ascii="Times New Roman" w:hAnsi="Times New Roman" w:eastAsia="宋体" w:cs="Times New Roman"/>
          <w:color w:val="000000"/>
          <w:sz w:val="24"/>
          <w:lang w:val="en-US" w:eastAsia="zh-CN"/>
        </w:rPr>
        <w:t>污泥及时由环卫部门清掏清运，减少其滞留时间。</w:t>
      </w:r>
    </w:p>
    <w:p w14:paraId="705141DD">
      <w:pPr>
        <w:bidi w:val="0"/>
        <w:rPr>
          <w:rFonts w:hint="eastAsia"/>
          <w:color w:val="000000"/>
        </w:rPr>
      </w:pPr>
      <w:r>
        <w:rPr>
          <w:rFonts w:hint="default" w:ascii="Times New Roman" w:hAnsi="Times New Roman" w:eastAsia="宋体" w:cs="Times New Roman"/>
          <w:color w:val="000000"/>
          <w:sz w:val="24"/>
          <w:lang w:val="en-US" w:eastAsia="zh-CN"/>
        </w:rPr>
        <w:t>③</w:t>
      </w:r>
      <w:r>
        <w:rPr>
          <w:rFonts w:hint="eastAsia" w:ascii="Times New Roman" w:hAnsi="Times New Roman" w:eastAsia="宋体" w:cs="Times New Roman"/>
          <w:color w:val="000000"/>
          <w:sz w:val="24"/>
          <w:lang w:val="en-US" w:eastAsia="zh-CN"/>
        </w:rPr>
        <w:t>加强对排水泵站管理，确保设施设备正常运行，减少噪声、固废产生</w:t>
      </w:r>
      <w:r>
        <w:rPr>
          <w:rFonts w:hint="eastAsia"/>
          <w:color w:val="000000"/>
        </w:rPr>
        <w:t>。</w:t>
      </w:r>
    </w:p>
    <w:p w14:paraId="3D744740">
      <w:pPr>
        <w:pStyle w:val="4"/>
        <w:bidi w:val="0"/>
        <w:rPr>
          <w:rFonts w:hint="eastAsia"/>
          <w:color w:val="000000"/>
          <w:lang w:val="en-US" w:eastAsia="zh-CN"/>
        </w:rPr>
      </w:pPr>
      <w:bookmarkStart w:id="150" w:name="_Toc15416"/>
      <w:bookmarkStart w:id="151" w:name="_Toc26823"/>
      <w:r>
        <w:rPr>
          <w:rFonts w:hint="eastAsia"/>
          <w:color w:val="000000"/>
          <w:lang w:val="en-US" w:eastAsia="zh-CN"/>
        </w:rPr>
        <w:t>6.3 环境管理措施</w:t>
      </w:r>
      <w:bookmarkEnd w:id="150"/>
      <w:bookmarkEnd w:id="151"/>
    </w:p>
    <w:p w14:paraId="4BEE5969">
      <w:pPr>
        <w:bidi w:val="0"/>
        <w:outlineLvl w:val="2"/>
        <w:rPr>
          <w:rFonts w:hint="eastAsia" w:ascii="Times New Roman" w:hAnsi="Times New Roman" w:eastAsia="黑体" w:cs="Times New Roman"/>
          <w:b/>
          <w:color w:val="000000"/>
          <w:kern w:val="2"/>
          <w:sz w:val="28"/>
          <w:szCs w:val="28"/>
          <w:lang w:val="en-US" w:eastAsia="zh-CN" w:bidi="ar-SA"/>
        </w:rPr>
      </w:pPr>
      <w:bookmarkStart w:id="152" w:name="_Toc11349"/>
      <w:r>
        <w:rPr>
          <w:rFonts w:hint="eastAsia" w:ascii="Times New Roman" w:hAnsi="Times New Roman" w:eastAsia="黑体" w:cs="Times New Roman"/>
          <w:b/>
          <w:color w:val="000000"/>
          <w:kern w:val="2"/>
          <w:sz w:val="28"/>
          <w:szCs w:val="28"/>
          <w:lang w:val="en-US" w:eastAsia="zh-CN" w:bidi="ar-SA"/>
        </w:rPr>
        <w:t>6.3.1 环境管理</w:t>
      </w:r>
      <w:bookmarkEnd w:id="152"/>
    </w:p>
    <w:p w14:paraId="5A94C468">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color w:val="000000"/>
        </w:rPr>
      </w:pPr>
      <w:r>
        <w:rPr>
          <w:rFonts w:hint="default" w:ascii="Times New Roman" w:hAnsi="Times New Roman" w:eastAsia="宋体" w:cs="Times New Roman"/>
          <w:b/>
          <w:bCs/>
          <w:color w:val="000000"/>
          <w:kern w:val="0"/>
          <w:sz w:val="24"/>
          <w:szCs w:val="24"/>
          <w:lang w:val="en-US" w:eastAsia="zh-CN" w:bidi="ar"/>
        </w:rPr>
        <w:t>1、施工期环境管理</w:t>
      </w:r>
    </w:p>
    <w:p w14:paraId="517D217B">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应安排一名熟悉环保政策和法规的专业技术人员负责落实环保措施，同时组成一个由指挥长为组长的环境管理小组，以协调施工单位的环保工作。监理公司配置环保专业人员，负责施工过程中的环保工程监理，并检查“三同时”的落实情况。环境监理部门应充分了解本项目施工计划，制定详细的监理计划，施工中环境监理人员可根据情况，对重要地段或敏感点提出环境监测计划，掌握施工期的环境状况，确保不发生重大的环境事故。</w:t>
      </w:r>
    </w:p>
    <w:p w14:paraId="6C5C20A5">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outlineLvl w:val="9"/>
        <w:rPr>
          <w:rFonts w:hint="default" w:ascii="Times New Roman" w:hAnsi="Times New Roman" w:eastAsia="宋体" w:cs="Times New Roman"/>
          <w:color w:val="000000"/>
        </w:rPr>
      </w:pPr>
      <w:r>
        <w:rPr>
          <w:rFonts w:hint="default" w:ascii="Times New Roman" w:hAnsi="Times New Roman" w:eastAsia="宋体" w:cs="Times New Roman"/>
          <w:color w:val="000000"/>
          <w:kern w:val="0"/>
          <w:sz w:val="24"/>
          <w:szCs w:val="24"/>
          <w:lang w:val="en-US" w:eastAsia="zh-CN" w:bidi="ar"/>
        </w:rPr>
        <w:t>项目施工期会对环境造成一定影响，在加强施工期的环境管理并采取环评建议和要求的环保措施的基础上，可将其影响控制在最低程度。</w:t>
      </w:r>
    </w:p>
    <w:p w14:paraId="499D9D75">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color w:val="000000"/>
        </w:rPr>
      </w:pPr>
      <w:r>
        <w:rPr>
          <w:rFonts w:hint="default" w:ascii="Times New Roman" w:hAnsi="Times New Roman" w:eastAsia="宋体" w:cs="Times New Roman"/>
          <w:b/>
          <w:bCs/>
          <w:color w:val="000000"/>
          <w:kern w:val="0"/>
          <w:sz w:val="24"/>
          <w:szCs w:val="24"/>
          <w:lang w:val="en-US" w:eastAsia="zh-CN" w:bidi="ar"/>
        </w:rPr>
        <w:t>2、营运期环境管理</w:t>
      </w:r>
    </w:p>
    <w:p w14:paraId="362B801D">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outlineLvl w:val="9"/>
        <w:rPr>
          <w:color w:val="000000"/>
        </w:rPr>
      </w:pPr>
      <w:r>
        <w:rPr>
          <w:rFonts w:hint="default" w:ascii="Times New Roman" w:hAnsi="Times New Roman" w:eastAsia="宋体" w:cs="Times New Roman"/>
          <w:color w:val="000000"/>
          <w:kern w:val="0"/>
          <w:sz w:val="24"/>
          <w:szCs w:val="24"/>
          <w:lang w:val="en-US" w:eastAsia="zh-CN" w:bidi="ar"/>
        </w:rPr>
        <w:t>工程实施完成后，运营期监督管理环境恢复监测和环境恢复计划的落实情况及环保处理设施运行情况。检查生态恢复和污染防治措施的落实情况。参与环境工程验收活动，协助建设单位组织人员的环境保护培训，负责工程环境监理工作计划和总结。</w:t>
      </w:r>
    </w:p>
    <w:p w14:paraId="0584DF3A">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2" w:firstLineChars="200"/>
        <w:jc w:val="left"/>
        <w:outlineLvl w:val="9"/>
        <w:rPr>
          <w:rFonts w:hint="default" w:ascii="Times New Roman" w:hAnsi="Times New Roman" w:eastAsia="宋体" w:cs="Times New Roman"/>
          <w:b/>
          <w:bCs/>
          <w:color w:val="000000"/>
          <w:kern w:val="0"/>
          <w:sz w:val="24"/>
          <w:szCs w:val="24"/>
          <w:lang w:val="en-US" w:eastAsia="zh-CN" w:bidi="ar"/>
        </w:rPr>
      </w:pPr>
      <w:bookmarkStart w:id="153" w:name="_Toc3530"/>
      <w:bookmarkStart w:id="154" w:name="_Toc29789"/>
      <w:bookmarkStart w:id="155" w:name="_Toc5252"/>
      <w:r>
        <w:rPr>
          <w:rFonts w:hint="eastAsia" w:ascii="Times New Roman" w:hAnsi="Times New Roman" w:eastAsia="宋体" w:cs="Times New Roman"/>
          <w:b/>
          <w:bCs/>
          <w:color w:val="000000"/>
          <w:kern w:val="0"/>
          <w:sz w:val="24"/>
          <w:szCs w:val="24"/>
          <w:lang w:val="en-US" w:eastAsia="zh-CN" w:bidi="ar"/>
        </w:rPr>
        <w:t>3、环境管理制度</w:t>
      </w:r>
      <w:bookmarkEnd w:id="153"/>
      <w:bookmarkEnd w:id="154"/>
      <w:bookmarkEnd w:id="155"/>
    </w:p>
    <w:p w14:paraId="7EF0B971">
      <w:pPr>
        <w:bidi w:val="0"/>
        <w:outlineLvl w:val="9"/>
        <w:rPr>
          <w:rFonts w:hint="default" w:eastAsia="宋体"/>
          <w:color w:val="000000"/>
          <w:lang w:val="en-US" w:eastAsia="zh-CN"/>
        </w:rPr>
      </w:pPr>
      <w:r>
        <w:rPr>
          <w:rFonts w:hint="eastAsia"/>
          <w:color w:val="000000"/>
          <w:lang w:val="en-US" w:eastAsia="zh-CN"/>
        </w:rPr>
        <w:t>通过建立</w:t>
      </w:r>
      <w:r>
        <w:rPr>
          <w:color w:val="000000"/>
        </w:rPr>
        <w:t>环境保护责任制</w:t>
      </w:r>
      <w:r>
        <w:rPr>
          <w:rFonts w:hint="eastAsia"/>
          <w:color w:val="000000"/>
          <w:lang w:eastAsia="zh-CN"/>
        </w:rPr>
        <w:t>、</w:t>
      </w:r>
      <w:r>
        <w:rPr>
          <w:color w:val="000000"/>
        </w:rPr>
        <w:t>分级管理制度</w:t>
      </w:r>
      <w:r>
        <w:rPr>
          <w:rFonts w:hint="eastAsia"/>
          <w:color w:val="000000"/>
          <w:lang w:eastAsia="zh-CN"/>
        </w:rPr>
        <w:t>、“</w:t>
      </w:r>
      <w:r>
        <w:rPr>
          <w:color w:val="000000"/>
        </w:rPr>
        <w:t>三同时</w:t>
      </w:r>
      <w:r>
        <w:rPr>
          <w:rFonts w:hint="eastAsia"/>
          <w:color w:val="000000"/>
          <w:lang w:eastAsia="zh-CN"/>
        </w:rPr>
        <w:t>”</w:t>
      </w:r>
      <w:r>
        <w:rPr>
          <w:color w:val="000000"/>
        </w:rPr>
        <w:t>验收制度</w:t>
      </w:r>
      <w:r>
        <w:rPr>
          <w:rFonts w:hint="eastAsia"/>
          <w:color w:val="000000"/>
          <w:lang w:eastAsia="zh-CN"/>
        </w:rPr>
        <w:t>、</w:t>
      </w:r>
      <w:r>
        <w:rPr>
          <w:color w:val="000000"/>
        </w:rPr>
        <w:t>书面制度</w:t>
      </w:r>
      <w:r>
        <w:rPr>
          <w:rFonts w:hint="eastAsia"/>
          <w:color w:val="000000"/>
          <w:lang w:eastAsia="zh-CN"/>
        </w:rPr>
        <w:t>、</w:t>
      </w:r>
      <w:r>
        <w:rPr>
          <w:color w:val="000000"/>
        </w:rPr>
        <w:t>报告制度</w:t>
      </w:r>
      <w:r>
        <w:rPr>
          <w:rFonts w:hint="eastAsia"/>
          <w:color w:val="000000"/>
          <w:lang w:eastAsia="zh-CN"/>
        </w:rPr>
        <w:t>、</w:t>
      </w:r>
      <w:r>
        <w:rPr>
          <w:color w:val="000000"/>
        </w:rPr>
        <w:t>污染事故预防和处理措施</w:t>
      </w:r>
      <w:r>
        <w:rPr>
          <w:rFonts w:hint="eastAsia"/>
          <w:color w:val="000000"/>
          <w:lang w:val="en-US" w:eastAsia="zh-CN"/>
        </w:rPr>
        <w:t>等环境管理，加强施工期和运营期责任，将生态环境保护要求落实到位。</w:t>
      </w:r>
    </w:p>
    <w:p w14:paraId="239A709E">
      <w:pPr>
        <w:bidi w:val="0"/>
        <w:outlineLvl w:val="2"/>
        <w:rPr>
          <w:rFonts w:hint="eastAsia" w:ascii="Times New Roman" w:hAnsi="Times New Roman" w:eastAsia="黑体" w:cs="Times New Roman"/>
          <w:b/>
          <w:color w:val="000000"/>
          <w:kern w:val="2"/>
          <w:sz w:val="28"/>
          <w:szCs w:val="28"/>
          <w:lang w:val="en-US" w:eastAsia="zh-CN" w:bidi="ar-SA"/>
        </w:rPr>
      </w:pPr>
      <w:bookmarkStart w:id="156" w:name="_Toc119915382"/>
      <w:bookmarkStart w:id="157" w:name="_Toc5594"/>
      <w:bookmarkStart w:id="158" w:name="_Toc18580"/>
      <w:r>
        <w:rPr>
          <w:rFonts w:hint="eastAsia" w:ascii="Times New Roman" w:hAnsi="Times New Roman" w:eastAsia="黑体" w:cs="Times New Roman"/>
          <w:b/>
          <w:color w:val="000000"/>
          <w:kern w:val="2"/>
          <w:sz w:val="28"/>
          <w:szCs w:val="28"/>
          <w:lang w:val="en-US" w:eastAsia="zh-CN" w:bidi="ar-SA"/>
        </w:rPr>
        <w:t>6.3.2 环境监理</w:t>
      </w:r>
      <w:bookmarkEnd w:id="156"/>
      <w:bookmarkEnd w:id="157"/>
      <w:bookmarkEnd w:id="158"/>
    </w:p>
    <w:p w14:paraId="5427B20F">
      <w:pPr>
        <w:bidi w:val="0"/>
        <w:outlineLvl w:val="9"/>
        <w:rPr>
          <w:color w:val="000000"/>
        </w:rPr>
      </w:pPr>
      <w:r>
        <w:rPr>
          <w:rFonts w:hint="eastAsia"/>
          <w:color w:val="000000"/>
          <w:lang w:val="en-US" w:eastAsia="zh-CN"/>
        </w:rPr>
        <w:t>根据</w:t>
      </w:r>
      <w:r>
        <w:rPr>
          <w:color w:val="000000"/>
        </w:rPr>
        <w:t>工程规模和施工规划，施工期环境保护监理部门设专职监理人员。环境监理人员常驻工地，对施工区环境保护工作进行动态管理。监理方式以现场监督管理为主，并随时检查各项环境监测数据，发现问题后，立即要求承包商限期治理，并以公文函件确认。对于限期处理的环境问题，按期进行检查验收，将检查结果形成纪要下发承包商。</w:t>
      </w:r>
    </w:p>
    <w:p w14:paraId="6411DB94">
      <w:pPr>
        <w:pStyle w:val="4"/>
        <w:bidi w:val="0"/>
        <w:rPr>
          <w:rFonts w:hint="eastAsia" w:ascii="Times New Roman" w:hAnsi="Times New Roman" w:cs="Times New Roman"/>
          <w:color w:val="000000"/>
          <w:lang w:val="en-US" w:eastAsia="zh-CN"/>
        </w:rPr>
      </w:pPr>
      <w:bookmarkStart w:id="159" w:name="_Toc350352181"/>
      <w:bookmarkStart w:id="160" w:name="_Toc21687"/>
      <w:bookmarkStart w:id="161" w:name="_Toc119915383"/>
      <w:bookmarkStart w:id="162" w:name="_Toc3446"/>
      <w:r>
        <w:rPr>
          <w:rFonts w:hint="eastAsia" w:ascii="Times New Roman" w:hAnsi="Times New Roman" w:cs="Times New Roman"/>
          <w:color w:val="000000"/>
          <w:lang w:val="en-US" w:eastAsia="zh-CN"/>
        </w:rPr>
        <w:t>6.4 环境监测</w:t>
      </w:r>
      <w:bookmarkEnd w:id="159"/>
      <w:bookmarkEnd w:id="160"/>
      <w:bookmarkEnd w:id="161"/>
      <w:bookmarkEnd w:id="162"/>
    </w:p>
    <w:p w14:paraId="31DF2ABC">
      <w:pPr>
        <w:pStyle w:val="5"/>
        <w:bidi w:val="0"/>
        <w:outlineLvl w:val="1"/>
        <w:rPr>
          <w:color w:val="000000"/>
        </w:rPr>
      </w:pPr>
      <w:bookmarkStart w:id="163" w:name="_Toc1129"/>
      <w:bookmarkStart w:id="164" w:name="_Toc6483"/>
      <w:bookmarkStart w:id="165" w:name="_Toc8409"/>
      <w:bookmarkStart w:id="166" w:name="_Toc6480"/>
      <w:r>
        <w:rPr>
          <w:rFonts w:hint="eastAsia"/>
          <w:color w:val="000000"/>
          <w:lang w:val="en-US" w:eastAsia="zh-CN"/>
        </w:rPr>
        <w:t>6</w:t>
      </w:r>
      <w:r>
        <w:rPr>
          <w:color w:val="000000"/>
          <w:lang w:eastAsia="zh-CN"/>
        </w:rPr>
        <w:t>.</w:t>
      </w:r>
      <w:r>
        <w:rPr>
          <w:rFonts w:hint="eastAsia"/>
          <w:color w:val="000000"/>
          <w:lang w:val="en-US" w:eastAsia="zh-CN"/>
        </w:rPr>
        <w:t>4</w:t>
      </w:r>
      <w:r>
        <w:rPr>
          <w:color w:val="000000"/>
        </w:rPr>
        <w:t>.1</w:t>
      </w:r>
      <w:r>
        <w:rPr>
          <w:rFonts w:hint="eastAsia"/>
          <w:color w:val="000000"/>
          <w:lang w:eastAsia="zh-CN"/>
        </w:rPr>
        <w:t xml:space="preserve"> </w:t>
      </w:r>
      <w:r>
        <w:rPr>
          <w:color w:val="000000"/>
        </w:rPr>
        <w:t>环境监测</w:t>
      </w:r>
      <w:r>
        <w:rPr>
          <w:rFonts w:hint="eastAsia"/>
          <w:color w:val="000000"/>
          <w:lang w:eastAsia="zh-CN"/>
        </w:rPr>
        <w:t>制定的目的和原则</w:t>
      </w:r>
      <w:bookmarkEnd w:id="163"/>
      <w:bookmarkEnd w:id="164"/>
      <w:bookmarkEnd w:id="165"/>
      <w:bookmarkEnd w:id="166"/>
    </w:p>
    <w:p w14:paraId="545460C1">
      <w:pPr>
        <w:bidi w:val="0"/>
        <w:rPr>
          <w:color w:val="000000"/>
        </w:rPr>
      </w:pPr>
      <w:r>
        <w:rPr>
          <w:color w:val="000000"/>
        </w:rPr>
        <w:t>制定环境监测计划的</w:t>
      </w:r>
      <w:r>
        <w:rPr>
          <w:rFonts w:hint="eastAsia"/>
          <w:color w:val="000000"/>
          <w:lang w:eastAsia="zh-CN"/>
        </w:rPr>
        <w:t>目的是</w:t>
      </w:r>
      <w:r>
        <w:rPr>
          <w:color w:val="000000"/>
        </w:rPr>
        <w:t>监督各项环保措施的落实，根据监测结果适时调整环境保护行动计划，为环保措施的实施提供依据。制定的原则是根据项目的特点预测各个时期的主要环境影响因素而定。</w:t>
      </w:r>
    </w:p>
    <w:p w14:paraId="7C7CA929">
      <w:pPr>
        <w:pStyle w:val="5"/>
        <w:bidi w:val="0"/>
        <w:outlineLvl w:val="1"/>
        <w:rPr>
          <w:color w:val="000000"/>
        </w:rPr>
      </w:pPr>
      <w:bookmarkStart w:id="167" w:name="_Toc9143"/>
      <w:bookmarkStart w:id="168" w:name="_Toc18649"/>
      <w:bookmarkStart w:id="169" w:name="_Toc1312"/>
      <w:bookmarkStart w:id="170" w:name="_Toc16976"/>
      <w:r>
        <w:rPr>
          <w:rFonts w:hint="eastAsia"/>
          <w:color w:val="000000"/>
          <w:lang w:val="en-US" w:eastAsia="zh-CN"/>
        </w:rPr>
        <w:t>6</w:t>
      </w:r>
      <w:r>
        <w:rPr>
          <w:color w:val="000000"/>
          <w:lang w:eastAsia="zh-CN"/>
        </w:rPr>
        <w:t>.</w:t>
      </w:r>
      <w:r>
        <w:rPr>
          <w:rFonts w:hint="eastAsia"/>
          <w:color w:val="000000"/>
          <w:lang w:val="en-US" w:eastAsia="zh-CN"/>
        </w:rPr>
        <w:t>4</w:t>
      </w:r>
      <w:r>
        <w:rPr>
          <w:color w:val="000000"/>
        </w:rPr>
        <w:t>.2</w:t>
      </w:r>
      <w:r>
        <w:rPr>
          <w:rFonts w:hint="eastAsia"/>
          <w:color w:val="000000"/>
          <w:lang w:eastAsia="zh-CN"/>
        </w:rPr>
        <w:t xml:space="preserve"> </w:t>
      </w:r>
      <w:r>
        <w:rPr>
          <w:color w:val="000000"/>
        </w:rPr>
        <w:t>环境监测</w:t>
      </w:r>
      <w:r>
        <w:rPr>
          <w:rFonts w:hint="eastAsia"/>
          <w:color w:val="000000"/>
          <w:lang w:eastAsia="zh-CN"/>
        </w:rPr>
        <w:t>机构及职责</w:t>
      </w:r>
      <w:bookmarkEnd w:id="167"/>
      <w:bookmarkEnd w:id="168"/>
      <w:bookmarkEnd w:id="169"/>
      <w:bookmarkEnd w:id="170"/>
    </w:p>
    <w:p w14:paraId="3F99459F">
      <w:pPr>
        <w:bidi w:val="0"/>
        <w:rPr>
          <w:color w:val="000000"/>
        </w:rPr>
      </w:pPr>
      <w:r>
        <w:rPr>
          <w:color w:val="000000"/>
        </w:rPr>
        <w:t>项目委托有资质监测单位进行环境监测，切实搞好监测质量保证工作。</w:t>
      </w:r>
    </w:p>
    <w:p w14:paraId="5F2B0370">
      <w:pPr>
        <w:bidi w:val="0"/>
        <w:rPr>
          <w:color w:val="000000"/>
        </w:rPr>
      </w:pPr>
      <w:r>
        <w:rPr>
          <w:color w:val="000000"/>
        </w:rPr>
        <w:t>其主要职责：</w:t>
      </w:r>
    </w:p>
    <w:p w14:paraId="6A7271D9">
      <w:pPr>
        <w:bidi w:val="0"/>
        <w:rPr>
          <w:color w:val="000000"/>
        </w:rPr>
      </w:pPr>
      <w:r>
        <w:rPr>
          <w:rFonts w:hint="eastAsia"/>
          <w:color w:val="000000"/>
        </w:rPr>
        <w:t>（1）</w:t>
      </w:r>
      <w:r>
        <w:rPr>
          <w:color w:val="000000"/>
        </w:rPr>
        <w:t>建立严格可行的环境监测计划及质量保证制度；</w:t>
      </w:r>
    </w:p>
    <w:p w14:paraId="05BC96E0">
      <w:pPr>
        <w:bidi w:val="0"/>
        <w:rPr>
          <w:color w:val="000000"/>
        </w:rPr>
      </w:pPr>
      <w:r>
        <w:rPr>
          <w:rFonts w:hint="eastAsia"/>
          <w:color w:val="000000"/>
        </w:rPr>
        <w:t>（2）</w:t>
      </w:r>
      <w:r>
        <w:rPr>
          <w:color w:val="000000"/>
        </w:rPr>
        <w:t>定期开展监测，为决策部门提供污染防治的依据。</w:t>
      </w:r>
    </w:p>
    <w:p w14:paraId="19EFF48C">
      <w:pPr>
        <w:pStyle w:val="5"/>
        <w:bidi w:val="0"/>
        <w:outlineLvl w:val="1"/>
        <w:rPr>
          <w:color w:val="000000"/>
          <w:lang w:eastAsia="zh-CN"/>
        </w:rPr>
      </w:pPr>
      <w:bookmarkStart w:id="171" w:name="_Toc32609"/>
      <w:bookmarkStart w:id="172" w:name="_Toc27466"/>
      <w:bookmarkStart w:id="173" w:name="_Toc1163"/>
      <w:bookmarkStart w:id="174" w:name="_Toc28488"/>
      <w:r>
        <w:rPr>
          <w:rFonts w:hint="eastAsia"/>
          <w:color w:val="000000"/>
          <w:lang w:val="en-US" w:eastAsia="zh-CN"/>
        </w:rPr>
        <w:t>6</w:t>
      </w:r>
      <w:r>
        <w:rPr>
          <w:color w:val="000000"/>
          <w:lang w:eastAsia="zh-CN"/>
        </w:rPr>
        <w:t>.</w:t>
      </w:r>
      <w:r>
        <w:rPr>
          <w:rFonts w:hint="eastAsia"/>
          <w:color w:val="000000"/>
          <w:lang w:val="en-US" w:eastAsia="zh-CN"/>
        </w:rPr>
        <w:t>4</w:t>
      </w:r>
      <w:r>
        <w:rPr>
          <w:color w:val="000000"/>
        </w:rPr>
        <w:t>.3</w:t>
      </w:r>
      <w:r>
        <w:rPr>
          <w:rFonts w:hint="eastAsia"/>
          <w:color w:val="000000"/>
          <w:lang w:eastAsia="zh-CN"/>
        </w:rPr>
        <w:t xml:space="preserve"> </w:t>
      </w:r>
      <w:r>
        <w:rPr>
          <w:color w:val="000000"/>
        </w:rPr>
        <w:t>环境监测</w:t>
      </w:r>
      <w:r>
        <w:rPr>
          <w:rFonts w:hint="eastAsia"/>
          <w:color w:val="000000"/>
          <w:lang w:eastAsia="zh-CN"/>
        </w:rPr>
        <w:t>计划</w:t>
      </w:r>
      <w:bookmarkEnd w:id="171"/>
      <w:bookmarkEnd w:id="172"/>
      <w:bookmarkEnd w:id="173"/>
      <w:bookmarkEnd w:id="174"/>
    </w:p>
    <w:p w14:paraId="2DED82E7">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根据《排污单位自行监测技术指南总则》（HJ819-2017）的相关规定，并参照其他同类型项目制定本项目的监测计划，建设单位可委托具有资质的检（监）测机构开展监测。</w:t>
      </w:r>
    </w:p>
    <w:p w14:paraId="35B08575">
      <w:pPr>
        <w:keepNext w:val="0"/>
        <w:keepLines w:val="0"/>
        <w:pageBreakBefore w:val="0"/>
        <w:widowControl/>
        <w:suppressLineNumbers w:val="0"/>
        <w:kinsoku/>
        <w:bidi w:val="0"/>
        <w:adjustRightInd/>
        <w:snapToGrid/>
        <w:spacing w:before="0" w:beforeAutospacing="0" w:after="0" w:afterAutospacing="0" w:line="360" w:lineRule="auto"/>
        <w:ind w:left="0" w:leftChars="0" w:right="0" w:rightChars="0"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具体监测计划详见表</w:t>
      </w:r>
      <w:r>
        <w:rPr>
          <w:rFonts w:hint="eastAsia" w:ascii="Times New Roman" w:hAnsi="Times New Roman" w:eastAsia="宋体"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-1。</w:t>
      </w:r>
    </w:p>
    <w:p w14:paraId="0A1263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2" w:firstLineChars="20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lang w:val="en-US" w:eastAsia="zh-CN"/>
        </w:rPr>
        <w:t>-1</w:t>
      </w:r>
      <w:r>
        <w:rPr>
          <w:rFonts w:hint="default" w:ascii="Times New Roman" w:hAnsi="Times New Roman" w:eastAsia="宋体" w:cs="Times New Roman"/>
          <w:b/>
          <w:bCs/>
          <w:color w:val="000000"/>
          <w:sz w:val="24"/>
          <w:szCs w:val="24"/>
        </w:rPr>
        <w:t>环境监测计划表</w:t>
      </w:r>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153"/>
        <w:gridCol w:w="2306"/>
        <w:gridCol w:w="2256"/>
        <w:gridCol w:w="1798"/>
      </w:tblGrid>
      <w:tr w14:paraId="4F5E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tcBorders>
              <w:tl2br w:val="nil"/>
              <w:tr2bl w:val="nil"/>
            </w:tcBorders>
            <w:noWrap w:val="0"/>
            <w:vAlign w:val="center"/>
          </w:tcPr>
          <w:p w14:paraId="6B6BF2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监测时期</w:t>
            </w:r>
          </w:p>
        </w:tc>
        <w:tc>
          <w:tcPr>
            <w:tcW w:w="1153" w:type="dxa"/>
            <w:tcBorders>
              <w:tl2br w:val="nil"/>
              <w:tr2bl w:val="nil"/>
            </w:tcBorders>
            <w:noWrap w:val="0"/>
            <w:vAlign w:val="center"/>
          </w:tcPr>
          <w:p w14:paraId="40F14C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监测项目</w:t>
            </w:r>
          </w:p>
        </w:tc>
        <w:tc>
          <w:tcPr>
            <w:tcW w:w="2306" w:type="dxa"/>
            <w:tcBorders>
              <w:tl2br w:val="nil"/>
              <w:tr2bl w:val="nil"/>
            </w:tcBorders>
            <w:noWrap w:val="0"/>
            <w:vAlign w:val="center"/>
          </w:tcPr>
          <w:p w14:paraId="455402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指标</w:t>
            </w:r>
          </w:p>
        </w:tc>
        <w:tc>
          <w:tcPr>
            <w:tcW w:w="2256" w:type="dxa"/>
            <w:tcBorders>
              <w:tl2br w:val="nil"/>
              <w:tr2bl w:val="nil"/>
            </w:tcBorders>
            <w:noWrap w:val="0"/>
            <w:vAlign w:val="center"/>
          </w:tcPr>
          <w:p w14:paraId="7AFA80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频次</w:t>
            </w:r>
          </w:p>
        </w:tc>
        <w:tc>
          <w:tcPr>
            <w:tcW w:w="1798" w:type="dxa"/>
            <w:tcBorders>
              <w:tl2br w:val="nil"/>
              <w:tr2bl w:val="nil"/>
            </w:tcBorders>
            <w:noWrap w:val="0"/>
            <w:vAlign w:val="center"/>
          </w:tcPr>
          <w:p w14:paraId="7BA587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监测点</w:t>
            </w:r>
          </w:p>
        </w:tc>
      </w:tr>
      <w:tr w14:paraId="7173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l2br w:val="nil"/>
              <w:tr2bl w:val="nil"/>
            </w:tcBorders>
            <w:noWrap w:val="0"/>
            <w:vAlign w:val="center"/>
          </w:tcPr>
          <w:p w14:paraId="157AB9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w:t>
            </w:r>
          </w:p>
        </w:tc>
        <w:tc>
          <w:tcPr>
            <w:tcW w:w="1153" w:type="dxa"/>
            <w:tcBorders>
              <w:tl2br w:val="nil"/>
              <w:tr2bl w:val="nil"/>
            </w:tcBorders>
            <w:noWrap w:val="0"/>
            <w:vAlign w:val="center"/>
          </w:tcPr>
          <w:p w14:paraId="3DCF58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大气监测</w:t>
            </w:r>
          </w:p>
        </w:tc>
        <w:tc>
          <w:tcPr>
            <w:tcW w:w="2306" w:type="dxa"/>
            <w:tcBorders>
              <w:tl2br w:val="nil"/>
              <w:tr2bl w:val="nil"/>
            </w:tcBorders>
            <w:noWrap w:val="0"/>
            <w:vAlign w:val="center"/>
          </w:tcPr>
          <w:p w14:paraId="34A089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TSP</w:t>
            </w:r>
          </w:p>
        </w:tc>
        <w:tc>
          <w:tcPr>
            <w:tcW w:w="2256" w:type="dxa"/>
            <w:tcBorders>
              <w:tl2br w:val="nil"/>
              <w:tr2bl w:val="nil"/>
            </w:tcBorders>
            <w:noWrap w:val="0"/>
            <w:vAlign w:val="center"/>
          </w:tcPr>
          <w:p w14:paraId="7BE6C0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高峰期监测1次，每次连续监测3天，每天分4个时段监测</w:t>
            </w:r>
          </w:p>
        </w:tc>
        <w:tc>
          <w:tcPr>
            <w:tcW w:w="1798" w:type="dxa"/>
            <w:tcBorders>
              <w:tl2br w:val="nil"/>
              <w:tr2bl w:val="nil"/>
            </w:tcBorders>
            <w:noWrap w:val="0"/>
            <w:vAlign w:val="center"/>
          </w:tcPr>
          <w:p w14:paraId="31A267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施工现场</w:t>
            </w:r>
          </w:p>
        </w:tc>
      </w:tr>
      <w:tr w14:paraId="4E9C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noWrap w:val="0"/>
            <w:vAlign w:val="center"/>
          </w:tcPr>
          <w:p w14:paraId="44509F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sz w:val="21"/>
                <w:szCs w:val="21"/>
              </w:rPr>
            </w:pPr>
          </w:p>
        </w:tc>
        <w:tc>
          <w:tcPr>
            <w:tcW w:w="1153" w:type="dxa"/>
            <w:tcBorders>
              <w:tl2br w:val="nil"/>
              <w:tr2bl w:val="nil"/>
            </w:tcBorders>
            <w:noWrap w:val="0"/>
            <w:vAlign w:val="center"/>
          </w:tcPr>
          <w:p w14:paraId="323DEC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sz w:val="21"/>
                <w:szCs w:val="21"/>
                <w:lang w:eastAsia="zh-CN"/>
              </w:rPr>
            </w:pPr>
            <w:r>
              <w:rPr>
                <w:rFonts w:hint="eastAsia" w:eastAsia="宋体" w:cs="Times New Roman"/>
                <w:color w:val="000000"/>
                <w:sz w:val="21"/>
                <w:szCs w:val="21"/>
                <w:lang w:eastAsia="zh-CN"/>
              </w:rPr>
              <w:t>水</w:t>
            </w:r>
            <w:r>
              <w:rPr>
                <w:rFonts w:hint="default" w:ascii="Times New Roman" w:hAnsi="Times New Roman" w:eastAsia="宋体" w:cs="Times New Roman"/>
                <w:color w:val="000000"/>
                <w:sz w:val="21"/>
                <w:szCs w:val="21"/>
              </w:rPr>
              <w:t>环境监测</w:t>
            </w:r>
          </w:p>
        </w:tc>
        <w:tc>
          <w:tcPr>
            <w:tcW w:w="2306" w:type="dxa"/>
            <w:tcBorders>
              <w:tl2br w:val="nil"/>
              <w:tr2bl w:val="nil"/>
            </w:tcBorders>
            <w:noWrap w:val="0"/>
            <w:vAlign w:val="center"/>
          </w:tcPr>
          <w:p w14:paraId="2FB9030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河流水质监测项目水温、pH、DO、SS、COD、</w:t>
            </w:r>
          </w:p>
          <w:p w14:paraId="6B73C2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BOD</w:t>
            </w:r>
            <w:r>
              <w:rPr>
                <w:rFonts w:hint="default" w:ascii="Times New Roman" w:hAnsi="Times New Roman" w:eastAsia="宋体" w:cs="Times New Roman"/>
                <w:color w:val="000000"/>
                <w:sz w:val="21"/>
                <w:szCs w:val="21"/>
                <w:vertAlign w:val="subscript"/>
                <w:lang w:val="en-US" w:eastAsia="zh-CN"/>
              </w:rPr>
              <w:t>5</w:t>
            </w:r>
            <w:r>
              <w:rPr>
                <w:rFonts w:hint="default" w:ascii="Times New Roman" w:hAnsi="Times New Roman" w:eastAsia="宋体" w:cs="Times New Roman"/>
                <w:color w:val="000000"/>
                <w:sz w:val="21"/>
                <w:szCs w:val="21"/>
                <w:lang w:val="en-US" w:eastAsia="zh-CN"/>
              </w:rPr>
              <w:t>、NH</w:t>
            </w:r>
            <w:r>
              <w:rPr>
                <w:rFonts w:hint="default" w:ascii="Times New Roman" w:hAnsi="Times New Roman" w:eastAsia="宋体" w:cs="Times New Roman"/>
                <w:color w:val="000000"/>
                <w:sz w:val="21"/>
                <w:szCs w:val="21"/>
                <w:vertAlign w:val="subscript"/>
                <w:lang w:val="en-US" w:eastAsia="zh-CN"/>
              </w:rPr>
              <w:t>3</w:t>
            </w:r>
            <w:r>
              <w:rPr>
                <w:rFonts w:hint="default" w:ascii="Times New Roman" w:hAnsi="Times New Roman" w:eastAsia="宋体" w:cs="Times New Roman"/>
                <w:color w:val="000000"/>
                <w:sz w:val="21"/>
                <w:szCs w:val="21"/>
                <w:lang w:val="en-US" w:eastAsia="zh-CN"/>
              </w:rPr>
              <w:t>-N、总磷、六价铬、挥发酚、氟化物、粪大肠菌群和锌等；生活污水监测项目主要为流量、SS、BOD</w:t>
            </w:r>
          </w:p>
          <w:p w14:paraId="194432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vertAlign w:val="subscript"/>
                <w:lang w:val="en-US" w:eastAsia="zh-CN"/>
              </w:rPr>
              <w:t>5</w:t>
            </w:r>
            <w:r>
              <w:rPr>
                <w:rFonts w:hint="default" w:ascii="Times New Roman" w:hAnsi="Times New Roman" w:eastAsia="宋体" w:cs="Times New Roman"/>
                <w:color w:val="000000"/>
                <w:sz w:val="21"/>
                <w:szCs w:val="21"/>
                <w:lang w:val="en-US" w:eastAsia="zh-CN"/>
              </w:rPr>
              <w:t>、COD、粪大肠菌群、阴离子表面活性剂和氨氮等；施工废水仅监测流量和SS。</w:t>
            </w:r>
          </w:p>
        </w:tc>
        <w:tc>
          <w:tcPr>
            <w:tcW w:w="2256" w:type="dxa"/>
            <w:tcBorders>
              <w:tl2br w:val="nil"/>
              <w:tr2bl w:val="nil"/>
            </w:tcBorders>
            <w:noWrap w:val="0"/>
            <w:vAlign w:val="center"/>
          </w:tcPr>
          <w:p w14:paraId="4A1F99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施工期内至少一次，连续监测</w:t>
            </w:r>
            <w:r>
              <w:rPr>
                <w:rFonts w:hint="eastAsia"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rPr>
              <w:t>天</w:t>
            </w:r>
          </w:p>
        </w:tc>
        <w:tc>
          <w:tcPr>
            <w:tcW w:w="1798" w:type="dxa"/>
            <w:tcBorders>
              <w:tl2br w:val="nil"/>
              <w:tr2bl w:val="nil"/>
            </w:tcBorders>
            <w:noWrap w:val="0"/>
            <w:vAlign w:val="center"/>
          </w:tcPr>
          <w:p w14:paraId="01BDD6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河道施工下游处、各个配套建筑物、生活废水处理末端和生活区生活污水处理末端等处各设1个监测点位。</w:t>
            </w:r>
          </w:p>
          <w:p w14:paraId="32CB97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p>
        </w:tc>
      </w:tr>
      <w:tr w14:paraId="424A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noWrap w:val="0"/>
            <w:vAlign w:val="center"/>
          </w:tcPr>
          <w:p w14:paraId="40FF23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sz w:val="21"/>
                <w:szCs w:val="21"/>
              </w:rPr>
            </w:pPr>
          </w:p>
        </w:tc>
        <w:tc>
          <w:tcPr>
            <w:tcW w:w="1153" w:type="dxa"/>
            <w:tcBorders>
              <w:tl2br w:val="nil"/>
              <w:tr2bl w:val="nil"/>
            </w:tcBorders>
            <w:noWrap w:val="0"/>
            <w:vAlign w:val="center"/>
          </w:tcPr>
          <w:p w14:paraId="204A2BB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声环境监测</w:t>
            </w:r>
          </w:p>
        </w:tc>
        <w:tc>
          <w:tcPr>
            <w:tcW w:w="2306" w:type="dxa"/>
            <w:tcBorders>
              <w:tl2br w:val="nil"/>
              <w:tr2bl w:val="nil"/>
            </w:tcBorders>
            <w:noWrap w:val="0"/>
            <w:vAlign w:val="center"/>
          </w:tcPr>
          <w:p w14:paraId="04F68D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等效连续A声级</w:t>
            </w:r>
          </w:p>
        </w:tc>
        <w:tc>
          <w:tcPr>
            <w:tcW w:w="2256" w:type="dxa"/>
            <w:tcBorders>
              <w:tl2br w:val="nil"/>
              <w:tr2bl w:val="nil"/>
            </w:tcBorders>
            <w:noWrap w:val="0"/>
            <w:vAlign w:val="center"/>
          </w:tcPr>
          <w:p w14:paraId="7AB6594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施工期内至少一次，连续监测2天，每天昼、夜间监测1次</w:t>
            </w:r>
          </w:p>
        </w:tc>
        <w:tc>
          <w:tcPr>
            <w:tcW w:w="1798" w:type="dxa"/>
            <w:tcBorders>
              <w:tl2br w:val="nil"/>
              <w:tr2bl w:val="nil"/>
            </w:tcBorders>
            <w:noWrap w:val="0"/>
            <w:vAlign w:val="center"/>
          </w:tcPr>
          <w:p w14:paraId="2B5ADD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施工现场边界</w:t>
            </w:r>
          </w:p>
        </w:tc>
      </w:tr>
      <w:tr w14:paraId="21F6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noWrap w:val="0"/>
            <w:vAlign w:val="center"/>
          </w:tcPr>
          <w:p w14:paraId="5CAE1F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000000"/>
                <w:sz w:val="21"/>
                <w:szCs w:val="21"/>
              </w:rPr>
            </w:pPr>
          </w:p>
        </w:tc>
        <w:tc>
          <w:tcPr>
            <w:tcW w:w="1153" w:type="dxa"/>
            <w:tcBorders>
              <w:tl2br w:val="nil"/>
              <w:tr2bl w:val="nil"/>
            </w:tcBorders>
            <w:noWrap w:val="0"/>
            <w:vAlign w:val="center"/>
          </w:tcPr>
          <w:p w14:paraId="3C929E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2306" w:type="dxa"/>
            <w:tcBorders>
              <w:tl2br w:val="nil"/>
              <w:tr2bl w:val="nil"/>
            </w:tcBorders>
            <w:noWrap w:val="0"/>
            <w:vAlign w:val="center"/>
          </w:tcPr>
          <w:p w14:paraId="746FDE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排洪渠沙土</w:t>
            </w:r>
            <w:r>
              <w:rPr>
                <w:rFonts w:hint="default" w:ascii="Times New Roman" w:hAnsi="Times New Roman" w:eastAsia="宋体" w:cs="Times New Roman"/>
                <w:color w:val="000000"/>
                <w:sz w:val="21"/>
                <w:szCs w:val="21"/>
              </w:rPr>
              <w:t>土方量</w:t>
            </w:r>
          </w:p>
        </w:tc>
        <w:tc>
          <w:tcPr>
            <w:tcW w:w="2256" w:type="dxa"/>
            <w:tcBorders>
              <w:tl2br w:val="nil"/>
              <w:tr2bl w:val="nil"/>
            </w:tcBorders>
            <w:noWrap w:val="0"/>
            <w:vAlign w:val="center"/>
          </w:tcPr>
          <w:p w14:paraId="5C4DDD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每天进行统计</w:t>
            </w:r>
          </w:p>
        </w:tc>
        <w:tc>
          <w:tcPr>
            <w:tcW w:w="1798" w:type="dxa"/>
            <w:tcBorders>
              <w:tl2br w:val="nil"/>
              <w:tr2bl w:val="nil"/>
            </w:tcBorders>
            <w:noWrap w:val="0"/>
            <w:vAlign w:val="center"/>
          </w:tcPr>
          <w:p w14:paraId="302B13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施工现场</w:t>
            </w:r>
          </w:p>
        </w:tc>
      </w:tr>
      <w:tr w14:paraId="5E85C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restart"/>
            <w:tcBorders>
              <w:tl2br w:val="nil"/>
              <w:tr2bl w:val="nil"/>
            </w:tcBorders>
            <w:noWrap w:val="0"/>
            <w:vAlign w:val="center"/>
          </w:tcPr>
          <w:p w14:paraId="03C12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运营期</w:t>
            </w:r>
          </w:p>
        </w:tc>
        <w:tc>
          <w:tcPr>
            <w:tcW w:w="1153" w:type="dxa"/>
            <w:tcBorders>
              <w:tl2br w:val="nil"/>
              <w:tr2bl w:val="nil"/>
            </w:tcBorders>
            <w:noWrap w:val="0"/>
            <w:vAlign w:val="center"/>
          </w:tcPr>
          <w:p w14:paraId="11ABE2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固体废物</w:t>
            </w:r>
          </w:p>
        </w:tc>
        <w:tc>
          <w:tcPr>
            <w:tcW w:w="2306" w:type="dxa"/>
            <w:tcBorders>
              <w:tl2br w:val="nil"/>
              <w:tr2bl w:val="nil"/>
            </w:tcBorders>
            <w:noWrap w:val="0"/>
            <w:vAlign w:val="center"/>
          </w:tcPr>
          <w:p w14:paraId="6B607E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排洪渠植物枯叶及沙土方量</w:t>
            </w:r>
          </w:p>
        </w:tc>
        <w:tc>
          <w:tcPr>
            <w:tcW w:w="2256" w:type="dxa"/>
            <w:tcBorders>
              <w:tl2br w:val="nil"/>
              <w:tr2bl w:val="nil"/>
            </w:tcBorders>
            <w:noWrap w:val="0"/>
            <w:vAlign w:val="center"/>
          </w:tcPr>
          <w:p w14:paraId="2A4C10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定期统计</w:t>
            </w:r>
          </w:p>
        </w:tc>
        <w:tc>
          <w:tcPr>
            <w:tcW w:w="1798" w:type="dxa"/>
            <w:tcBorders>
              <w:tl2br w:val="nil"/>
              <w:tr2bl w:val="nil"/>
            </w:tcBorders>
            <w:noWrap w:val="0"/>
            <w:vAlign w:val="center"/>
          </w:tcPr>
          <w:p w14:paraId="3B8756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项目现场</w:t>
            </w:r>
          </w:p>
        </w:tc>
      </w:tr>
      <w:tr w14:paraId="2F34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7" w:type="dxa"/>
            <w:vMerge w:val="continue"/>
            <w:tcBorders>
              <w:tl2br w:val="nil"/>
              <w:tr2bl w:val="nil"/>
            </w:tcBorders>
            <w:noWrap w:val="0"/>
            <w:vAlign w:val="center"/>
          </w:tcPr>
          <w:p w14:paraId="0D7AFC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p>
        </w:tc>
        <w:tc>
          <w:tcPr>
            <w:tcW w:w="1153" w:type="dxa"/>
            <w:tcBorders>
              <w:tl2br w:val="nil"/>
              <w:tr2bl w:val="nil"/>
            </w:tcBorders>
            <w:noWrap w:val="0"/>
            <w:vAlign w:val="center"/>
          </w:tcPr>
          <w:p w14:paraId="42A5E3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生态</w:t>
            </w:r>
          </w:p>
        </w:tc>
        <w:tc>
          <w:tcPr>
            <w:tcW w:w="2306" w:type="dxa"/>
            <w:tcBorders>
              <w:tl2br w:val="nil"/>
              <w:tr2bl w:val="nil"/>
            </w:tcBorders>
            <w:noWrap w:val="0"/>
            <w:vAlign w:val="center"/>
          </w:tcPr>
          <w:p w14:paraId="4673F3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eastAsia="zh-CN"/>
              </w:rPr>
              <w:t>排洪渠</w:t>
            </w:r>
            <w:r>
              <w:rPr>
                <w:rFonts w:hint="default" w:ascii="Times New Roman" w:hAnsi="Times New Roman" w:eastAsia="宋体" w:cs="Times New Roman"/>
                <w:color w:val="000000"/>
                <w:sz w:val="21"/>
                <w:szCs w:val="21"/>
              </w:rPr>
              <w:t>周围绿化区域</w:t>
            </w:r>
          </w:p>
        </w:tc>
        <w:tc>
          <w:tcPr>
            <w:tcW w:w="2256" w:type="dxa"/>
            <w:tcBorders>
              <w:tl2br w:val="nil"/>
              <w:tr2bl w:val="nil"/>
            </w:tcBorders>
            <w:noWrap w:val="0"/>
            <w:vAlign w:val="center"/>
          </w:tcPr>
          <w:p w14:paraId="5C5DBD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生物损失量，植被覆盖率及水土流失恢复率</w:t>
            </w:r>
          </w:p>
        </w:tc>
        <w:tc>
          <w:tcPr>
            <w:tcW w:w="1798" w:type="dxa"/>
            <w:tcBorders>
              <w:tl2br w:val="nil"/>
              <w:tr2bl w:val="nil"/>
            </w:tcBorders>
            <w:noWrap w:val="0"/>
            <w:vAlign w:val="center"/>
          </w:tcPr>
          <w:p w14:paraId="7F45DC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土质边坡和右堤堤顶</w:t>
            </w:r>
          </w:p>
        </w:tc>
      </w:tr>
    </w:tbl>
    <w:p w14:paraId="0176DAA6">
      <w:pPr>
        <w:rPr>
          <w:color w:val="000000"/>
        </w:rPr>
      </w:pPr>
    </w:p>
    <w:p w14:paraId="14458270">
      <w:pPr>
        <w:pStyle w:val="3"/>
        <w:bidi w:val="0"/>
        <w:rPr>
          <w:rFonts w:hint="eastAsia"/>
          <w:color w:val="000000"/>
          <w:lang w:val="en-US" w:eastAsia="zh-CN"/>
        </w:rPr>
      </w:pPr>
      <w:r>
        <w:rPr>
          <w:color w:val="000000"/>
        </w:rPr>
        <w:br w:type="page"/>
      </w:r>
      <w:bookmarkStart w:id="175" w:name="_Toc11117"/>
      <w:bookmarkStart w:id="176" w:name="_Toc19576"/>
      <w:r>
        <w:rPr>
          <w:rFonts w:hint="eastAsia"/>
          <w:color w:val="000000"/>
          <w:lang w:val="en-US" w:eastAsia="zh-CN"/>
        </w:rPr>
        <w:t>7 结论</w:t>
      </w:r>
      <w:bookmarkEnd w:id="175"/>
      <w:bookmarkEnd w:id="176"/>
    </w:p>
    <w:p w14:paraId="7702E07A">
      <w:pPr>
        <w:pStyle w:val="4"/>
        <w:bidi w:val="0"/>
        <w:rPr>
          <w:color w:val="000000"/>
        </w:rPr>
      </w:pPr>
      <w:bookmarkStart w:id="177" w:name="_Toc331248778"/>
      <w:bookmarkStart w:id="178" w:name="_Toc325659667"/>
      <w:bookmarkStart w:id="179" w:name="_Toc340228333"/>
      <w:bookmarkStart w:id="180" w:name="_Toc320987642"/>
      <w:bookmarkStart w:id="181" w:name="_Toc347660488"/>
      <w:bookmarkStart w:id="182" w:name="_Toc320446421"/>
      <w:bookmarkStart w:id="183" w:name="_Toc327020747"/>
      <w:bookmarkStart w:id="184" w:name="_Toc268009160"/>
      <w:bookmarkStart w:id="185" w:name="_Toc325656886"/>
      <w:bookmarkStart w:id="186" w:name="_Toc350352183"/>
      <w:bookmarkStart w:id="187" w:name="_Toc320530116"/>
      <w:bookmarkStart w:id="188" w:name="_Toc339475815"/>
      <w:bookmarkStart w:id="189" w:name="_Toc331248176"/>
      <w:bookmarkStart w:id="190" w:name="_Toc7669"/>
      <w:bookmarkStart w:id="191" w:name="_Toc119915385"/>
      <w:bookmarkStart w:id="192" w:name="_Toc20539"/>
      <w:r>
        <w:rPr>
          <w:rFonts w:hint="eastAsia"/>
          <w:color w:val="000000"/>
          <w:lang w:val="en-US" w:eastAsia="zh-CN"/>
        </w:rPr>
        <w:t>7</w:t>
      </w:r>
      <w:r>
        <w:rPr>
          <w:color w:val="000000"/>
        </w:rPr>
        <w:t>.1</w:t>
      </w:r>
      <w:bookmarkEnd w:id="177"/>
      <w:bookmarkEnd w:id="178"/>
      <w:bookmarkEnd w:id="179"/>
      <w:bookmarkEnd w:id="180"/>
      <w:bookmarkEnd w:id="181"/>
      <w:bookmarkEnd w:id="182"/>
      <w:bookmarkEnd w:id="183"/>
      <w:bookmarkEnd w:id="184"/>
      <w:bookmarkEnd w:id="185"/>
      <w:bookmarkEnd w:id="186"/>
      <w:bookmarkEnd w:id="187"/>
      <w:bookmarkEnd w:id="188"/>
      <w:bookmarkEnd w:id="189"/>
      <w:r>
        <w:rPr>
          <w:rFonts w:hint="eastAsia"/>
          <w:color w:val="000000"/>
          <w:lang w:eastAsia="zh-CN"/>
        </w:rPr>
        <w:t xml:space="preserve"> </w:t>
      </w:r>
      <w:r>
        <w:rPr>
          <w:color w:val="000000"/>
        </w:rPr>
        <w:t>建设项目概况</w:t>
      </w:r>
      <w:bookmarkEnd w:id="190"/>
      <w:bookmarkEnd w:id="191"/>
      <w:bookmarkEnd w:id="192"/>
    </w:p>
    <w:p w14:paraId="5EC4ABDE">
      <w:pPr>
        <w:bidi w:val="0"/>
        <w:rPr>
          <w:rFonts w:hint="default" w:eastAsia="宋体"/>
          <w:color w:val="000000"/>
          <w:lang w:val="en-US" w:eastAsia="zh-CN"/>
        </w:rPr>
      </w:pPr>
      <w:bookmarkStart w:id="193" w:name="_Toc119915386"/>
      <w:r>
        <w:rPr>
          <w:rFonts w:hint="default"/>
          <w:color w:val="000000"/>
          <w:lang w:val="en-US" w:eastAsia="zh-CN"/>
        </w:rPr>
        <w:t>为解决区域排涝能力不足、排水沟渠不成系统的问题，保障区域工农业生产及人民群众的生命财产安全，促进霍山县经济发展。通过幽芳河、高庙河、柳林河、新店河等霍山县城区排涝通道整治，解决排涝通道防洪排涝不达标，护岸损毁、滩地坡面裸露、河床下切等问题，为区域发展提供安全的水利基础设施，并建设山洪灾害预防系统以提升水利工程管理能力。通过新建排水管网工程，全面提升城市排水防涝能力与水环境质量。</w:t>
      </w:r>
      <w:r>
        <w:rPr>
          <w:rFonts w:hint="eastAsia"/>
          <w:color w:val="000000"/>
          <w:lang w:val="en-US" w:eastAsia="zh-CN"/>
        </w:rPr>
        <w:t>霍山县水务局拟投</w:t>
      </w:r>
      <w:r>
        <w:rPr>
          <w:rFonts w:hint="eastAsia"/>
          <w:color w:val="000000"/>
          <w:highlight w:val="none"/>
          <w:lang w:val="en-US" w:eastAsia="zh-CN"/>
        </w:rPr>
        <w:t>资</w:t>
      </w:r>
      <w:r>
        <w:rPr>
          <w:rFonts w:hint="eastAsia" w:eastAsia="宋体" w:cs="Times New Roman"/>
          <w:color w:val="000000"/>
          <w:sz w:val="24"/>
          <w:highlight w:val="none"/>
          <w:lang w:val="en-US" w:eastAsia="zh-CN"/>
        </w:rPr>
        <w:t>39550.68</w:t>
      </w:r>
      <w:r>
        <w:rPr>
          <w:rFonts w:hint="eastAsia"/>
          <w:color w:val="000000"/>
          <w:highlight w:val="none"/>
          <w:lang w:val="en-US" w:eastAsia="zh-CN"/>
        </w:rPr>
        <w:t>万元</w:t>
      </w:r>
      <w:r>
        <w:rPr>
          <w:rFonts w:hint="eastAsia"/>
          <w:color w:val="000000"/>
          <w:lang w:val="en-US" w:eastAsia="zh-CN"/>
        </w:rPr>
        <w:t>建设“六安市霍山县排水防涝能力提升项目”，该工程建设内容为：</w:t>
      </w:r>
      <w:r>
        <w:rPr>
          <w:rFonts w:hint="default" w:ascii="Times New Roman" w:hAnsi="Times New Roman" w:eastAsia="宋体" w:cs="Times New Roman"/>
          <w:color w:val="000000"/>
          <w:sz w:val="24"/>
          <w:szCs w:val="24"/>
        </w:rPr>
        <w:t>新建排水管网30.8k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；增设西部新城排涝泵站1座，改造排涝沟11.49k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；整治城区柳林河、幽芳河、高庙河、新店河四条排涝通道总长25.62k</w:t>
      </w:r>
      <w:r>
        <w:rPr>
          <w:rFonts w:hint="eastAsia" w:eastAsia="宋体" w:cs="Times New Roman"/>
          <w:color w:val="000000"/>
          <w:sz w:val="24"/>
          <w:szCs w:val="24"/>
          <w:lang w:eastAsia="zh-CN"/>
        </w:rPr>
        <w:t>m</w:t>
      </w:r>
      <w:r>
        <w:rPr>
          <w:rFonts w:hint="default" w:ascii="Times New Roman" w:hAnsi="Times New Roman" w:eastAsia="宋体" w:cs="Times New Roman"/>
          <w:color w:val="000000"/>
          <w:sz w:val="24"/>
          <w:szCs w:val="24"/>
        </w:rPr>
        <w:t>。2025年1</w:t>
      </w:r>
      <w:r>
        <w:rPr>
          <w:rFonts w:hint="eastAsia"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月</w:t>
      </w:r>
      <w:r>
        <w:rPr>
          <w:rFonts w:hint="eastAsia"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5日，霍山县发改委</w:t>
      </w:r>
      <w:r>
        <w:rPr>
          <w:rFonts w:hint="eastAsia" w:ascii="Times New Roman" w:hAnsi="Times New Roman" w:eastAsia="宋体" w:cs="Times New Roman"/>
          <w:color w:val="000000"/>
          <w:sz w:val="24"/>
          <w:szCs w:val="24"/>
          <w:lang w:eastAsia="zh-CN"/>
        </w:rPr>
        <w:t>以</w:t>
      </w:r>
      <w:r>
        <w:rPr>
          <w:rFonts w:hint="default" w:ascii="Times New Roman" w:hAnsi="Times New Roman" w:eastAsia="宋体" w:cs="Times New Roman"/>
          <w:color w:val="000000"/>
          <w:sz w:val="24"/>
          <w:szCs w:val="24"/>
        </w:rPr>
        <w:t>（霍发改投资〔2025〕2</w:t>
      </w:r>
      <w:r>
        <w:rPr>
          <w:rFonts w:hint="eastAsia" w:ascii="Times New Roman" w:hAnsi="Times New Roman" w:eastAsia="宋体" w:cs="Times New Roman"/>
          <w:color w:val="000000"/>
          <w:sz w:val="24"/>
          <w:szCs w:val="24"/>
          <w:lang w:val="en-US" w:eastAsia="zh-CN"/>
        </w:rPr>
        <w:t>284</w:t>
      </w:r>
      <w:r>
        <w:rPr>
          <w:rFonts w:hint="default" w:ascii="Times New Roman" w:hAnsi="Times New Roman" w:eastAsia="宋体" w:cs="Times New Roman"/>
          <w:color w:val="000000"/>
          <w:sz w:val="24"/>
          <w:szCs w:val="24"/>
        </w:rPr>
        <w:t>号）</w:t>
      </w:r>
      <w:r>
        <w:rPr>
          <w:rFonts w:hint="eastAsia" w:ascii="Times New Roman" w:hAnsi="Times New Roman" w:eastAsia="宋体" w:cs="Times New Roman"/>
          <w:color w:val="000000"/>
          <w:sz w:val="24"/>
          <w:szCs w:val="24"/>
          <w:lang w:eastAsia="zh-CN"/>
        </w:rPr>
        <w:t>对</w:t>
      </w:r>
      <w:r>
        <w:rPr>
          <w:rFonts w:hint="default" w:ascii="Times New Roman" w:hAnsi="Times New Roman" w:eastAsia="宋体" w:cs="Times New Roman"/>
          <w:color w:val="000000"/>
          <w:sz w:val="24"/>
          <w:szCs w:val="24"/>
        </w:rPr>
        <w:t>《六安市霍山县排水防涝能力提升项目</w:t>
      </w:r>
      <w:r>
        <w:rPr>
          <w:rFonts w:hint="eastAsia"/>
          <w:color w:val="000000"/>
          <w:lang w:eastAsia="zh-CN"/>
        </w:rPr>
        <w:t>可行性研究报告</w:t>
      </w:r>
      <w:r>
        <w:rPr>
          <w:rFonts w:hint="default" w:ascii="Times New Roman" w:hAnsi="Times New Roman" w:eastAsia="宋体" w:cs="Times New Roman"/>
          <w:color w:val="000000"/>
          <w:sz w:val="24"/>
          <w:szCs w:val="24"/>
        </w:rPr>
        <w:t>》</w:t>
      </w:r>
      <w:r>
        <w:rPr>
          <w:color w:val="000000"/>
        </w:rPr>
        <w:t>进行了</w:t>
      </w:r>
      <w:r>
        <w:rPr>
          <w:rFonts w:hint="eastAsia"/>
          <w:color w:val="000000"/>
          <w:lang w:eastAsia="zh-CN"/>
        </w:rPr>
        <w:t>批复</w:t>
      </w:r>
      <w:r>
        <w:rPr>
          <w:color w:val="000000"/>
        </w:rPr>
        <w:t>。</w:t>
      </w:r>
    </w:p>
    <w:bookmarkEnd w:id="193"/>
    <w:p w14:paraId="54CAEB09">
      <w:pPr>
        <w:pStyle w:val="5"/>
        <w:bidi w:val="0"/>
        <w:outlineLvl w:val="1"/>
        <w:rPr>
          <w:color w:val="000000"/>
        </w:rPr>
      </w:pPr>
      <w:bookmarkStart w:id="194" w:name="_Toc11995"/>
      <w:bookmarkStart w:id="195" w:name="_Toc10288"/>
      <w:r>
        <w:rPr>
          <w:rFonts w:hint="eastAsia"/>
          <w:color w:val="000000"/>
          <w:lang w:val="en-US" w:eastAsia="zh-CN"/>
        </w:rPr>
        <w:t xml:space="preserve">7.2 </w:t>
      </w:r>
      <w:r>
        <w:rPr>
          <w:rFonts w:hint="eastAsia"/>
          <w:color w:val="000000"/>
          <w:lang w:eastAsia="zh-CN"/>
        </w:rPr>
        <w:t>产业政策、规划相符性</w:t>
      </w:r>
      <w:bookmarkEnd w:id="194"/>
      <w:bookmarkEnd w:id="195"/>
    </w:p>
    <w:p w14:paraId="2CE8146D">
      <w:pPr>
        <w:bidi w:val="0"/>
        <w:rPr>
          <w:rFonts w:hint="eastAsia"/>
          <w:color w:val="000000"/>
          <w:lang w:val="en-US" w:eastAsia="zh-CN"/>
        </w:rPr>
      </w:pPr>
      <w:r>
        <w:rPr>
          <w:rFonts w:hint="eastAsia"/>
          <w:color w:val="000000"/>
          <w:lang w:val="en-US" w:eastAsia="zh-CN"/>
        </w:rPr>
        <w:t>根据中华人民共和国国家发展和改革委员会令第7号《产业结构调整指导目录（2024年本）》，本项目属于第一类鼓励类，二、水利—3．防洪提升工程：“城市积涝预警和防洪工程，江河湖库清淤疏浚工程，堤防隐患排查与修复”，因此本项目符合国家产业政策。</w:t>
      </w:r>
    </w:p>
    <w:p w14:paraId="45E0A839">
      <w:pPr>
        <w:pStyle w:val="5"/>
        <w:bidi w:val="0"/>
        <w:outlineLvl w:val="1"/>
        <w:rPr>
          <w:color w:val="000000"/>
        </w:rPr>
      </w:pPr>
      <w:bookmarkStart w:id="196" w:name="_Toc30158"/>
      <w:bookmarkStart w:id="197" w:name="_Toc17177"/>
      <w:r>
        <w:rPr>
          <w:rFonts w:hint="eastAsia"/>
          <w:color w:val="000000"/>
          <w:lang w:val="en-US" w:eastAsia="zh-CN"/>
        </w:rPr>
        <w:t>7.3 生态</w:t>
      </w:r>
      <w:r>
        <w:rPr>
          <w:color w:val="000000"/>
        </w:rPr>
        <w:t>环境</w:t>
      </w:r>
      <w:r>
        <w:rPr>
          <w:rFonts w:hint="eastAsia"/>
          <w:color w:val="000000"/>
          <w:lang w:eastAsia="zh-CN"/>
        </w:rPr>
        <w:t>质量</w:t>
      </w:r>
      <w:r>
        <w:rPr>
          <w:color w:val="000000"/>
        </w:rPr>
        <w:t>现状</w:t>
      </w:r>
      <w:bookmarkEnd w:id="196"/>
      <w:bookmarkEnd w:id="197"/>
    </w:p>
    <w:p w14:paraId="021560D4">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内容，霍山县兽类优势种有东北刺猬、赤腹松鼠、小麂和野猪，它们的分布从海拔400m至1700m都有分布。啮齿目以及翼手目多分布在村落和农耕地附近，与人类活动高度关联。猪獾、亚洲狗獾等小型食肉目动物多分布在200～600m的区域，海拔相对低，小麂主要分布在600～1000m的中海拔地区，安徽麝主要分布在海拔1000m以上的高海拔地区。</w:t>
      </w:r>
    </w:p>
    <w:p w14:paraId="140D1BF6">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jc w:val="left"/>
        <w:textAlignment w:val="auto"/>
        <w:rPr>
          <w:color w:val="000000"/>
        </w:rPr>
      </w:pPr>
      <w:r>
        <w:rPr>
          <w:rFonts w:hint="eastAsia" w:cs="Times New Roman"/>
          <w:bCs/>
          <w:color w:val="000000"/>
          <w:highlight w:val="none"/>
          <w:lang w:val="en-US" w:eastAsia="zh-CN"/>
        </w:rPr>
        <w:t>调查结果显示，大多数重点保护兽类活动海拔约在400～1300m之间，其中安徽麝在500-1200m的海拔区段活动，小麂、花面狸、猪獾、貉、黄鼬在400～1300m左右海拔区段均有活动；整体分布海拔跨度广，其中鼬獾海拔分布最窄，在海拔400～900m左右海拔区段活动</w:t>
      </w:r>
      <w:r>
        <w:rPr>
          <w:color w:val="000000"/>
        </w:rPr>
        <w:t>。</w:t>
      </w:r>
    </w:p>
    <w:p w14:paraId="66637934">
      <w:pPr>
        <w:keepNext w:val="0"/>
        <w:keepLines w:val="0"/>
        <w:pageBreakBefore w:val="0"/>
        <w:widowControl w:val="0"/>
        <w:suppressLineNumbers w:val="0"/>
        <w:kinsoku/>
        <w:overflowPunct/>
        <w:topLinePunct w:val="0"/>
        <w:bidi w:val="0"/>
        <w:adjustRightInd/>
        <w:snapToGrid/>
        <w:spacing w:before="0" w:beforeAutospacing="0" w:after="0" w:afterAutospacing="0" w:line="360" w:lineRule="auto"/>
        <w:ind w:left="0" w:leftChars="0" w:right="0" w:rightChars="0" w:firstLine="480" w:firstLineChars="200"/>
        <w:textAlignment w:val="auto"/>
        <w:rPr>
          <w:rFonts w:hint="eastAsia"/>
          <w:color w:val="000000"/>
          <w:lang w:val="en-US" w:eastAsia="zh-CN"/>
        </w:rPr>
      </w:pPr>
      <w:r>
        <w:rPr>
          <w:rFonts w:hint="eastAsia" w:cs="Times New Roman"/>
          <w:bCs/>
          <w:color w:val="000000"/>
          <w:highlight w:val="none"/>
          <w:lang w:val="en-US" w:eastAsia="zh-CN"/>
        </w:rPr>
        <w:t>本项目</w:t>
      </w:r>
      <w:r>
        <w:rPr>
          <w:rFonts w:hint="default" w:ascii="Times New Roman" w:hAnsi="Times New Roman" w:eastAsia="宋体" w:cs="Times New Roman"/>
          <w:bCs/>
          <w:color w:val="000000"/>
          <w:highlight w:val="none"/>
          <w:lang w:val="en-US" w:eastAsia="zh-CN"/>
        </w:rPr>
        <w:t>涉及国家和安徽省重点保护哺乳动物</w:t>
      </w:r>
      <w:r>
        <w:rPr>
          <w:rFonts w:hint="eastAsia" w:cs="Times New Roman"/>
          <w:bCs/>
          <w:color w:val="000000"/>
          <w:highlight w:val="none"/>
          <w:lang w:val="en-US" w:eastAsia="zh-CN"/>
        </w:rPr>
        <w:t>主要为小灵猫</w:t>
      </w:r>
      <w:r>
        <w:rPr>
          <w:rFonts w:hint="eastAsia"/>
          <w:color w:val="000000"/>
          <w:lang w:val="en-US" w:eastAsia="zh-CN"/>
        </w:rPr>
        <w:t>。</w:t>
      </w:r>
    </w:p>
    <w:p w14:paraId="796C26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eastAsia" w:cs="Times New Roman"/>
          <w:bCs/>
          <w:color w:val="000000"/>
          <w:highlight w:val="none"/>
          <w:lang w:val="en-US" w:eastAsia="zh-CN"/>
        </w:rPr>
      </w:pPr>
      <w:r>
        <w:rPr>
          <w:rFonts w:hint="eastAsia" w:cs="Times New Roman"/>
          <w:bCs/>
          <w:color w:val="000000"/>
          <w:highlight w:val="none"/>
          <w:lang w:val="en-US" w:eastAsia="zh-CN"/>
        </w:rPr>
        <w:t>根据《</w:t>
      </w:r>
      <w:r>
        <w:rPr>
          <w:rFonts w:hint="default" w:ascii="Times New Roman" w:hAnsi="Times New Roman" w:eastAsia="宋体" w:cs="Times New Roman"/>
          <w:bCs/>
          <w:color w:val="000000"/>
          <w:highlight w:val="none"/>
          <w:lang w:val="en-US" w:eastAsia="zh-CN"/>
        </w:rPr>
        <w:t>霍山县县域生物多样性本底调查与评估项目（ZFCG-2023-053）</w:t>
      </w:r>
      <w:r>
        <w:rPr>
          <w:rFonts w:hint="eastAsia" w:cs="Times New Roman"/>
          <w:bCs/>
          <w:color w:val="000000"/>
          <w:highlight w:val="none"/>
          <w:lang w:val="en-US" w:eastAsia="zh-CN"/>
        </w:rPr>
        <w:t>》技术报告中内容：水生生物调查范围主要为霍山县域内的东淠河、佛子岭水库、磨子潭水库和白莲崖水库及周边水域，其中白莲崖水库属漫水河蒙古红鲌国家级水产种质资源保护区范围。</w:t>
      </w:r>
    </w:p>
    <w:p w14:paraId="126116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color w:val="000000"/>
          <w:lang w:val="en-US" w:eastAsia="zh-CN"/>
        </w:rPr>
      </w:pPr>
      <w:r>
        <w:rPr>
          <w:rFonts w:hint="default" w:ascii="Times New Roman" w:hAnsi="Times New Roman" w:eastAsia="宋体" w:cs="Times New Roman"/>
          <w:color w:val="000000"/>
          <w:lang w:val="en-US" w:eastAsia="zh-CN"/>
        </w:rPr>
        <w:t>根据现场调查，本项目涉及水域</w:t>
      </w:r>
      <w:r>
        <w:rPr>
          <w:rFonts w:hint="eastAsia" w:cs="Times New Roman"/>
          <w:color w:val="000000"/>
          <w:lang w:val="en-US" w:eastAsia="zh-CN"/>
        </w:rPr>
        <w:t>，</w:t>
      </w:r>
      <w:r>
        <w:rPr>
          <w:rFonts w:hint="default" w:ascii="Times New Roman" w:hAnsi="Times New Roman" w:eastAsia="宋体" w:cs="Times New Roman"/>
          <w:color w:val="000000"/>
          <w:lang w:val="en-US" w:eastAsia="zh-CN"/>
        </w:rPr>
        <w:t>项目区无鱼类产卵场、索饵场和越冬场等三场”，项目区无珍稀、特有鱼类。</w:t>
      </w:r>
    </w:p>
    <w:p w14:paraId="42E805FD">
      <w:pPr>
        <w:pStyle w:val="5"/>
        <w:bidi w:val="0"/>
        <w:outlineLvl w:val="1"/>
        <w:rPr>
          <w:color w:val="000000"/>
        </w:rPr>
      </w:pPr>
      <w:bookmarkStart w:id="198" w:name="_Toc23214"/>
      <w:bookmarkStart w:id="199" w:name="_Toc25725"/>
      <w:r>
        <w:rPr>
          <w:rFonts w:hint="eastAsia"/>
          <w:color w:val="000000"/>
          <w:lang w:val="en-US" w:eastAsia="zh-CN"/>
        </w:rPr>
        <w:t>7.4</w:t>
      </w:r>
      <w:r>
        <w:rPr>
          <w:rFonts w:hint="eastAsia"/>
          <w:color w:val="000000"/>
          <w:lang w:eastAsia="zh-CN"/>
        </w:rPr>
        <w:t>主要</w:t>
      </w:r>
      <w:r>
        <w:rPr>
          <w:rFonts w:hint="eastAsia"/>
          <w:color w:val="000000"/>
          <w:lang w:val="en-US" w:eastAsia="zh-CN"/>
        </w:rPr>
        <w:t>生态</w:t>
      </w:r>
      <w:r>
        <w:rPr>
          <w:rFonts w:hint="eastAsia"/>
          <w:color w:val="000000"/>
          <w:lang w:eastAsia="zh-CN"/>
        </w:rPr>
        <w:t>环境影响</w:t>
      </w:r>
      <w:bookmarkEnd w:id="198"/>
      <w:bookmarkEnd w:id="199"/>
    </w:p>
    <w:p w14:paraId="1BACEFAA">
      <w:pPr>
        <w:bidi w:val="0"/>
        <w:rPr>
          <w:color w:val="000000"/>
        </w:rPr>
      </w:pPr>
      <w:r>
        <w:rPr>
          <w:rFonts w:hint="eastAsia"/>
          <w:color w:val="000000"/>
          <w:lang w:eastAsia="zh-CN"/>
        </w:rPr>
        <w:t>本项目生态环境影响主要为土方开挖、填土以及围堰等临时工程占地改变</w:t>
      </w:r>
      <w:r>
        <w:rPr>
          <w:rFonts w:hint="eastAsia"/>
          <w:color w:val="000000"/>
          <w:highlight w:val="none"/>
          <w:lang w:eastAsia="zh-CN"/>
        </w:rPr>
        <w:t>土地利用类型和</w:t>
      </w:r>
      <w:r>
        <w:rPr>
          <w:rFonts w:hint="eastAsia"/>
          <w:color w:val="000000"/>
          <w:lang w:eastAsia="zh-CN"/>
        </w:rPr>
        <w:t>河底的地形地貌。工程施工对植物种类、生物量以及分布区域产生不利影响，进一步改变了动植物的生存环境。施工行为使得动物直接死亡或远离施工区域，周边动物种类、分布以及数量均有所减少。施工扰动水体，使得水质、水文情势发生变化，不利于陆生动物、水生动物生存，</w:t>
      </w:r>
      <w:r>
        <w:rPr>
          <w:rFonts w:hint="eastAsia" w:ascii="Times New Roman" w:hAnsi="Times New Roman" w:cs="Times New Roman"/>
          <w:i w:val="0"/>
          <w:iCs w:val="0"/>
          <w:caps w:val="0"/>
          <w:color w:val="000000"/>
          <w:spacing w:val="0"/>
          <w:sz w:val="24"/>
          <w:szCs w:val="24"/>
          <w:shd w:val="clear" w:color="auto" w:fill="FFFFFF"/>
          <w:lang w:eastAsia="zh-CN"/>
        </w:rPr>
        <w:t>对浮游生物、底栖生物、鱼类、鸟类如国家和省级保护动物</w:t>
      </w:r>
      <w:r>
        <w:rPr>
          <w:rFonts w:hint="eastAsia" w:cs="Times New Roman"/>
          <w:bCs/>
          <w:color w:val="000000"/>
          <w:highlight w:val="none"/>
          <w:lang w:val="en-US" w:eastAsia="zh-CN"/>
        </w:rPr>
        <w:t>小灵猫</w:t>
      </w:r>
      <w:r>
        <w:rPr>
          <w:rFonts w:hint="eastAsia" w:ascii="Times New Roman" w:hAnsi="Times New Roman" w:cs="Times New Roman"/>
          <w:i w:val="0"/>
          <w:iCs w:val="0"/>
          <w:caps w:val="0"/>
          <w:color w:val="000000"/>
          <w:spacing w:val="0"/>
          <w:sz w:val="24"/>
          <w:szCs w:val="24"/>
          <w:shd w:val="clear" w:color="auto" w:fill="FFFFFF"/>
          <w:lang w:eastAsia="zh-CN"/>
        </w:rPr>
        <w:t>分布和觅食、栖息等造成影响。</w:t>
      </w:r>
      <w:r>
        <w:rPr>
          <w:rFonts w:hint="eastAsia"/>
          <w:color w:val="000000"/>
          <w:lang w:eastAsia="zh-CN"/>
        </w:rPr>
        <w:t>另外，</w:t>
      </w:r>
      <w:r>
        <w:rPr>
          <w:color w:val="000000"/>
        </w:rPr>
        <w:t>本次投放的植物均为本地所有的植物种类，不存在外来物种的入侵影响。</w:t>
      </w:r>
    </w:p>
    <w:p w14:paraId="404DD0F5">
      <w:pPr>
        <w:bidi w:val="0"/>
        <w:rPr>
          <w:color w:val="000000"/>
        </w:rPr>
      </w:pPr>
      <w:r>
        <w:rPr>
          <w:color w:val="000000"/>
        </w:rPr>
        <w:t>在营运期，随着植被的恢复，</w:t>
      </w:r>
      <w:r>
        <w:rPr>
          <w:rFonts w:hint="eastAsia"/>
          <w:color w:val="000000"/>
          <w:lang w:eastAsia="zh-CN"/>
        </w:rPr>
        <w:t>河道</w:t>
      </w:r>
      <w:r>
        <w:rPr>
          <w:color w:val="000000"/>
        </w:rPr>
        <w:t>水生植物的恢复，区域陆生和水生生境得到改善，将在一定程度上改善底栖动物的生长环境，有利于丰富其生物多样性。</w:t>
      </w:r>
    </w:p>
    <w:p w14:paraId="177FB0B1">
      <w:pPr>
        <w:pStyle w:val="5"/>
        <w:bidi w:val="0"/>
        <w:ind w:left="0" w:leftChars="0" w:firstLine="0" w:firstLineChars="0"/>
        <w:outlineLvl w:val="1"/>
        <w:rPr>
          <w:rFonts w:hint="default"/>
          <w:color w:val="000000"/>
          <w:lang w:val="en-US"/>
        </w:rPr>
      </w:pPr>
      <w:bookmarkStart w:id="200" w:name="_Toc3364"/>
      <w:bookmarkStart w:id="201" w:name="_Toc6230"/>
      <w:r>
        <w:rPr>
          <w:rFonts w:hint="eastAsia"/>
          <w:color w:val="000000"/>
          <w:lang w:val="en-US" w:eastAsia="zh-CN"/>
        </w:rPr>
        <w:t>7.5 生态</w:t>
      </w:r>
      <w:r>
        <w:rPr>
          <w:rFonts w:hint="eastAsia"/>
          <w:color w:val="000000"/>
          <w:lang w:eastAsia="zh-CN"/>
        </w:rPr>
        <w:t>环境保护</w:t>
      </w:r>
      <w:r>
        <w:rPr>
          <w:rFonts w:hint="eastAsia"/>
          <w:color w:val="000000"/>
          <w:lang w:val="en-US" w:eastAsia="zh-CN"/>
        </w:rPr>
        <w:t>与恢复措施</w:t>
      </w:r>
      <w:bookmarkEnd w:id="200"/>
      <w:bookmarkEnd w:id="201"/>
    </w:p>
    <w:p w14:paraId="2013B8C0">
      <w:pPr>
        <w:bidi w:val="0"/>
        <w:rPr>
          <w:rFonts w:hint="eastAsia"/>
          <w:color w:val="000000"/>
          <w:lang w:val="en-US" w:eastAsia="zh-CN"/>
        </w:rPr>
      </w:pPr>
      <w:r>
        <w:rPr>
          <w:rFonts w:hint="eastAsia"/>
          <w:color w:val="000000"/>
          <w:lang w:val="en-US" w:eastAsia="zh-CN"/>
        </w:rPr>
        <w:t>本项目生态影响主要为施工期，为了减少施工期对影响，加强对国家和安徽省重点保护动植物的保护，本次评价提出以下生态保护措施：</w:t>
      </w:r>
    </w:p>
    <w:p w14:paraId="15364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（1）施工活动开始之前，需制定详细的施工方案，限定施工人员的活动区域，尽量控制施工动土范围，以保持原生生态系统的稳定性和完整性。</w:t>
      </w:r>
    </w:p>
    <w:p w14:paraId="70693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施工前对需要保护的植物进行移栽保护或者设置围挡</w:t>
      </w:r>
      <w:r>
        <w:rPr>
          <w:rFonts w:hint="eastAsia" w:eastAsia="宋体" w:cs="Times New Roman"/>
          <w:bCs/>
          <w:color w:val="000000"/>
          <w:sz w:val="24"/>
          <w:lang w:val="en-US" w:eastAsia="zh-CN"/>
        </w:rPr>
        <w:t>；</w:t>
      </w:r>
      <w:r>
        <w:rPr>
          <w:rFonts w:hint="default" w:ascii="Times New Roman" w:hAnsi="Times New Roman" w:eastAsia="宋体" w:cs="Times New Roman"/>
          <w:bCs/>
          <w:color w:val="000000"/>
          <w:sz w:val="24"/>
          <w:lang w:val="en-US" w:eastAsia="zh-CN"/>
        </w:rPr>
        <w:t>施工期，减少开挖作业面，严格施工区域，禁止对施工临时占地范围内植物进行破坏。</w:t>
      </w:r>
    </w:p>
    <w:p w14:paraId="06F91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通过优化方案，有效降低项目建设对评价范围内植物、植被的影响和破坏。</w:t>
      </w:r>
    </w:p>
    <w:p w14:paraId="10B792A8">
      <w:pPr>
        <w:keepNext w:val="0"/>
        <w:keepLines w:val="0"/>
        <w:pageBreakBefore w:val="0"/>
        <w:widowControl w:val="0"/>
        <w:numPr>
          <w:ilvl w:val="0"/>
          <w:numId w:val="11"/>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在所有永久建筑完成后，应立即进行裸露区的恢复，恢复时对施工迹地进行绿化回覆，尽量减少工程区内的施工痕迹。施工迹地的绿化恢复过程中将完全采用当地树种、草种。</w:t>
      </w:r>
    </w:p>
    <w:p w14:paraId="40D129B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（3）在施工中须有效地防止机械检修、冲洗废水等随意排放，对工程废物进行快速、集中处理，减少对环境的污染，对于施工人员产生的垃圾集中进行处理。</w:t>
      </w:r>
    </w:p>
    <w:p w14:paraId="1D2CDA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（4）为减少施工期间的景观影响，应对施工场地内施工机械整齐放置、合理布设，散乱的建筑材料和物品尽量加以覆盖，开挖后的区域尽快平整，保持施工场地及周围的整齐美观。</w:t>
      </w:r>
    </w:p>
    <w:p w14:paraId="335D7C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（5）加强管理，保护水质。避免因污水的直接排放对水体产生污染而引起对水生生物的影响。</w:t>
      </w:r>
    </w:p>
    <w:p w14:paraId="2EC0F2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eastAsia="zh-CN"/>
        </w:rPr>
      </w:pPr>
      <w:r>
        <w:rPr>
          <w:rFonts w:hint="default" w:ascii="Times New Roman" w:hAnsi="Times New Roman" w:eastAsia="宋体" w:cs="Times New Roman"/>
          <w:bCs/>
          <w:color w:val="000000"/>
          <w:sz w:val="24"/>
          <w:lang w:val="en-US" w:eastAsia="zh-CN"/>
        </w:rPr>
        <w:t>（6）建设单位应在施工过程中加强施工管理，严格执行施工操作规程，弃土务必运至指定地点。合理安排施工周期，在发生大暴雨时应停止施工，并采取短期覆盖措施，减少水土流失。</w:t>
      </w:r>
    </w:p>
    <w:p w14:paraId="6E57AB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7）对施工单位和施工人员进行水土保持教育，广泛宣传水土保持法律法规及有关方针政策，普及水土保持知识，提高其水土保持意识，规范其水土保持行为。在工程建设中，尽量采用先进的施工手段和合理的施工程序以减少和避免水土流失。</w:t>
      </w:r>
    </w:p>
    <w:p w14:paraId="07925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（8）项目在施工过程中应加强施工管理，避免雨水冲刷。道路运输避免沿途抛弃，减少水土流失。工程施工后期，植树种草，覆盖表土，避免水土流失，计划植草、植水保树等。</w:t>
      </w:r>
    </w:p>
    <w:p w14:paraId="2A4AF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（9）做好水土保持和生态保护工作，项目施工过程应注意保护生态环境，尽量减少施工区的数量和面积。</w:t>
      </w:r>
    </w:p>
    <w:p w14:paraId="680BD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（10）在施工过程中应合理安排工期，做好施工场地等的规划设置工作，最大限度地减少对植被的影响。</w:t>
      </w:r>
    </w:p>
    <w:p w14:paraId="0F814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（11）在施工结束后进行植树补偿，以保持自然和生态环境免遭破坏。</w:t>
      </w:r>
    </w:p>
    <w:p w14:paraId="35F56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（12）施工结束后，要及时清理、恢复施工场所的生态环境和路面进行修复。</w:t>
      </w:r>
    </w:p>
    <w:p w14:paraId="4146C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textAlignment w:val="auto"/>
        <w:rPr>
          <w:rFonts w:hint="default" w:ascii="Times New Roman" w:hAnsi="Times New Roman" w:eastAsia="宋体" w:cs="Times New Roman"/>
          <w:bCs/>
          <w:color w:val="000000"/>
          <w:sz w:val="24"/>
          <w:lang w:val="en-US" w:eastAsia="zh-CN"/>
        </w:rPr>
      </w:pPr>
      <w:r>
        <w:rPr>
          <w:rFonts w:hint="default" w:ascii="Times New Roman" w:hAnsi="Times New Roman" w:eastAsia="宋体" w:cs="Times New Roman"/>
          <w:bCs/>
          <w:color w:val="000000"/>
          <w:sz w:val="24"/>
          <w:lang w:val="en-US" w:eastAsia="zh-CN"/>
        </w:rPr>
        <w:t>（13）临时开挖出的土方堆放，要采取防浸泡、防冲刷、防止水土流失等措施，避免给环境带来二次污染。</w:t>
      </w:r>
    </w:p>
    <w:p w14:paraId="76CBD434">
      <w:pPr>
        <w:numPr>
          <w:ilvl w:val="0"/>
          <w:numId w:val="0"/>
        </w:numPr>
        <w:bidi w:val="0"/>
        <w:ind w:firstLine="480" w:firstLineChars="200"/>
        <w:rPr>
          <w:rFonts w:hint="default"/>
          <w:color w:val="000000"/>
          <w:lang w:val="en-US" w:eastAsia="zh-CN"/>
        </w:rPr>
      </w:pPr>
      <w:r>
        <w:rPr>
          <w:rFonts w:hint="default" w:ascii="Times New Roman" w:hAnsi="Times New Roman" w:eastAsia="宋体" w:cs="Times New Roman"/>
          <w:bCs/>
          <w:color w:val="000000"/>
          <w:sz w:val="24"/>
          <w:lang w:val="en-US" w:eastAsia="zh-CN"/>
        </w:rPr>
        <w:t>（14）项目水土保持措施有：土地平整、排水沟、直播种草、乔灌木栽植、临时排水沟等，工程建设应严格控制地表扰动和植被损坏范围，尽量减少工程占地、加强工程建设管理、优化施工工艺、加强水土保持防护，控制可能造成的水土流失。</w:t>
      </w:r>
      <w:r>
        <w:rPr>
          <w:rFonts w:hint="eastAsia" w:cs="Times New Roman"/>
          <w:color w:val="000000"/>
          <w:kern w:val="0"/>
          <w:sz w:val="24"/>
          <w:szCs w:val="20"/>
          <w:lang w:val="en-US" w:eastAsia="zh-CN" w:bidi="ar-SA"/>
        </w:rPr>
        <w:t>。</w:t>
      </w:r>
    </w:p>
    <w:p w14:paraId="51ABB0F2">
      <w:pPr>
        <w:pStyle w:val="4"/>
        <w:bidi w:val="0"/>
        <w:rPr>
          <w:color w:val="000000"/>
        </w:rPr>
      </w:pPr>
      <w:bookmarkStart w:id="202" w:name="_Toc119915388"/>
      <w:bookmarkStart w:id="203" w:name="_Toc807"/>
      <w:bookmarkStart w:id="204" w:name="_Toc3634"/>
      <w:bookmarkStart w:id="205" w:name="_Toc350352184"/>
      <w:r>
        <w:rPr>
          <w:rFonts w:hint="eastAsia"/>
          <w:color w:val="000000"/>
          <w:lang w:val="en-US" w:eastAsia="zh-CN"/>
        </w:rPr>
        <w:t>7</w:t>
      </w:r>
      <w:r>
        <w:rPr>
          <w:color w:val="000000"/>
        </w:rPr>
        <w:t>.</w:t>
      </w:r>
      <w:r>
        <w:rPr>
          <w:rFonts w:hint="eastAsia"/>
          <w:color w:val="000000"/>
          <w:lang w:val="en-US" w:eastAsia="zh-CN"/>
        </w:rPr>
        <w:t>6</w:t>
      </w:r>
      <w:r>
        <w:rPr>
          <w:rFonts w:hint="eastAsia"/>
          <w:color w:val="000000"/>
          <w:lang w:eastAsia="zh-CN"/>
        </w:rPr>
        <w:t xml:space="preserve"> </w:t>
      </w:r>
      <w:r>
        <w:rPr>
          <w:color w:val="000000"/>
        </w:rPr>
        <w:t>环境管理与监测计划</w:t>
      </w:r>
      <w:bookmarkEnd w:id="202"/>
      <w:bookmarkEnd w:id="203"/>
      <w:bookmarkEnd w:id="204"/>
    </w:p>
    <w:p w14:paraId="2157BC2A">
      <w:pPr>
        <w:bidi w:val="0"/>
        <w:rPr>
          <w:color w:val="000000"/>
        </w:rPr>
      </w:pPr>
      <w:bookmarkStart w:id="206" w:name="_Hlk100276679"/>
      <w:r>
        <w:rPr>
          <w:color w:val="000000"/>
        </w:rPr>
        <w:t>为控制项目在</w:t>
      </w:r>
      <w:r>
        <w:rPr>
          <w:rFonts w:hint="eastAsia"/>
          <w:color w:val="000000"/>
        </w:rPr>
        <w:t>施工期及</w:t>
      </w:r>
      <w:r>
        <w:rPr>
          <w:color w:val="000000"/>
        </w:rPr>
        <w:t>运营期对其所在区域环境造成一定的不利影响，建设单位在加强环境管理的同时，应定期进行环境监测，及时了解工程在不同时期对周围环境的影响，以便采取相应措施，消除不利影响，减轻环境污染</w:t>
      </w:r>
      <w:bookmarkEnd w:id="206"/>
      <w:r>
        <w:rPr>
          <w:rFonts w:hint="eastAsia"/>
          <w:color w:val="000000"/>
        </w:rPr>
        <w:t>。</w:t>
      </w:r>
    </w:p>
    <w:p w14:paraId="49C5258E">
      <w:pPr>
        <w:pStyle w:val="4"/>
        <w:bidi w:val="0"/>
        <w:rPr>
          <w:color w:val="000000"/>
          <w:lang w:eastAsia="zh-CN"/>
        </w:rPr>
      </w:pPr>
      <w:bookmarkStart w:id="207" w:name="_Toc19944"/>
      <w:bookmarkStart w:id="208" w:name="_Toc1298"/>
      <w:bookmarkStart w:id="209" w:name="_Toc119915390"/>
      <w:r>
        <w:rPr>
          <w:rFonts w:hint="eastAsia"/>
          <w:color w:val="000000"/>
          <w:lang w:val="en-US" w:eastAsia="zh-CN"/>
        </w:rPr>
        <w:t>7</w:t>
      </w:r>
      <w:r>
        <w:rPr>
          <w:color w:val="000000"/>
        </w:rPr>
        <w:t>.</w:t>
      </w:r>
      <w:r>
        <w:rPr>
          <w:rFonts w:hint="eastAsia"/>
          <w:color w:val="000000"/>
          <w:lang w:val="en-US" w:eastAsia="zh-CN"/>
        </w:rPr>
        <w:t>7</w:t>
      </w:r>
      <w:r>
        <w:rPr>
          <w:rFonts w:hint="eastAsia"/>
          <w:color w:val="000000"/>
          <w:lang w:eastAsia="zh-CN"/>
        </w:rPr>
        <w:t xml:space="preserve"> </w:t>
      </w:r>
      <w:r>
        <w:rPr>
          <w:color w:val="000000"/>
        </w:rPr>
        <w:t>总结论</w:t>
      </w:r>
      <w:bookmarkEnd w:id="205"/>
      <w:bookmarkEnd w:id="207"/>
      <w:bookmarkEnd w:id="208"/>
      <w:bookmarkEnd w:id="209"/>
    </w:p>
    <w:p w14:paraId="5B38E06B">
      <w:pPr>
        <w:bidi w:val="0"/>
        <w:rPr>
          <w:color w:val="auto"/>
        </w:rPr>
      </w:pPr>
      <w:bookmarkStart w:id="210" w:name="_Toc350352185"/>
      <w:r>
        <w:rPr>
          <w:rFonts w:hint="eastAsia"/>
          <w:color w:val="000000"/>
          <w:lang w:eastAsia="zh-CN"/>
        </w:rPr>
        <w:t>六安市霍山县排水防涝能力提升项目</w:t>
      </w:r>
      <w:r>
        <w:rPr>
          <w:rFonts w:hint="default" w:ascii="Times New Roman" w:hAnsi="Times New Roman" w:eastAsia="宋体" w:cs="Times New Roman"/>
          <w:color w:val="000000"/>
          <w:sz w:val="24"/>
          <w:lang w:val="en-US" w:eastAsia="zh-CN"/>
        </w:rPr>
        <w:t>为防洪除涝工程，不属于生产型项目，本项目建成后解决了城市内涝的问题，工程建设不涉及自然保护区、世界自然和文化遗产地、风景名胜区、森林公园等环境敏感区</w:t>
      </w:r>
      <w:r>
        <w:rPr>
          <w:color w:val="000000"/>
        </w:rPr>
        <w:t>，具有较好的社会效益和生态效益。经过对项目</w:t>
      </w:r>
      <w:r>
        <w:rPr>
          <w:rFonts w:hint="eastAsia"/>
          <w:color w:val="000000"/>
          <w:lang w:eastAsia="zh-CN"/>
        </w:rPr>
        <w:t>所在地</w:t>
      </w:r>
      <w:r>
        <w:rPr>
          <w:color w:val="000000"/>
        </w:rPr>
        <w:t>的环境现状、环境影响预测和环境保护措施等方面的分析，采取和实施了相应的环境保护措施，项目所引起的环境负面影响较小。在全面落实本报告中提出的各项</w:t>
      </w:r>
      <w:r>
        <w:rPr>
          <w:rFonts w:hint="eastAsia"/>
          <w:color w:val="000000"/>
          <w:lang w:eastAsia="zh-CN"/>
        </w:rPr>
        <w:t>污染</w:t>
      </w:r>
      <w:r>
        <w:rPr>
          <w:color w:val="000000"/>
        </w:rPr>
        <w:t>防治措施、</w:t>
      </w:r>
      <w:r>
        <w:rPr>
          <w:rFonts w:hint="eastAsia"/>
          <w:color w:val="000000"/>
          <w:lang w:eastAsia="zh-CN"/>
        </w:rPr>
        <w:t>生态保护措施</w:t>
      </w:r>
      <w:r>
        <w:rPr>
          <w:color w:val="000000"/>
        </w:rPr>
        <w:t>的前提下</w:t>
      </w:r>
      <w:r>
        <w:rPr>
          <w:rFonts w:hint="eastAsia"/>
          <w:color w:val="000000"/>
        </w:rPr>
        <w:t>，</w:t>
      </w:r>
      <w:r>
        <w:rPr>
          <w:color w:val="000000"/>
        </w:rPr>
        <w:t>从环境</w:t>
      </w:r>
      <w:r>
        <w:rPr>
          <w:rFonts w:hint="eastAsia"/>
          <w:color w:val="000000"/>
        </w:rPr>
        <w:t>影响</w:t>
      </w:r>
      <w:r>
        <w:rPr>
          <w:color w:val="000000"/>
        </w:rPr>
        <w:t>角度分析，该项目的建设是可行的。</w:t>
      </w:r>
      <w:bookmarkEnd w:id="210"/>
    </w:p>
    <w:p w14:paraId="2432F386">
      <w:pPr>
        <w:pStyle w:val="15"/>
        <w:ind w:left="0" w:leftChars="0" w:firstLine="0" w:firstLineChars="0"/>
        <w:rPr>
          <w:rFonts w:hint="eastAsia" w:eastAsia="宋体"/>
          <w:lang w:val="en-US" w:eastAsia="zh-CN"/>
        </w:rPr>
      </w:pPr>
    </w:p>
    <w:sectPr>
      <w:pgSz w:w="11906" w:h="16838"/>
      <w:pgMar w:top="1417" w:right="1417" w:bottom="1417" w:left="1417" w:header="851" w:footer="1077" w:gutter="0"/>
      <w:pgBorders>
        <w:top w:val="none" w:sz="0" w:space="0"/>
        <w:left w:val="none" w:sz="0" w:space="0"/>
        <w:bottom w:val="none" w:sz="0" w:space="0"/>
        <w:right w:val="none" w:sz="0" w:space="0"/>
      </w:pgBorders>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Fang Song">
    <w:altName w:val="宋体"/>
    <w:panose1 w:val="00000000000000000000"/>
    <w:charset w:val="86"/>
    <w:family w:val="swiss"/>
    <w:pitch w:val="default"/>
    <w:sig w:usb0="00000000" w:usb1="00000000" w:usb2="00000010" w:usb3="00000000" w:csb0="0004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103F4">
    <w:pPr>
      <w:widowControl w:val="0"/>
      <w:snapToGrid w:val="0"/>
      <w:ind w:right="360" w:firstLine="360"/>
      <w:jc w:val="center"/>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w:fldChar w:fldCharType="begin"/>
    </w:r>
    <w:r>
      <w:rPr>
        <w:rStyle w:val="29"/>
        <w:rFonts w:ascii="Times New Roman" w:hAnsi="Times New Roman" w:eastAsia="宋体" w:cs="Times New Roman"/>
        <w:kern w:val="2"/>
        <w:sz w:val="21"/>
        <w:szCs w:val="24"/>
        <w:lang w:val="en-US" w:eastAsia="zh-CN" w:bidi="ar-SA"/>
      </w:rPr>
      <w:instrText xml:space="preserve"> PAGE </w:instrText>
    </w:r>
    <w:r>
      <w:rPr>
        <w:rFonts w:ascii="Times New Roman" w:hAnsi="Times New Roman" w:eastAsia="宋体" w:cs="Times New Roman"/>
        <w:kern w:val="2"/>
        <w:sz w:val="18"/>
        <w:szCs w:val="18"/>
        <w:lang w:val="en-US" w:eastAsia="zh-CN" w:bidi="ar-SA"/>
      </w:rPr>
      <w:fldChar w:fldCharType="separate"/>
    </w:r>
    <w:r>
      <w:rPr>
        <w:rStyle w:val="29"/>
        <w:rFonts w:ascii="Times New Roman" w:hAnsi="Times New Roman" w:eastAsia="宋体" w:cs="Times New Roman"/>
        <w:kern w:val="2"/>
        <w:sz w:val="21"/>
        <w:szCs w:val="24"/>
        <w:lang w:val="en-US" w:eastAsia="zh-CN" w:bidi="ar-SA"/>
      </w:rPr>
      <w:t>- 2 -</w:t>
    </w:r>
    <w:r>
      <w:rPr>
        <w:rFonts w:ascii="Times New Roman" w:hAnsi="Times New Roman" w:eastAsia="宋体" w:cs="Times New Roman"/>
        <w:kern w:val="2"/>
        <w:sz w:val="18"/>
        <w:szCs w:val="18"/>
        <w:lang w:val="en-US" w:eastAsia="zh-CN"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24D265">
    <w:pPr>
      <w:pStyle w:val="17"/>
    </w:pPr>
    <w:r>
      <w:rPr>
        <w:sz w:val="18"/>
      </w:rPr>
      <w:pict>
        <v:shape id="文本框 9" o:spid="_x0000_s204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0EFBC0B1">
                <w:pPr>
                  <w:pStyle w:val="17"/>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A02E6">
    <w:pPr>
      <w:pStyle w:val="17"/>
    </w:pPr>
    <w:r>
      <w:rPr>
        <w:sz w:val="18"/>
      </w:rPr>
      <w:pict>
        <v:shape id="文本框 6" o:spid="_x0000_s2050"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770C0C79">
                <w:pPr>
                  <w:pStyle w:val="17"/>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C66E5"/>
    <w:multiLevelType w:val="singleLevel"/>
    <w:tmpl w:val="938C66E5"/>
    <w:lvl w:ilvl="0" w:tentative="0">
      <w:start w:val="1"/>
      <w:numFmt w:val="decimal"/>
      <w:suff w:val="nothing"/>
      <w:lvlText w:val="（%1）"/>
      <w:lvlJc w:val="left"/>
    </w:lvl>
  </w:abstractNum>
  <w:abstractNum w:abstractNumId="1">
    <w:nsid w:val="95FE3356"/>
    <w:multiLevelType w:val="singleLevel"/>
    <w:tmpl w:val="95FE3356"/>
    <w:lvl w:ilvl="0" w:tentative="0">
      <w:start w:val="1"/>
      <w:numFmt w:val="decimal"/>
      <w:suff w:val="nothing"/>
      <w:lvlText w:val="（%1）"/>
      <w:lvlJc w:val="left"/>
      <w:pPr>
        <w:ind w:left="60"/>
      </w:pPr>
    </w:lvl>
  </w:abstractNum>
  <w:abstractNum w:abstractNumId="2">
    <w:nsid w:val="AF1F5E45"/>
    <w:multiLevelType w:val="singleLevel"/>
    <w:tmpl w:val="AF1F5E45"/>
    <w:lvl w:ilvl="0" w:tentative="0">
      <w:start w:val="1"/>
      <w:numFmt w:val="decimal"/>
      <w:suff w:val="nothing"/>
      <w:lvlText w:val="%1、"/>
      <w:lvlJc w:val="left"/>
    </w:lvl>
  </w:abstractNum>
  <w:abstractNum w:abstractNumId="3">
    <w:nsid w:val="B28CA5DF"/>
    <w:multiLevelType w:val="singleLevel"/>
    <w:tmpl w:val="B28CA5DF"/>
    <w:lvl w:ilvl="0" w:tentative="0">
      <w:start w:val="1"/>
      <w:numFmt w:val="decimal"/>
      <w:suff w:val="nothing"/>
      <w:lvlText w:val="%1、"/>
      <w:lvlJc w:val="left"/>
    </w:lvl>
  </w:abstractNum>
  <w:abstractNum w:abstractNumId="4">
    <w:nsid w:val="D0D2ED88"/>
    <w:multiLevelType w:val="singleLevel"/>
    <w:tmpl w:val="D0D2ED88"/>
    <w:lvl w:ilvl="0" w:tentative="0">
      <w:start w:val="1"/>
      <w:numFmt w:val="decimal"/>
      <w:suff w:val="nothing"/>
      <w:lvlText w:val="（%1）"/>
      <w:lvlJc w:val="left"/>
    </w:lvl>
  </w:abstractNum>
  <w:abstractNum w:abstractNumId="5">
    <w:nsid w:val="E2432C11"/>
    <w:multiLevelType w:val="singleLevel"/>
    <w:tmpl w:val="E2432C11"/>
    <w:lvl w:ilvl="0" w:tentative="0">
      <w:start w:val="1"/>
      <w:numFmt w:val="decimal"/>
      <w:lvlText w:val="(%1)"/>
      <w:lvlJc w:val="left"/>
      <w:pPr>
        <w:ind w:left="425" w:hanging="425"/>
      </w:pPr>
      <w:rPr>
        <w:rFonts w:hint="default"/>
      </w:rPr>
    </w:lvl>
  </w:abstractNum>
  <w:abstractNum w:abstractNumId="6">
    <w:nsid w:val="0FB0F598"/>
    <w:multiLevelType w:val="singleLevel"/>
    <w:tmpl w:val="0FB0F598"/>
    <w:lvl w:ilvl="0" w:tentative="0">
      <w:start w:val="2"/>
      <w:numFmt w:val="decimal"/>
      <w:suff w:val="nothing"/>
      <w:lvlText w:val="%1、"/>
      <w:lvlJc w:val="left"/>
    </w:lvl>
  </w:abstractNum>
  <w:abstractNum w:abstractNumId="7">
    <w:nsid w:val="2A89113B"/>
    <w:multiLevelType w:val="singleLevel"/>
    <w:tmpl w:val="2A89113B"/>
    <w:lvl w:ilvl="0" w:tentative="0">
      <w:start w:val="1"/>
      <w:numFmt w:val="decimal"/>
      <w:lvlText w:val="(%1)"/>
      <w:lvlJc w:val="left"/>
      <w:pPr>
        <w:ind w:left="425" w:hanging="425"/>
      </w:pPr>
      <w:rPr>
        <w:rFonts w:hint="default"/>
      </w:rPr>
    </w:lvl>
  </w:abstractNum>
  <w:abstractNum w:abstractNumId="8">
    <w:nsid w:val="33727BF1"/>
    <w:multiLevelType w:val="singleLevel"/>
    <w:tmpl w:val="33727BF1"/>
    <w:lvl w:ilvl="0" w:tentative="0">
      <w:start w:val="1"/>
      <w:numFmt w:val="decimal"/>
      <w:lvlText w:val="(%1)"/>
      <w:lvlJc w:val="left"/>
      <w:pPr>
        <w:ind w:left="425" w:hanging="425"/>
      </w:pPr>
      <w:rPr>
        <w:rFonts w:hint="default"/>
      </w:rPr>
    </w:lvl>
  </w:abstractNum>
  <w:abstractNum w:abstractNumId="9">
    <w:nsid w:val="396B687F"/>
    <w:multiLevelType w:val="singleLevel"/>
    <w:tmpl w:val="396B687F"/>
    <w:lvl w:ilvl="0" w:tentative="0">
      <w:start w:val="2"/>
      <w:numFmt w:val="decimal"/>
      <w:suff w:val="nothing"/>
      <w:lvlText w:val="（%1）"/>
      <w:lvlJc w:val="left"/>
    </w:lvl>
  </w:abstractNum>
  <w:abstractNum w:abstractNumId="10">
    <w:nsid w:val="79A4CC86"/>
    <w:multiLevelType w:val="singleLevel"/>
    <w:tmpl w:val="79A4CC86"/>
    <w:lvl w:ilvl="0" w:tentative="0">
      <w:start w:val="3"/>
      <w:numFmt w:val="decimal"/>
      <w:suff w:val="nothing"/>
      <w:lvlText w:val="（%1）"/>
      <w:lvlJc w:val="left"/>
    </w:lvl>
  </w:abstractNum>
  <w:num w:numId="1">
    <w:abstractNumId w:val="6"/>
  </w:num>
  <w:num w:numId="2">
    <w:abstractNumId w:val="0"/>
  </w:num>
  <w:num w:numId="3">
    <w:abstractNumId w:val="10"/>
  </w:num>
  <w:num w:numId="4">
    <w:abstractNumId w:val="2"/>
  </w:num>
  <w:num w:numId="5">
    <w:abstractNumId w:val="3"/>
  </w:num>
  <w:num w:numId="6">
    <w:abstractNumId w:val="5"/>
  </w:num>
  <w:num w:numId="7">
    <w:abstractNumId w:val="7"/>
  </w:num>
  <w:num w:numId="8">
    <w:abstractNumId w:val="8"/>
  </w:num>
  <w:num w:numId="9">
    <w:abstractNumId w:val="1"/>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24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MjIyYWZlMjI2ZTFkNGJkN2M4Y2ZiY2I3ODY4NzkifQ=="/>
  </w:docVars>
  <w:rsids>
    <w:rsidRoot w:val="00172A27"/>
    <w:rsid w:val="000C0051"/>
    <w:rsid w:val="0025734D"/>
    <w:rsid w:val="00471BEC"/>
    <w:rsid w:val="0092781D"/>
    <w:rsid w:val="00A10FC9"/>
    <w:rsid w:val="012F3C3A"/>
    <w:rsid w:val="0134509F"/>
    <w:rsid w:val="014A102B"/>
    <w:rsid w:val="023616F3"/>
    <w:rsid w:val="029525CA"/>
    <w:rsid w:val="02D92666"/>
    <w:rsid w:val="033104CF"/>
    <w:rsid w:val="03483348"/>
    <w:rsid w:val="03814218"/>
    <w:rsid w:val="039256D5"/>
    <w:rsid w:val="03BB50DA"/>
    <w:rsid w:val="03CC1DA4"/>
    <w:rsid w:val="03E1720E"/>
    <w:rsid w:val="03E960B8"/>
    <w:rsid w:val="04396409"/>
    <w:rsid w:val="043B54BA"/>
    <w:rsid w:val="04470A5B"/>
    <w:rsid w:val="047E6525"/>
    <w:rsid w:val="049D5FC9"/>
    <w:rsid w:val="04A12E0D"/>
    <w:rsid w:val="04A37BA6"/>
    <w:rsid w:val="04CD5176"/>
    <w:rsid w:val="052E5261"/>
    <w:rsid w:val="053A1EC4"/>
    <w:rsid w:val="057F3EAC"/>
    <w:rsid w:val="05AA1391"/>
    <w:rsid w:val="067F3AB7"/>
    <w:rsid w:val="06A32635"/>
    <w:rsid w:val="06A64813"/>
    <w:rsid w:val="06CE5BFE"/>
    <w:rsid w:val="0736405C"/>
    <w:rsid w:val="076358EF"/>
    <w:rsid w:val="09055E2E"/>
    <w:rsid w:val="09115CA1"/>
    <w:rsid w:val="0912560D"/>
    <w:rsid w:val="093A586D"/>
    <w:rsid w:val="097B701A"/>
    <w:rsid w:val="099948FD"/>
    <w:rsid w:val="09C47F26"/>
    <w:rsid w:val="09DA6CC4"/>
    <w:rsid w:val="09DF70B8"/>
    <w:rsid w:val="0A0D79F1"/>
    <w:rsid w:val="0A1827EB"/>
    <w:rsid w:val="0A41653A"/>
    <w:rsid w:val="0A546026"/>
    <w:rsid w:val="0A884AC2"/>
    <w:rsid w:val="0AE86FCE"/>
    <w:rsid w:val="0AFE3D2C"/>
    <w:rsid w:val="0B310B66"/>
    <w:rsid w:val="0B52270F"/>
    <w:rsid w:val="0BB73761"/>
    <w:rsid w:val="0BD1074A"/>
    <w:rsid w:val="0BDA0874"/>
    <w:rsid w:val="0BDB11EF"/>
    <w:rsid w:val="0C401802"/>
    <w:rsid w:val="0C5C6F3A"/>
    <w:rsid w:val="0C916A6A"/>
    <w:rsid w:val="0CD60C01"/>
    <w:rsid w:val="0CD71102"/>
    <w:rsid w:val="0CED2028"/>
    <w:rsid w:val="0CF7490A"/>
    <w:rsid w:val="0D4A22B8"/>
    <w:rsid w:val="0D794566"/>
    <w:rsid w:val="0D8B7329"/>
    <w:rsid w:val="0D911B8E"/>
    <w:rsid w:val="0DAE27B2"/>
    <w:rsid w:val="0DB34405"/>
    <w:rsid w:val="0DC77171"/>
    <w:rsid w:val="0DFD372B"/>
    <w:rsid w:val="0E187C87"/>
    <w:rsid w:val="0E5D22EA"/>
    <w:rsid w:val="0F2D0A57"/>
    <w:rsid w:val="0FAB3042"/>
    <w:rsid w:val="0FD13BDF"/>
    <w:rsid w:val="0FF11E8A"/>
    <w:rsid w:val="10001431"/>
    <w:rsid w:val="10323295"/>
    <w:rsid w:val="10B40D24"/>
    <w:rsid w:val="10EF23AF"/>
    <w:rsid w:val="112E31BE"/>
    <w:rsid w:val="116A4DD1"/>
    <w:rsid w:val="11710CA7"/>
    <w:rsid w:val="1176640A"/>
    <w:rsid w:val="119B4C3E"/>
    <w:rsid w:val="119F0F1F"/>
    <w:rsid w:val="11F761CC"/>
    <w:rsid w:val="121D2751"/>
    <w:rsid w:val="121D7EEA"/>
    <w:rsid w:val="126F1B57"/>
    <w:rsid w:val="12742C38"/>
    <w:rsid w:val="12EB1CB9"/>
    <w:rsid w:val="13573133"/>
    <w:rsid w:val="13692AE8"/>
    <w:rsid w:val="13790950"/>
    <w:rsid w:val="13BD5511"/>
    <w:rsid w:val="13C11C42"/>
    <w:rsid w:val="13D80A22"/>
    <w:rsid w:val="14250EA0"/>
    <w:rsid w:val="146B26EF"/>
    <w:rsid w:val="14A30D26"/>
    <w:rsid w:val="14A90AA9"/>
    <w:rsid w:val="14DF07FB"/>
    <w:rsid w:val="15045D93"/>
    <w:rsid w:val="150D3876"/>
    <w:rsid w:val="1518731C"/>
    <w:rsid w:val="1598422B"/>
    <w:rsid w:val="15B822AB"/>
    <w:rsid w:val="15FD7563"/>
    <w:rsid w:val="1634517A"/>
    <w:rsid w:val="1718736C"/>
    <w:rsid w:val="177B739D"/>
    <w:rsid w:val="1865734E"/>
    <w:rsid w:val="19102702"/>
    <w:rsid w:val="19376A6C"/>
    <w:rsid w:val="19470C5E"/>
    <w:rsid w:val="199A6A36"/>
    <w:rsid w:val="19AC5ECF"/>
    <w:rsid w:val="19BB08A0"/>
    <w:rsid w:val="1AB7539C"/>
    <w:rsid w:val="1AE463B3"/>
    <w:rsid w:val="1AF90452"/>
    <w:rsid w:val="1B3C4912"/>
    <w:rsid w:val="1B3F3DFE"/>
    <w:rsid w:val="1BD05C61"/>
    <w:rsid w:val="1C225E8A"/>
    <w:rsid w:val="1CBC4C99"/>
    <w:rsid w:val="1D0B504C"/>
    <w:rsid w:val="1D597F2E"/>
    <w:rsid w:val="1D5C4B97"/>
    <w:rsid w:val="1D863D29"/>
    <w:rsid w:val="1D9B6592"/>
    <w:rsid w:val="1F182FDA"/>
    <w:rsid w:val="1F5C42F1"/>
    <w:rsid w:val="1FFE1C25"/>
    <w:rsid w:val="202A6CA1"/>
    <w:rsid w:val="206A094A"/>
    <w:rsid w:val="20E57FD0"/>
    <w:rsid w:val="214C1877"/>
    <w:rsid w:val="217347EC"/>
    <w:rsid w:val="220652BA"/>
    <w:rsid w:val="22305BA4"/>
    <w:rsid w:val="22673393"/>
    <w:rsid w:val="229972C4"/>
    <w:rsid w:val="22A915A8"/>
    <w:rsid w:val="22E41AB5"/>
    <w:rsid w:val="22ED4DBC"/>
    <w:rsid w:val="22F15352"/>
    <w:rsid w:val="234F7600"/>
    <w:rsid w:val="23565355"/>
    <w:rsid w:val="23577CAA"/>
    <w:rsid w:val="239942E3"/>
    <w:rsid w:val="23A97B01"/>
    <w:rsid w:val="24D75DA2"/>
    <w:rsid w:val="25392052"/>
    <w:rsid w:val="257E2EBE"/>
    <w:rsid w:val="25A20B86"/>
    <w:rsid w:val="25D67A1E"/>
    <w:rsid w:val="26214560"/>
    <w:rsid w:val="263712CE"/>
    <w:rsid w:val="26396F7C"/>
    <w:rsid w:val="26803628"/>
    <w:rsid w:val="2695315B"/>
    <w:rsid w:val="26FC2A1F"/>
    <w:rsid w:val="27724D2D"/>
    <w:rsid w:val="277F43EC"/>
    <w:rsid w:val="288B5A6C"/>
    <w:rsid w:val="28D14EB3"/>
    <w:rsid w:val="293B787E"/>
    <w:rsid w:val="29421B46"/>
    <w:rsid w:val="29424EDD"/>
    <w:rsid w:val="29586619"/>
    <w:rsid w:val="29CA4207"/>
    <w:rsid w:val="29EB244B"/>
    <w:rsid w:val="29F94D30"/>
    <w:rsid w:val="29FB4456"/>
    <w:rsid w:val="29FD39F5"/>
    <w:rsid w:val="2AE36763"/>
    <w:rsid w:val="2AF1287E"/>
    <w:rsid w:val="2B043FCC"/>
    <w:rsid w:val="2B0735E8"/>
    <w:rsid w:val="2B084E32"/>
    <w:rsid w:val="2B262BFA"/>
    <w:rsid w:val="2B5C49C9"/>
    <w:rsid w:val="2BA00025"/>
    <w:rsid w:val="2BB13513"/>
    <w:rsid w:val="2BFF4499"/>
    <w:rsid w:val="2C1A4660"/>
    <w:rsid w:val="2C1B3EC9"/>
    <w:rsid w:val="2C472C8F"/>
    <w:rsid w:val="2C5541DE"/>
    <w:rsid w:val="2C84259E"/>
    <w:rsid w:val="2CCF54CF"/>
    <w:rsid w:val="2CD830B9"/>
    <w:rsid w:val="2DB56A56"/>
    <w:rsid w:val="2E5F42EE"/>
    <w:rsid w:val="2E8307CF"/>
    <w:rsid w:val="2EB27766"/>
    <w:rsid w:val="2EBC4A66"/>
    <w:rsid w:val="2ECD0CEC"/>
    <w:rsid w:val="2F37678B"/>
    <w:rsid w:val="2F702CAA"/>
    <w:rsid w:val="2FAD0853"/>
    <w:rsid w:val="2FAF126E"/>
    <w:rsid w:val="2FB10FD4"/>
    <w:rsid w:val="2FC52A0D"/>
    <w:rsid w:val="2FC85944"/>
    <w:rsid w:val="30647164"/>
    <w:rsid w:val="312565F0"/>
    <w:rsid w:val="314B3D5D"/>
    <w:rsid w:val="317E720B"/>
    <w:rsid w:val="31CE7EC4"/>
    <w:rsid w:val="32090C24"/>
    <w:rsid w:val="320A6648"/>
    <w:rsid w:val="3238497B"/>
    <w:rsid w:val="3262693E"/>
    <w:rsid w:val="328040A8"/>
    <w:rsid w:val="333E6CD8"/>
    <w:rsid w:val="33B017A1"/>
    <w:rsid w:val="33CD3610"/>
    <w:rsid w:val="340B7389"/>
    <w:rsid w:val="349A268C"/>
    <w:rsid w:val="34A00986"/>
    <w:rsid w:val="34DA1EC8"/>
    <w:rsid w:val="350942EB"/>
    <w:rsid w:val="354551AC"/>
    <w:rsid w:val="35F04FF6"/>
    <w:rsid w:val="3626770A"/>
    <w:rsid w:val="363153A1"/>
    <w:rsid w:val="36604936"/>
    <w:rsid w:val="367D6B3B"/>
    <w:rsid w:val="367E5A64"/>
    <w:rsid w:val="369948CE"/>
    <w:rsid w:val="36DC2029"/>
    <w:rsid w:val="36ED1D62"/>
    <w:rsid w:val="372F04C2"/>
    <w:rsid w:val="37303399"/>
    <w:rsid w:val="37337890"/>
    <w:rsid w:val="379262DF"/>
    <w:rsid w:val="37BF037A"/>
    <w:rsid w:val="380A374C"/>
    <w:rsid w:val="381C47C8"/>
    <w:rsid w:val="3891486E"/>
    <w:rsid w:val="38962237"/>
    <w:rsid w:val="389D322E"/>
    <w:rsid w:val="39437123"/>
    <w:rsid w:val="39611D1D"/>
    <w:rsid w:val="39A11EDD"/>
    <w:rsid w:val="39BD72F4"/>
    <w:rsid w:val="39CC0092"/>
    <w:rsid w:val="39CD59C5"/>
    <w:rsid w:val="3A627BD9"/>
    <w:rsid w:val="3AC12DF9"/>
    <w:rsid w:val="3AE3482A"/>
    <w:rsid w:val="3AE40740"/>
    <w:rsid w:val="3B131EB2"/>
    <w:rsid w:val="3B1A2538"/>
    <w:rsid w:val="3B320EFB"/>
    <w:rsid w:val="3B45330F"/>
    <w:rsid w:val="3BA80BC3"/>
    <w:rsid w:val="3BC1254F"/>
    <w:rsid w:val="3BC40DCC"/>
    <w:rsid w:val="3BCC38D6"/>
    <w:rsid w:val="3BF03A7B"/>
    <w:rsid w:val="3C024506"/>
    <w:rsid w:val="3C362E34"/>
    <w:rsid w:val="3CB17EEE"/>
    <w:rsid w:val="3CC94A4B"/>
    <w:rsid w:val="3D387145"/>
    <w:rsid w:val="3D5E0B00"/>
    <w:rsid w:val="3DB03948"/>
    <w:rsid w:val="3DB36F5D"/>
    <w:rsid w:val="3DB47A13"/>
    <w:rsid w:val="3E4849E1"/>
    <w:rsid w:val="3E8135D7"/>
    <w:rsid w:val="3EB2234B"/>
    <w:rsid w:val="3ED263BE"/>
    <w:rsid w:val="3F6065B1"/>
    <w:rsid w:val="400B3975"/>
    <w:rsid w:val="4024537D"/>
    <w:rsid w:val="40357A4F"/>
    <w:rsid w:val="404077BF"/>
    <w:rsid w:val="40C55D21"/>
    <w:rsid w:val="40E92669"/>
    <w:rsid w:val="41441903"/>
    <w:rsid w:val="415B7B1D"/>
    <w:rsid w:val="41A65969"/>
    <w:rsid w:val="41F60393"/>
    <w:rsid w:val="421414CF"/>
    <w:rsid w:val="42384255"/>
    <w:rsid w:val="42AA6E11"/>
    <w:rsid w:val="42BF4A68"/>
    <w:rsid w:val="42F96B57"/>
    <w:rsid w:val="43187BD4"/>
    <w:rsid w:val="43566827"/>
    <w:rsid w:val="435831C7"/>
    <w:rsid w:val="43DA2439"/>
    <w:rsid w:val="43F565F9"/>
    <w:rsid w:val="443B538D"/>
    <w:rsid w:val="446278F8"/>
    <w:rsid w:val="446A6DCD"/>
    <w:rsid w:val="4492778C"/>
    <w:rsid w:val="44D12894"/>
    <w:rsid w:val="45205E79"/>
    <w:rsid w:val="459C78D2"/>
    <w:rsid w:val="45D74323"/>
    <w:rsid w:val="45E8772F"/>
    <w:rsid w:val="45F142D1"/>
    <w:rsid w:val="46DD1A9B"/>
    <w:rsid w:val="47476B01"/>
    <w:rsid w:val="47644D85"/>
    <w:rsid w:val="47693C73"/>
    <w:rsid w:val="478F3C1E"/>
    <w:rsid w:val="483F6AC4"/>
    <w:rsid w:val="48545ADE"/>
    <w:rsid w:val="48552DCE"/>
    <w:rsid w:val="4860037A"/>
    <w:rsid w:val="49193BBE"/>
    <w:rsid w:val="49402EEF"/>
    <w:rsid w:val="49B27E76"/>
    <w:rsid w:val="49C168A5"/>
    <w:rsid w:val="49FF7A4C"/>
    <w:rsid w:val="4A667A11"/>
    <w:rsid w:val="4A880D69"/>
    <w:rsid w:val="4AD33142"/>
    <w:rsid w:val="4AE14CE5"/>
    <w:rsid w:val="4AFF0F7E"/>
    <w:rsid w:val="4BEF7320"/>
    <w:rsid w:val="4C0E0129"/>
    <w:rsid w:val="4C20290B"/>
    <w:rsid w:val="4C504288"/>
    <w:rsid w:val="4C871DB8"/>
    <w:rsid w:val="4C872412"/>
    <w:rsid w:val="4CA46E0E"/>
    <w:rsid w:val="4D0E0BAE"/>
    <w:rsid w:val="4D28213A"/>
    <w:rsid w:val="4DD252B5"/>
    <w:rsid w:val="4E1F395E"/>
    <w:rsid w:val="4E50267E"/>
    <w:rsid w:val="4E5B04FC"/>
    <w:rsid w:val="4E5E7789"/>
    <w:rsid w:val="4E704EC7"/>
    <w:rsid w:val="4E726A98"/>
    <w:rsid w:val="4E7F2AFD"/>
    <w:rsid w:val="4E811288"/>
    <w:rsid w:val="4EC52F85"/>
    <w:rsid w:val="4F0A1774"/>
    <w:rsid w:val="4F7A7972"/>
    <w:rsid w:val="506A0395"/>
    <w:rsid w:val="50C47791"/>
    <w:rsid w:val="50E23675"/>
    <w:rsid w:val="511126A2"/>
    <w:rsid w:val="516D0709"/>
    <w:rsid w:val="51706B78"/>
    <w:rsid w:val="51A919D2"/>
    <w:rsid w:val="51F36142"/>
    <w:rsid w:val="521366F8"/>
    <w:rsid w:val="526F57C8"/>
    <w:rsid w:val="5298621C"/>
    <w:rsid w:val="52C811B4"/>
    <w:rsid w:val="530D1073"/>
    <w:rsid w:val="53527460"/>
    <w:rsid w:val="537F5F98"/>
    <w:rsid w:val="54163A4F"/>
    <w:rsid w:val="54186E57"/>
    <w:rsid w:val="54202082"/>
    <w:rsid w:val="5442607D"/>
    <w:rsid w:val="54715F21"/>
    <w:rsid w:val="548E7E0A"/>
    <w:rsid w:val="549036AE"/>
    <w:rsid w:val="54AD3D72"/>
    <w:rsid w:val="54AE16BD"/>
    <w:rsid w:val="54D728AE"/>
    <w:rsid w:val="54E92F0F"/>
    <w:rsid w:val="550E59F9"/>
    <w:rsid w:val="55126EE4"/>
    <w:rsid w:val="551A2D91"/>
    <w:rsid w:val="55425416"/>
    <w:rsid w:val="554E6B03"/>
    <w:rsid w:val="555E5C3F"/>
    <w:rsid w:val="557B2451"/>
    <w:rsid w:val="55E93AE3"/>
    <w:rsid w:val="561522AA"/>
    <w:rsid w:val="567D4E26"/>
    <w:rsid w:val="568A7A97"/>
    <w:rsid w:val="569D4F5D"/>
    <w:rsid w:val="56D20E7E"/>
    <w:rsid w:val="56DA3145"/>
    <w:rsid w:val="57102708"/>
    <w:rsid w:val="579604A2"/>
    <w:rsid w:val="579D6934"/>
    <w:rsid w:val="583C2483"/>
    <w:rsid w:val="58AE0994"/>
    <w:rsid w:val="58C95CE8"/>
    <w:rsid w:val="58E459CC"/>
    <w:rsid w:val="58F71A73"/>
    <w:rsid w:val="58F822B5"/>
    <w:rsid w:val="59146E05"/>
    <w:rsid w:val="599031C8"/>
    <w:rsid w:val="59DD379F"/>
    <w:rsid w:val="5A561176"/>
    <w:rsid w:val="5AA07D22"/>
    <w:rsid w:val="5AD77448"/>
    <w:rsid w:val="5AE94391"/>
    <w:rsid w:val="5B4D6F59"/>
    <w:rsid w:val="5B5F0DB7"/>
    <w:rsid w:val="5B8124EC"/>
    <w:rsid w:val="5B9F1395"/>
    <w:rsid w:val="5C8014B4"/>
    <w:rsid w:val="5C97102F"/>
    <w:rsid w:val="5C9926C7"/>
    <w:rsid w:val="5CAE1B27"/>
    <w:rsid w:val="5CD13E8F"/>
    <w:rsid w:val="5CF13DE8"/>
    <w:rsid w:val="5D572C1D"/>
    <w:rsid w:val="5D5C1E0B"/>
    <w:rsid w:val="5D70074C"/>
    <w:rsid w:val="5D7F338F"/>
    <w:rsid w:val="5D8C3E0C"/>
    <w:rsid w:val="5DE975A6"/>
    <w:rsid w:val="5E3D511B"/>
    <w:rsid w:val="5E3D626E"/>
    <w:rsid w:val="5E581E7B"/>
    <w:rsid w:val="5EF73E63"/>
    <w:rsid w:val="5F06231C"/>
    <w:rsid w:val="5F0A2A26"/>
    <w:rsid w:val="5F8C4104"/>
    <w:rsid w:val="5F987559"/>
    <w:rsid w:val="5FB54A36"/>
    <w:rsid w:val="60467471"/>
    <w:rsid w:val="61081FE0"/>
    <w:rsid w:val="6165151F"/>
    <w:rsid w:val="61730705"/>
    <w:rsid w:val="61935717"/>
    <w:rsid w:val="61941998"/>
    <w:rsid w:val="61A53ACB"/>
    <w:rsid w:val="622A1E50"/>
    <w:rsid w:val="62317960"/>
    <w:rsid w:val="62531787"/>
    <w:rsid w:val="625665CF"/>
    <w:rsid w:val="625E3163"/>
    <w:rsid w:val="629308C5"/>
    <w:rsid w:val="62EE2075"/>
    <w:rsid w:val="63040DEB"/>
    <w:rsid w:val="63180694"/>
    <w:rsid w:val="633F52A7"/>
    <w:rsid w:val="635D78BF"/>
    <w:rsid w:val="63C67212"/>
    <w:rsid w:val="647073C7"/>
    <w:rsid w:val="64881F9E"/>
    <w:rsid w:val="64B218DF"/>
    <w:rsid w:val="64F874CC"/>
    <w:rsid w:val="65040315"/>
    <w:rsid w:val="650C45A4"/>
    <w:rsid w:val="654973EF"/>
    <w:rsid w:val="6578325C"/>
    <w:rsid w:val="659F1079"/>
    <w:rsid w:val="65DC0F6F"/>
    <w:rsid w:val="661F3314"/>
    <w:rsid w:val="664257DE"/>
    <w:rsid w:val="66B05F90"/>
    <w:rsid w:val="66F36853"/>
    <w:rsid w:val="67D31EFE"/>
    <w:rsid w:val="680C0BBC"/>
    <w:rsid w:val="68372B22"/>
    <w:rsid w:val="684D0415"/>
    <w:rsid w:val="69351752"/>
    <w:rsid w:val="69385FFC"/>
    <w:rsid w:val="69426BBF"/>
    <w:rsid w:val="69BB25F4"/>
    <w:rsid w:val="69D22409"/>
    <w:rsid w:val="69E82960"/>
    <w:rsid w:val="6A137EE4"/>
    <w:rsid w:val="6AB817B9"/>
    <w:rsid w:val="6B130238"/>
    <w:rsid w:val="6B796E97"/>
    <w:rsid w:val="6BA45624"/>
    <w:rsid w:val="6BA57CDB"/>
    <w:rsid w:val="6C776701"/>
    <w:rsid w:val="6C8717EB"/>
    <w:rsid w:val="6C8A5F0A"/>
    <w:rsid w:val="6CB82DBE"/>
    <w:rsid w:val="6D3B47CD"/>
    <w:rsid w:val="6D6C16D6"/>
    <w:rsid w:val="6D714693"/>
    <w:rsid w:val="6DB50C7A"/>
    <w:rsid w:val="6DDA7AA4"/>
    <w:rsid w:val="6E8B6326"/>
    <w:rsid w:val="6E8E3022"/>
    <w:rsid w:val="6EC839CB"/>
    <w:rsid w:val="6EDE644B"/>
    <w:rsid w:val="6F2D283B"/>
    <w:rsid w:val="6F2D32D3"/>
    <w:rsid w:val="6F46176F"/>
    <w:rsid w:val="6F573414"/>
    <w:rsid w:val="6F610439"/>
    <w:rsid w:val="6F720D9B"/>
    <w:rsid w:val="6FD92474"/>
    <w:rsid w:val="70217015"/>
    <w:rsid w:val="702261C6"/>
    <w:rsid w:val="70776C11"/>
    <w:rsid w:val="70A0394B"/>
    <w:rsid w:val="70CC631B"/>
    <w:rsid w:val="70DA2836"/>
    <w:rsid w:val="716245C1"/>
    <w:rsid w:val="716E57D7"/>
    <w:rsid w:val="72035AD5"/>
    <w:rsid w:val="72557119"/>
    <w:rsid w:val="72705B40"/>
    <w:rsid w:val="728D6022"/>
    <w:rsid w:val="72AB75EA"/>
    <w:rsid w:val="72D2432D"/>
    <w:rsid w:val="730860CE"/>
    <w:rsid w:val="733E316D"/>
    <w:rsid w:val="734A6FCB"/>
    <w:rsid w:val="734D525A"/>
    <w:rsid w:val="73520AC2"/>
    <w:rsid w:val="73B93C04"/>
    <w:rsid w:val="73C8226C"/>
    <w:rsid w:val="73EA0CFB"/>
    <w:rsid w:val="744C3764"/>
    <w:rsid w:val="746E5488"/>
    <w:rsid w:val="74D43450"/>
    <w:rsid w:val="74FD42BB"/>
    <w:rsid w:val="75723F52"/>
    <w:rsid w:val="75A33EE5"/>
    <w:rsid w:val="75D06D8D"/>
    <w:rsid w:val="75D250B0"/>
    <w:rsid w:val="76BE4834"/>
    <w:rsid w:val="76EE25E9"/>
    <w:rsid w:val="76F372C3"/>
    <w:rsid w:val="76FB6FB7"/>
    <w:rsid w:val="77420DCF"/>
    <w:rsid w:val="774E696B"/>
    <w:rsid w:val="7758241F"/>
    <w:rsid w:val="77E81B63"/>
    <w:rsid w:val="78602874"/>
    <w:rsid w:val="786544B0"/>
    <w:rsid w:val="787113B7"/>
    <w:rsid w:val="78EF2413"/>
    <w:rsid w:val="79091C23"/>
    <w:rsid w:val="791C132E"/>
    <w:rsid w:val="797A042B"/>
    <w:rsid w:val="7A3A6A4B"/>
    <w:rsid w:val="7AEA381A"/>
    <w:rsid w:val="7B2A34CB"/>
    <w:rsid w:val="7B6D7210"/>
    <w:rsid w:val="7BCC31CE"/>
    <w:rsid w:val="7BF935EF"/>
    <w:rsid w:val="7C0E646E"/>
    <w:rsid w:val="7C3A1AE6"/>
    <w:rsid w:val="7C9403B8"/>
    <w:rsid w:val="7C9D069F"/>
    <w:rsid w:val="7CC94AB7"/>
    <w:rsid w:val="7D697134"/>
    <w:rsid w:val="7DF70B2C"/>
    <w:rsid w:val="7E643FE1"/>
    <w:rsid w:val="7E754445"/>
    <w:rsid w:val="7E8F16E3"/>
    <w:rsid w:val="7EAA567A"/>
    <w:rsid w:val="7EE55BE9"/>
    <w:rsid w:val="7F253931"/>
    <w:rsid w:val="7F6F781F"/>
    <w:rsid w:val="7F78647E"/>
    <w:rsid w:val="7F837250"/>
    <w:rsid w:val="7FE855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40" w:lineRule="exact"/>
      <w:ind w:firstLine="720" w:firstLineChars="200"/>
      <w:jc w:val="both"/>
    </w:pPr>
    <w:rPr>
      <w:rFonts w:ascii="Times New Roman" w:hAnsi="Times New Roman" w:eastAsia="宋体" w:cs="宋体"/>
      <w:kern w:val="2"/>
      <w:sz w:val="24"/>
      <w:szCs w:val="24"/>
      <w:lang w:val="en-US" w:eastAsia="zh-CN" w:bidi="ar-SA"/>
    </w:rPr>
  </w:style>
  <w:style w:type="paragraph" w:styleId="3">
    <w:name w:val="heading 1"/>
    <w:basedOn w:val="1"/>
    <w:next w:val="1"/>
    <w:link w:val="58"/>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link w:val="59"/>
    <w:unhideWhenUsed/>
    <w:qFormat/>
    <w:uiPriority w:val="0"/>
    <w:pPr>
      <w:keepNext/>
      <w:keepLines/>
      <w:spacing w:before="50" w:beforeLines="50" w:beforeAutospacing="0" w:after="50" w:afterLines="50" w:afterAutospacing="0" w:line="360" w:lineRule="auto"/>
      <w:outlineLvl w:val="1"/>
    </w:pPr>
    <w:rPr>
      <w:rFonts w:ascii="Arial" w:hAnsi="Arial" w:eastAsia="宋体"/>
      <w:b/>
      <w:sz w:val="32"/>
    </w:rPr>
  </w:style>
  <w:style w:type="paragraph" w:styleId="5">
    <w:name w:val="heading 3"/>
    <w:basedOn w:val="1"/>
    <w:next w:val="1"/>
    <w:link w:val="60"/>
    <w:unhideWhenUsed/>
    <w:qFormat/>
    <w:uiPriority w:val="0"/>
    <w:pPr>
      <w:keepNext/>
      <w:keepLines/>
      <w:spacing w:line="360" w:lineRule="auto"/>
      <w:outlineLvl w:val="2"/>
    </w:pPr>
    <w:rPr>
      <w:rFonts w:ascii="Times New Roman" w:hAnsi="Times New Roman" w:eastAsia="宋体" w:cs="Times New Roman"/>
      <w:b/>
      <w:bCs/>
      <w:kern w:val="2"/>
      <w:sz w:val="24"/>
      <w:szCs w:val="32"/>
    </w:rPr>
  </w:style>
  <w:style w:type="paragraph" w:styleId="6">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宋体"/>
      <w:b/>
    </w:rPr>
  </w:style>
  <w:style w:type="paragraph" w:styleId="7">
    <w:name w:val="heading 5"/>
    <w:basedOn w:val="1"/>
    <w:next w:val="1"/>
    <w:qFormat/>
    <w:uiPriority w:val="0"/>
    <w:pPr>
      <w:ind w:left="824" w:hanging="586"/>
      <w:outlineLvl w:val="5"/>
    </w:pPr>
    <w:rPr>
      <w:rFonts w:ascii="宋体" w:hAnsi="宋体" w:eastAsia="宋体" w:cs="宋体"/>
      <w:b/>
      <w:bCs/>
      <w:sz w:val="24"/>
      <w:szCs w:val="24"/>
      <w:lang w:val="zh-CN" w:eastAsia="zh-CN" w:bidi="zh-CN"/>
    </w:rPr>
  </w:style>
  <w:style w:type="paragraph" w:styleId="8">
    <w:name w:val="heading 6"/>
    <w:basedOn w:val="1"/>
    <w:next w:val="1"/>
    <w:unhideWhenUsed/>
    <w:qFormat/>
    <w:uiPriority w:val="0"/>
    <w:pPr>
      <w:keepNext/>
      <w:keepLines/>
      <w:spacing w:before="240" w:beforeLines="0" w:beforeAutospacing="0" w:after="64" w:afterLines="0" w:afterAutospacing="0" w:line="317" w:lineRule="auto"/>
      <w:ind w:firstLine="420"/>
      <w:outlineLvl w:val="5"/>
    </w:pPr>
    <w:rPr>
      <w:rFonts w:ascii="Arial" w:hAnsi="Arial" w:eastAsia="黑体" w:cs="Times New Roman"/>
      <w:b/>
      <w:sz w:val="24"/>
    </w:rPr>
  </w:style>
  <w:style w:type="paragraph" w:styleId="9">
    <w:name w:val="heading 7"/>
    <w:basedOn w:val="1"/>
    <w:next w:val="1"/>
    <w:unhideWhenUsed/>
    <w:qFormat/>
    <w:uiPriority w:val="0"/>
    <w:pPr>
      <w:keepNext/>
      <w:keepLines/>
      <w:spacing w:before="240" w:beforeLines="0" w:beforeAutospacing="0" w:after="64" w:afterLines="0" w:afterAutospacing="0" w:line="317" w:lineRule="auto"/>
      <w:ind w:firstLine="420"/>
      <w:outlineLvl w:val="6"/>
    </w:pPr>
    <w:rPr>
      <w:rFonts w:ascii="Times New Roman" w:hAnsi="Times New Roman" w:eastAsia="宋体" w:cs="Times New Roman"/>
      <w:b/>
      <w:sz w:val="24"/>
    </w:rPr>
  </w:style>
  <w:style w:type="character" w:default="1" w:styleId="27">
    <w:name w:val="Default Paragraph Font"/>
    <w:semiHidden/>
    <w:qFormat/>
    <w:uiPriority w:val="0"/>
  </w:style>
  <w:style w:type="table" w:default="1" w:styleId="2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Normal Indent"/>
    <w:basedOn w:val="1"/>
    <w:qFormat/>
    <w:uiPriority w:val="0"/>
    <w:pPr>
      <w:widowControl w:val="0"/>
      <w:adjustRightInd/>
      <w:snapToGrid/>
      <w:spacing w:line="240" w:lineRule="auto"/>
      <w:ind w:firstLine="0" w:firstLineChars="0"/>
      <w:jc w:val="both"/>
    </w:pPr>
    <w:rPr>
      <w:rFonts w:ascii="Times New Roman" w:hAnsi="Times New Roman"/>
      <w:kern w:val="2"/>
      <w:szCs w:val="24"/>
    </w:rPr>
  </w:style>
  <w:style w:type="paragraph" w:styleId="10">
    <w:name w:val="List 3"/>
    <w:basedOn w:val="1"/>
    <w:next w:val="1"/>
    <w:qFormat/>
    <w:uiPriority w:val="0"/>
    <w:pPr>
      <w:ind w:left="100" w:leftChars="400" w:hanging="200" w:hangingChars="200"/>
    </w:pPr>
  </w:style>
  <w:style w:type="paragraph" w:styleId="11">
    <w:name w:val="annotation text"/>
    <w:basedOn w:val="1"/>
    <w:qFormat/>
    <w:uiPriority w:val="0"/>
    <w:pPr>
      <w:jc w:val="left"/>
    </w:pPr>
  </w:style>
  <w:style w:type="paragraph" w:styleId="12">
    <w:name w:val="Body Text"/>
    <w:basedOn w:val="1"/>
    <w:qFormat/>
    <w:uiPriority w:val="0"/>
    <w:pPr>
      <w:widowControl/>
      <w:snapToGrid w:val="0"/>
      <w:spacing w:before="60" w:after="160" w:line="259" w:lineRule="auto"/>
      <w:ind w:right="113"/>
    </w:pPr>
    <w:rPr>
      <w:kern w:val="0"/>
      <w:sz w:val="18"/>
      <w:szCs w:val="18"/>
    </w:rPr>
  </w:style>
  <w:style w:type="paragraph" w:styleId="13">
    <w:name w:val="Body Text Indent"/>
    <w:basedOn w:val="1"/>
    <w:next w:val="14"/>
    <w:qFormat/>
    <w:uiPriority w:val="0"/>
    <w:pPr>
      <w:spacing w:after="120"/>
      <w:ind w:left="420" w:leftChars="200"/>
    </w:pPr>
  </w:style>
  <w:style w:type="paragraph" w:styleId="14">
    <w:name w:val="Body Text Indent 2"/>
    <w:basedOn w:val="1"/>
    <w:next w:val="15"/>
    <w:qFormat/>
    <w:uiPriority w:val="0"/>
    <w:pPr>
      <w:tabs>
        <w:tab w:val="left" w:pos="180"/>
      </w:tabs>
      <w:spacing w:line="360" w:lineRule="auto"/>
      <w:ind w:firstLine="567"/>
    </w:pPr>
    <w:rPr>
      <w:rFonts w:ascii="宋体" w:hAnsi="宋体" w:eastAsia="宋体" w:cs="Times New Roman"/>
      <w:sz w:val="28"/>
    </w:rPr>
  </w:style>
  <w:style w:type="paragraph" w:styleId="15">
    <w:name w:val="Body Text First Indent 2"/>
    <w:basedOn w:val="13"/>
    <w:next w:val="1"/>
    <w:qFormat/>
    <w:uiPriority w:val="0"/>
    <w:pPr>
      <w:widowControl/>
      <w:autoSpaceDE/>
      <w:autoSpaceDN/>
      <w:adjustRightInd/>
      <w:spacing w:after="120" w:line="240" w:lineRule="auto"/>
      <w:ind w:left="420" w:leftChars="200" w:firstLine="420"/>
    </w:pPr>
    <w:rPr>
      <w:rFonts w:cs="宋体"/>
      <w:szCs w:val="24"/>
    </w:rPr>
  </w:style>
  <w:style w:type="paragraph" w:styleId="16">
    <w:name w:val="Plain Text"/>
    <w:basedOn w:val="1"/>
    <w:uiPriority w:val="0"/>
    <w:rPr>
      <w:rFonts w:ascii="宋体" w:hAnsi="Courier New"/>
      <w:kern w:val="0"/>
      <w:sz w:val="20"/>
      <w:szCs w:val="20"/>
    </w:rPr>
  </w:style>
  <w:style w:type="paragraph" w:styleId="17">
    <w:name w:val="footer"/>
    <w:basedOn w:val="1"/>
    <w:uiPriority w:val="0"/>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9">
    <w:name w:val="toc 1"/>
    <w:basedOn w:val="1"/>
    <w:next w:val="1"/>
    <w:qFormat/>
    <w:uiPriority w:val="0"/>
    <w:pPr>
      <w:spacing w:line="360" w:lineRule="auto"/>
      <w:ind w:firstLine="420"/>
    </w:pPr>
    <w:rPr>
      <w:rFonts w:ascii="Times New Roman" w:hAnsi="Times New Roman" w:eastAsia="宋体" w:cs="Times New Roman"/>
    </w:rPr>
  </w:style>
  <w:style w:type="paragraph" w:styleId="20">
    <w:name w:val="table of figures"/>
    <w:basedOn w:val="1"/>
    <w:next w:val="1"/>
    <w:uiPriority w:val="0"/>
    <w:pPr>
      <w:ind w:leftChars="200" w:hanging="200" w:hangingChars="200"/>
    </w:pPr>
    <w:rPr>
      <w:rFonts w:ascii="Calibri" w:hAnsi="Calibri"/>
      <w:szCs w:val="22"/>
    </w:rPr>
  </w:style>
  <w:style w:type="paragraph" w:styleId="21">
    <w:name w:val="toc 2"/>
    <w:basedOn w:val="1"/>
    <w:next w:val="1"/>
    <w:uiPriority w:val="0"/>
    <w:pPr>
      <w:spacing w:line="360" w:lineRule="auto"/>
      <w:ind w:left="420" w:leftChars="200" w:firstLine="420"/>
    </w:pPr>
    <w:rPr>
      <w:rFonts w:ascii="Times New Roman" w:hAnsi="Times New Roman" w:eastAsia="宋体" w:cs="Times New Roman"/>
    </w:rPr>
  </w:style>
  <w:style w:type="paragraph" w:styleId="22">
    <w:name w:val="Body Text 2"/>
    <w:basedOn w:val="1"/>
    <w:uiPriority w:val="0"/>
    <w:pPr>
      <w:jc w:val="center"/>
    </w:pPr>
    <w:rPr>
      <w:rFonts w:ascii="宋体" w:hAnsi="宋体"/>
      <w:color w:val="000000"/>
      <w:szCs w:val="21"/>
    </w:rPr>
  </w:style>
  <w:style w:type="paragraph" w:styleId="23">
    <w:name w:val="Normal (Web)"/>
    <w:basedOn w:val="1"/>
    <w:qFormat/>
    <w:uiPriority w:val="0"/>
    <w:pPr>
      <w:widowControl/>
      <w:spacing w:before="100" w:beforeAutospacing="1" w:after="100" w:afterAutospacing="1"/>
      <w:jc w:val="left"/>
    </w:pPr>
    <w:rPr>
      <w:rFonts w:ascii="宋体" w:hAnsi="宋体"/>
      <w:kern w:val="0"/>
      <w:sz w:val="24"/>
    </w:rPr>
  </w:style>
  <w:style w:type="paragraph" w:styleId="24">
    <w:name w:val="Body Text First Indent"/>
    <w:basedOn w:val="1"/>
    <w:next w:val="1"/>
    <w:uiPriority w:val="0"/>
    <w:pPr>
      <w:ind w:firstLine="420" w:firstLineChars="100"/>
    </w:pPr>
  </w:style>
  <w:style w:type="table" w:styleId="26">
    <w:name w:val="Table Grid"/>
    <w:basedOn w:val="25"/>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0"/>
    <w:rPr>
      <w:b/>
    </w:rPr>
  </w:style>
  <w:style w:type="character" w:styleId="29">
    <w:name w:val="page number"/>
    <w:basedOn w:val="27"/>
    <w:uiPriority w:val="0"/>
  </w:style>
  <w:style w:type="character" w:styleId="30">
    <w:name w:val="Emphasis"/>
    <w:basedOn w:val="27"/>
    <w:qFormat/>
    <w:uiPriority w:val="0"/>
    <w:rPr>
      <w:i/>
    </w:rPr>
  </w:style>
  <w:style w:type="character" w:styleId="31">
    <w:name w:val="Hyperlink"/>
    <w:basedOn w:val="27"/>
    <w:unhideWhenUsed/>
    <w:qFormat/>
    <w:uiPriority w:val="99"/>
    <w:rPr>
      <w:rFonts w:ascii="Times New Roman" w:hAnsi="Times New Roman" w:eastAsia="宋体" w:cs="Times New Roman"/>
      <w:color w:val="0000FF"/>
      <w:u w:val="single"/>
    </w:rPr>
  </w:style>
  <w:style w:type="paragraph" w:customStyle="1" w:styleId="32">
    <w:name w:val="样式 正文缩进正文缩进2正文缩进 Char Char正文缩进 Char Char Char Char正文缩进 Char ..."/>
    <w:basedOn w:val="2"/>
    <w:qFormat/>
    <w:uiPriority w:val="0"/>
    <w:pPr>
      <w:spacing w:line="360" w:lineRule="auto"/>
      <w:ind w:firstLine="200"/>
    </w:pPr>
    <w:rPr>
      <w:rFonts w:cs="宋体"/>
      <w:sz w:val="24"/>
    </w:rPr>
  </w:style>
  <w:style w:type="paragraph" w:customStyle="1" w:styleId="33">
    <w:name w:val="正文1"/>
    <w:basedOn w:val="1"/>
    <w:next w:val="1"/>
    <w:qFormat/>
    <w:uiPriority w:val="0"/>
    <w:pPr>
      <w:snapToGrid w:val="0"/>
      <w:spacing w:line="360" w:lineRule="atLeast"/>
      <w:jc w:val="center"/>
    </w:pPr>
    <w:rPr>
      <w:kern w:val="21"/>
    </w:rPr>
  </w:style>
  <w:style w:type="paragraph" w:customStyle="1" w:styleId="34">
    <w:name w:val="Default"/>
    <w:basedOn w:val="35"/>
    <w:next w:val="1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纯文本1"/>
    <w:basedOn w:val="1"/>
    <w:qFormat/>
    <w:uiPriority w:val="0"/>
    <w:rPr>
      <w:rFonts w:ascii="宋体" w:hAnsi="Courier New" w:eastAsia="Times New Roman"/>
      <w:kern w:val="0"/>
      <w:sz w:val="20"/>
      <w:szCs w:val="20"/>
    </w:rPr>
  </w:style>
  <w:style w:type="paragraph" w:customStyle="1" w:styleId="36">
    <w:name w:val="[1]LY正文"/>
    <w:basedOn w:val="1"/>
    <w:qFormat/>
    <w:uiPriority w:val="0"/>
    <w:pPr>
      <w:ind w:firstLine="200" w:firstLineChars="200"/>
    </w:pPr>
    <w:rPr>
      <w:rFonts w:ascii="Times New Roman" w:hAnsi="Times New Roman"/>
      <w:kern w:val="0"/>
      <w:sz w:val="24"/>
      <w:szCs w:val="28"/>
    </w:rPr>
  </w:style>
  <w:style w:type="paragraph" w:customStyle="1" w:styleId="37">
    <w:name w:val="正文（缩进）"/>
    <w:basedOn w:val="1"/>
    <w:next w:val="1"/>
    <w:qFormat/>
    <w:uiPriority w:val="99"/>
    <w:pPr>
      <w:spacing w:line="360" w:lineRule="auto"/>
      <w:ind w:firstLine="480" w:firstLineChars="200"/>
    </w:pPr>
    <w:rPr>
      <w:sz w:val="24"/>
    </w:rPr>
  </w:style>
  <w:style w:type="paragraph" w:customStyle="1" w:styleId="38">
    <w:name w:val="zw"/>
    <w:basedOn w:val="16"/>
    <w:next w:val="1"/>
    <w:qFormat/>
    <w:uiPriority w:val="0"/>
    <w:pPr>
      <w:spacing w:line="360" w:lineRule="auto"/>
      <w:ind w:firstLine="480" w:firstLineChars="200"/>
    </w:pPr>
    <w:rPr>
      <w:rFonts w:ascii="Times New Roman" w:hAnsi="Times New Roman" w:eastAsia="仿宋_GB2312"/>
      <w:kern w:val="2"/>
      <w:sz w:val="24"/>
      <w:lang w:val="en-US" w:eastAsia="zh-CN"/>
    </w:rPr>
  </w:style>
  <w:style w:type="paragraph" w:customStyle="1" w:styleId="39">
    <w:name w:val="Table Paragraph"/>
    <w:basedOn w:val="1"/>
    <w:qFormat/>
    <w:uiPriority w:val="1"/>
    <w:rPr>
      <w:rFonts w:ascii="宋体" w:hAnsi="宋体" w:eastAsia="宋体" w:cs="宋体"/>
    </w:rPr>
  </w:style>
  <w:style w:type="paragraph" w:customStyle="1" w:styleId="40">
    <w:name w:val="表一级标题"/>
    <w:basedOn w:val="1"/>
    <w:qFormat/>
    <w:uiPriority w:val="0"/>
    <w:pPr>
      <w:adjustRightInd w:val="0"/>
      <w:snapToGrid w:val="0"/>
      <w:spacing w:line="360" w:lineRule="auto"/>
      <w:jc w:val="left"/>
    </w:pPr>
    <w:rPr>
      <w:rFonts w:eastAsia="黑体"/>
      <w:kern w:val="0"/>
      <w:sz w:val="28"/>
      <w:szCs w:val="21"/>
    </w:rPr>
  </w:style>
  <w:style w:type="paragraph" w:customStyle="1" w:styleId="41">
    <w:name w:val="表格正文"/>
    <w:semiHidden/>
    <w:qFormat/>
    <w:uiPriority w:val="0"/>
    <w:pPr>
      <w:spacing w:before="60" w:after="60"/>
      <w:ind w:left="32"/>
      <w:jc w:val="center"/>
    </w:pPr>
    <w:rPr>
      <w:rFonts w:ascii="宋体" w:hAnsi="宋体" w:eastAsia="宋体" w:cs="Times New Roman"/>
      <w:bCs/>
      <w:sz w:val="21"/>
      <w:szCs w:val="21"/>
      <w:lang w:val="en-US" w:eastAsia="zh-CN" w:bidi="ar-SA"/>
    </w:rPr>
  </w:style>
  <w:style w:type="paragraph" w:customStyle="1" w:styleId="42">
    <w:name w:val="表题"/>
    <w:basedOn w:val="1"/>
    <w:next w:val="1"/>
    <w:qFormat/>
    <w:uiPriority w:val="0"/>
    <w:pPr>
      <w:jc w:val="center"/>
    </w:pPr>
    <w:rPr>
      <w:b/>
      <w:bCs/>
      <w:szCs w:val="20"/>
    </w:rPr>
  </w:style>
  <w:style w:type="table" w:customStyle="1" w:styleId="43">
    <w:name w:val="Table Normal"/>
    <w:semiHidden/>
    <w:unhideWhenUsed/>
    <w:qFormat/>
    <w:uiPriority w:val="0"/>
    <w:tblPr>
      <w:tblCellMar>
        <w:top w:w="0" w:type="dxa"/>
        <w:left w:w="0" w:type="dxa"/>
        <w:bottom w:w="0" w:type="dxa"/>
        <w:right w:w="0" w:type="dxa"/>
      </w:tblCellMar>
    </w:tblPr>
  </w:style>
  <w:style w:type="paragraph" w:customStyle="1" w:styleId="44">
    <w:name w:val="Table Text"/>
    <w:basedOn w:val="1"/>
    <w:semiHidden/>
    <w:qFormat/>
    <w:uiPriority w:val="0"/>
    <w:rPr>
      <w:rFonts w:ascii="宋体" w:hAnsi="宋体" w:eastAsia="宋体" w:cs="宋体"/>
      <w:sz w:val="28"/>
      <w:szCs w:val="28"/>
      <w:lang w:val="en-US" w:eastAsia="en-US" w:bidi="ar-SA"/>
    </w:rPr>
  </w:style>
  <w:style w:type="paragraph" w:customStyle="1" w:styleId="45">
    <w:name w:val="表格"/>
    <w:basedOn w:val="2"/>
    <w:next w:val="1"/>
    <w:qFormat/>
    <w:uiPriority w:val="0"/>
    <w:pPr>
      <w:spacing w:line="240" w:lineRule="auto"/>
      <w:ind w:firstLine="0" w:firstLineChars="0"/>
      <w:jc w:val="center"/>
    </w:pPr>
    <w:rPr>
      <w:rFonts w:eastAsia="宋体"/>
      <w:sz w:val="21"/>
    </w:rPr>
  </w:style>
  <w:style w:type="paragraph" w:styleId="46">
    <w:name w:val="List Paragraph"/>
    <w:basedOn w:val="1"/>
    <w:semiHidden/>
    <w:unhideWhenUsed/>
    <w:qFormat/>
    <w:uiPriority w:val="99"/>
    <w:pPr>
      <w:ind w:left="1299" w:hanging="602"/>
    </w:pPr>
    <w:rPr>
      <w:rFonts w:ascii="宋体" w:hAnsi="宋体" w:eastAsia="宋体" w:cs="宋体"/>
      <w:lang w:val="zh-CN" w:eastAsia="zh-CN" w:bidi="zh-CN"/>
    </w:rPr>
  </w:style>
  <w:style w:type="paragraph" w:customStyle="1" w:styleId="47">
    <w:name w:val="000 正文"/>
    <w:basedOn w:val="1"/>
    <w:qFormat/>
    <w:uiPriority w:val="0"/>
    <w:pPr>
      <w:autoSpaceDE/>
      <w:autoSpaceDN/>
      <w:adjustRightInd w:val="0"/>
      <w:spacing w:line="360" w:lineRule="auto"/>
      <w:ind w:firstLine="480" w:firstLineChars="200"/>
      <w:textAlignment w:val="baseline"/>
    </w:pPr>
    <w:rPr>
      <w:rFonts w:cs="Times New Roman"/>
      <w:kern w:val="2"/>
      <w:sz w:val="24"/>
      <w:szCs w:val="24"/>
      <w:lang w:eastAsia="zh-CN"/>
    </w:rPr>
  </w:style>
  <w:style w:type="paragraph" w:customStyle="1" w:styleId="48">
    <w:name w:val="00表格样式"/>
    <w:basedOn w:val="49"/>
    <w:qFormat/>
    <w:uiPriority w:val="0"/>
    <w:rPr>
      <w:kern w:val="2"/>
    </w:rPr>
  </w:style>
  <w:style w:type="paragraph" w:customStyle="1" w:styleId="49">
    <w:name w:val="表格bo"/>
    <w:basedOn w:val="1"/>
    <w:qFormat/>
    <w:uiPriority w:val="0"/>
    <w:pPr>
      <w:autoSpaceDE/>
      <w:autoSpaceDN/>
      <w:snapToGrid w:val="0"/>
      <w:jc w:val="center"/>
      <w:textAlignment w:val="center"/>
    </w:pPr>
    <w:rPr>
      <w:rFonts w:cs="Times New Roman"/>
      <w:sz w:val="21"/>
      <w:szCs w:val="21"/>
      <w:lang w:eastAsia="zh-CN"/>
    </w:rPr>
  </w:style>
  <w:style w:type="paragraph" w:customStyle="1" w:styleId="50">
    <w:name w:val="0图表标题"/>
    <w:basedOn w:val="51"/>
    <w:qFormat/>
    <w:uiPriority w:val="0"/>
    <w:pPr>
      <w:autoSpaceDE/>
      <w:autoSpaceDN/>
      <w:ind w:firstLine="0" w:firstLineChars="0"/>
      <w:jc w:val="center"/>
    </w:pPr>
    <w:rPr>
      <w:rFonts w:ascii="Times New Roman" w:hAnsi="Times New Roman"/>
      <w:b/>
      <w:kern w:val="2"/>
      <w:sz w:val="21"/>
      <w:szCs w:val="24"/>
      <w:lang w:eastAsia="zh-CN"/>
    </w:rPr>
  </w:style>
  <w:style w:type="paragraph" w:customStyle="1" w:styleId="51">
    <w:name w:val="0正文"/>
    <w:basedOn w:val="16"/>
    <w:qFormat/>
    <w:uiPriority w:val="0"/>
    <w:pPr>
      <w:spacing w:line="360" w:lineRule="auto"/>
      <w:ind w:firstLine="200" w:firstLineChars="200"/>
    </w:pPr>
    <w:rPr>
      <w:sz w:val="24"/>
    </w:rPr>
  </w:style>
  <w:style w:type="paragraph" w:customStyle="1" w:styleId="52">
    <w:name w:val="LN正文"/>
    <w:basedOn w:val="1"/>
    <w:qFormat/>
    <w:uiPriority w:val="0"/>
    <w:pPr>
      <w:adjustRightInd w:val="0"/>
      <w:snapToGrid w:val="0"/>
      <w:spacing w:line="360" w:lineRule="auto"/>
      <w:ind w:firstLine="200" w:firstLineChars="200"/>
    </w:pPr>
    <w:rPr>
      <w:sz w:val="24"/>
      <w:szCs w:val="24"/>
    </w:rPr>
  </w:style>
  <w:style w:type="paragraph" w:customStyle="1" w:styleId="53">
    <w:name w:val="中文报告书样式"/>
    <w:basedOn w:val="1"/>
    <w:qFormat/>
    <w:uiPriority w:val="0"/>
    <w:pPr>
      <w:adjustRightInd w:val="0"/>
      <w:spacing w:line="480" w:lineRule="atLeast"/>
      <w:ind w:firstLine="482"/>
      <w:textAlignment w:val="baseline"/>
    </w:pPr>
    <w:rPr>
      <w:rFonts w:ascii="Times New Roman" w:hAnsi="Times New Roman" w:eastAsia="宋体" w:cs="Times New Roman"/>
      <w:kern w:val="24"/>
      <w:sz w:val="24"/>
      <w:szCs w:val="20"/>
    </w:rPr>
  </w:style>
  <w:style w:type="paragraph" w:customStyle="1" w:styleId="54">
    <w:name w:val="模板标题1"/>
    <w:basedOn w:val="1"/>
    <w:next w:val="1"/>
    <w:qFormat/>
    <w:uiPriority w:val="0"/>
    <w:pPr>
      <w:spacing w:line="360" w:lineRule="auto"/>
      <w:outlineLvl w:val="1"/>
    </w:pPr>
    <w:rPr>
      <w:b/>
      <w:bCs/>
      <w:lang w:val="zh-CN"/>
    </w:rPr>
  </w:style>
  <w:style w:type="paragraph" w:customStyle="1" w:styleId="55">
    <w:name w:val="正文-自建"/>
    <w:basedOn w:val="2"/>
    <w:qFormat/>
    <w:uiPriority w:val="0"/>
    <w:pPr>
      <w:adjustRightInd/>
      <w:snapToGrid/>
      <w:spacing w:line="600" w:lineRule="exact"/>
    </w:pPr>
    <w:rPr>
      <w:szCs w:val="28"/>
    </w:rPr>
  </w:style>
  <w:style w:type="character" w:customStyle="1" w:styleId="56">
    <w:name w:val="font21"/>
    <w:basedOn w:val="27"/>
    <w:qFormat/>
    <w:uiPriority w:val="0"/>
    <w:rPr>
      <w:rFonts w:hint="default" w:ascii="Times New Roman" w:hAnsi="Times New Roman" w:cs="Times New Roman"/>
      <w:color w:val="0000FF"/>
      <w:sz w:val="21"/>
      <w:szCs w:val="21"/>
      <w:u w:val="none"/>
    </w:rPr>
  </w:style>
  <w:style w:type="character" w:customStyle="1" w:styleId="57">
    <w:name w:val="font11"/>
    <w:basedOn w:val="27"/>
    <w:qFormat/>
    <w:uiPriority w:val="0"/>
    <w:rPr>
      <w:rFonts w:hint="eastAsia" w:ascii="宋体" w:hAnsi="宋体" w:eastAsia="宋体" w:cs="宋体"/>
      <w:color w:val="0000FF"/>
      <w:sz w:val="21"/>
      <w:szCs w:val="21"/>
      <w:u w:val="none"/>
    </w:rPr>
  </w:style>
  <w:style w:type="character" w:customStyle="1" w:styleId="58">
    <w:name w:val="标题 1 Char"/>
    <w:link w:val="3"/>
    <w:uiPriority w:val="0"/>
    <w:rPr>
      <w:rFonts w:hint="eastAsia" w:ascii="宋体" w:hAnsi="宋体" w:eastAsia="宋体" w:cs="宋体"/>
      <w:b/>
      <w:bCs/>
      <w:kern w:val="44"/>
      <w:sz w:val="48"/>
      <w:szCs w:val="48"/>
      <w:lang w:val="en-US" w:eastAsia="zh-CN" w:bidi="ar"/>
    </w:rPr>
  </w:style>
  <w:style w:type="character" w:customStyle="1" w:styleId="59">
    <w:name w:val="标题 2 Char"/>
    <w:link w:val="4"/>
    <w:uiPriority w:val="0"/>
    <w:rPr>
      <w:rFonts w:ascii="Arial" w:hAnsi="Arial" w:eastAsia="宋体" w:cs="Times New Roman"/>
      <w:b/>
      <w:sz w:val="32"/>
    </w:rPr>
  </w:style>
  <w:style w:type="character" w:customStyle="1" w:styleId="60">
    <w:name w:val="标题 3 Char"/>
    <w:link w:val="5"/>
    <w:qFormat/>
    <w:uiPriority w:val="0"/>
    <w:rPr>
      <w:rFonts w:ascii="Times New Roman" w:hAnsi="Times New Roman" w:eastAsia="宋体" w:cs="Times New Roman"/>
      <w:b/>
      <w:bCs/>
      <w:kern w:val="2"/>
      <w:sz w:val="24"/>
      <w:szCs w:val="32"/>
    </w:rPr>
  </w:style>
  <w:style w:type="paragraph" w:customStyle="1" w:styleId="61">
    <w:name w:val="！正文"/>
    <w:basedOn w:val="1"/>
    <w:qFormat/>
    <w:uiPriority w:val="0"/>
    <w:pPr>
      <w:spacing w:line="360" w:lineRule="auto"/>
      <w:ind w:firstLine="480"/>
    </w:pPr>
    <w:rPr>
      <w:rFonts w:ascii="Times New Roman" w:hAnsi="Times New Roman" w:eastAsia="宋体" w:cs="宋体"/>
      <w:szCs w:val="20"/>
    </w:rPr>
  </w:style>
  <w:style w:type="paragraph" w:customStyle="1" w:styleId="62">
    <w:name w:val="正文4"/>
    <w:qFormat/>
    <w:uiPriority w:val="0"/>
    <w:pPr>
      <w:widowControl w:val="0"/>
      <w:adjustRightInd w:val="0"/>
      <w:spacing w:line="360" w:lineRule="atLeast"/>
    </w:pPr>
    <w:rPr>
      <w:rFonts w:hint="eastAsia" w:ascii="宋体" w:hAnsi="Times New Roman" w:eastAsia="宋体" w:cs="Times New Roman"/>
      <w:sz w:val="24"/>
      <w:lang w:val="en-US" w:eastAsia="zh-CN" w:bidi="ar-SA"/>
    </w:rPr>
  </w:style>
  <w:style w:type="paragraph" w:customStyle="1" w:styleId="63">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table" w:customStyle="1" w:styleId="64">
    <w:name w:val="Table Normal8"/>
    <w:unhideWhenUsed/>
    <w:qFormat/>
    <w:uiPriority w:val="0"/>
    <w:rPr>
      <w:rFonts w:ascii="Arial" w:hAnsi="Arial" w:eastAsia="等线" w:cs="Arial"/>
      <w:snapToGrid w:val="0"/>
      <w:color w:val="000000"/>
      <w:sz w:val="21"/>
      <w:szCs w:val="21"/>
    </w:rPr>
    <w:tblPr>
      <w:tblCellMar>
        <w:top w:w="0" w:type="dxa"/>
        <w:left w:w="0" w:type="dxa"/>
        <w:bottom w:w="0" w:type="dxa"/>
        <w:right w:w="0" w:type="dxa"/>
      </w:tblCellMar>
    </w:tblPr>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WPSOffice手动目录 3"/>
    <w:qFormat/>
    <w:uiPriority w:val="0"/>
    <w:pPr>
      <w:ind w:leftChars="400"/>
    </w:pPr>
    <w:rPr>
      <w:rFonts w:ascii="Times New Roman" w:hAnsi="Times New Roman" w:eastAsia="宋体" w:cs="Times New Roman"/>
      <w:sz w:val="20"/>
      <w:szCs w:val="20"/>
    </w:rPr>
  </w:style>
  <w:style w:type="table" w:customStyle="1" w:styleId="68">
    <w:name w:val="TableGri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jpeg"/><Relationship Id="rId4" Type="http://schemas.openxmlformats.org/officeDocument/2006/relationships/endnotes" Target="endnotes.xml"/><Relationship Id="rId39" Type="http://schemas.openxmlformats.org/officeDocument/2006/relationships/image" Target="media/image31.emf"/><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49" textRotate="1"/>
    <customShpInfo spid="_x0000_s2050" textRotate="1"/>
    <customShpInfo spid="_x0000_s1026" textRotate="1"/>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224</Pages>
  <Words>45346</Words>
  <Characters>60022</Characters>
  <Lines>1</Lines>
  <Paragraphs>1</Paragraphs>
  <TotalTime>42</TotalTime>
  <ScaleCrop>false</ScaleCrop>
  <LinksUpToDate>false</LinksUpToDate>
  <CharactersWithSpaces>60242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2024-10-18T07:22:00Z</dcterms:created>
  <dc:creator>,,,,,,</dc:creator>
  <cp:lastModifiedBy>一夢蘩華</cp:lastModifiedBy>
  <dcterms:modified xsi:type="dcterms:W3CDTF">2026-02-05T02:43:30Z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E5DC39081FCD481CA5C9A3D61CA82B09_13</vt:lpwstr>
  </property>
  <property fmtid="{D5CDD505-2E9C-101B-9397-08002B2CF9AE}" pid="4" name="KSOTemplateDocerSaveRecord">
    <vt:lpwstr>eyJoZGlkIjoiZmJlZTRlZDMxM2YzNjdlZGY1NzQ4YWM0YzRlOGUwYmYiLCJ1c2VySWQiOiIzNzMxNjUyMzgifQ==</vt:lpwstr>
  </property>
</Properties>
</file>