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7FD4F2A">
      <w:pPr>
        <w:rPr>
          <w:rFonts w:hint="eastAsia" w:eastAsia="宋体"/>
          <w:lang w:val="en-US" w:eastAsia="zh-CN"/>
        </w:rPr>
      </w:pPr>
      <w:bookmarkStart w:id="0" w:name="OLE_LINK1"/>
    </w:p>
    <w:p w14:paraId="03A5ADBB">
      <w:pPr>
        <w:pStyle w:val="197"/>
        <w:rPr>
          <w:color w:val="000000" w:themeColor="text1"/>
          <w14:textFill>
            <w14:solidFill>
              <w14:schemeClr w14:val="tx1"/>
            </w14:solidFill>
          </w14:textFill>
        </w:rPr>
      </w:pPr>
    </w:p>
    <w:p w14:paraId="06E71669">
      <w:pPr>
        <w:rPr>
          <w:color w:val="000000" w:themeColor="text1"/>
          <w14:textFill>
            <w14:solidFill>
              <w14:schemeClr w14:val="tx1"/>
            </w14:solidFill>
          </w14:textFill>
        </w:rPr>
      </w:pPr>
    </w:p>
    <w:p w14:paraId="21A3AB05">
      <w:pPr>
        <w:pStyle w:val="32"/>
        <w:rPr>
          <w:color w:val="000000" w:themeColor="text1"/>
          <w14:textFill>
            <w14:solidFill>
              <w14:schemeClr w14:val="tx1"/>
            </w14:solidFill>
          </w14:textFill>
        </w:rPr>
      </w:pPr>
    </w:p>
    <w:p w14:paraId="4D8333B3">
      <w:pPr>
        <w:rPr>
          <w:color w:val="000000" w:themeColor="text1"/>
          <w14:textFill>
            <w14:solidFill>
              <w14:schemeClr w14:val="tx1"/>
            </w14:solidFill>
          </w14:textFill>
        </w:rPr>
      </w:pPr>
    </w:p>
    <w:p w14:paraId="13BC1718">
      <w:pPr>
        <w:keepNext w:val="0"/>
        <w:keepLines w:val="0"/>
        <w:pageBreakBefore w:val="0"/>
        <w:widowControl w:val="0"/>
        <w:spacing w:line="240" w:lineRule="auto"/>
        <w:ind w:left="0" w:firstLine="0"/>
        <w:jc w:val="center"/>
        <w:rPr>
          <w:rFonts w:ascii="Times New Roman" w:hAnsi="Times New Roman" w:eastAsia="黑体"/>
          <w:color w:val="000000" w:themeColor="text1"/>
          <w:sz w:val="72"/>
          <w:szCs w:val="72"/>
          <w14:textFill>
            <w14:solidFill>
              <w14:schemeClr w14:val="tx1"/>
            </w14:solidFill>
          </w14:textFill>
        </w:rPr>
      </w:pPr>
      <w:r>
        <w:rPr>
          <w:rFonts w:hint="eastAsia" w:ascii="宋体" w:hAnsi="宋体" w:eastAsia="宋体" w:cs="宋体"/>
          <w:color w:val="000000" w:themeColor="text1"/>
          <w:sz w:val="72"/>
          <w:szCs w:val="72"/>
          <w14:textFill>
            <w14:solidFill>
              <w14:schemeClr w14:val="tx1"/>
            </w14:solidFill>
          </w14:textFill>
        </w:rPr>
        <w:t>建设项目环境影响报告表</w:t>
      </w:r>
    </w:p>
    <w:p w14:paraId="6B8694B9">
      <w:pPr>
        <w:pStyle w:val="199"/>
        <w:keepNext w:val="0"/>
        <w:keepLines w:val="0"/>
        <w:pageBreakBefore w:val="0"/>
        <w:widowControl w:val="0"/>
        <w:spacing w:line="240" w:lineRule="auto"/>
        <w:ind w:left="0" w:firstLine="0"/>
        <w:jc w:val="center"/>
        <w:rPr>
          <w:rFonts w:hint="eastAsia" w:eastAsia="宋体"/>
          <w:color w:val="000000" w:themeColor="text1"/>
          <w:sz w:val="44"/>
          <w:szCs w:val="48"/>
          <w:lang w:eastAsia="zh-CN"/>
          <w14:textFill>
            <w14:solidFill>
              <w14:schemeClr w14:val="tx1"/>
            </w14:solidFill>
          </w14:textFill>
        </w:rPr>
      </w:pPr>
      <w:bookmarkStart w:id="1" w:name="_Hlk57883728"/>
      <w:r>
        <w:rPr>
          <w:rFonts w:hint="eastAsia"/>
          <w:color w:val="000000" w:themeColor="text1"/>
          <w:sz w:val="44"/>
          <w:szCs w:val="48"/>
          <w:lang w:eastAsia="zh-CN"/>
          <w14:textFill>
            <w14:solidFill>
              <w14:schemeClr w14:val="tx1"/>
            </w14:solidFill>
          </w14:textFill>
        </w:rPr>
        <w:t>（生态影响类）</w:t>
      </w:r>
    </w:p>
    <w:p w14:paraId="0393AFA7">
      <w:pPr>
        <w:pStyle w:val="199"/>
        <w:ind w:firstLine="492"/>
        <w:rPr>
          <w:color w:val="000000" w:themeColor="text1"/>
          <w14:textFill>
            <w14:solidFill>
              <w14:schemeClr w14:val="tx1"/>
            </w14:solidFill>
          </w14:textFill>
        </w:rPr>
      </w:pPr>
      <w:bookmarkStart w:id="2" w:name="OLE_LINK7"/>
    </w:p>
    <w:p w14:paraId="2D6BEB54">
      <w:pPr>
        <w:pStyle w:val="199"/>
        <w:ind w:firstLine="492"/>
        <w:rPr>
          <w:color w:val="000000" w:themeColor="text1"/>
          <w14:textFill>
            <w14:solidFill>
              <w14:schemeClr w14:val="tx1"/>
            </w14:solidFill>
          </w14:textFill>
        </w:rPr>
      </w:pPr>
    </w:p>
    <w:p w14:paraId="4C61DC2B">
      <w:pPr>
        <w:pStyle w:val="199"/>
        <w:ind w:firstLine="492"/>
        <w:rPr>
          <w:color w:val="000000" w:themeColor="text1"/>
          <w14:textFill>
            <w14:solidFill>
              <w14:schemeClr w14:val="tx1"/>
            </w14:solidFill>
          </w14:textFill>
        </w:rPr>
      </w:pPr>
    </w:p>
    <w:p w14:paraId="5CDD3535">
      <w:pPr>
        <w:pStyle w:val="199"/>
        <w:ind w:firstLine="492"/>
        <w:rPr>
          <w:color w:val="000000" w:themeColor="text1"/>
          <w14:textFill>
            <w14:solidFill>
              <w14:schemeClr w14:val="tx1"/>
            </w14:solidFill>
          </w14:textFill>
        </w:rPr>
      </w:pPr>
    </w:p>
    <w:p w14:paraId="6323DBEB">
      <w:pPr>
        <w:pStyle w:val="199"/>
        <w:ind w:firstLine="492"/>
        <w:rPr>
          <w:color w:val="000000" w:themeColor="text1"/>
          <w14:textFill>
            <w14:solidFill>
              <w14:schemeClr w14:val="tx1"/>
            </w14:solidFill>
          </w14:textFill>
        </w:rPr>
      </w:pPr>
    </w:p>
    <w:p w14:paraId="1EE941C2">
      <w:pPr>
        <w:keepNext w:val="0"/>
        <w:keepLines w:val="0"/>
        <w:pageBreakBefore w:val="0"/>
        <w:widowControl w:val="0"/>
        <w:spacing w:line="288" w:lineRule="auto"/>
        <w:ind w:firstLine="720"/>
        <w:jc w:val="both"/>
        <w:rPr>
          <w:rFonts w:hint="default" w:ascii="Times New Roman" w:hAnsi="Times New Roman" w:eastAsia="宋体" w:cs="Times New Roman"/>
          <w:color w:val="000000" w:themeColor="text1"/>
          <w:sz w:val="36"/>
          <w:szCs w:val="36"/>
          <w:lang w:val="en-US" w:eastAsia="zh-CN"/>
          <w14:textFill>
            <w14:solidFill>
              <w14:schemeClr w14:val="tx1"/>
            </w14:solidFill>
          </w14:textFill>
        </w:rPr>
      </w:pPr>
      <w:r>
        <w:rPr>
          <w:rFonts w:hint="default" w:ascii="Times New Roman" w:hAnsi="Times New Roman" w:eastAsia="宋体"/>
          <w:color w:val="000000" w:themeColor="text1"/>
          <w:sz w:val="36"/>
          <w:szCs w:val="36"/>
          <w14:textFill>
            <w14:solidFill>
              <w14:schemeClr w14:val="tx1"/>
            </w14:solidFill>
          </w14:textFill>
        </w:rPr>
        <w:t>项目名称：</w:t>
      </w:r>
      <w:r>
        <w:rPr>
          <w:rFonts w:hint="eastAsia"/>
          <w:color w:val="000000" w:themeColor="text1"/>
          <w:sz w:val="36"/>
          <w:szCs w:val="36"/>
          <w:u w:val="single"/>
          <w:lang w:val="en-US" w:eastAsia="zh-CN"/>
          <w14:textFill>
            <w14:solidFill>
              <w14:schemeClr w14:val="tx1"/>
            </w14:solidFill>
          </w14:textFill>
        </w:rPr>
        <w:t>六安市霍山县排水防涝能力提升项目</w:t>
      </w:r>
    </w:p>
    <w:p w14:paraId="6B62B8CC">
      <w:pPr>
        <w:pStyle w:val="199"/>
        <w:ind w:firstLine="492"/>
        <w:rPr>
          <w:rFonts w:hint="eastAsia"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建设单位：</w:t>
      </w:r>
      <w:r>
        <w:rPr>
          <w:rFonts w:hint="eastAsia" w:cs="Times New Roman"/>
          <w:color w:val="000000" w:themeColor="text1"/>
          <w:sz w:val="36"/>
          <w:szCs w:val="36"/>
          <w:u w:val="single"/>
          <w:lang w:val="en-US" w:eastAsia="zh-CN"/>
          <w14:textFill>
            <w14:solidFill>
              <w14:schemeClr w14:val="tx1"/>
            </w14:solidFill>
          </w14:textFill>
        </w:rPr>
        <w:t xml:space="preserve">        霍山县水务局            </w:t>
      </w:r>
    </w:p>
    <w:p w14:paraId="4DB4C133">
      <w:pPr>
        <w:pStyle w:val="199"/>
        <w:ind w:firstLine="492"/>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36"/>
          <w:szCs w:val="36"/>
          <w:u w:val="none"/>
          <w:lang w:val="en-US" w:eastAsia="zh-CN"/>
          <w14:textFill>
            <w14:solidFill>
              <w14:schemeClr w14:val="tx1"/>
            </w14:solidFill>
          </w14:textFill>
        </w:rPr>
        <w:t>编制日期：</w:t>
      </w:r>
      <w:r>
        <w:rPr>
          <w:rFonts w:hint="eastAsia"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20</w:t>
      </w:r>
      <w:r>
        <w:rPr>
          <w:rFonts w:hint="eastAsia" w:cs="Times New Roman"/>
          <w:color w:val="000000" w:themeColor="text1"/>
          <w:sz w:val="36"/>
          <w:szCs w:val="36"/>
          <w:u w:val="single"/>
          <w:lang w:val="en-US" w:eastAsia="zh-CN"/>
          <w14:textFill>
            <w14:solidFill>
              <w14:schemeClr w14:val="tx1"/>
            </w14:solidFill>
          </w14:textFill>
        </w:rPr>
        <w:t>26</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年</w:t>
      </w:r>
      <w:r>
        <w:rPr>
          <w:rFonts w:hint="eastAsia" w:cs="Times New Roman"/>
          <w:color w:val="000000" w:themeColor="text1"/>
          <w:sz w:val="36"/>
          <w:szCs w:val="36"/>
          <w:u w:val="single"/>
          <w:lang w:val="en-US" w:eastAsia="zh-CN"/>
          <w14:textFill>
            <w14:solidFill>
              <w14:schemeClr w14:val="tx1"/>
            </w14:solidFill>
          </w14:textFill>
        </w:rPr>
        <w:t>1</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月</w:t>
      </w:r>
      <w:r>
        <w:rPr>
          <w:rFonts w:hint="eastAsia" w:cs="Times New Roman"/>
          <w:color w:val="000000" w:themeColor="text1"/>
          <w:sz w:val="36"/>
          <w:szCs w:val="36"/>
          <w:u w:val="single"/>
          <w:lang w:val="en-US" w:eastAsia="zh-CN"/>
          <w14:textFill>
            <w14:solidFill>
              <w14:schemeClr w14:val="tx1"/>
            </w14:solidFill>
          </w14:textFill>
        </w:rPr>
        <w:t xml:space="preserve">             </w:t>
      </w:r>
    </w:p>
    <w:p w14:paraId="6451A029">
      <w:pPr>
        <w:pStyle w:val="199"/>
        <w:ind w:firstLine="492"/>
        <w:rPr>
          <w:color w:val="000000" w:themeColor="text1"/>
          <w14:textFill>
            <w14:solidFill>
              <w14:schemeClr w14:val="tx1"/>
            </w14:solidFill>
          </w14:textFill>
        </w:rPr>
      </w:pPr>
    </w:p>
    <w:p w14:paraId="32E2B794">
      <w:pPr>
        <w:pStyle w:val="199"/>
        <w:ind w:firstLine="492"/>
        <w:rPr>
          <w:color w:val="000000" w:themeColor="text1"/>
          <w14:textFill>
            <w14:solidFill>
              <w14:schemeClr w14:val="tx1"/>
            </w14:solidFill>
          </w14:textFill>
        </w:rPr>
      </w:pPr>
    </w:p>
    <w:p w14:paraId="5CD0F50E">
      <w:pPr>
        <w:pStyle w:val="199"/>
        <w:ind w:firstLine="492"/>
        <w:rPr>
          <w:color w:val="000000" w:themeColor="text1"/>
          <w14:textFill>
            <w14:solidFill>
              <w14:schemeClr w14:val="tx1"/>
            </w14:solidFill>
          </w14:textFill>
        </w:rPr>
      </w:pPr>
    </w:p>
    <w:p w14:paraId="0BCCA9D2">
      <w:pPr>
        <w:pStyle w:val="199"/>
        <w:ind w:firstLine="492"/>
        <w:rPr>
          <w:color w:val="000000" w:themeColor="text1"/>
          <w14:textFill>
            <w14:solidFill>
              <w14:schemeClr w14:val="tx1"/>
            </w14:solidFill>
          </w14:textFill>
        </w:rPr>
      </w:pPr>
    </w:p>
    <w:p w14:paraId="7F4126B0">
      <w:pPr>
        <w:keepNext w:val="0"/>
        <w:keepLines w:val="0"/>
        <w:pageBreakBefore w:val="0"/>
        <w:widowControl w:val="0"/>
        <w:spacing w:line="288" w:lineRule="auto"/>
        <w:ind w:firstLine="720"/>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bookmarkEnd w:id="1"/>
      <w:bookmarkEnd w:id="2"/>
    </w:p>
    <w:p w14:paraId="527A2C72">
      <w:pPr>
        <w:pStyle w:val="2"/>
        <w:rPr>
          <w:color w:val="000000" w:themeColor="text1"/>
          <w:sz w:val="36"/>
          <w:szCs w:val="36"/>
          <w14:textFill>
            <w14:solidFill>
              <w14:schemeClr w14:val="tx1"/>
            </w14:solidFill>
          </w14:textFill>
        </w:rPr>
      </w:pPr>
    </w:p>
    <w:p w14:paraId="69554991">
      <w:pPr>
        <w:pStyle w:val="2"/>
        <w:rPr>
          <w:color w:val="000000" w:themeColor="text1"/>
          <w:sz w:val="36"/>
          <w:szCs w:val="36"/>
          <w14:textFill>
            <w14:solidFill>
              <w14:schemeClr w14:val="tx1"/>
            </w14:solidFill>
          </w14:textFill>
        </w:rPr>
      </w:pPr>
    </w:p>
    <w:p w14:paraId="2A45F12B">
      <w:pPr>
        <w:pStyle w:val="2"/>
        <w:rPr>
          <w:color w:val="000000" w:themeColor="text1"/>
          <w:sz w:val="36"/>
          <w:szCs w:val="36"/>
          <w14:textFill>
            <w14:solidFill>
              <w14:schemeClr w14:val="tx1"/>
            </w14:solidFill>
          </w14:textFill>
        </w:rPr>
      </w:pPr>
    </w:p>
    <w:p w14:paraId="236D9679">
      <w:pPr>
        <w:pStyle w:val="2"/>
        <w:rPr>
          <w:color w:val="000000" w:themeColor="text1"/>
          <w:sz w:val="36"/>
          <w:szCs w:val="36"/>
          <w14:textFill>
            <w14:solidFill>
              <w14:schemeClr w14:val="tx1"/>
            </w14:solidFill>
          </w14:textFill>
        </w:rPr>
      </w:pPr>
    </w:p>
    <w:p w14:paraId="45907E7F">
      <w:pPr>
        <w:pStyle w:val="2"/>
        <w:rPr>
          <w:color w:val="000000" w:themeColor="text1"/>
          <w:sz w:val="36"/>
          <w:szCs w:val="36"/>
          <w14:textFill>
            <w14:solidFill>
              <w14:schemeClr w14:val="tx1"/>
            </w14:solidFill>
          </w14:textFill>
        </w:rPr>
      </w:pPr>
    </w:p>
    <w:p w14:paraId="6093E0AD">
      <w:pPr>
        <w:pStyle w:val="2"/>
        <w:rPr>
          <w:color w:val="000000" w:themeColor="text1"/>
          <w:sz w:val="36"/>
          <w:szCs w:val="36"/>
          <w14:textFill>
            <w14:solidFill>
              <w14:schemeClr w14:val="tx1"/>
            </w14:solidFill>
          </w14:textFill>
        </w:rPr>
        <w:sectPr>
          <w:pgSz w:w="11906" w:h="16838" w:orient="landscape"/>
          <w:pgMar w:top="1440" w:right="1800" w:bottom="1440" w:left="1800" w:header="851" w:footer="992" w:gutter="0"/>
          <w:cols w:space="425" w:num="1"/>
        </w:sectPr>
      </w:pPr>
    </w:p>
    <w:p w14:paraId="78589DF6">
      <w:pPr>
        <w:keepNext w:val="0"/>
        <w:keepLines w:val="0"/>
        <w:pageBreakBefore w:val="0"/>
        <w:widowControl/>
        <w:spacing w:before="313" w:beforeAutospacing="0" w:after="313" w:afterAutospacing="0" w:line="360" w:lineRule="auto"/>
        <w:ind w:left="0" w:right="0" w:firstLine="602"/>
        <w:jc w:val="center"/>
        <w:outlineLvl w:val="0"/>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pPr>
      <w:bookmarkStart w:id="3" w:name="OLE_LINK2"/>
      <w:r>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t>一、建设项目基本情况</w:t>
      </w:r>
    </w:p>
    <w:tbl>
      <w:tblPr>
        <w:tblStyle w:val="39"/>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22"/>
        <w:gridCol w:w="2826"/>
        <w:gridCol w:w="2218"/>
        <w:gridCol w:w="9"/>
        <w:gridCol w:w="2939"/>
      </w:tblGrid>
      <w:tr w14:paraId="6E283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5E256F8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建设项目名称</w:t>
            </w:r>
          </w:p>
        </w:tc>
        <w:tc>
          <w:tcPr>
            <w:tcW w:w="7992" w:type="dxa"/>
            <w:gridSpan w:val="4"/>
            <w:noWrap w:val="0"/>
            <w:vAlign w:val="center"/>
          </w:tcPr>
          <w:p w14:paraId="7144880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六安市霍山县排水防涝能力提升项目</w:t>
            </w:r>
          </w:p>
        </w:tc>
      </w:tr>
      <w:tr w14:paraId="2AB12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2F52A84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项目代码</w:t>
            </w:r>
          </w:p>
        </w:tc>
        <w:tc>
          <w:tcPr>
            <w:tcW w:w="7992" w:type="dxa"/>
            <w:gridSpan w:val="4"/>
            <w:noWrap w:val="0"/>
            <w:vAlign w:val="center"/>
          </w:tcPr>
          <w:p w14:paraId="71C95F5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2511-341525-04-01-946999</w:t>
            </w:r>
          </w:p>
        </w:tc>
      </w:tr>
      <w:tr w14:paraId="11198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28D44DC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建设单位联系人</w:t>
            </w:r>
          </w:p>
        </w:tc>
        <w:tc>
          <w:tcPr>
            <w:tcW w:w="2826" w:type="dxa"/>
            <w:noWrap w:val="0"/>
            <w:vAlign w:val="center"/>
          </w:tcPr>
          <w:p w14:paraId="56063D6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p>
        </w:tc>
        <w:tc>
          <w:tcPr>
            <w:tcW w:w="2227" w:type="dxa"/>
            <w:gridSpan w:val="2"/>
            <w:noWrap w:val="0"/>
            <w:vAlign w:val="center"/>
          </w:tcPr>
          <w:p w14:paraId="18DFE01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联系方式</w:t>
            </w:r>
          </w:p>
        </w:tc>
        <w:tc>
          <w:tcPr>
            <w:tcW w:w="2939" w:type="dxa"/>
            <w:noWrap w:val="0"/>
            <w:vAlign w:val="center"/>
          </w:tcPr>
          <w:p w14:paraId="39ABA68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p>
        </w:tc>
      </w:tr>
      <w:tr w14:paraId="7B40B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7230525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建设地点</w:t>
            </w:r>
          </w:p>
        </w:tc>
        <w:tc>
          <w:tcPr>
            <w:tcW w:w="7992" w:type="dxa"/>
            <w:gridSpan w:val="4"/>
            <w:noWrap w:val="0"/>
            <w:vAlign w:val="center"/>
          </w:tcPr>
          <w:p w14:paraId="5247FCC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single"/>
                <w:lang w:eastAsia="zh-CN"/>
                <w14:textFill>
                  <w14:solidFill>
                    <w14:schemeClr w14:val="tx1"/>
                  </w14:solidFill>
                </w14:textFill>
              </w:rPr>
              <w:t>安徽</w:t>
            </w:r>
            <w:r>
              <w:rPr>
                <w:rFonts w:hint="default" w:ascii="Times New Roman" w:hAnsi="Times New Roman" w:cs="Times New Roman" w:eastAsiaTheme="minorEastAsia"/>
                <w:color w:val="000000" w:themeColor="text1"/>
                <w:sz w:val="24"/>
                <w:highlight w:val="none"/>
                <w14:textFill>
                  <w14:solidFill>
                    <w14:schemeClr w14:val="tx1"/>
                  </w14:solidFill>
                </w14:textFill>
              </w:rPr>
              <w:t>省（自治区）</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六安</w:t>
            </w:r>
            <w:r>
              <w:rPr>
                <w:rFonts w:hint="default" w:ascii="Times New Roman" w:hAnsi="Times New Roman" w:cs="Times New Roman" w:eastAsiaTheme="minorEastAsia"/>
                <w:color w:val="000000" w:themeColor="text1"/>
                <w:sz w:val="24"/>
                <w:highlight w:val="none"/>
                <w14:textFill>
                  <w14:solidFill>
                    <w14:schemeClr w14:val="tx1"/>
                  </w14:solidFill>
                </w14:textFill>
              </w:rPr>
              <w:t>市</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霍山</w:t>
            </w:r>
            <w:r>
              <w:rPr>
                <w:rFonts w:hint="default" w:ascii="Times New Roman" w:hAnsi="Times New Roman" w:cs="Times New Roman" w:eastAsiaTheme="minorEastAsia"/>
                <w:color w:val="000000" w:themeColor="text1"/>
                <w:sz w:val="24"/>
                <w:highlight w:val="none"/>
                <w14:textFill>
                  <w14:solidFill>
                    <w14:schemeClr w14:val="tx1"/>
                  </w14:solidFill>
                </w14:textFill>
              </w:rPr>
              <w:t>县（区）</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衡山镇</w:t>
            </w:r>
            <w:r>
              <w:rPr>
                <w:rFonts w:hint="default" w:ascii="Times New Roman" w:hAnsi="Times New Roman" w:cs="Times New Roman" w:eastAsiaTheme="minorEastAsia"/>
                <w:color w:val="000000" w:themeColor="text1"/>
                <w:sz w:val="24"/>
                <w:highlight w:val="none"/>
                <w14:textFill>
                  <w14:solidFill>
                    <w14:schemeClr w14:val="tx1"/>
                  </w14:solidFill>
                </w14:textFill>
              </w:rPr>
              <w:t>乡（街道）</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w:t>
            </w:r>
          </w:p>
        </w:tc>
      </w:tr>
      <w:tr w14:paraId="255D6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2D7E7C2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地理坐标</w:t>
            </w:r>
          </w:p>
        </w:tc>
        <w:tc>
          <w:tcPr>
            <w:tcW w:w="7992" w:type="dxa"/>
            <w:gridSpan w:val="4"/>
            <w:noWrap w:val="0"/>
            <w:vAlign w:val="center"/>
          </w:tcPr>
          <w:p w14:paraId="0DBFA26C">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1、区域排涝能力提升工程</w:t>
            </w:r>
          </w:p>
          <w:p w14:paraId="0810DDAC">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西部新城排涝站中心坐标：</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E</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116</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18</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31.186</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″，N</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31</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15.131</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p>
          <w:p w14:paraId="7EFBF1F9">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北侧边沟起止坐标：E116°16′40.070″，N31°25′4.925″~E116°18′40.888″，N315°257′184593″；</w:t>
            </w:r>
          </w:p>
          <w:p w14:paraId="714C472C">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六佛路排涝沟起止坐标：E116°16′16.785″，N31°24′58.491″~E116°17′48.887″，N31°25′1.8190″；</w:t>
            </w:r>
          </w:p>
          <w:p w14:paraId="65A3D70F">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中心排涝沟起止坐标：E116°16′58.179″，N31°24′57.27051″~E116°18'27.952"，N31°25'12.580"；</w:t>
            </w:r>
          </w:p>
          <w:p w14:paraId="6AE87B1E">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项家院排涝沟起止坐标：E116°16'22.736"，N31°24'25.539"~E116°16'14.845"，N31°25'7.587"；</w:t>
            </w:r>
          </w:p>
          <w:p w14:paraId="7A877E79">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戴家河排涝片起止坐标：E116°16'0.616"，N31°25'39.869"~E116°16'24.676"，N31°26'45.088"；</w:t>
            </w:r>
          </w:p>
          <w:p w14:paraId="68E0F67B">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2、城区排涝通道整治工程</w:t>
            </w:r>
          </w:p>
          <w:p w14:paraId="3D59255E">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高庙河排涝通道整治起止坐标：E116°23'26.134"，N31°21'52.919"~E116°20'35.772"，N31°25'33.130"；</w:t>
            </w:r>
          </w:p>
          <w:p w14:paraId="38C953BC">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柳林河排涝通道整治起止坐标：E116°19'26.049"，N31°22'3.630"~E116°18'43.879"，N31°25'15.159"；</w:t>
            </w:r>
          </w:p>
          <w:p w14:paraId="4759114B">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新店河排涝通道整治起止坐标：E116°14'46.822"，N31°26'1.601"~E116°15'58.873"，N31°25'51.673"；</w:t>
            </w:r>
          </w:p>
          <w:p w14:paraId="30AD43B9">
            <w:pPr>
              <w:keepNext w:val="0"/>
              <w:keepLines w:val="0"/>
              <w:pageBreakBefore w:val="0"/>
              <w:widowControl w:val="0"/>
              <w:suppressLineNumbers w:val="0"/>
              <w:spacing w:before="0" w:beforeAutospacing="0" w:after="0" w:afterAutospacing="0" w:line="240" w:lineRule="auto"/>
              <w:ind w:left="0" w:right="0" w:firstLine="420"/>
              <w:jc w:val="left"/>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幽芳河排涝通道整治起止坐标：E116°21'02.3323"，N31°21'44.1372"~E116°20'42.33</w:t>
            </w:r>
            <w:r>
              <w:rPr>
                <w:rFonts w:hint="eastAsia" w:cs="Times New Roman" w:eastAsiaTheme="minorEastAsia"/>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93"，N31°24'33.0139"；</w:t>
            </w:r>
          </w:p>
          <w:p w14:paraId="2EC60E0C">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3、排水管网改造工程</w:t>
            </w:r>
          </w:p>
          <w:p w14:paraId="5117A38C">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幽芳河片区排水管网改造起止坐标：E116°21'33.323"，N31°22'4.148"~E116°21'5.706"，N31°24'52.768"；</w:t>
            </w:r>
          </w:p>
          <w:p w14:paraId="7D32B5CF">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柳林河片区排水管网改造起止坐标：E116°19'26.049"，N31°22'3.630"~E116°18'43.879"，N31°25'15.159"；</w:t>
            </w:r>
          </w:p>
          <w:p w14:paraId="35B4F49A">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南岳花都片排水管网新建工程</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中心坐标：E116°20'15.6874"</w:t>
            </w:r>
            <w:r>
              <w:rPr>
                <w:rFonts w:hint="eastAsia"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N31°23'32.2231"；</w:t>
            </w:r>
          </w:p>
          <w:p w14:paraId="56AE36EA">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衡山工业园片排水管网新建工程中心坐标：E116°18'35.4608"</w:t>
            </w:r>
            <w:r>
              <w:rPr>
                <w:rFonts w:hint="eastAsia"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N31°24'43.0653"。</w:t>
            </w:r>
          </w:p>
        </w:tc>
      </w:tr>
      <w:tr w14:paraId="4A89D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022" w:type="dxa"/>
            <w:noWrap w:val="0"/>
            <w:tcMar>
              <w:top w:w="16" w:type="dxa"/>
              <w:left w:w="16" w:type="dxa"/>
              <w:right w:w="16" w:type="dxa"/>
            </w:tcMar>
            <w:vAlign w:val="center"/>
          </w:tcPr>
          <w:p w14:paraId="3B91F25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建设项目行业类别</w:t>
            </w:r>
          </w:p>
        </w:tc>
        <w:tc>
          <w:tcPr>
            <w:tcW w:w="2826" w:type="dxa"/>
            <w:noWrap w:val="0"/>
            <w:vAlign w:val="center"/>
          </w:tcPr>
          <w:p w14:paraId="16E771B7">
            <w:pPr>
              <w:keepNext w:val="0"/>
              <w:keepLines w:val="0"/>
              <w:pageBreakBefore w:val="0"/>
              <w:suppressLineNumbers w:val="0"/>
              <w:spacing w:before="0" w:beforeAutospacing="0" w:after="0" w:afterAutospacing="0" w:line="240" w:lineRule="auto"/>
              <w:ind w:left="0" w:right="0" w:hanging="28"/>
              <w:jc w:val="cente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五十一、水利；12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防洪除涝工程</w:t>
            </w:r>
            <w:r>
              <w:rPr>
                <w:rFonts w:hint="eastAsia" w:cs="Times New Roman" w:eastAsiaTheme="minorEastAsia"/>
                <w:color w:val="000000" w:themeColor="text1"/>
                <w:sz w:val="24"/>
                <w:highlight w:val="none"/>
                <w:lang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五十二、交通运输业、管道运输业-146城市（镇）管网及管廊建设</w:t>
            </w:r>
          </w:p>
        </w:tc>
        <w:tc>
          <w:tcPr>
            <w:tcW w:w="2218" w:type="dxa"/>
            <w:noWrap w:val="0"/>
            <w:vAlign w:val="center"/>
          </w:tcPr>
          <w:p w14:paraId="483FA5F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用地（用海）面积（</w:t>
            </w:r>
            <w:r>
              <w:rPr>
                <w:rFonts w:hint="eastAsia" w:cs="Times New Roman" w:eastAsiaTheme="minorEastAsia"/>
                <w:color w:val="000000" w:themeColor="text1"/>
                <w:sz w:val="24"/>
                <w:highlight w:val="none"/>
                <w:lang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）/长度（k</w:t>
            </w:r>
            <w:r>
              <w:rPr>
                <w:rFonts w:hint="eastAsia" w:cs="Times New Roman" w:eastAsiaTheme="minorEastAsia"/>
                <w:color w:val="000000" w:themeColor="text1"/>
                <w:sz w:val="24"/>
                <w:highlight w:val="none"/>
                <w:lang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tc>
        <w:tc>
          <w:tcPr>
            <w:tcW w:w="2948" w:type="dxa"/>
            <w:gridSpan w:val="2"/>
            <w:noWrap w:val="0"/>
            <w:vAlign w:val="center"/>
          </w:tcPr>
          <w:p w14:paraId="5D54F45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新建排水管网30.8k</w:t>
            </w:r>
            <w:r>
              <w:rPr>
                <w:rFonts w:hint="eastAsia" w:cs="Times New Roman" w:eastAsiaTheme="minorEastAsia"/>
                <w:color w:val="000000" w:themeColor="text1"/>
                <w:sz w:val="21"/>
                <w:szCs w:val="21"/>
                <w:highlight w:val="none"/>
                <w:lang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；增设西部新城排涝泵站1座，迎驾厂排涝片新建西部新城排涝泵站1座；整治四条排涝通道，总长度25.62公里。</w:t>
            </w:r>
          </w:p>
        </w:tc>
      </w:tr>
      <w:tr w14:paraId="2C65E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301C3B9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建设性质</w:t>
            </w:r>
          </w:p>
        </w:tc>
        <w:tc>
          <w:tcPr>
            <w:tcW w:w="2826" w:type="dxa"/>
            <w:noWrap w:val="0"/>
            <w:vAlign w:val="center"/>
          </w:tcPr>
          <w:p w14:paraId="54CA4012">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新建（迁建）</w:t>
            </w:r>
          </w:p>
          <w:p w14:paraId="33B42E3B">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改建</w:t>
            </w:r>
          </w:p>
          <w:p w14:paraId="1F3BB6E1">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扩建</w:t>
            </w:r>
          </w:p>
          <w:p w14:paraId="205D564D">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技术改造</w:t>
            </w:r>
          </w:p>
        </w:tc>
        <w:tc>
          <w:tcPr>
            <w:tcW w:w="2218" w:type="dxa"/>
            <w:noWrap w:val="0"/>
            <w:vAlign w:val="center"/>
          </w:tcPr>
          <w:p w14:paraId="74ADAD5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建设项目</w:t>
            </w:r>
          </w:p>
          <w:p w14:paraId="191BE47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申报情形</w:t>
            </w:r>
          </w:p>
        </w:tc>
        <w:tc>
          <w:tcPr>
            <w:tcW w:w="2948" w:type="dxa"/>
            <w:gridSpan w:val="2"/>
            <w:noWrap w:val="0"/>
            <w:vAlign w:val="center"/>
          </w:tcPr>
          <w:p w14:paraId="1BF10D70">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■首次申报项目</w:t>
            </w:r>
          </w:p>
          <w:p w14:paraId="12BC6CC3">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□不予批准后再次申报项目</w:t>
            </w:r>
          </w:p>
          <w:p w14:paraId="1364B6D7">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□超五年重新审核项目</w:t>
            </w:r>
          </w:p>
          <w:p w14:paraId="1138C539">
            <w:pPr>
              <w:keepNext w:val="0"/>
              <w:keepLines w:val="0"/>
              <w:pageBreakBefore w:val="0"/>
              <w:suppressLineNumbers w:val="0"/>
              <w:spacing w:before="0" w:beforeAutospacing="0" w:after="0" w:afterAutospacing="0" w:line="240" w:lineRule="auto"/>
              <w:ind w:left="0" w:right="0" w:firstLine="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□重大变动重新报批项目</w:t>
            </w:r>
          </w:p>
        </w:tc>
      </w:tr>
      <w:tr w14:paraId="0113D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704E30C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项目审批（核准/备案）部门（选填）</w:t>
            </w:r>
          </w:p>
        </w:tc>
        <w:tc>
          <w:tcPr>
            <w:tcW w:w="2826" w:type="dxa"/>
            <w:noWrap w:val="0"/>
            <w:vAlign w:val="center"/>
          </w:tcPr>
          <w:p w14:paraId="66F0742A">
            <w:pPr>
              <w:keepNext w:val="0"/>
              <w:keepLines w:val="0"/>
              <w:pageBreakBefore w:val="0"/>
              <w:suppressLineNumbers w:val="0"/>
              <w:spacing w:before="0" w:beforeAutospacing="0" w:after="0" w:afterAutospacing="0" w:line="240" w:lineRule="auto"/>
              <w:ind w:left="0" w:right="0" w:hanging="28"/>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霍山县发改委</w:t>
            </w:r>
          </w:p>
        </w:tc>
        <w:tc>
          <w:tcPr>
            <w:tcW w:w="2218" w:type="dxa"/>
            <w:noWrap w:val="0"/>
            <w:vAlign w:val="center"/>
          </w:tcPr>
          <w:p w14:paraId="71020E3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项目审批（核准/</w:t>
            </w:r>
          </w:p>
          <w:p w14:paraId="01542F0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备案）文号（选填）</w:t>
            </w:r>
          </w:p>
        </w:tc>
        <w:tc>
          <w:tcPr>
            <w:tcW w:w="2948" w:type="dxa"/>
            <w:gridSpan w:val="2"/>
            <w:noWrap w:val="0"/>
            <w:vAlign w:val="center"/>
          </w:tcPr>
          <w:p w14:paraId="118CC32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霍发改投资〔</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2025</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eastAsia" w:cs="Times New Roman" w:eastAsiaTheme="minorEastAsia"/>
                <w:color w:val="000000" w:themeColor="text1"/>
                <w:sz w:val="24"/>
                <w:highlight w:val="none"/>
                <w:lang w:val="en-US" w:eastAsia="zh-CN"/>
                <w14:textFill>
                  <w14:solidFill>
                    <w14:schemeClr w14:val="tx1"/>
                  </w14:solidFill>
                </w14:textFill>
              </w:rPr>
              <w:t>84</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号</w:t>
            </w:r>
          </w:p>
        </w:tc>
      </w:tr>
      <w:tr w14:paraId="77B57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2648AE3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总投资（万元）</w:t>
            </w:r>
          </w:p>
        </w:tc>
        <w:tc>
          <w:tcPr>
            <w:tcW w:w="2826" w:type="dxa"/>
            <w:noWrap w:val="0"/>
            <w:vAlign w:val="center"/>
          </w:tcPr>
          <w:p w14:paraId="74903278">
            <w:pPr>
              <w:keepNext w:val="0"/>
              <w:keepLines w:val="0"/>
              <w:pageBreakBefore w:val="0"/>
              <w:suppressLineNumbers w:val="0"/>
              <w:spacing w:before="0" w:beforeAutospacing="0" w:after="0" w:afterAutospacing="0" w:line="240" w:lineRule="auto"/>
              <w:ind w:left="0" w:right="0" w:hanging="28"/>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39550.68</w:t>
            </w:r>
          </w:p>
        </w:tc>
        <w:tc>
          <w:tcPr>
            <w:tcW w:w="2218" w:type="dxa"/>
            <w:noWrap w:val="0"/>
            <w:tcMar>
              <w:top w:w="16" w:type="dxa"/>
              <w:left w:w="16" w:type="dxa"/>
              <w:right w:w="16" w:type="dxa"/>
            </w:tcMar>
            <w:vAlign w:val="center"/>
          </w:tcPr>
          <w:p w14:paraId="128028A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环保投资（万元）</w:t>
            </w:r>
          </w:p>
        </w:tc>
        <w:tc>
          <w:tcPr>
            <w:tcW w:w="2948" w:type="dxa"/>
            <w:gridSpan w:val="2"/>
            <w:noWrap w:val="0"/>
            <w:vAlign w:val="center"/>
          </w:tcPr>
          <w:p w14:paraId="499233D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490</w:t>
            </w:r>
          </w:p>
        </w:tc>
      </w:tr>
      <w:tr w14:paraId="13797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7152E26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环保投资占比（%）</w:t>
            </w:r>
          </w:p>
        </w:tc>
        <w:tc>
          <w:tcPr>
            <w:tcW w:w="2826" w:type="dxa"/>
            <w:noWrap w:val="0"/>
            <w:vAlign w:val="center"/>
          </w:tcPr>
          <w:p w14:paraId="3B311711">
            <w:pPr>
              <w:keepNext w:val="0"/>
              <w:keepLines w:val="0"/>
              <w:pageBreakBefore w:val="0"/>
              <w:suppressLineNumbers w:val="0"/>
              <w:spacing w:before="0" w:beforeAutospacing="0" w:after="0" w:afterAutospacing="0" w:line="240" w:lineRule="auto"/>
              <w:ind w:left="0" w:right="0" w:hanging="28"/>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1.24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tc>
        <w:tc>
          <w:tcPr>
            <w:tcW w:w="2218" w:type="dxa"/>
            <w:noWrap w:val="0"/>
            <w:tcMar>
              <w:top w:w="16" w:type="dxa"/>
              <w:left w:w="16" w:type="dxa"/>
              <w:right w:w="16" w:type="dxa"/>
            </w:tcMar>
            <w:vAlign w:val="center"/>
          </w:tcPr>
          <w:p w14:paraId="3A41037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施工工期</w:t>
            </w:r>
          </w:p>
        </w:tc>
        <w:tc>
          <w:tcPr>
            <w:tcW w:w="2948" w:type="dxa"/>
            <w:gridSpan w:val="2"/>
            <w:noWrap w:val="0"/>
            <w:vAlign w:val="center"/>
          </w:tcPr>
          <w:p w14:paraId="30ADD7F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14</w:t>
            </w:r>
            <w:r>
              <w:rPr>
                <w:rFonts w:hint="default" w:ascii="Times New Roman" w:hAnsi="Times New Roman" w:cs="Times New Roman" w:eastAsiaTheme="minorEastAsia"/>
                <w:color w:val="000000" w:themeColor="text1"/>
                <w:sz w:val="24"/>
                <w:highlight w:val="none"/>
                <w14:textFill>
                  <w14:solidFill>
                    <w14:schemeClr w14:val="tx1"/>
                  </w14:solidFill>
                </w14:textFill>
              </w:rPr>
              <w:t>个月</w:t>
            </w:r>
          </w:p>
        </w:tc>
      </w:tr>
      <w:tr w14:paraId="1AF9F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02DCABE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是否开工建设</w:t>
            </w:r>
          </w:p>
        </w:tc>
        <w:tc>
          <w:tcPr>
            <w:tcW w:w="7992" w:type="dxa"/>
            <w:gridSpan w:val="4"/>
            <w:noWrap w:val="0"/>
            <w:vAlign w:val="center"/>
          </w:tcPr>
          <w:p w14:paraId="7AA51E45">
            <w:pPr>
              <w:keepNext w:val="0"/>
              <w:keepLines w:val="0"/>
              <w:pageBreakBefore w:val="0"/>
              <w:suppressLineNumbers w:val="0"/>
              <w:spacing w:before="0" w:beforeAutospacing="0" w:after="0" w:afterAutospacing="0" w:line="240" w:lineRule="auto"/>
              <w:ind w:left="0" w:right="0" w:firstLine="48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■否</w:t>
            </w:r>
          </w:p>
          <w:p w14:paraId="5297601C">
            <w:pPr>
              <w:keepNext w:val="0"/>
              <w:keepLines w:val="0"/>
              <w:pageBreakBefore w:val="0"/>
              <w:suppressLineNumbers w:val="0"/>
              <w:spacing w:before="0" w:beforeAutospacing="0" w:after="0" w:afterAutospacing="0" w:line="240" w:lineRule="auto"/>
              <w:ind w:left="0" w:right="0" w:firstLine="480"/>
              <w:jc w:val="left"/>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□是：</w:t>
            </w:r>
          </w:p>
        </w:tc>
      </w:tr>
      <w:tr w14:paraId="59933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09B673B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专项评价设置情况</w:t>
            </w:r>
          </w:p>
        </w:tc>
        <w:tc>
          <w:tcPr>
            <w:tcW w:w="7992" w:type="dxa"/>
            <w:gridSpan w:val="4"/>
            <w:noWrap w:val="0"/>
            <w:tcMar>
              <w:top w:w="16" w:type="dxa"/>
              <w:left w:w="16" w:type="dxa"/>
              <w:right w:w="16" w:type="dxa"/>
            </w:tcMar>
            <w:vAlign w:val="center"/>
          </w:tcPr>
          <w:p w14:paraId="45389A8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表1-1  专项评价设置原则表</w:t>
            </w:r>
          </w:p>
          <w:tbl>
            <w:tblPr>
              <w:tblStyle w:val="4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4298"/>
              <w:gridCol w:w="1652"/>
              <w:gridCol w:w="1069"/>
            </w:tblGrid>
            <w:tr w14:paraId="0625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noWrap w:val="0"/>
                  <w:vAlign w:val="center"/>
                </w:tcPr>
                <w:p w14:paraId="255F451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专项评价类别</w:t>
                  </w:r>
                </w:p>
              </w:tc>
              <w:tc>
                <w:tcPr>
                  <w:tcW w:w="4298" w:type="dxa"/>
                  <w:noWrap w:val="0"/>
                  <w:vAlign w:val="center"/>
                </w:tcPr>
                <w:p w14:paraId="112B194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涉及项目类别</w:t>
                  </w:r>
                </w:p>
              </w:tc>
              <w:tc>
                <w:tcPr>
                  <w:tcW w:w="1652" w:type="dxa"/>
                  <w:noWrap w:val="0"/>
                  <w:vAlign w:val="center"/>
                </w:tcPr>
                <w:p w14:paraId="6512D29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本项目</w:t>
                  </w:r>
                </w:p>
              </w:tc>
              <w:tc>
                <w:tcPr>
                  <w:tcW w:w="1069" w:type="dxa"/>
                  <w:noWrap w:val="0"/>
                  <w:vAlign w:val="center"/>
                </w:tcPr>
                <w:p w14:paraId="202E170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专项评价设置情况</w:t>
                  </w:r>
                </w:p>
              </w:tc>
            </w:tr>
            <w:tr w14:paraId="77CF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noWrap w:val="0"/>
                  <w:vAlign w:val="center"/>
                </w:tcPr>
                <w:p w14:paraId="1057CD1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地表水</w:t>
                  </w:r>
                </w:p>
              </w:tc>
              <w:tc>
                <w:tcPr>
                  <w:tcW w:w="4298" w:type="dxa"/>
                  <w:noWrap w:val="0"/>
                  <w:vAlign w:val="center"/>
                </w:tcPr>
                <w:p w14:paraId="10092BC4">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水力发电：引水式发电、涉及调峰发电的项目；</w:t>
                  </w:r>
                </w:p>
                <w:p w14:paraId="095EB426">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人工湖、人工湿地：全部；</w:t>
                  </w:r>
                </w:p>
                <w:p w14:paraId="761449A4">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水库：全部；</w:t>
                  </w:r>
                </w:p>
                <w:p w14:paraId="3FEC922B">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引水工程：全部（配套的管线工程等除外）；</w:t>
                  </w:r>
                </w:p>
                <w:p w14:paraId="015C1F0C">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防洪除涝工程：包含水库的项目；</w:t>
                  </w:r>
                </w:p>
                <w:p w14:paraId="7606A8F3">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河湖整治：涉及清淤且底泥存在重金属污染的项目</w:t>
                  </w:r>
                </w:p>
              </w:tc>
              <w:tc>
                <w:tcPr>
                  <w:tcW w:w="1652" w:type="dxa"/>
                  <w:noWrap w:val="0"/>
                  <w:vAlign w:val="center"/>
                </w:tcPr>
                <w:p w14:paraId="4140F42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本项目为排水防涝能力提升项目，不包含水库</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涉及清淤</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，不涉及</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底泥存在重金属污染</w:t>
                  </w:r>
                </w:p>
              </w:tc>
              <w:tc>
                <w:tcPr>
                  <w:tcW w:w="1069" w:type="dxa"/>
                  <w:noWrap w:val="0"/>
                  <w:vAlign w:val="center"/>
                </w:tcPr>
                <w:p w14:paraId="5EF5138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不设置</w:t>
                  </w:r>
                </w:p>
              </w:tc>
            </w:tr>
            <w:tr w14:paraId="35B9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noWrap w:val="0"/>
                  <w:vAlign w:val="center"/>
                </w:tcPr>
                <w:p w14:paraId="100929D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地下水</w:t>
                  </w:r>
                </w:p>
              </w:tc>
              <w:tc>
                <w:tcPr>
                  <w:tcW w:w="4298" w:type="dxa"/>
                  <w:noWrap w:val="0"/>
                  <w:vAlign w:val="center"/>
                </w:tcPr>
                <w:p w14:paraId="26234DBA">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陆地石油和天然气开采：全部；</w:t>
                  </w:r>
                </w:p>
                <w:p w14:paraId="24D4CE20">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地下水（含矿泉水）开采：全部；</w:t>
                  </w:r>
                </w:p>
                <w:p w14:paraId="2A02677A">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水利、水电、交通等：含穿越可溶岩地层隧道的项目</w:t>
                  </w:r>
                </w:p>
              </w:tc>
              <w:tc>
                <w:tcPr>
                  <w:tcW w:w="1652" w:type="dxa"/>
                  <w:noWrap w:val="0"/>
                  <w:vAlign w:val="center"/>
                </w:tcPr>
                <w:p w14:paraId="60DD5EA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本项目不涉及</w:t>
                  </w:r>
                </w:p>
              </w:tc>
              <w:tc>
                <w:tcPr>
                  <w:tcW w:w="1069" w:type="dxa"/>
                  <w:noWrap w:val="0"/>
                  <w:vAlign w:val="center"/>
                </w:tcPr>
                <w:p w14:paraId="470A794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不设置</w:t>
                  </w:r>
                </w:p>
              </w:tc>
            </w:tr>
            <w:tr w14:paraId="70A6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noWrap w:val="0"/>
                  <w:vAlign w:val="center"/>
                </w:tcPr>
                <w:p w14:paraId="2C47ECF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生态</w:t>
                  </w:r>
                </w:p>
              </w:tc>
              <w:tc>
                <w:tcPr>
                  <w:tcW w:w="4298" w:type="dxa"/>
                  <w:noWrap w:val="0"/>
                  <w:vAlign w:val="center"/>
                </w:tcPr>
                <w:p w14:paraId="7676A4C2">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涉及环境敏感区(不包括饮用水水源保护区，以居住、医疗卫生、文化教育、科研、行政办公为主要功能的区域，以及文物保护单位)的项目。</w:t>
                  </w:r>
                </w:p>
              </w:tc>
              <w:tc>
                <w:tcPr>
                  <w:tcW w:w="1652" w:type="dxa"/>
                  <w:noWrap w:val="0"/>
                  <w:vAlign w:val="center"/>
                </w:tcPr>
                <w:p w14:paraId="7E04717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本项目涉及环境敏感区</w:t>
                  </w:r>
                </w:p>
              </w:tc>
              <w:tc>
                <w:tcPr>
                  <w:tcW w:w="1069" w:type="dxa"/>
                  <w:noWrap w:val="0"/>
                  <w:vAlign w:val="center"/>
                </w:tcPr>
                <w:p w14:paraId="61CE29B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设置</w:t>
                  </w:r>
                </w:p>
              </w:tc>
            </w:tr>
            <w:tr w14:paraId="261E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noWrap w:val="0"/>
                  <w:vAlign w:val="center"/>
                </w:tcPr>
                <w:p w14:paraId="673DF6C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大气</w:t>
                  </w:r>
                </w:p>
              </w:tc>
              <w:tc>
                <w:tcPr>
                  <w:tcW w:w="4298" w:type="dxa"/>
                  <w:noWrap w:val="0"/>
                  <w:vAlign w:val="center"/>
                </w:tcPr>
                <w:p w14:paraId="4DAD4623">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油气、液体化工码头：全部；</w:t>
                  </w:r>
                </w:p>
                <w:p w14:paraId="537E92E2">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干散货（含煤炭、矿石）、件杂、多用途、通用码头：涉及粉尘、挥发性有机物排放的项目</w:t>
                  </w:r>
                </w:p>
              </w:tc>
              <w:tc>
                <w:tcPr>
                  <w:tcW w:w="1652" w:type="dxa"/>
                  <w:noWrap w:val="0"/>
                  <w:vAlign w:val="center"/>
                </w:tcPr>
                <w:p w14:paraId="4E77F98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本项目不涉及</w:t>
                  </w:r>
                </w:p>
              </w:tc>
              <w:tc>
                <w:tcPr>
                  <w:tcW w:w="1069" w:type="dxa"/>
                  <w:noWrap w:val="0"/>
                  <w:vAlign w:val="center"/>
                </w:tcPr>
                <w:p w14:paraId="1C49E8E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不设置</w:t>
                  </w:r>
                </w:p>
              </w:tc>
            </w:tr>
            <w:tr w14:paraId="7356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noWrap w:val="0"/>
                  <w:vAlign w:val="center"/>
                </w:tcPr>
                <w:p w14:paraId="4EEDC4C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噪声</w:t>
                  </w:r>
                </w:p>
              </w:tc>
              <w:tc>
                <w:tcPr>
                  <w:tcW w:w="4298" w:type="dxa"/>
                  <w:noWrap w:val="0"/>
                  <w:vAlign w:val="center"/>
                </w:tcPr>
                <w:p w14:paraId="07FA0C10">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公路、铁路、机场等交通运输业涉及环境敏感区（以居住、医疗卫生、文化教育、科研、行政办公为主要功能的区域）的项目；</w:t>
                  </w:r>
                </w:p>
                <w:p w14:paraId="0BB2519A">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城市道路（不含维护，不含支路、人行天桥、人行地道）：全部</w:t>
                  </w:r>
                </w:p>
              </w:tc>
              <w:tc>
                <w:tcPr>
                  <w:tcW w:w="1652" w:type="dxa"/>
                  <w:noWrap w:val="0"/>
                  <w:vAlign w:val="center"/>
                </w:tcPr>
                <w:p w14:paraId="3794FBD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本项目不涉及道路建设</w:t>
                  </w:r>
                </w:p>
              </w:tc>
              <w:tc>
                <w:tcPr>
                  <w:tcW w:w="1069" w:type="dxa"/>
                  <w:noWrap w:val="0"/>
                  <w:vAlign w:val="center"/>
                </w:tcPr>
                <w:p w14:paraId="672510B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不设置</w:t>
                  </w:r>
                </w:p>
              </w:tc>
            </w:tr>
            <w:tr w14:paraId="721A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noWrap w:val="0"/>
                  <w:vAlign w:val="center"/>
                </w:tcPr>
                <w:p w14:paraId="2985B7C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环境风险</w:t>
                  </w:r>
                </w:p>
              </w:tc>
              <w:tc>
                <w:tcPr>
                  <w:tcW w:w="4298" w:type="dxa"/>
                  <w:noWrap w:val="0"/>
                  <w:vAlign w:val="center"/>
                </w:tcPr>
                <w:p w14:paraId="22890C67">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石油和天然气开采：全部；</w:t>
                  </w:r>
                </w:p>
                <w:p w14:paraId="19095F4E">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油气、液体化工码头：全部；</w:t>
                  </w:r>
                </w:p>
                <w:p w14:paraId="5BCAE282">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原油、成品油、天然气管线（不含城镇天然气管线、企业厂区内管线），危险化学品输送管线（不含企业厂区内管线）：全部</w:t>
                  </w:r>
                </w:p>
              </w:tc>
              <w:tc>
                <w:tcPr>
                  <w:tcW w:w="1652" w:type="dxa"/>
                  <w:noWrap w:val="0"/>
                  <w:vAlign w:val="center"/>
                </w:tcPr>
                <w:p w14:paraId="50C371A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本项目不涉及</w:t>
                  </w:r>
                </w:p>
              </w:tc>
              <w:tc>
                <w:tcPr>
                  <w:tcW w:w="1069" w:type="dxa"/>
                  <w:noWrap w:val="0"/>
                  <w:vAlign w:val="center"/>
                </w:tcPr>
                <w:p w14:paraId="7600CC1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不设置</w:t>
                  </w:r>
                </w:p>
              </w:tc>
            </w:tr>
          </w:tbl>
          <w:p w14:paraId="0D1CDDA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根据《建设项目环境影响报告表编制技术指南（生态影响类）（试行）》中“专项评价设置原则表”内容，涉及环境敏感区的项目</w:t>
            </w:r>
            <w:r>
              <w:rPr>
                <w:rFonts w:hint="eastAsia" w:cs="Times New Roman" w:eastAsiaTheme="minorEastAsia"/>
                <w:color w:val="000000" w:themeColor="text1"/>
                <w:sz w:val="24"/>
                <w:highlight w:val="none"/>
                <w:lang w:val="en-US" w:eastAsia="zh-CN"/>
                <w14:textFill>
                  <w14:solidFill>
                    <w14:schemeClr w14:val="tx1"/>
                  </w14:solidFill>
                </w14:textFill>
              </w:rPr>
              <w:t>需设置生态专项</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。涉及环境敏感区是指建设项目位于、穿越、跨越环境敏感区，或环境影响范围涵盖环境敏感区。本项目环境影响范围涵盖</w:t>
            </w:r>
            <w:r>
              <w:rPr>
                <w:rFonts w:hint="eastAsia" w:cs="Times New Roman" w:eastAsiaTheme="minorEastAsia"/>
                <w:color w:val="000000" w:themeColor="text1"/>
                <w:sz w:val="24"/>
                <w:highlight w:val="none"/>
                <w:lang w:val="en-US" w:eastAsia="zh-CN"/>
                <w14:textFill>
                  <w14:solidFill>
                    <w14:schemeClr w14:val="tx1"/>
                  </w14:solidFill>
                </w14:textFill>
              </w:rPr>
              <w:t>生态红线区，故</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设置</w:t>
            </w:r>
            <w:r>
              <w:rPr>
                <w:rFonts w:hint="eastAsia" w:cs="Times New Roman" w:eastAsiaTheme="minorEastAsia"/>
                <w:color w:val="000000" w:themeColor="text1"/>
                <w:sz w:val="24"/>
                <w:highlight w:val="none"/>
                <w:lang w:val="en-US" w:eastAsia="zh-CN"/>
                <w14:textFill>
                  <w14:solidFill>
                    <w14:schemeClr w14:val="tx1"/>
                  </w14:solidFill>
                </w14:textFill>
              </w:rPr>
              <w:t>生态</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专项评价。</w:t>
            </w:r>
          </w:p>
        </w:tc>
      </w:tr>
      <w:tr w14:paraId="60AF7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6FB3FBF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规划情况</w:t>
            </w:r>
          </w:p>
        </w:tc>
        <w:tc>
          <w:tcPr>
            <w:tcW w:w="7992" w:type="dxa"/>
            <w:gridSpan w:val="4"/>
            <w:noWrap w:val="0"/>
            <w:tcMar>
              <w:top w:w="16" w:type="dxa"/>
              <w:left w:w="16" w:type="dxa"/>
              <w:right w:w="16" w:type="dxa"/>
            </w:tcMar>
            <w:vAlign w:val="center"/>
          </w:tcPr>
          <w:p w14:paraId="5F27DEDE">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p>
          <w:p w14:paraId="76977756">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规划名称：《六安市水利发展“十四五”规划》</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7E21A78C">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审批机关：</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六安市人民政府</w:t>
            </w:r>
          </w:p>
          <w:p w14:paraId="5F5B24CD">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审批文件名称及文号：</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六安市人民政府办公室关于印发《六安市水利发展“十四五”规划》的通知，六政办[2021]30号；</w:t>
            </w:r>
          </w:p>
          <w:p w14:paraId="24336BB8">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规划名称：</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《霍山县城市防洪规划》(2020-2035)</w:t>
            </w:r>
          </w:p>
          <w:p w14:paraId="717D75D6">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highlight w:val="none"/>
                <w:lang w:eastAsia="zh-CN"/>
                <w14:textFill>
                  <w14:solidFill>
                    <w14:schemeClr w14:val="tx1"/>
                  </w14:solidFill>
                </w14:textFill>
              </w:rPr>
              <w:t>编制单位：</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连云港市水利规划设计院有限公司</w:t>
            </w:r>
          </w:p>
          <w:p w14:paraId="21BAB69F">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规划名称：</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《霍山县水利发展规划“十四五”》</w:t>
            </w:r>
          </w:p>
          <w:p w14:paraId="380A68E9">
            <w:pPr>
              <w:keepNext w:val="0"/>
              <w:keepLines w:val="0"/>
              <w:pageBreakBefore w:val="0"/>
              <w:widowControl w:val="0"/>
              <w:suppressLineNumbers w:val="0"/>
              <w:spacing w:before="0" w:beforeAutospacing="0" w:after="0" w:afterAutospacing="0" w:line="360" w:lineRule="auto"/>
              <w:ind w:left="0" w:right="0" w:firstLine="0"/>
              <w:jc w:val="left"/>
              <w:rPr>
                <w:rFonts w:hint="eastAsia" w:ascii="Times New Roman" w:hAnsi="Times New Roman" w:cs="Times New Roman" w:eastAsiaTheme="minorEastAsia"/>
                <w:b w:val="0"/>
                <w:bCs w:val="0"/>
                <w:color w:val="000000" w:themeColor="text1"/>
                <w:sz w:val="24"/>
                <w:highlight w:val="none"/>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highlight w:val="none"/>
                <w:lang w:eastAsia="zh-CN"/>
                <w14:textFill>
                  <w14:solidFill>
                    <w14:schemeClr w14:val="tx1"/>
                  </w14:solidFill>
                </w14:textFill>
              </w:rPr>
              <w:t>编制单位：</w:t>
            </w:r>
            <w:r>
              <w:rPr>
                <w:rFonts w:hint="eastAsia" w:ascii="Times New Roman" w:hAnsi="Times New Roman" w:cs="Times New Roman" w:eastAsiaTheme="minorEastAsia"/>
                <w:b w:val="0"/>
                <w:bCs w:val="0"/>
                <w:color w:val="000000" w:themeColor="text1"/>
                <w:sz w:val="24"/>
                <w:highlight w:val="none"/>
                <w:lang w:eastAsia="zh-CN"/>
                <w14:textFill>
                  <w14:solidFill>
                    <w14:schemeClr w14:val="tx1"/>
                  </w14:solidFill>
                </w14:textFill>
              </w:rPr>
              <w:t>安徽省水利水电勘测设计研究总院有限公司</w:t>
            </w:r>
          </w:p>
          <w:p w14:paraId="7DD2D3F0">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规划名称：</w:t>
            </w:r>
            <w:r>
              <w:rPr>
                <w:rFonts w:hint="eastAsia" w:cs="Times New Roman" w:eastAsiaTheme="minorEastAsia"/>
                <w:b/>
                <w:color w:val="000000" w:themeColor="text1"/>
                <w:sz w:val="24"/>
                <w:highlight w:val="none"/>
                <w:lang w:val="en-US" w:eastAsia="zh-CN"/>
                <w14:textFill>
                  <w14:solidFill>
                    <w14:schemeClr w14:val="tx1"/>
                  </w14:solidFill>
                </w14:textFill>
              </w:rPr>
              <w:t>《霍山县国土空间总体规划（2021-2035年）》</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w:t>
            </w:r>
          </w:p>
          <w:p w14:paraId="166BB713">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审批机关：</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六安市人民政府</w:t>
            </w:r>
            <w:r>
              <w:rPr>
                <w:rFonts w:hint="eastAsia"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w:t>
            </w:r>
          </w:p>
          <w:p w14:paraId="6C8EB925">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审批文件名称及文号</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六安市人民政府关于《霍山县国土空间总体规划（2021-2035年）》的批复，六政秘〔2024〕69号；</w:t>
            </w:r>
          </w:p>
          <w:p w14:paraId="6FD0163A">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规划名称：</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《霍山县城市排水（雨水）防涝综合规划》（2014-2030）</w:t>
            </w:r>
          </w:p>
          <w:p w14:paraId="32B5CB53">
            <w:pPr>
              <w:keepNext w:val="0"/>
              <w:keepLines w:val="0"/>
              <w:pageBreakBefore w:val="0"/>
              <w:widowControl w:val="0"/>
              <w:suppressLineNumbers w:val="0"/>
              <w:spacing w:before="0" w:beforeAutospacing="0" w:after="0" w:afterAutospacing="0" w:line="360" w:lineRule="auto"/>
              <w:ind w:left="0" w:right="0" w:firstLine="0"/>
              <w:jc w:val="both"/>
              <w:rPr>
                <w:rFonts w:hint="default" w:ascii="Times New Roman" w:hAnsi="Times New Roman" w:cs="Times New Roman" w:eastAsiaTheme="minorEastAsia"/>
                <w:b w:val="0"/>
                <w:bCs w:val="0"/>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审批机关：</w:t>
            </w:r>
            <w:r>
              <w:rPr>
                <w:rFonts w:hint="default" w:ascii="Times New Roman" w:hAnsi="Times New Roman" w:cs="Times New Roman" w:eastAsiaTheme="minorEastAsia"/>
                <w:b w:val="0"/>
                <w:bCs w:val="0"/>
                <w:color w:val="000000" w:themeColor="text1"/>
                <w:sz w:val="24"/>
                <w:highlight w:val="none"/>
                <w:lang w:val="en-US" w:eastAsia="zh-CN"/>
                <w14:textFill>
                  <w14:solidFill>
                    <w14:schemeClr w14:val="tx1"/>
                  </w14:solidFill>
                </w14:textFill>
              </w:rPr>
              <w:t>六安市住房和城乡建设局</w:t>
            </w:r>
          </w:p>
          <w:p w14:paraId="68FCBEC6">
            <w:pPr>
              <w:keepNext w:val="0"/>
              <w:keepLines w:val="0"/>
              <w:pageBreakBefore w:val="0"/>
              <w:widowControl w:val="0"/>
              <w:suppressLineNumbers w:val="0"/>
              <w:spacing w:before="0" w:beforeAutospacing="0" w:after="0" w:afterAutospacing="0" w:line="360" w:lineRule="auto"/>
              <w:ind w:left="0" w:right="0" w:firstLine="0"/>
              <w:jc w:val="both"/>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审批文号：</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w:t>
            </w:r>
          </w:p>
          <w:p w14:paraId="4EC9F7BF">
            <w:pPr>
              <w:keepNext w:val="0"/>
              <w:keepLines w:val="0"/>
              <w:pageBreakBefore w:val="0"/>
              <w:widowControl w:val="0"/>
              <w:suppressLineNumbers w:val="0"/>
              <w:spacing w:before="0" w:beforeAutospacing="0" w:after="0" w:afterAutospacing="0" w:line="360" w:lineRule="auto"/>
              <w:ind w:left="0" w:right="0" w:firstLine="0"/>
              <w:jc w:val="both"/>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p>
        </w:tc>
      </w:tr>
      <w:tr w14:paraId="5FF28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3C544BD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规划环境影响评价情况</w:t>
            </w:r>
          </w:p>
        </w:tc>
        <w:tc>
          <w:tcPr>
            <w:tcW w:w="7992" w:type="dxa"/>
            <w:gridSpan w:val="4"/>
            <w:noWrap w:val="0"/>
            <w:tcMar>
              <w:top w:w="16" w:type="dxa"/>
              <w:left w:w="16" w:type="dxa"/>
              <w:right w:w="16" w:type="dxa"/>
            </w:tcMar>
            <w:vAlign w:val="center"/>
          </w:tcPr>
          <w:p w14:paraId="1084D4E0">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无</w:t>
            </w:r>
          </w:p>
        </w:tc>
      </w:tr>
      <w:tr w14:paraId="60B50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434DE7D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规划及规划环境影响评价符合性分析</w:t>
            </w:r>
          </w:p>
        </w:tc>
        <w:tc>
          <w:tcPr>
            <w:tcW w:w="7992" w:type="dxa"/>
            <w:gridSpan w:val="4"/>
            <w:noWrap w:val="0"/>
            <w:tcMar>
              <w:top w:w="16" w:type="dxa"/>
              <w:left w:w="16" w:type="dxa"/>
              <w:right w:w="16" w:type="dxa"/>
            </w:tcMar>
            <w:vAlign w:val="center"/>
          </w:tcPr>
          <w:p w14:paraId="257CBB5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1、与《六安市水利发展“十四五”规划》符合性分析</w:t>
            </w:r>
          </w:p>
          <w:p w14:paraId="2A28C13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根据《六安市水利发展“十四五”规划》：（三）中小河流治理：结合2020年等大水年份的洪涝灾情，按照系统治理的思路，加快主要支流治理，全面提高防洪标准。完成杭埠河治理工程，推进史河、淠河防洪治理和汲河流域综合治理。加快流域面积200～3000平方公里中小河流治理，优先安排防洪问题突出、近几年发生过较大洪涝灾害的中小河流治理，适当安排因社会经济发展亟需提高防洪标准的中小河流城镇河段治理，解决中小河流城镇河段防洪不达标、近年洪涝灾害频发、河堤损毁等问题。推进32条中小河流治理，完成其中15条中小河流治理，治理总长度269公里。</w:t>
            </w:r>
          </w:p>
          <w:p w14:paraId="52EDA5B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四）重点涝区排涝能力建设：加快重点涝区排涝能力建设，提高易涝地区排涝能力，保障粮食安全。根据易涝区工程现状、历年受灾情况，按照轻重缓急、逐步实施的原则，完成沿淮行蓄洪区等其他洼地近期治理工程；加快推进淮河流域重点涝区排涝能力建设、长江流域重点涝区排涝能力建设工程。</w:t>
            </w:r>
          </w:p>
          <w:p w14:paraId="0877577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六）城市防洪体系建设：进一步完善城市防洪规划，强化城市防洪与流域、区域防洪体系统筹协调，科学确定防洪保护范围、防洪排涝标准。提高六安市城区，叶集区、舒城县、金寨县、霍山县的城镇防洪标准。完善堤防、涵闸、泵站、蓄滞场所等水利设施，增强城市防洪排涝减灾能力。”</w:t>
            </w:r>
          </w:p>
          <w:p w14:paraId="05FEB66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highlight w:val="none"/>
                <w14:textFill>
                  <w14:solidFill>
                    <w14:schemeClr w14:val="tx1"/>
                  </w14:solidFill>
                </w14:textFill>
              </w:rPr>
              <w:t>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lang w:eastAsia="zh-CN"/>
                <w14:textFill>
                  <w14:solidFill>
                    <w14:schemeClr w14:val="tx1"/>
                  </w14:solidFill>
                </w14:textFill>
              </w:rPr>
              <w:t>，通过区域排涝工程建设，解决区域排涝能力不足、排水沟渠不成系统的问题，保障区域工农业生产及人民群众的生命财产安全，促进霍山县经济发展。通过高庙河、柳林河、新店河等霍山县城区排涝通道整治，解决排涝通道防洪排涝不达标，护岸损毁、滩地坡面裸露、河床下切等问题，为区域发展提供安全的水利基础设施，并建设山洪灾害预防系统以提升水利工程管理能力。通过排水管网改造工程，保证柳林河沿岸生活污水搜集排放，促进污水处理提质增效。项目整体提升霍山县城区排水防涝能力。</w:t>
            </w:r>
          </w:p>
          <w:p w14:paraId="6D41FE2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因此，本项目的建设</w:t>
            </w:r>
            <w:r>
              <w:rPr>
                <w:rFonts w:hint="default" w:ascii="Times New Roman" w:hAnsi="Times New Roman" w:cs="Times New Roman" w:eastAsiaTheme="minorEastAsia"/>
                <w:color w:val="000000" w:themeColor="text1"/>
                <w:sz w:val="24"/>
                <w:highlight w:val="none"/>
                <w14:textFill>
                  <w14:solidFill>
                    <w14:schemeClr w14:val="tx1"/>
                  </w14:solidFill>
                </w14:textFill>
              </w:rPr>
              <w:t>符合</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《六安市水利发展“十四五”规划》</w:t>
            </w:r>
            <w:r>
              <w:rPr>
                <w:rFonts w:hint="default" w:ascii="Times New Roman" w:hAnsi="Times New Roman" w:cs="Times New Roman" w:eastAsiaTheme="minorEastAsia"/>
                <w:color w:val="000000" w:themeColor="text1"/>
                <w:sz w:val="24"/>
                <w:highlight w:val="none"/>
                <w14:textFill>
                  <w14:solidFill>
                    <w14:schemeClr w14:val="tx1"/>
                  </w14:solidFill>
                </w14:textFill>
              </w:rPr>
              <w:t>的要求。</w:t>
            </w:r>
          </w:p>
          <w:p w14:paraId="7CE8E05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72A5C5B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C0B37AD">
            <w:pPr>
              <w:keepNext w:val="0"/>
              <w:keepLines w:val="0"/>
              <w:pageBreakBefore w:val="0"/>
              <w:widowControl w:val="0"/>
              <w:numPr>
                <w:ilvl w:val="0"/>
                <w:numId w:val="1"/>
              </w:numPr>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eastAsia" w:cs="Times New Roman" w:eastAsiaTheme="minorEastAsia"/>
                <w:b/>
                <w:color w:val="000000" w:themeColor="text1"/>
                <w:sz w:val="24"/>
                <w:highlight w:val="none"/>
                <w:lang w:val="en-US" w:eastAsia="zh-CN"/>
                <w14:textFill>
                  <w14:solidFill>
                    <w14:schemeClr w14:val="tx1"/>
                  </w14:solidFill>
                </w14:textFill>
              </w:rPr>
              <w:t>与</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《霍山县城市防洪规划》(2020-2035)符合性分析</w:t>
            </w:r>
          </w:p>
          <w:p w14:paraId="0B6B5DB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1、规划范围</w:t>
            </w:r>
          </w:p>
          <w:p w14:paraId="4A5F53E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规划范围与《霍山县城市总体规划》(2011~2030)确定的规划范围相一致，规划范围为城市中心城区建设用地27.50km</w:t>
            </w:r>
            <w:r>
              <w:rPr>
                <w:rFonts w:hint="eastAsia" w:cs="Times New Roman" w:eastAsiaTheme="minorEastAsia"/>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范围。</w:t>
            </w:r>
          </w:p>
          <w:p w14:paraId="25AAF30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2、规划目标</w:t>
            </w:r>
          </w:p>
          <w:p w14:paraId="6DCBB08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通过工程与非工程措施相结合，逐步构建安全可靠的城市综合防洪体系，使规划范围内防洪保护对象的防洪能力达到国家规定的防洪标准，遇超标准洪水有可靠的防洪对策，最大限度地减轻洪涝灾害损失，为霍山县社会经济、城市建设可持续发展提供良好的防洪保障。同时，通过防洪工程的实施，着力构建集防洪、蓄水、景观、生态为一体的城市防洪保安体系，实现“水宁、水活、水清、水美”的综合治理目标。</w:t>
            </w:r>
          </w:p>
          <w:p w14:paraId="5ABC2EB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3、规划水平年</w:t>
            </w:r>
          </w:p>
          <w:p w14:paraId="571718A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基准年为2020年，近期2025年，远期为2035年。</w:t>
            </w:r>
          </w:p>
          <w:p w14:paraId="7C376EA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4、规划标准</w:t>
            </w:r>
          </w:p>
          <w:p w14:paraId="460F13C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(1)防洪标准</w:t>
            </w:r>
          </w:p>
          <w:p w14:paraId="40FE110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参照《防洪标准》(GB50201-2014)、《治涝标准》(SL723-2016)，结合淠河流域防洪规划的要求，并考虑经济、政治、社会、环境等因素以及与城市总体规划相衔接，霍山县中心城区近期2020年，城市人口为16.5万人，霍山县城区属于一般城市，防洪标准确定为20年一遇</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规划远期2030年，霍山县城区属于比较重要城市，防洪标准确定为50年一遇。本次霍山县城市防洪规划标准确定为</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霍山县城区防洪标准为50年一遇。</w:t>
            </w:r>
          </w:p>
          <w:p w14:paraId="1F340EB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(2)治涝标准</w:t>
            </w:r>
          </w:p>
          <w:p w14:paraId="342C2F3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城区治涝采取自排和抽排相结合，排水区自排和抽排均按20年一遇标准。</w:t>
            </w:r>
          </w:p>
          <w:p w14:paraId="7530394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5、防洪规划方案</w:t>
            </w:r>
          </w:p>
          <w:p w14:paraId="20E9EB1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(1)柳林河两岸</w:t>
            </w:r>
          </w:p>
          <w:p w14:paraId="238F098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堤防级别</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柳林河从小河沿~柳林河口，长2.1km构成封闭堤，堤防的防洪标准为50年一遇，堤防级别为2级。</w:t>
            </w:r>
          </w:p>
          <w:p w14:paraId="6EF13FE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规划方案</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柳林河两岸封闭堤堤防高程已达到20一年一遇，但堤防防护标准较低，局部护坡塌陷，堤顶为土路。规划维修护坡护岸，新建混凝土堤顶防汛道路，两岸堤顶道路长1.58km，道路采用宽4m混凝土道路。</w:t>
            </w:r>
          </w:p>
          <w:p w14:paraId="2AAFFE9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(2)幽芳河、高庙河</w:t>
            </w:r>
          </w:p>
          <w:p w14:paraId="0EBB8A5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幽芳河、高庙河高程局部段落不满足防洪要求，按照防洪标准为50年一遇规划对不达标堤段进行加固，幽芳河不达标堤段规划采用增设混凝土防浪墙方案，墙高1.05m。高庙河采用堤身加培，坡比为1</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2.5，堤顶宽度不小于5m。</w:t>
            </w:r>
          </w:p>
          <w:p w14:paraId="5E6FB49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治涝规划方案</w:t>
            </w:r>
          </w:p>
          <w:p w14:paraId="13A450B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(1)城市排水通道</w:t>
            </w:r>
          </w:p>
          <w:p w14:paraId="62710F5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规划对各排区的排涝沟进行整治，主要内容是排涝干沟的清淤、清障、拓宽及跨沟建筑物的配套。根据规划排涝方案、结合河道现状情况对城市内河水系进行疏(拓)浚，本次规划治理河道主要包括</w:t>
            </w:r>
            <w:r>
              <w:rPr>
                <w:rFonts w:hint="eastAsia" w:cs="Times New Roman" w:eastAsiaTheme="minorEastAsia"/>
                <w:color w:val="000000" w:themeColor="text1"/>
                <w:sz w:val="24"/>
                <w:highlight w:val="none"/>
                <w:lang w:val="en-US" w:eastAsia="zh-CN"/>
                <w14:textFill>
                  <w14:solidFill>
                    <w14:schemeClr w14:val="tx1"/>
                  </w14:solidFill>
                </w14:textFill>
              </w:rPr>
              <w:t>：</w:t>
            </w:r>
          </w:p>
          <w:p w14:paraId="06247F3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迎驾厂片</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规划新建、疏通排涝渠道，底宽1.5m，长1.8km。</w:t>
            </w:r>
          </w:p>
          <w:p w14:paraId="45D51AE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柳林河西片</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新建北外环排涝沟，疏浚中心排涝沟，采用底宽2.5m、坡比1</w:t>
            </w:r>
            <w:r>
              <w:rPr>
                <w:rFonts w:hint="eastAsia" w:cs="Times New Roman" w:eastAsiaTheme="minorEastAsia"/>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2的梯形渠。</w:t>
            </w:r>
          </w:p>
          <w:p w14:paraId="08B9905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新建、扩建排涝沟采用能与岸坡水体交互且能植草的生态挡土墙护岸或护坡。</w:t>
            </w:r>
          </w:p>
          <w:p w14:paraId="5626A8B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（2）排涝泵站及自排涵闸</w:t>
            </w:r>
          </w:p>
          <w:p w14:paraId="1B9A037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柳林河口排涝站：迎驾厂片主要通过项家院排涝涵、张家湾排涝涵、永康排涝涵排涝，本次规划新建北外环排涝沟，将涝水引至张家湾排涝涵。</w:t>
            </w:r>
          </w:p>
          <w:p w14:paraId="45E88A0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7、山洪灾害防治</w:t>
            </w:r>
          </w:p>
          <w:p w14:paraId="37F7DB7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山丘区发生的暴涨暴落的溪河洪水，威胁人民生命安全，造成财产损失和基础设施毁坏的灾害，为增强沿岸城镇、集中居民区、重要基础设施等防护对象的山洪灾害综合防御能力，有效减少人员伤亡和财产损失，对涉及城区的山洪沟进行综合治理是非常必要的，防治措施如下</w:t>
            </w:r>
            <w:r>
              <w:rPr>
                <w:rFonts w:hint="eastAsia" w:cs="Times New Roman" w:eastAsiaTheme="minorEastAsia"/>
                <w:color w:val="000000" w:themeColor="text1"/>
                <w:sz w:val="24"/>
                <w:highlight w:val="none"/>
                <w:lang w:val="en-US" w:eastAsia="zh-CN"/>
                <w14:textFill>
                  <w14:solidFill>
                    <w14:schemeClr w14:val="tx1"/>
                  </w14:solidFill>
                </w14:textFill>
              </w:rPr>
              <w:t>：</w:t>
            </w:r>
          </w:p>
          <w:p w14:paraId="1737CE3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(1)柳林河山洪沟治理</w:t>
            </w:r>
          </w:p>
          <w:p w14:paraId="5FF6F0F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柳林河为东淠河支流，主流发源于桃花寨，总流向先向西北，后折转向东北，流经通水灌(黄泥)、谢家畈、俞家山根、西门畈(俞家畈)，在潜台寺西汇入东淠河干流。河道全长约15.92km，流域面积35.78km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，河道平均坡降8.1%o。</w:t>
            </w:r>
          </w:p>
          <w:p w14:paraId="3FB3164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规划对柳林河山洪沟进行治理，起点从太平地，终点至小河沿，总长约8.6km，规划实施河道疏浚工程、护坡护岸工程、险工段治理、蓄水堰坝等。</w:t>
            </w:r>
          </w:p>
          <w:p w14:paraId="44CD34F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(2)幽芳河山洪沟治理</w:t>
            </w:r>
          </w:p>
          <w:p w14:paraId="6A5419D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幽芳河发源于白石岗，经东石门，在县城东门外石担桥下汇入护城河，河道全长约10.5km，流域面积28.25km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，平均比降10.2%o。</w:t>
            </w:r>
          </w:p>
          <w:p w14:paraId="650F0B0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规划对幽芳河山洪沟进行治理，起点从友谊水库，终点至迎宾大道，总长约3.9km，规划实施河道疏浚工程、护坡护岸工程、险工段治理、蓄水堰坝等。</w:t>
            </w:r>
          </w:p>
          <w:p w14:paraId="477665D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(3)高庙河山洪沟治理</w:t>
            </w:r>
          </w:p>
          <w:p w14:paraId="6AC45CA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高庙河源于霍山县白沙岭，向北流经牛角冲、桥头堰、县渔场，在北镇庙汇入东淠河干流，河道全长约为27.14km，流域面积27.14km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，河道平均坡降8.3%o。规划对高庙河山洪沟进行治理，起点从友谊水库，终点至迎宾大道，总长约3.9km，规划实施河道疏浚工程、护坡护岸工程、险工段治理、蓄水堰坝等。</w:t>
            </w:r>
          </w:p>
          <w:p w14:paraId="2EA05B2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本项目与《霍山县城市防洪规划》的符合性：本次项目建设标准、等级参照规划执行，工程建设内容完全符合规划的相关内容，包括区域排涝及幽芳河、高庙河、柳林河等山洪沟本次为排涝通道整治。</w:t>
            </w:r>
          </w:p>
          <w:p w14:paraId="30DA07A9">
            <w:pPr>
              <w:keepNext w:val="0"/>
              <w:keepLines w:val="0"/>
              <w:pageBreakBefore w:val="0"/>
              <w:widowControl w:val="0"/>
              <w:numPr>
                <w:ilvl w:val="0"/>
                <w:numId w:val="0"/>
              </w:numPr>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eastAsia" w:cs="Times New Roman" w:eastAsiaTheme="minorEastAsia"/>
                <w:b/>
                <w:color w:val="000000" w:themeColor="text1"/>
                <w:sz w:val="24"/>
                <w:highlight w:val="none"/>
                <w:lang w:val="en-US" w:eastAsia="zh-CN"/>
                <w14:textFill>
                  <w14:solidFill>
                    <w14:schemeClr w14:val="tx1"/>
                  </w14:solidFill>
                </w14:textFill>
              </w:rPr>
              <w:t>3、与</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《霍山县水利发展规划“十四五”》符合性分析</w:t>
            </w:r>
          </w:p>
          <w:p w14:paraId="2E859AFC">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1、规划目标</w:t>
            </w:r>
          </w:p>
          <w:p w14:paraId="3E41261A">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(1)总体目标</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建成与经济社会发展和生态文明建设要求相适应与社会主义现代化进程相协调的水早灾害防御、水资源集约节约利用与优化配置、水资源保护和河湖健康保障、涉水事务监管四大体系。</w:t>
            </w:r>
          </w:p>
          <w:p w14:paraId="1F7F4110">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到2025年，</w:t>
            </w:r>
            <w:r>
              <w:rPr>
                <w:rFonts w:hint="eastAsia" w:cs="Times New Roman" w:eastAsiaTheme="minorEastAsia"/>
                <w:b w:val="0"/>
                <w:bCs/>
                <w:color w:val="000000" w:themeColor="text1"/>
                <w:sz w:val="24"/>
                <w:highlight w:val="none"/>
                <w:lang w:val="en-US" w:eastAsia="zh-CN"/>
                <w14:textFill>
                  <w14:solidFill>
                    <w14:schemeClr w14:val="tx1"/>
                  </w14:solidFill>
                </w14:textFill>
              </w:rPr>
              <w:t>防汛</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抗早减灾能力全面提升，水资源利用效率和效益明显提高，城乡供水安全保障程度明显增强，重点河湖水生态环境明显改善，涉水事务监管和风险防控能力全面增强，水安全保障能力显著提升。</w:t>
            </w:r>
          </w:p>
          <w:p w14:paraId="7794B85C">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(2)具体目标</w:t>
            </w:r>
            <w:r>
              <w:rPr>
                <w:rFonts w:hint="eastAsia" w:cs="Times New Roman" w:eastAsiaTheme="minorEastAsia"/>
                <w:b w:val="0"/>
                <w:bCs/>
                <w:color w:val="000000" w:themeColor="text1"/>
                <w:sz w:val="24"/>
                <w:highlight w:val="none"/>
                <w:lang w:val="en-US" w:eastAsia="zh-CN"/>
                <w14:textFill>
                  <w14:solidFill>
                    <w14:schemeClr w14:val="tx1"/>
                  </w14:solidFill>
                </w14:textFill>
              </w:rPr>
              <w:t>：</w:t>
            </w:r>
          </w:p>
          <w:p w14:paraId="13A09F8E">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1)水旱灾害防御目标。进行水利自然灾害风险普查，完善水旱灾害分析预警能力。霍山县城市防洪标准由20年一遇提高到50年一遇，县城排涝标准达到20年一遇</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主要支流、中小河流防洪标准达到规划确定的防洪标准，淠河洼地等重点易涝区排涝标准达到5~10年一遇</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V级及以上江河堤防达标率提高到60%，水早灾害风险防范化解能力进一步增强</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重点山洪灾害易发区得到有效治理</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现有病险水库、水闸安全隐患全面消除</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中小河流重要河段达到规划确定的防洪标准。</w:t>
            </w:r>
          </w:p>
          <w:p w14:paraId="6DF87FA0">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2)水资源集约节约利用与优化配置目标。节水型生产和生活方式基本建立，全社会节水意识明显增强，水资源和人口社会经济均衡协调发展的格局进一步完善</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全县用水总量控制在1.7亿m</w:t>
            </w:r>
            <w:r>
              <w:rPr>
                <w:rFonts w:hint="default" w:ascii="Times New Roman" w:hAnsi="Times New Roman" w:cs="Times New Roman" w:eastAsiaTheme="minorEastAsia"/>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以内，万元国内生产总值用水量、万元工业增加值用水量较2020年分别下降15%，农田灌溉水有效利用系数提高到0.57</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提升水利工程的调控能力，现有中小型水库通过清淤逐步恢复其设计供水能力，实现标准化管理</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水资源配置格局逐步完善，水利工程新增年供水能力200万m，供水保障能力和抗早应急能力明显增强</w:t>
            </w:r>
            <w:r>
              <w:rPr>
                <w:rFonts w:hint="eastAsia" w:cs="Times New Roman" w:eastAsiaTheme="minorEastAsia"/>
                <w:b w:val="0"/>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城乡供水一体化覆盖程度大幅提高，乡镇自来水普及率达到95%。</w:t>
            </w:r>
          </w:p>
          <w:p w14:paraId="765C6551">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3)水资源保护和河湖健康保障目标。水生态空间管控体系基本建立，完成流域面积50km</w:t>
            </w:r>
            <w:r>
              <w:rPr>
                <w:rFonts w:hint="default" w:ascii="Times New Roman" w:hAnsi="Times New Roman" w:cs="Times New Roman" w:eastAsiaTheme="minorEastAsia"/>
                <w:b w:val="0"/>
                <w:bCs/>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及以上河流和常年水面面积1km以上的水库管理范围划定。水源涵养与保护能力明显提升，河流水生态环境明显改善，水景观质量明显提高，主要断面生态流量基本得到保障，水质满足水功能区及断面考核管理目标，乡镇水系水环境状况明显改善，区域主要河流水系、水库等地表水达到或好于Ⅲ类水体占地表水比例大于75%；人为水土流失得到有效控制，重点地区水土流失得到有效治理，水土流失治理面积40km2，水土保持率达到60%。</w:t>
            </w:r>
          </w:p>
          <w:p w14:paraId="5DE1841E">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4）涉水事务监管目标。水文水资源、河湖生态、水土流失、水灾害等监测预警体系基本建立，水利信息化水平显著提升。河长制湖长制深入推进，主要河湖水域岸线得到有效管控。最严格水资源管理考核体系逐步完善，水资源节约、开发、利用、保护配置、调度等各环节得到全面监管。基本实现大中型水利工程安全监测全覆盖，水工程安全风险防控能力明显提升。水权水价水市场改革取得重要进展。政府主导、金融支持、社会参与的水利投融资机制进一步完善。</w:t>
            </w:r>
          </w:p>
          <w:p w14:paraId="73D1EDB8">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2、提升防洪保安能力</w:t>
            </w:r>
          </w:p>
          <w:p w14:paraId="019F9C2B">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加强防洪排涝基础设施体系建设，构筑全县防洪保安网，全面提升防洪保安能力和超标准洪水应对能力。以防御水灾害、保障人民群众生命财产安全、促进经济社会稳定发展为根本出发点坚持兴利除害结合、防洪排涝并举，全面实施防汛水利提升工程提升洪涝灾害防御能力，保障人民群众生命财产安全。</w:t>
            </w:r>
          </w:p>
          <w:p w14:paraId="460B1A88">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推进山洪灾害防治。坚持以防为主、防治结合，非工程措施和工程措施相结合，加强山洪灾害防治能力建设，全面提升防灾减灾效益。对南部山丘进行全面调查，以山洪灾害严重、影响人口较多的重点山洪沟为重点，优先开展近期发生过山洪且损失严重的重点山洪沟进行治理，根据山洪及泥石流、滑坡发生的特点因地制宜，采取可行的治理措施。同时，强化山洪灾害监测预警，优化调整雨情监测站网布局，定期开展山洪灾害防御常识与自救技能培训，切实增强群众防灾避灾能力。“十四五”计划治理宋家河等18条山洪沟，主要工程措施有疏浚整治、滑坡防治、居民区避险搬迁、加固堤岸等，共治理长度18.84km。</w:t>
            </w:r>
          </w:p>
          <w:p w14:paraId="044C3348">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加强重点涝区排涝能力建设。继续推进安徽省沿淮行蓄洪区等其他洼地治理工程。改建小河口排涝站工程。规划对现有小河口排涝闸进行拆除重建，排涝标准采用20年一遇。新建潜台寺排涝站工程：规划新增潜台寺区域排涝面积10km</w:t>
            </w:r>
            <w:r>
              <w:rPr>
                <w:rFonts w:hint="default" w:ascii="Times New Roman" w:hAnsi="Times New Roman" w:cs="Times New Roman" w:eastAsiaTheme="minorEastAsia"/>
                <w:b w:val="0"/>
                <w:bCs/>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，排涝标准采用20年一遇。实施重灾区下符桥镇防洪排涝提升工程。主要建设内容包括但家庙河下符桥镇段右岸堤防加固、新建挡墙，左岸新建排涝泵站。</w:t>
            </w:r>
          </w:p>
          <w:p w14:paraId="475343F4">
            <w:pPr>
              <w:keepNext w:val="0"/>
              <w:keepLines w:val="0"/>
              <w:pageBreakBefore w:val="0"/>
              <w:widowControl w:val="0"/>
              <w:numPr>
                <w:ilvl w:val="0"/>
                <w:numId w:val="0"/>
              </w:numPr>
              <w:suppressLineNumbers w:val="0"/>
              <w:spacing w:before="0" w:beforeAutospacing="0" w:after="0" w:afterAutospacing="0" w:line="360" w:lineRule="auto"/>
              <w:ind w:left="0" w:right="0"/>
              <w:jc w:val="cente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drawing>
                <wp:inline distT="0" distB="0" distL="0" distR="0">
                  <wp:extent cx="4632325" cy="1165860"/>
                  <wp:effectExtent l="0" t="0" r="15875" b="15240"/>
                  <wp:docPr id="3" name="图片 17" descr="9ffcf0b1-70db-4acc-be84-42d5d13d5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9ffcf0b1-70db-4acc-be84-42d5d13d5a11"/>
                          <pic:cNvPicPr>
                            <a:picLocks noChangeAspect="1"/>
                          </pic:cNvPicPr>
                        </pic:nvPicPr>
                        <pic:blipFill>
                          <a:blip r:embed="rId9"/>
                          <a:stretch>
                            <a:fillRect/>
                          </a:stretch>
                        </pic:blipFill>
                        <pic:spPr>
                          <a:xfrm>
                            <a:off x="0" y="0"/>
                            <a:ext cx="4632325" cy="1165860"/>
                          </a:xfrm>
                          <a:prstGeom prst="rect">
                            <a:avLst/>
                          </a:prstGeom>
                        </pic:spPr>
                      </pic:pic>
                    </a:graphicData>
                  </a:graphic>
                </wp:inline>
              </w:drawing>
            </w:r>
          </w:p>
          <w:p w14:paraId="5B928538">
            <w:pPr>
              <w:keepNext w:val="0"/>
              <w:keepLines w:val="0"/>
              <w:pageBreakBefore w:val="0"/>
              <w:widowControl w:val="0"/>
              <w:numPr>
                <w:ilvl w:val="0"/>
                <w:numId w:val="0"/>
              </w:numPr>
              <w:suppressLineNumbers w:val="0"/>
              <w:spacing w:before="0" w:beforeAutospacing="0" w:after="0" w:afterAutospacing="0" w:line="360" w:lineRule="auto"/>
              <w:ind w:left="0" w:right="0"/>
              <w:jc w:val="cente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t>图 1-1</w:t>
            </w:r>
            <w:r>
              <w:rPr>
                <w:rFonts w:hint="eastAsia" w:cs="Times New Roman" w:eastAsiaTheme="minorEastAsia"/>
                <w:b/>
                <w:bCs w:val="0"/>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sz w:val="24"/>
                <w:highlight w:val="none"/>
                <w:lang w:val="en-US" w:eastAsia="zh-CN"/>
                <w14:textFill>
                  <w14:solidFill>
                    <w14:schemeClr w14:val="tx1"/>
                  </w14:solidFill>
                </w14:textFill>
              </w:rPr>
              <w:t>《霍山县水利发展“十四五”规划》中项目所在页面</w:t>
            </w:r>
          </w:p>
          <w:p w14:paraId="17E0068D">
            <w:pPr>
              <w:keepNext w:val="0"/>
              <w:keepLines w:val="0"/>
              <w:pageBreakBefore w:val="0"/>
              <w:widowControl w:val="0"/>
              <w:numPr>
                <w:ilvl w:val="0"/>
                <w:numId w:val="0"/>
              </w:numPr>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本项目已列入《霍山县水利发展“十四五”规划》的霍山县水利发展“十四五”规划项目表，属于重点建设项目。</w:t>
            </w:r>
          </w:p>
          <w:p w14:paraId="46A2C048">
            <w:pPr>
              <w:keepNext w:val="0"/>
              <w:keepLines w:val="0"/>
              <w:pageBreakBefore w:val="0"/>
              <w:widowControl w:val="0"/>
              <w:numPr>
                <w:ilvl w:val="0"/>
                <w:numId w:val="0"/>
              </w:numPr>
              <w:suppressLineNumbers w:val="0"/>
              <w:spacing w:before="0" w:beforeAutospacing="0" w:after="0" w:afterAutospacing="0" w:line="360" w:lineRule="auto"/>
              <w:ind w:left="480" w:right="0"/>
              <w:rPr>
                <w:rFonts w:hint="eastAsia" w:cs="Times New Roman" w:eastAsiaTheme="minorEastAsia"/>
                <w:b/>
                <w:color w:val="000000" w:themeColor="text1"/>
                <w:sz w:val="24"/>
                <w:highlight w:val="none"/>
                <w:lang w:val="en-US" w:eastAsia="zh-CN"/>
                <w14:textFill>
                  <w14:solidFill>
                    <w14:schemeClr w14:val="tx1"/>
                  </w14:solidFill>
                </w14:textFill>
              </w:rPr>
            </w:pPr>
            <w:r>
              <w:rPr>
                <w:rFonts w:hint="eastAsia" w:cs="Times New Roman" w:eastAsiaTheme="minorEastAsia"/>
                <w:b/>
                <w:color w:val="000000" w:themeColor="text1"/>
                <w:sz w:val="24"/>
                <w:highlight w:val="none"/>
                <w:lang w:val="en-US" w:eastAsia="zh-CN"/>
                <w14:textFill>
                  <w14:solidFill>
                    <w14:schemeClr w14:val="tx1"/>
                  </w14:solidFill>
                </w14:textFill>
              </w:rPr>
              <w:t>4、与《霍山县国土空间总体规划（2021-2035年）》符合性分析</w:t>
            </w:r>
          </w:p>
          <w:p w14:paraId="0C6B1BAF">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b w:val="0"/>
                <w:bCs/>
                <w:color w:val="000000" w:themeColor="text1"/>
                <w:sz w:val="24"/>
                <w:highlight w:val="none"/>
                <w:lang w:val="en-US" w:eastAsia="zh-CN"/>
                <w14:textFill>
                  <w14:solidFill>
                    <w14:schemeClr w14:val="tx1"/>
                  </w14:solidFill>
                </w14:textFill>
              </w:rPr>
              <w:t>《霍山县国土空间总体规划（2021-2035年）》（以下简称《总体规划》）中提出“优化排水设施布局，中心城区排水体制采用雨、污分流制。到2035年，城市污水处理率达到100%，并与国家同时期相关标准一致……”</w:t>
            </w:r>
          </w:p>
          <w:p w14:paraId="435C1251">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本项目是霍山县城市防洪排涝提升工程，符合《规划》中的优化排水设施布局要求，是提高防洪排涝能力，建立安全韧性的综合防灾设施体系的具体措施。</w:t>
            </w:r>
          </w:p>
          <w:p w14:paraId="303B402B">
            <w:pPr>
              <w:keepNext w:val="0"/>
              <w:keepLines w:val="0"/>
              <w:pageBreakBefore w:val="0"/>
              <w:widowControl w:val="0"/>
              <w:numPr>
                <w:ilvl w:val="0"/>
                <w:numId w:val="0"/>
              </w:numPr>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pPr>
            <w:r>
              <w:rPr>
                <w:rFonts w:hint="eastAsia" w:cs="Times New Roman" w:eastAsiaTheme="minorEastAsia"/>
                <w:b/>
                <w:color w:val="000000" w:themeColor="text1"/>
                <w:sz w:val="24"/>
                <w:highlight w:val="none"/>
                <w:lang w:val="en-US" w:eastAsia="zh-CN"/>
                <w14:textFill>
                  <w14:solidFill>
                    <w14:schemeClr w14:val="tx1"/>
                  </w14:solidFill>
                </w14:textFill>
              </w:rPr>
              <w:t>5、</w:t>
            </w: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与《霍山县城市排水（雨水）防涝综合规划》（2014-2030）符合性分析</w:t>
            </w:r>
          </w:p>
          <w:p w14:paraId="0845956A">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根据</w:t>
            </w:r>
            <w:r>
              <w:rPr>
                <w:rFonts w:hint="default" w:ascii="Times New Roman" w:hAnsi="Times New Roman" w:cs="Times New Roman" w:eastAsiaTheme="minorEastAsia"/>
                <w:color w:val="000000" w:themeColor="text1"/>
                <w14:textFill>
                  <w14:solidFill>
                    <w14:schemeClr w14:val="tx1"/>
                  </w14:solidFill>
                </w14:textFill>
              </w:rPr>
              <w:t>《霍山县城市排水（</w:t>
            </w:r>
            <w:r>
              <w:rPr>
                <w:rFonts w:hint="default" w:ascii="Times New Roman" w:hAnsi="Times New Roman" w:cs="Times New Roman" w:eastAsiaTheme="minorEastAsia"/>
                <w:color w:val="000000" w:themeColor="text1"/>
                <w:spacing w:val="2"/>
                <w14:textFill>
                  <w14:solidFill>
                    <w14:schemeClr w14:val="tx1"/>
                  </w14:solidFill>
                </w14:textFill>
              </w:rPr>
              <w:t>雨水</w:t>
            </w:r>
            <w:r>
              <w:rPr>
                <w:rFonts w:hint="default" w:ascii="Times New Roman" w:hAnsi="Times New Roman" w:cs="Times New Roman" w:eastAsiaTheme="minorEastAsia"/>
                <w:color w:val="000000" w:themeColor="text1"/>
                <w:spacing w:val="4"/>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防涝综合规划（2014-2030）</w:t>
            </w:r>
            <w:r>
              <w:rPr>
                <w:rFonts w:hint="default" w:ascii="Times New Roman" w:hAnsi="Times New Roman" w:cs="Times New Roman" w:eastAsiaTheme="minorEastAsia"/>
                <w:color w:val="000000" w:themeColor="text1"/>
                <w:spacing w:val="2"/>
                <w14:textFill>
                  <w14:solidFill>
                    <w14:schemeClr w14:val="tx1"/>
                  </w14:solidFill>
                </w14:textFill>
              </w:rPr>
              <w:t>》规划目标</w:t>
            </w:r>
            <w:r>
              <w:rPr>
                <w:rFonts w:hint="default" w:ascii="Times New Roman" w:hAnsi="Times New Roman" w:cs="Times New Roman" w:eastAsiaTheme="minorEastAsia"/>
                <w:color w:val="000000" w:themeColor="text1"/>
                <w:spacing w:val="2"/>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统筹气象降雨、地表径流、雨水管网系统、城市内河，在霍山县总体规划指导下，根据相关规划要求，完善城市排水防涝体系，提高城市排水防涝系统功能，促进城市排水防涝设施规划建设，促进城市快速、健康、可持续发展。至规划期末，通过规划的实施，最大限度保证在城市内涝防治标准以内的暴雨不造成灾害，不造成较大的经济损失和人员伤亡。</w:t>
            </w:r>
          </w:p>
          <w:p w14:paraId="16A4232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w:t>
            </w:r>
            <w:r>
              <w:rPr>
                <w:rFonts w:hint="default" w:ascii="Times New Roman" w:hAnsi="Times New Roman" w:cs="Times New Roman" w:eastAsiaTheme="minorEastAsia"/>
                <w:color w:val="000000" w:themeColor="text1"/>
                <w:sz w:val="24"/>
                <w:highlight w:val="none"/>
                <w14:textFill>
                  <w14:solidFill>
                    <w14:schemeClr w14:val="tx1"/>
                  </w14:solidFill>
                </w14:textFill>
              </w:rPr>
              <w:t>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lang w:eastAsia="zh-CN"/>
                <w14:textFill>
                  <w14:solidFill>
                    <w14:schemeClr w14:val="tx1"/>
                  </w14:solidFill>
                </w14:textFill>
              </w:rPr>
              <w:t>，通过区域排涝工程建设，解决区域排涝能力不足、排水沟渠不成系统的问题；通过高庙河、柳林河、新店河等霍山县城区排涝通道整治，解决排涝通道防洪排涝不达标，护岸损毁、滩地坡面裸露、河床下切等问题；通过排水管网改造工程，保证柳林河沿岸生活污水</w:t>
            </w:r>
            <w:r>
              <w:rPr>
                <w:rFonts w:hint="eastAsia" w:cs="Times New Roman" w:eastAsiaTheme="minorEastAsia"/>
                <w:color w:val="000000" w:themeColor="text1"/>
                <w:lang w:eastAsia="zh-CN"/>
                <w14:textFill>
                  <w14:solidFill>
                    <w14:schemeClr w14:val="tx1"/>
                  </w14:solidFill>
                </w14:textFill>
              </w:rPr>
              <w:t>收</w:t>
            </w:r>
            <w:r>
              <w:rPr>
                <w:rFonts w:hint="default" w:ascii="Times New Roman" w:hAnsi="Times New Roman" w:cs="Times New Roman" w:eastAsiaTheme="minorEastAsia"/>
                <w:color w:val="000000" w:themeColor="text1"/>
                <w:lang w:eastAsia="zh-CN"/>
                <w14:textFill>
                  <w14:solidFill>
                    <w14:schemeClr w14:val="tx1"/>
                  </w14:solidFill>
                </w14:textFill>
              </w:rPr>
              <w:t>集排放，促进污水处理提质增效。项目整体提升霍山县城区排水防涝能力。</w:t>
            </w:r>
          </w:p>
          <w:p w14:paraId="2BE26A7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因此，本项目的建设</w:t>
            </w:r>
            <w:r>
              <w:rPr>
                <w:rFonts w:hint="default" w:ascii="Times New Roman" w:hAnsi="Times New Roman" w:cs="Times New Roman" w:eastAsiaTheme="minorEastAsia"/>
                <w:color w:val="000000" w:themeColor="text1"/>
                <w:sz w:val="24"/>
                <w:highlight w:val="none"/>
                <w14:textFill>
                  <w14:solidFill>
                    <w14:schemeClr w14:val="tx1"/>
                  </w14:solidFill>
                </w14:textFill>
              </w:rPr>
              <w:t>符合</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《霍山县城市排水（雨水）防涝综合规划》（2014-2030）</w:t>
            </w:r>
            <w:r>
              <w:rPr>
                <w:rFonts w:hint="default" w:ascii="Times New Roman" w:hAnsi="Times New Roman" w:cs="Times New Roman" w:eastAsiaTheme="minorEastAsia"/>
                <w:color w:val="000000" w:themeColor="text1"/>
                <w:sz w:val="24"/>
                <w:highlight w:val="none"/>
                <w14:textFill>
                  <w14:solidFill>
                    <w14:schemeClr w14:val="tx1"/>
                  </w14:solidFill>
                </w14:textFill>
              </w:rPr>
              <w:t>的要求。</w:t>
            </w:r>
          </w:p>
        </w:tc>
      </w:tr>
      <w:tr w14:paraId="68242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noWrap w:val="0"/>
            <w:tcMar>
              <w:top w:w="16" w:type="dxa"/>
              <w:left w:w="16" w:type="dxa"/>
              <w:right w:w="16" w:type="dxa"/>
            </w:tcMar>
            <w:vAlign w:val="center"/>
          </w:tcPr>
          <w:p w14:paraId="2B5F762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bookmarkStart w:id="4" w:name="_Hlk56690880"/>
            <w:r>
              <w:rPr>
                <w:rFonts w:hint="default" w:ascii="Times New Roman" w:hAnsi="Times New Roman" w:cs="Times New Roman" w:eastAsiaTheme="minorEastAsia"/>
                <w:b/>
                <w:bCs/>
                <w:color w:val="000000" w:themeColor="text1"/>
                <w:sz w:val="24"/>
                <w:highlight w:val="none"/>
                <w14:textFill>
                  <w14:solidFill>
                    <w14:schemeClr w14:val="tx1"/>
                  </w14:solidFill>
                </w14:textFill>
              </w:rPr>
              <w:t>其他符合性分析</w:t>
            </w:r>
          </w:p>
        </w:tc>
        <w:tc>
          <w:tcPr>
            <w:tcW w:w="7992" w:type="dxa"/>
            <w:gridSpan w:val="4"/>
            <w:noWrap w:val="0"/>
            <w:tcMar>
              <w:top w:w="16" w:type="dxa"/>
              <w:left w:w="16" w:type="dxa"/>
              <w:right w:w="16" w:type="dxa"/>
            </w:tcMar>
            <w:vAlign w:val="center"/>
          </w:tcPr>
          <w:p w14:paraId="57443CB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1、产业政策合理性分析</w:t>
            </w:r>
          </w:p>
          <w:p w14:paraId="5A90BB0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根据中华人民共和国国家发展和改革委员会令第7号《产业结构调整指导目录（2024年本）》，本项目属于第一类鼓励类，二、水利—3．防洪提升工程：“城市积涝预警和防洪工程，江河湖库清淤疏浚工程，堤防隐患排查与修复”，因此本项目符合国家产业政策。</w:t>
            </w:r>
          </w:p>
          <w:p w14:paraId="277A08A8">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2、“三线一单”符合性分析</w:t>
            </w:r>
          </w:p>
          <w:p w14:paraId="2768CBAE">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根据生态环境部《关于实施“三线一单”生态环境分区管控的指导意见（试行）》（环环评〔2021〕108号），“三线一单”指生态保护红线、环境质量底线、资源利用上线和环境准入负面清单。本工程与“三线一单”相符性判定如下：</w:t>
            </w:r>
          </w:p>
          <w:p w14:paraId="4B7C5A6E">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（1）与生态保护红线符合性分析</w:t>
            </w:r>
          </w:p>
          <w:p w14:paraId="78DD0C4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本项目用地位于霍山县佛子岭镇、黑石渡镇和衡山镇境内，根据2025年11月19日《霍山县自然资源和规划局关于六安市霍山县排水防涝能力提升项目预审与规划选址意见的复函》（霍自然资函[2025]38号）中内容可知，本工程用地范围内不涉及占用生态保护红线和永久基本农田。</w:t>
            </w:r>
          </w:p>
          <w:p w14:paraId="58A30E40">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（2）与环境质量底线及分区管控符合性分析</w:t>
            </w:r>
          </w:p>
          <w:p w14:paraId="4AF754E6">
            <w:pPr>
              <w:keepNext w:val="0"/>
              <w:keepLines w:val="0"/>
              <w:pageBreakBefore w:val="0"/>
              <w:widowControl/>
              <w:suppressLineNumbers w:val="0"/>
              <w:spacing w:before="0" w:beforeAutospacing="0" w:after="0" w:afterAutospacing="0" w:line="360" w:lineRule="auto"/>
              <w:ind w:left="0" w:right="0" w:firstLine="48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根据</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《2024年霍山县环境质量报告》</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可知，2024年</w:t>
            </w: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霍山县</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各监测点的NO</w:t>
            </w:r>
            <w:r>
              <w:rPr>
                <w:rFonts w:hint="default" w:ascii="Times New Roman" w:hAnsi="Times New Roman" w:cs="Times New Roman" w:eastAsiaTheme="minorEastAsia"/>
                <w:color w:val="000000" w:themeColor="text1"/>
                <w:sz w:val="15"/>
                <w:szCs w:val="15"/>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、SO</w:t>
            </w:r>
            <w:r>
              <w:rPr>
                <w:rFonts w:hint="default" w:ascii="Times New Roman" w:hAnsi="Times New Roman" w:cs="Times New Roman" w:eastAsiaTheme="minorEastAsia"/>
                <w:color w:val="000000" w:themeColor="text1"/>
                <w:sz w:val="15"/>
                <w:szCs w:val="15"/>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、CO、</w:t>
            </w:r>
            <w:r>
              <w:rPr>
                <w:rFonts w:hint="eastAsia" w:cs="Times New Roman" w:eastAsiaTheme="minorEastAsia"/>
                <w:color w:val="000000" w:themeColor="text1"/>
                <w:sz w:val="24"/>
                <w:szCs w:val="24"/>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sz w:val="15"/>
                <w:szCs w:val="15"/>
                <w:lang w:val="en-US" w:eastAsia="zh-CN" w:bidi="ar"/>
                <w14:textFill>
                  <w14:solidFill>
                    <w14:schemeClr w14:val="tx1"/>
                  </w14:solidFill>
                </w14:textFill>
              </w:rPr>
              <w:t>10</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、O</w:t>
            </w:r>
            <w:r>
              <w:rPr>
                <w:rFonts w:hint="default" w:ascii="Times New Roman" w:hAnsi="Times New Roman" w:cs="Times New Roman" w:eastAsiaTheme="minorEastAsia"/>
                <w:color w:val="000000" w:themeColor="text1"/>
                <w:sz w:val="15"/>
                <w:szCs w:val="15"/>
                <w:lang w:val="en-US" w:eastAsia="zh-CN" w:bidi="ar"/>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w:t>
            </w:r>
            <w:r>
              <w:rPr>
                <w:rFonts w:hint="eastAsia" w:cs="Times New Roman" w:eastAsiaTheme="minorEastAsia"/>
                <w:color w:val="000000" w:themeColor="text1"/>
                <w:sz w:val="24"/>
                <w:szCs w:val="24"/>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sz w:val="15"/>
                <w:szCs w:val="15"/>
                <w:lang w:val="en-US" w:eastAsia="zh-CN" w:bidi="ar"/>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浓度均满足《环境空气质量标准》（GB3095-2012）中二级标准要求；地表水环境质量各项指标达到《地表水环境质量标准》（GB3838-2002）II类标准限值要求；不会突破项目所在地的环境质量底线。</w:t>
            </w:r>
          </w:p>
          <w:p w14:paraId="71D2AE0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①大气环境质量底线及分区管控符合性分析</w:t>
            </w:r>
          </w:p>
          <w:p w14:paraId="14369A0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结合大气环境优先保护区管控要求及大气环境受体敏感重点管控区要求，本项目为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，不属于新建、扩建涉及大气污染物排放的各类工业项目及生活垃圾焚烧发电项目。同时，本项目无</w:t>
            </w:r>
            <w:r>
              <w:rPr>
                <w:rFonts w:hint="default" w:ascii="Times New Roman" w:hAnsi="Times New Roman" w:cs="Times New Roman" w:eastAsiaTheme="minorEastAsia"/>
                <w:color w:val="000000" w:themeColor="text1"/>
                <w:sz w:val="24"/>
                <w:highlight w:val="none"/>
                <w14:textFill>
                  <w14:solidFill>
                    <w14:schemeClr w14:val="tx1"/>
                  </w14:solidFill>
                </w14:textFill>
              </w:rPr>
              <w:t>有毒有害烟尘和恶臭气体的物质</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排放、无</w:t>
            </w:r>
            <w:r>
              <w:rPr>
                <w:rFonts w:hint="default" w:ascii="Times New Roman" w:hAnsi="Times New Roman" w:cs="Times New Roman" w:eastAsiaTheme="minorEastAsia"/>
                <w:color w:val="000000" w:themeColor="text1"/>
                <w:sz w:val="24"/>
                <w:highlight w:val="none"/>
                <w14:textFill>
                  <w14:solidFill>
                    <w14:schemeClr w14:val="tx1"/>
                  </w14:solidFill>
                </w14:textFill>
              </w:rPr>
              <w:t>黑烟等明显可视污染物的非道路移动柴油工程机械</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，运营期无大气污染物排放，仅在施工期有少量施工扬尘扩散，</w:t>
            </w:r>
            <w:r>
              <w:rPr>
                <w:rFonts w:hint="default" w:ascii="Times New Roman" w:hAnsi="Times New Roman" w:cs="Times New Roman" w:eastAsiaTheme="minorEastAsia"/>
                <w:color w:val="000000" w:themeColor="text1"/>
                <w:sz w:val="24"/>
                <w:highlight w:val="none"/>
                <w14:textFill>
                  <w14:solidFill>
                    <w14:schemeClr w14:val="tx1"/>
                  </w14:solidFill>
                </w14:textFill>
              </w:rPr>
              <w:t>可满足</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大气环境优先保护区管控要求及大气环境受体敏感重点管控区</w:t>
            </w:r>
            <w:r>
              <w:rPr>
                <w:rFonts w:hint="default" w:ascii="Times New Roman" w:hAnsi="Times New Roman" w:cs="Times New Roman" w:eastAsiaTheme="minorEastAsia"/>
                <w:color w:val="000000" w:themeColor="text1"/>
                <w:sz w:val="24"/>
                <w:highlight w:val="none"/>
                <w14:textFill>
                  <w14:solidFill>
                    <w14:schemeClr w14:val="tx1"/>
                  </w14:solidFill>
                </w14:textFill>
              </w:rPr>
              <w:t>管控要求。</w:t>
            </w:r>
          </w:p>
          <w:p w14:paraId="01EC69E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②水环境质量底线及分区管控符合性分析</w:t>
            </w:r>
          </w:p>
          <w:p w14:paraId="53F832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本项目为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，不属于</w: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在饮用水水源一级保护区内新建、改建、扩建与供水设施和保护水源无关的建设项目及不属于对水体污染严重的建设项目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。同时项目确保河湖面积不减少、生态功能不退化。本</w:t>
            </w:r>
            <w:r>
              <w:rPr>
                <w:rFonts w:hint="default" w:ascii="Times New Roman" w:hAnsi="Times New Roman" w:cs="Times New Roman" w:eastAsiaTheme="minorEastAsia"/>
                <w:color w:val="000000" w:themeColor="text1"/>
                <w:sz w:val="24"/>
                <w:highlight w:val="none"/>
                <w14:textFill>
                  <w14:solidFill>
                    <w14:schemeClr w14:val="tx1"/>
                  </w14:solidFill>
                </w14:textFill>
              </w:rPr>
              <w:t>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废水只在施工期产生设备清洗废水，设置沉淀池沉淀后，用于场地洒水抑尘、车辆冲洗等，不外排，因此本项目符合水环境优先保护区及</w:t>
            </w:r>
            <w:r>
              <w:rPr>
                <w:rFonts w:hint="default" w:ascii="Times New Roman" w:hAnsi="Times New Roman" w:cs="Times New Roman" w:eastAsiaTheme="minorEastAsia"/>
                <w:color w:val="000000" w:themeColor="text1"/>
                <w:sz w:val="24"/>
                <w:highlight w:val="none"/>
                <w14:textFill>
                  <w14:solidFill>
                    <w14:schemeClr w14:val="tx1"/>
                  </w14:solidFill>
                </w14:textFill>
              </w:rPr>
              <w:t>水环境一般管控区</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管控要求。</w:t>
            </w:r>
          </w:p>
          <w:p w14:paraId="28FE813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③土壤环境质量底线及分区管控符合性分析</w:t>
            </w:r>
          </w:p>
          <w:p w14:paraId="7D602AB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，不排放重点污染物，</w:t>
            </w:r>
            <w:r>
              <w:rPr>
                <w:rFonts w:hint="default" w:ascii="Times New Roman" w:hAnsi="Times New Roman" w:cs="Times New Roman" w:eastAsiaTheme="minorEastAsia"/>
                <w:color w:val="000000" w:themeColor="text1"/>
                <w:sz w:val="24"/>
                <w:highlight w:val="none"/>
                <w14:textFill>
                  <w14:solidFill>
                    <w14:schemeClr w14:val="tx1"/>
                  </w14:solidFill>
                </w14:textFill>
              </w:rPr>
              <w:t>不存在土壤、地下水污染途径。项目根据《建设项目环境影响报告表编制技术指南（</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生态</w:t>
            </w:r>
            <w:r>
              <w:rPr>
                <w:rFonts w:hint="default" w:ascii="Times New Roman" w:hAnsi="Times New Roman" w:cs="Times New Roman" w:eastAsiaTheme="minorEastAsia"/>
                <w:color w:val="000000" w:themeColor="text1"/>
                <w:sz w:val="24"/>
                <w:highlight w:val="none"/>
                <w14:textFill>
                  <w14:solidFill>
                    <w14:schemeClr w14:val="tx1"/>
                  </w14:solidFill>
                </w14:textFill>
              </w:rPr>
              <w:t>影响类）》（试行），不开展土壤环境质量现状评价。因此，符合其相关管控要求。</w:t>
            </w:r>
          </w:p>
          <w:p w14:paraId="65B7EF0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本项目产生的环境影响经防治措施治理后，能保障基本环境质量要求的安全线。总体来看，项目符合环境质量底线要求。</w:t>
            </w:r>
          </w:p>
          <w:p w14:paraId="0CB05FD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⑶资源利用上限符合性分析</w:t>
            </w:r>
          </w:p>
          <w:p w14:paraId="170A68B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本项目占用的资源包括：土地、水、电等资源，经分析，项目占用的资源相较于区域资源利用上线的比重很小，符合资源利用上线的要求。</w:t>
            </w:r>
          </w:p>
          <w:p w14:paraId="10FD2C2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⑷环境准入清单符合性分析</w:t>
            </w:r>
          </w:p>
          <w:p w14:paraId="4FB8BC6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评价范围内不涉及生态红线保护区域，不属于禁止开发建设活动、限制开发建设活动、不符合空间布局要求活动的范围内，符合单元有关空间布局约束、污染物排放管控、环境风险防控、资源开发效率要求等相关管控要求，符合生态环境准入清单要求。</w:t>
            </w:r>
          </w:p>
          <w:p w14:paraId="41CE249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综上所述，本项目的建设符合“三线一单”控制条件要求。</w:t>
            </w:r>
          </w:p>
          <w:p w14:paraId="40CC9006">
            <w:pPr>
              <w:pStyle w:val="217"/>
              <w:keepNext w:val="0"/>
              <w:keepLines w:val="0"/>
              <w:suppressLineNumbers w:val="0"/>
              <w:spacing w:before="0" w:beforeAutospacing="0" w:after="0" w:afterAutospacing="0"/>
              <w:ind w:left="0" w:right="0" w:firstLine="482"/>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Cs w:val="21"/>
                <w:lang w:val="en-US"/>
                <w14:textFill>
                  <w14:solidFill>
                    <w14:schemeClr w14:val="tx1"/>
                  </w14:solidFill>
                </w14:textFill>
              </w:rPr>
              <w:t>与</w:t>
            </w:r>
            <w:r>
              <w:rPr>
                <w:rFonts w:hint="eastAsia" w:cs="Times New Roman"/>
                <w:color w:val="000000" w:themeColor="text1"/>
                <w:szCs w:val="21"/>
                <w:lang w:val="en-US" w:eastAsia="zh-CN"/>
                <w14:textFill>
                  <w14:solidFill>
                    <w14:schemeClr w14:val="tx1"/>
                  </w14:solidFill>
                </w14:textFill>
              </w:rPr>
              <w:t>霍山</w:t>
            </w:r>
            <w:r>
              <w:rPr>
                <w:rFonts w:hint="default" w:ascii="Times New Roman" w:hAnsi="Times New Roman" w:cs="Times New Roman"/>
                <w:color w:val="000000" w:themeColor="text1"/>
                <w:szCs w:val="21"/>
                <w:lang w:val="en-US"/>
                <w14:textFill>
                  <w14:solidFill>
                    <w14:schemeClr w14:val="tx1"/>
                  </w14:solidFill>
                </w14:textFill>
              </w:rPr>
              <w:t>县“三区三线”划定成果相符性分析</w:t>
            </w:r>
          </w:p>
          <w:p w14:paraId="0D43462B">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“三区三线”：“三区”是指城镇空间、农业空间、生态空间。“三线”是指城镇开发边界、永久基本农田、生态保护红线。依据</w:t>
            </w:r>
            <w:r>
              <w:rPr>
                <w:rFonts w:hint="eastAsia" w:ascii="Times New Roman" w:hAnsi="Times New Roman" w:cs="Times New Roman"/>
                <w:color w:val="000000" w:themeColor="text1"/>
                <w:szCs w:val="21"/>
                <w:lang w:val="en-US" w:eastAsia="zh-CN"/>
                <w14:textFill>
                  <w14:solidFill>
                    <w14:schemeClr w14:val="tx1"/>
                  </w14:solidFill>
                </w14:textFill>
              </w:rPr>
              <w:t>霍山</w:t>
            </w:r>
            <w:r>
              <w:rPr>
                <w:rFonts w:hint="default" w:ascii="Times New Roman" w:hAnsi="Times New Roman" w:cs="Times New Roman"/>
                <w:color w:val="000000" w:themeColor="text1"/>
                <w:szCs w:val="21"/>
                <w:lang w:val="en-US"/>
                <w14:textFill>
                  <w14:solidFill>
                    <w14:schemeClr w14:val="tx1"/>
                  </w14:solidFill>
                </w14:textFill>
              </w:rPr>
              <w:t>县“三区三线”划定成果相关内容，“三区三线”是按照耕地和永久基本农田、生态保护红线、城镇开发边界的优先顺序，在国土空间规划中统筹划定落实三条控制线，做到现状耕地应保尽保、用划尽划，确保三条控制线不交叉、不重叠、不冲突。其中：</w:t>
            </w:r>
          </w:p>
          <w:p w14:paraId="32D943C8">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永久基本农田需落实严格的耕地保护制度，保质保量划定永久基本农田，建立完善基本农田储备区，实施现有耕地提质改造，促进耕地规模化、集中化。</w:t>
            </w:r>
          </w:p>
          <w:p w14:paraId="014F5059">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生态保护红线需统筹考虑全县自然生态系统，划定全县生态保护红线。生态保护红线按照禁止建设区管理，坚持严格保护、分级管控、损害追责、违法严惩原则。</w:t>
            </w:r>
          </w:p>
          <w:p w14:paraId="2342E3C5">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城镇开发边界需基于国土空间开发适宜性评价及资源环境承载力评价，避让永久基本农田和生态保护红线，划定城镇开发边界。城镇开发边界外建设用地有序腾退，不得进行城镇集中建设。</w:t>
            </w:r>
          </w:p>
          <w:p w14:paraId="4AE1D49C">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14:textFill>
                  <w14:solidFill>
                    <w14:schemeClr w14:val="tx1"/>
                  </w14:solidFill>
                </w14:textFill>
              </w:rPr>
              <w:t>本</w:t>
            </w:r>
            <w:r>
              <w:rPr>
                <w:rFonts w:hint="default" w:ascii="Times New Roman" w:hAnsi="Times New Roman" w:cs="Times New Roman"/>
                <w:color w:val="000000" w:themeColor="text1"/>
                <w:szCs w:val="21"/>
                <w:highlight w:val="none"/>
                <w:lang w:val="en-US" w:eastAsia="zh-CN"/>
                <w14:textFill>
                  <w14:solidFill>
                    <w14:schemeClr w14:val="tx1"/>
                  </w14:solidFill>
                </w14:textFill>
              </w:rPr>
              <w:t>项目</w:t>
            </w:r>
            <w:r>
              <w:rPr>
                <w:rFonts w:hint="default" w:ascii="Times New Roman" w:hAnsi="Times New Roman" w:cs="Times New Roman"/>
                <w:color w:val="000000" w:themeColor="text1"/>
                <w:szCs w:val="21"/>
                <w:highlight w:val="none"/>
                <w:lang w:val="en-US"/>
                <w14:textFill>
                  <w14:solidFill>
                    <w14:schemeClr w14:val="tx1"/>
                  </w14:solidFill>
                </w14:textFill>
              </w:rPr>
              <w:t>为六安市霍山县排水防涝能力提升项目</w:t>
            </w:r>
            <w:r>
              <w:rPr>
                <w:rFonts w:hint="default" w:ascii="Times New Roman" w:hAnsi="Times New Roman" w:cs="Times New Roman"/>
                <w:color w:val="000000" w:themeColor="text1"/>
                <w:szCs w:val="21"/>
                <w:highlight w:val="none"/>
                <w:lang w:val="en-US" w:eastAsia="zh-CN"/>
                <w14:textFill>
                  <w14:solidFill>
                    <w14:schemeClr w14:val="tx1"/>
                  </w14:solidFill>
                </w14:textFill>
              </w:rPr>
              <w:t>，通过区域排涝工程建设，解决区域排涝能力不足、排水沟渠不成系统的问题，保障区域工农业生产及人民群众的生命财产安全，促进霍山县经济发展。</w:t>
            </w:r>
            <w:r>
              <w:rPr>
                <w:rFonts w:hint="eastAsia" w:ascii="Times New Roman" w:hAnsi="Times New Roman" w:cs="Times New Roman"/>
                <w:color w:val="000000" w:themeColor="text1"/>
                <w:szCs w:val="21"/>
                <w:highlight w:val="none"/>
                <w:lang w:val="en-US" w:eastAsia="zh-CN"/>
                <w14:textFill>
                  <w14:solidFill>
                    <w14:schemeClr w14:val="tx1"/>
                  </w14:solidFill>
                </w14:textFill>
              </w:rPr>
              <w:t>项目</w:t>
            </w:r>
            <w:r>
              <w:rPr>
                <w:rFonts w:hint="default" w:ascii="Times New Roman" w:hAnsi="Times New Roman" w:cs="Times New Roman"/>
                <w:color w:val="000000" w:themeColor="text1"/>
                <w:szCs w:val="21"/>
                <w:highlight w:val="none"/>
                <w:lang w:val="en-US"/>
                <w14:textFill>
                  <w14:solidFill>
                    <w14:schemeClr w14:val="tx1"/>
                  </w14:solidFill>
                </w14:textFill>
              </w:rPr>
              <w:t>所在场址用地主要为水域及水利设施用地，经套合部质检通过的“三区三线”划定成果，项目用地部分位于城镇开发边界内，不涉及占用永久基本农田，不涉及生态保护红线，符合现行规划管控规则。三区三线</w:t>
            </w:r>
            <w:r>
              <w:rPr>
                <w:rFonts w:hint="eastAsia" w:ascii="Times New Roman" w:hAnsi="Times New Roman" w:cs="Times New Roman"/>
                <w:color w:val="000000" w:themeColor="text1"/>
                <w:szCs w:val="21"/>
                <w:highlight w:val="none"/>
                <w:lang w:val="en-US" w:eastAsia="zh-CN"/>
                <w14:textFill>
                  <w14:solidFill>
                    <w14:schemeClr w14:val="tx1"/>
                  </w14:solidFill>
                </w14:textFill>
              </w:rPr>
              <w:t>套合图</w:t>
            </w:r>
            <w:r>
              <w:rPr>
                <w:rFonts w:hint="eastAsia" w:ascii="Times New Roman" w:hAnsi="Times New Roman" w:cs="Times New Roman"/>
                <w:color w:val="000000" w:themeColor="text1"/>
                <w:szCs w:val="21"/>
                <w:lang w:val="en-US" w:eastAsia="zh-CN"/>
                <w14:textFill>
                  <w14:solidFill>
                    <w14:schemeClr w14:val="tx1"/>
                  </w14:solidFill>
                </w14:textFill>
              </w:rPr>
              <w:t>见附图。</w:t>
            </w:r>
          </w:p>
          <w:p w14:paraId="7F365DB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eastAsia" w:cs="Times New Roman" w:eastAsiaTheme="minorEastAsia"/>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、与《水利建设项目（河湖整治与河湖整治工程）环境影响评价文件审批原则》符合性分析</w:t>
            </w:r>
          </w:p>
          <w:p w14:paraId="33DD7E6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表1-</w:t>
            </w:r>
            <w:r>
              <w:rPr>
                <w:rFonts w:hint="eastAsia" w:cs="Times New Roman" w:eastAsiaTheme="minorEastAsia"/>
                <w:b/>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highlight w:val="none"/>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相符性分析</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3176"/>
            </w:tblGrid>
            <w:tr w14:paraId="20B4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17470D48">
                  <w:pPr>
                    <w:keepNext w:val="0"/>
                    <w:keepLines w:val="0"/>
                    <w:pageBreakBefore w:val="0"/>
                    <w:widowControl w:val="0"/>
                    <w:suppressLineNumbers w:val="0"/>
                    <w:spacing w:before="0" w:beforeAutospacing="0" w:after="0" w:afterAutospacing="0" w:line="240" w:lineRule="auto"/>
                    <w:ind w:left="0" w:right="0" w:firstLine="0"/>
                    <w:jc w:val="center"/>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t>审批原则</w:t>
                  </w:r>
                </w:p>
              </w:tc>
              <w:tc>
                <w:tcPr>
                  <w:tcW w:w="3176" w:type="dxa"/>
                  <w:noWrap w:val="0"/>
                  <w:vAlign w:val="center"/>
                </w:tcPr>
                <w:p w14:paraId="331C77DE">
                  <w:pPr>
                    <w:keepNext w:val="0"/>
                    <w:keepLines w:val="0"/>
                    <w:pageBreakBefore w:val="0"/>
                    <w:widowControl w:val="0"/>
                    <w:suppressLineNumbers w:val="0"/>
                    <w:spacing w:before="0" w:beforeAutospacing="0" w:after="0" w:afterAutospacing="0" w:line="240" w:lineRule="auto"/>
                    <w:ind w:left="0" w:right="0" w:firstLine="0"/>
                    <w:jc w:val="center"/>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t>本项目</w:t>
                  </w:r>
                </w:p>
              </w:tc>
            </w:tr>
            <w:tr w14:paraId="327F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653BC72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项目符合环境保护相关法律法规和政策要求，与主体功能区规划、生态功能区划、水环境功能区划、水功能区划、生态环境保护规划、流域综合规划、防洪规划等协调，满足相关规划环评要求。</w:t>
                  </w:r>
                </w:p>
              </w:tc>
              <w:tc>
                <w:tcPr>
                  <w:tcW w:w="3176" w:type="dxa"/>
                  <w:noWrap w:val="0"/>
                  <w:vAlign w:val="center"/>
                </w:tcPr>
                <w:p w14:paraId="4D89B6A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本项目符合环境保护相关法律法规和政策要求，符合</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六安市</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生态管控</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要求</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6996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0DCA0C0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3176" w:type="dxa"/>
                  <w:noWrap w:val="0"/>
                  <w:vAlign w:val="center"/>
                </w:tcPr>
                <w:p w14:paraId="47CFEA3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本项目不占用自然保护区、风景名胜区、世界文化和自然遗产地以及其他生态保护红线等环境敏感区中法律法规禁止占用的区域。</w:t>
                  </w:r>
                </w:p>
              </w:tc>
            </w:tr>
            <w:tr w14:paraId="3425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4FE5F4C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项目实施改变水动力条件或水文过程且对水质产生不利影响的，提出了工程优化调整、科学调度、实施区域流域水污染防治等措施。对地下水环境产生不利影响或次生影响的，提出了优化工程设计、导排、防护等针对性的防治措施。在采取上述措施后，对水环境的不利影响能够得到缓解和控制，居民用水安全能够得到保障，相关区域不会出现显著的土壤潜育化、沼泽化、盐碱化等次生问题</w:t>
                  </w:r>
                </w:p>
              </w:tc>
              <w:tc>
                <w:tcPr>
                  <w:tcW w:w="3176" w:type="dxa"/>
                  <w:noWrap w:val="0"/>
                  <w:vAlign w:val="center"/>
                </w:tcPr>
                <w:p w14:paraId="701F446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施工过程中会对水环境产生一定的不利影响，本环评提出了相应的施工期水污染防治措施，在施工结束后，施工不利影响消失，项目的实施有利于提高河流水质和防洪减灾能力；本项目建设基本不会对地下水产生影响。项目严格执行各项污染防治措施，减少对水环境的影响；项目建成后有利于防洪能力的提升、水环境和生态环境的改善。</w:t>
                  </w:r>
                </w:p>
              </w:tc>
            </w:tr>
            <w:tr w14:paraId="3695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1F19007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项目施工组织方案具有环境合理性，对料场、弃土(渣)场等施工场地提出了水士流失防治和生态修复等措施。根据环境保护相关标准和要求，对施工期各类废(污)水、扬尘、废气、噪声、固体废物等提出子防治或处置措施。其中，涉水施工涉及饮用水水源保护区或取水口并可能对水质造成不利影响的，提出了避让、施工方案优化、污染物控制等措施</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涉水施工对鱼类等水生生物及其重要生境造成不利影响的，提出了避让、施工方案优化、控制施工噪声等措施</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针对清淤、疏浚等产生的淤泥，提出了符合相关规定的处置或综合利用方案。在采取上述措施后，施工期的不利环境影响能够得到缓解和控制，不会对周围环境和敏感保护目标造成重大不利影响。</w:t>
                  </w:r>
                </w:p>
              </w:tc>
              <w:tc>
                <w:tcPr>
                  <w:tcW w:w="3176" w:type="dxa"/>
                  <w:noWrap w:val="0"/>
                  <w:vAlign w:val="center"/>
                </w:tcPr>
                <w:p w14:paraId="2D5E6B9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对工程区提出了水土流失防治措施和生态修复等措施；并根据环保要求，对废水、废气、噪声、固废等均提出了防治或处置措施。</w:t>
                  </w:r>
                </w:p>
                <w:p w14:paraId="2778DF2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r>
            <w:tr w14:paraId="614C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17040A2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3176" w:type="dxa"/>
                  <w:noWrap w:val="0"/>
                  <w:vAlign w:val="center"/>
                </w:tcPr>
                <w:p w14:paraId="74046AF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已按要求编制相关监测计划、保护措施、管理要求。</w:t>
                  </w:r>
                </w:p>
                <w:p w14:paraId="32702AD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r>
            <w:tr w14:paraId="4039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35E239A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环境影响评价文件编制规范，符合相关管理规定和环评技术标准要求。</w:t>
                  </w:r>
                </w:p>
              </w:tc>
              <w:tc>
                <w:tcPr>
                  <w:tcW w:w="3176" w:type="dxa"/>
                  <w:noWrap w:val="0"/>
                  <w:vAlign w:val="center"/>
                </w:tcPr>
                <w:p w14:paraId="39CF63E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已按环境影响评价文件编制，符合相关管理规定和环境技术标准要求。</w:t>
                  </w:r>
                </w:p>
              </w:tc>
            </w:tr>
          </w:tbl>
          <w:p w14:paraId="4248956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5E8154EE">
            <w:pPr>
              <w:pStyle w:val="6"/>
              <w:suppressLineNumbers w:val="0"/>
              <w:ind w:left="0" w:right="0"/>
              <w:rPr>
                <w:rFonts w:hint="default"/>
                <w:color w:val="000000" w:themeColor="text1"/>
                <w14:textFill>
                  <w14:solidFill>
                    <w14:schemeClr w14:val="tx1"/>
                  </w14:solidFill>
                </w14:textFill>
              </w:rPr>
            </w:pPr>
          </w:p>
          <w:p w14:paraId="53D8581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B7004F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504D3D0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7B69CC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6CC174D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672C204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A755E1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141D1D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36C16D3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9F37654">
            <w:pPr>
              <w:pStyle w:val="6"/>
              <w:suppressLineNumbers w:val="0"/>
              <w:ind w:left="0" w:right="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5E3D63D">
            <w:pPr>
              <w:pStyle w:val="6"/>
              <w:suppressLineNumbers w:val="0"/>
              <w:ind w:left="0" w:right="0" w:firstLine="0"/>
              <w:rPr>
                <w:rFonts w:hint="default"/>
                <w:color w:val="000000" w:themeColor="text1"/>
                <w14:textFill>
                  <w14:solidFill>
                    <w14:schemeClr w14:val="tx1"/>
                  </w14:solidFill>
                </w14:textFill>
              </w:rPr>
            </w:pPr>
          </w:p>
          <w:p w14:paraId="016EBB4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p>
          <w:bookmarkEnd w:id="4"/>
          <w:p w14:paraId="7742FB88">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cs="Times New Roman" w:eastAsiaTheme="minorEastAsia"/>
                <w:color w:val="000000" w:themeColor="text1"/>
                <w:sz w:val="24"/>
                <w:highlight w:val="none"/>
                <w14:textFill>
                  <w14:solidFill>
                    <w14:schemeClr w14:val="tx1"/>
                  </w14:solidFill>
                </w14:textFill>
              </w:rPr>
            </w:pPr>
          </w:p>
        </w:tc>
      </w:tr>
    </w:tbl>
    <w:p w14:paraId="0307F17B">
      <w:pPr>
        <w:pageBreakBefore w:val="0"/>
        <w:spacing w:beforeAutospacing="0" w:afterAutospacing="0" w:line="360" w:lineRule="auto"/>
        <w:ind w:left="0" w:right="0"/>
        <w:outlineLvl w:val="0"/>
        <w:rPr>
          <w:rFonts w:hint="default" w:ascii="Times New Roman" w:hAnsi="Times New Roman" w:cs="Times New Roman" w:eastAsiaTheme="minorEastAsia"/>
          <w:color w:val="000000" w:themeColor="text1"/>
          <w:sz w:val="30"/>
          <w14:textFill>
            <w14:solidFill>
              <w14:schemeClr w14:val="tx1"/>
            </w14:solidFill>
          </w14:textFill>
        </w:rPr>
        <w:sectPr>
          <w:footerReference r:id="rId5" w:type="default"/>
          <w:pgSz w:w="11906" w:h="16838" w:orient="landscape"/>
          <w:pgMar w:top="1417" w:right="1417" w:bottom="1417" w:left="1417" w:header="851" w:footer="1077" w:gutter="0"/>
          <w:pgNumType w:start="1"/>
          <w:cols w:space="0" w:num="1"/>
        </w:sectPr>
      </w:pPr>
    </w:p>
    <w:p w14:paraId="71F45D7A">
      <w:pPr>
        <w:keepNext w:val="0"/>
        <w:keepLines w:val="0"/>
        <w:pageBreakBefore w:val="0"/>
        <w:widowControl/>
        <w:spacing w:before="313" w:beforeAutospacing="0" w:after="313" w:afterAutospacing="0" w:line="360" w:lineRule="auto"/>
        <w:ind w:left="0" w:right="0" w:firstLine="0"/>
        <w:jc w:val="center"/>
        <w:outlineLvl w:val="0"/>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t>二、建设内容</w:t>
      </w:r>
    </w:p>
    <w:tbl>
      <w:tblPr>
        <w:tblStyle w:val="39"/>
        <w:tblW w:w="90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297"/>
      </w:tblGrid>
      <w:tr w14:paraId="17878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noWrap w:val="0"/>
            <w:vAlign w:val="center"/>
          </w:tcPr>
          <w:p w14:paraId="6D3BA51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地理位置</w:t>
            </w:r>
          </w:p>
        </w:tc>
        <w:tc>
          <w:tcPr>
            <w:tcW w:w="8297" w:type="dxa"/>
            <w:noWrap w:val="0"/>
            <w:vAlign w:val="center"/>
          </w:tcPr>
          <w:p w14:paraId="1F29C0B9">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本项目主要工程建设内容为：</w:t>
            </w:r>
            <w:r>
              <w:rPr>
                <w:rFonts w:hint="default" w:ascii="Times New Roman" w:hAnsi="Times New Roman" w:cs="Times New Roman" w:eastAsiaTheme="minorEastAsia"/>
                <w:color w:val="000000" w:themeColor="text1"/>
                <w:sz w:val="24"/>
                <w:szCs w:val="24"/>
                <w14:textFill>
                  <w14:solidFill>
                    <w14:schemeClr w14:val="tx1"/>
                  </w14:solidFill>
                </w14:textFill>
              </w:rPr>
              <w:t>新建排水管网30.8k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；增设西部新城排涝泵站1座，改造排涝沟11.49k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；整治城区柳林河、幽芳河、高庙河、新店河四条排涝通道总长25.62k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。工程投资估算</w:t>
            </w:r>
            <w:r>
              <w:rPr>
                <w:rFonts w:hint="eastAsia" w:cs="Times New Roman" w:eastAsiaTheme="minorEastAsia"/>
                <w:color w:val="000000" w:themeColor="text1"/>
                <w:sz w:val="24"/>
                <w:szCs w:val="24"/>
                <w:lang w:eastAsia="zh-CN"/>
                <w14:textFill>
                  <w14:solidFill>
                    <w14:schemeClr w14:val="tx1"/>
                  </w14:solidFill>
                </w14:textFill>
              </w:rPr>
              <w:t>39550.68</w:t>
            </w:r>
            <w:r>
              <w:rPr>
                <w:rFonts w:hint="default" w:ascii="Times New Roman" w:hAnsi="Times New Roman" w:cs="Times New Roman" w:eastAsiaTheme="minorEastAsia"/>
                <w:color w:val="000000" w:themeColor="text1"/>
                <w:sz w:val="24"/>
                <w:szCs w:val="24"/>
                <w14:textFill>
                  <w14:solidFill>
                    <w14:schemeClr w14:val="tx1"/>
                  </w14:solidFill>
                </w14:textFill>
              </w:rPr>
              <w:t>万元</w:t>
            </w: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w:t>
            </w:r>
          </w:p>
          <w:p w14:paraId="10265FC4">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1、区域排涝能力提升工程</w:t>
            </w:r>
          </w:p>
          <w:p w14:paraId="064A331E">
            <w:pPr>
              <w:keepNext w:val="0"/>
              <w:keepLines w:val="0"/>
              <w:pageBreakBefore w:val="0"/>
              <w:widowControl w:val="0"/>
              <w:suppressLineNumbers w:val="0"/>
              <w:spacing w:before="0" w:beforeAutospacing="0" w:after="0" w:afterAutospacing="0" w:line="360" w:lineRule="auto"/>
              <w:ind w:left="0" w:right="0" w:firstLine="420"/>
              <w:jc w:val="both"/>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西部新城排涝站中心坐标：</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E</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116</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18</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31.186</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″，N</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31</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15.131</w:t>
            </w:r>
            <w:r>
              <w:rPr>
                <w:rFonts w:hint="default" w:ascii="Times New Roman" w:hAnsi="Times New Roman" w:cs="Times New Roman" w:eastAsiaTheme="minorEastAsia"/>
                <w:color w:val="000000" w:themeColor="text1"/>
                <w:sz w:val="21"/>
                <w:szCs w:val="21"/>
                <w:highlight w:val="none"/>
                <w:lang w:val="en-US"/>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p>
          <w:p w14:paraId="0DF374B2">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北侧边沟起止坐标：E116°16′40.070″，N31°25′4.925″~E116°18′40.888″，N315°257′184593″；</w:t>
            </w:r>
          </w:p>
          <w:p w14:paraId="3E7CA698">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六佛路排涝沟起止坐标：E116°16′16.785″</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N31°24′58.491″~E116°17′48.887″，N31°25′1.8190″；</w:t>
            </w:r>
          </w:p>
          <w:p w14:paraId="13AE4F36">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中心排涝沟起止坐标：E116°16′58.179″，N31°24′57.27051″~E116°18'27.952"，N31°25'12.580"；</w:t>
            </w:r>
          </w:p>
          <w:p w14:paraId="34958384">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项家院排涝沟起止坐标：E116°16'22.736"，N31°24'25.539"~E116°16'14.845"，N31°25'7.587"；</w:t>
            </w:r>
          </w:p>
          <w:p w14:paraId="73FAC929">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戴家河排涝片起止坐标：E116°16'0.616"，N31°25'39.869"~E116°16'24.676"，N31°26'45.088"；</w:t>
            </w:r>
          </w:p>
          <w:p w14:paraId="43EDE918">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2、城区排涝通道整治工程</w:t>
            </w:r>
          </w:p>
          <w:p w14:paraId="41AD7B4B">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高庙河排涝通道整治起止坐标：E116°23'26.134"，N31°21'52.919"~E116°20'35.772"，N31°25'33.130"；</w:t>
            </w:r>
          </w:p>
          <w:p w14:paraId="7EC9DE21">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柳林河排涝通道整治起止坐标：E116°19'26.049"，N31°22'3.630"~E116°18'43.879"，N31°25'15.159"；</w:t>
            </w:r>
          </w:p>
          <w:p w14:paraId="54C2E9AE">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新店河排涝通道整治起止坐标：E116°14'46.822"，N31°26'1.601"~E116°15'58.873"，N31°25'51.673"；</w:t>
            </w:r>
          </w:p>
          <w:p w14:paraId="18B72D80">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幽芳河排涝通道整治起止坐标：E116°21'02.3323"，N31°21'44.1372"~E116°20'42.3393"，N31°24'33.0139"；</w:t>
            </w:r>
          </w:p>
          <w:p w14:paraId="4CBEBD74">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3、排水管网改造工程</w:t>
            </w:r>
          </w:p>
          <w:p w14:paraId="4C32C967">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幽芳河片区排水管网改造起止坐标：E116°21'33.323"，N31°22'4.148"~E116°21'5.706"，N31°24'52.768"；</w:t>
            </w:r>
          </w:p>
          <w:p w14:paraId="174A7A03">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柳林河片区排水管网改造起止坐标：E116°19'26.049"，N31°22'3.630"~E116°18'43.879"，N31°25'15.159"；</w:t>
            </w:r>
          </w:p>
          <w:p w14:paraId="28FC6B17">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南岳花都片排水管网新建工程</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中心坐标：E116°20'15.6874"</w:t>
            </w:r>
            <w:r>
              <w:rPr>
                <w:rFonts w:hint="eastAsia"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N31°23'32.2231"；</w:t>
            </w:r>
          </w:p>
          <w:p w14:paraId="321E87F2">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cs="Times New Roman" w:eastAsiaTheme="minorEastAsia"/>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衡山工业园片排水管网新建工程中心坐标：E116°18'35.4608"</w:t>
            </w:r>
            <w:r>
              <w:rPr>
                <w:rFonts w:hint="eastAsia" w:cs="Times New Roman" w:eastAsiaTheme="minorEastAsia"/>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N31°24'43.0653"。</w:t>
            </w:r>
          </w:p>
        </w:tc>
      </w:tr>
      <w:tr w14:paraId="422B0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noWrap w:val="0"/>
            <w:vAlign w:val="center"/>
          </w:tcPr>
          <w:p w14:paraId="11B8363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项目组成及规模</w:t>
            </w:r>
          </w:p>
        </w:tc>
        <w:tc>
          <w:tcPr>
            <w:tcW w:w="8297" w:type="dxa"/>
            <w:tcBorders>
              <w:right w:val="single" w:color="auto" w:sz="4" w:space="0"/>
            </w:tcBorders>
            <w:noWrap w:val="0"/>
            <w:vAlign w:val="center"/>
          </w:tcPr>
          <w:p w14:paraId="7D005D4A">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1、项目建设背景</w:t>
            </w:r>
          </w:p>
          <w:p w14:paraId="5B381F1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霍山县地处大别山区，城区多山地丘陵地貌，地势起伏大。这种地形特点导致了降雨汇流速度快，短时强降水极易形成地面径流涌向低洼地带，引发内涝。霍山县城现状排水防涝标准低，防洪、除涝问题突出，历史上多次严重内涝灾害事件暴露了现有系统的脆弱性和不足。</w:t>
            </w:r>
          </w:p>
          <w:p w14:paraId="5E9FE0D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霍山县西部新城（柳林河西片区）为低洼圩区，圩堤由东淠河、柳林河、淠源渠堤防组成，区内现状无抽排泵站，现状排涝涵闸遇外河水位较高时无法有效排除区内积水，导致民房受淹、交通中断、财产损失等问题，存在极大安全隐患。</w:t>
            </w:r>
          </w:p>
          <w:p w14:paraId="249468A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霍山县城北侧为东淠河，南侧为大别山区，虽近年来实施了淠源渠等优质工程切实减缓了南侧山区汇水引起的洪涝灾害，但城区排涝通道包括高庙河、柳林河、新店河等河道未进行系统治理，存在堤防不达标、护岸损毁、管理设施不健全、建筑物损毁严重等工程问题，排涝通道未能发挥作用，仍存在加大安全隐患。</w:t>
            </w:r>
          </w:p>
          <w:p w14:paraId="1125CDD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霍山县城沿河管网建设年代久远、标准偏低：部分老城区或早期建成区域的排水管网设计标准较低，管径偏小、坡度不合理，难以应对当前高强度、短历时的强降雨系统存在短板与瓶颈。部分区域管网覆盖率不足、老化、淤积堵塞现象严重，降低了排水效率。雨水收集系统不完善，泵站提升能力不足，行泄通道（河道、沟渠等）过流能力受限或行洪空间被挤占。原有的设计标准已不能有效满足当前和未来的防洪排涝需求。</w:t>
            </w:r>
          </w:p>
          <w:p w14:paraId="067BCC4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随着霍山县城镇化的快速推进，城区规模扩大，建筑密度和道路硬化率提高，导致城市下垫面的自然渗水能力大幅降低，地表径流量显著增加，对排水系统带来更大压力，同样量级暴雨洪水造成的洪涝灾害损失将更加巨大，洪涝灾害是制约霍山县经济健康快速发展的主要因素之一。因此，霍山县政府和有关部门十分重视霍山县的排水防涝工作，霍山县总体规划、城市防洪规划等规划都将防洪排涝规划列为重要内容，并视为城镇发展中急需优先解决的问题之一。</w:t>
            </w:r>
          </w:p>
          <w:p w14:paraId="211A25C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六安市霍山县县城，积极贯彻落实国家和省市关于提升城市防洪排涝能力的决策部署和政策要求。项目旨在系统提升霍山县城区排水防涝能力，适应城镇化快速发展带来的更高排水防涝需求。通过系统性、现代化的工程建设，增强城区抵御暴雨、应对极端天气事件的韧性，保障人民生命财产安全和经济社会可持续发展。</w:t>
            </w:r>
          </w:p>
          <w:p w14:paraId="27C4AFD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w:t>
            </w:r>
            <w:r>
              <w:rPr>
                <w:rFonts w:hint="eastAsia" w:cs="Times New Roman"/>
                <w:color w:val="000000" w:themeColor="text1"/>
                <w:lang w:eastAsia="zh-CN"/>
                <w14:textFill>
                  <w14:solidFill>
                    <w14:schemeClr w14:val="tx1"/>
                  </w14:solidFill>
                </w14:textFill>
              </w:rPr>
              <w:t>关于</w:t>
            </w:r>
            <w:r>
              <w:rPr>
                <w:rFonts w:hint="default" w:ascii="Times New Roman" w:hAnsi="Times New Roman" w:eastAsia="宋体" w:cs="Times New Roman"/>
                <w:color w:val="000000" w:themeColor="text1"/>
                <w:lang w:eastAsia="zh-CN"/>
                <w14:textFill>
                  <w14:solidFill>
                    <w14:schemeClr w14:val="tx1"/>
                  </w14:solidFill>
                </w14:textFill>
              </w:rPr>
              <w:t>六安市霍山县排水防涝能力提升项目可行性研究报告</w:t>
            </w:r>
            <w:r>
              <w:rPr>
                <w:rFonts w:hint="eastAsia" w:cs="Times New Roman"/>
                <w:color w:val="000000" w:themeColor="text1"/>
                <w:lang w:eastAsia="zh-CN"/>
                <w14:textFill>
                  <w14:solidFill>
                    <w14:schemeClr w14:val="tx1"/>
                  </w14:solidFill>
                </w14:textFill>
              </w:rPr>
              <w:t>的批复</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可行</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主要工程建设内容及投资：新建排水管网30.80公里，其中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幽芳河及柳林河片排水管网长19.34公里，南岳花都片排水管网长0.46公里，衡山工业园片排水管网长11.00公里，配套建设检查井及提升泵站</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迎驾厂排涝片新建西部新城排涝泵站1座，排涝面积5.3平方公里，配套改造区内排涝沟总长10.07公里</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戴家河排涝片改造排涝沟总长1.43公里，配套建设穿堤路涵</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整治四条排涝通道，总长度25.62公里，其中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幽芳河排涝通道长6.36公里，高庙河排涝通道长5.65公里，柳林河排涝通道长11</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10公里，新店河排涝通道长2.51公里，主要内容为清淤疏浚、新建加固护坡护岸等。工程投资估算</w:t>
            </w:r>
            <w:r>
              <w:rPr>
                <w:rFonts w:hint="eastAsia" w:cs="Times New Roman"/>
                <w:color w:val="000000" w:themeColor="text1"/>
                <w:lang w:eastAsia="zh-CN"/>
                <w14:textFill>
                  <w14:solidFill>
                    <w14:schemeClr w14:val="tx1"/>
                  </w14:solidFill>
                </w14:textFill>
              </w:rPr>
              <w:t>39550.68</w:t>
            </w:r>
            <w:r>
              <w:rPr>
                <w:rFonts w:hint="default" w:ascii="Times New Roman" w:hAnsi="Times New Roman" w:eastAsia="宋体" w:cs="Times New Roman"/>
                <w:color w:val="000000" w:themeColor="text1"/>
                <w14:textFill>
                  <w14:solidFill>
                    <w14:schemeClr w14:val="tx1"/>
                  </w14:solidFill>
                </w14:textFill>
              </w:rPr>
              <w:t>万元。</w:t>
            </w:r>
          </w:p>
          <w:p w14:paraId="03021A1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项目防洪保护人口约16万人，排涝方面治涝面积约1万亩，综合判定本工程等别为Ⅳ等。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对照《建设项目环境影响评价分类管理名录（2021年版）》的要求，本项目属于“五十一、水利-127防洪除涝工程中的其它”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五十二、交通运输业、管道运输业-146城市（镇）管网及管廊建设（不含给水管道；不含光纤；不含1.6兆帕及以下的天然气管道）中的其他</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，应编制环境影响报告表。</w:t>
            </w:r>
          </w:p>
          <w:p w14:paraId="6FFE742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具体情况详见下表：</w:t>
            </w:r>
          </w:p>
          <w:p w14:paraId="7B44505C">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表2-1  对照《建设项目环境影响评价分类管理名录（2021年版）》分析</w:t>
            </w:r>
          </w:p>
          <w:tbl>
            <w:tblPr>
              <w:tblStyle w:val="4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00"/>
              <w:gridCol w:w="772"/>
              <w:gridCol w:w="1905"/>
              <w:gridCol w:w="1065"/>
              <w:gridCol w:w="1944"/>
            </w:tblGrid>
            <w:tr w14:paraId="2778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51" w:type="dxa"/>
                  <w:gridSpan w:val="2"/>
                  <w:noWrap w:val="0"/>
                  <w:vAlign w:val="center"/>
                </w:tcPr>
                <w:p w14:paraId="2083590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p w14:paraId="784E521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项目类别</w:t>
                  </w:r>
                </w:p>
                <w:p w14:paraId="3DD40D7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环评类别</w:t>
                  </w:r>
                </w:p>
              </w:tc>
              <w:tc>
                <w:tcPr>
                  <w:tcW w:w="772" w:type="dxa"/>
                  <w:noWrap w:val="0"/>
                  <w:vAlign w:val="center"/>
                </w:tcPr>
                <w:p w14:paraId="1150777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报告书</w:t>
                  </w:r>
                </w:p>
              </w:tc>
              <w:tc>
                <w:tcPr>
                  <w:tcW w:w="1905" w:type="dxa"/>
                  <w:noWrap w:val="0"/>
                  <w:vAlign w:val="center"/>
                </w:tcPr>
                <w:p w14:paraId="75E3CE2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报告表</w:t>
                  </w:r>
                </w:p>
              </w:tc>
              <w:tc>
                <w:tcPr>
                  <w:tcW w:w="1065" w:type="dxa"/>
                  <w:noWrap w:val="0"/>
                  <w:vAlign w:val="center"/>
                </w:tcPr>
                <w:p w14:paraId="5EFB868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登记表</w:t>
                  </w:r>
                </w:p>
              </w:tc>
              <w:tc>
                <w:tcPr>
                  <w:tcW w:w="1944" w:type="dxa"/>
                  <w:noWrap w:val="0"/>
                  <w:vAlign w:val="center"/>
                </w:tcPr>
                <w:p w14:paraId="2543D58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环境敏感区含义</w:t>
                  </w:r>
                </w:p>
              </w:tc>
            </w:tr>
            <w:tr w14:paraId="699E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6"/>
                  <w:noWrap w:val="0"/>
                  <w:vAlign w:val="center"/>
                </w:tcPr>
                <w:p w14:paraId="53D3B2B4">
                  <w:pPr>
                    <w:keepNext w:val="0"/>
                    <w:keepLines w:val="0"/>
                    <w:pageBreakBefore w:val="0"/>
                    <w:widowControl w:val="0"/>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五十一、水利</w:t>
                  </w:r>
                </w:p>
              </w:tc>
            </w:tr>
            <w:tr w14:paraId="2C50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noWrap w:val="0"/>
                  <w:vAlign w:val="center"/>
                </w:tcPr>
                <w:p w14:paraId="3585971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127</w:t>
                  </w:r>
                </w:p>
              </w:tc>
              <w:tc>
                <w:tcPr>
                  <w:tcW w:w="1500" w:type="dxa"/>
                  <w:noWrap w:val="0"/>
                  <w:vAlign w:val="center"/>
                </w:tcPr>
                <w:p w14:paraId="6D4EFED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防洪除涝工程</w:t>
                  </w:r>
                </w:p>
              </w:tc>
              <w:tc>
                <w:tcPr>
                  <w:tcW w:w="772" w:type="dxa"/>
                  <w:noWrap w:val="0"/>
                  <w:vAlign w:val="center"/>
                </w:tcPr>
                <w:p w14:paraId="2DD49CF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新建大中型</w:t>
                  </w:r>
                </w:p>
              </w:tc>
              <w:tc>
                <w:tcPr>
                  <w:tcW w:w="1905" w:type="dxa"/>
                  <w:noWrap w:val="0"/>
                  <w:vAlign w:val="center"/>
                </w:tcPr>
                <w:p w14:paraId="0FD97A7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其他（小型沟渠的护坡除外；城镇排涝河流水闸、排涝泵站除外））</w:t>
                  </w:r>
                </w:p>
              </w:tc>
              <w:tc>
                <w:tcPr>
                  <w:tcW w:w="1065" w:type="dxa"/>
                  <w:noWrap w:val="0"/>
                  <w:vAlign w:val="center"/>
                </w:tcPr>
                <w:p w14:paraId="4F9FC5D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城镇排涝河流水闸、排涝泵站</w:t>
                  </w:r>
                </w:p>
              </w:tc>
              <w:tc>
                <w:tcPr>
                  <w:tcW w:w="1944" w:type="dxa"/>
                  <w:noWrap w:val="0"/>
                  <w:vAlign w:val="center"/>
                </w:tcPr>
                <w:p w14:paraId="678B309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487E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6"/>
                  <w:noWrap w:val="0"/>
                  <w:vAlign w:val="center"/>
                </w:tcPr>
                <w:p w14:paraId="5D007B7A">
                  <w:pPr>
                    <w:keepNext w:val="0"/>
                    <w:keepLines w:val="0"/>
                    <w:pageBreakBefore w:val="0"/>
                    <w:widowControl w:val="0"/>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五十二、交通运输业、管道运输业</w:t>
                  </w:r>
                </w:p>
              </w:tc>
            </w:tr>
            <w:tr w14:paraId="5246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noWrap w:val="0"/>
                  <w:vAlign w:val="center"/>
                </w:tcPr>
                <w:p w14:paraId="13CE3B8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146</w:t>
                  </w:r>
                </w:p>
              </w:tc>
              <w:tc>
                <w:tcPr>
                  <w:tcW w:w="1500" w:type="dxa"/>
                  <w:noWrap w:val="0"/>
                  <w:vAlign w:val="center"/>
                </w:tcPr>
                <w:p w14:paraId="4ED5322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城市（镇）管网及管廊建设（不含给水管道；不含光纤；不含1.6兆帕及以下的天然气管道）</w:t>
                  </w:r>
                </w:p>
              </w:tc>
              <w:tc>
                <w:tcPr>
                  <w:tcW w:w="772" w:type="dxa"/>
                  <w:noWrap w:val="0"/>
                  <w:vAlign w:val="center"/>
                </w:tcPr>
                <w:p w14:paraId="27C44EB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905" w:type="dxa"/>
                  <w:noWrap w:val="0"/>
                  <w:vAlign w:val="center"/>
                </w:tcPr>
                <w:p w14:paraId="05295A8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新建涉及环境敏感区的</w:t>
                  </w:r>
                </w:p>
              </w:tc>
              <w:tc>
                <w:tcPr>
                  <w:tcW w:w="1065" w:type="dxa"/>
                  <w:noWrap w:val="0"/>
                  <w:vAlign w:val="center"/>
                </w:tcPr>
                <w:p w14:paraId="4727EC5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其他</w:t>
                  </w:r>
                </w:p>
              </w:tc>
              <w:tc>
                <w:tcPr>
                  <w:tcW w:w="1944" w:type="dxa"/>
                  <w:noWrap w:val="0"/>
                  <w:vAlign w:val="center"/>
                </w:tcPr>
                <w:p w14:paraId="16E1E22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第三条（一）中的全部区域；第三条（二）中的除（一）外的生态保护红线管控范围，永久基本农田、地质公园、重要湿地、天然林</w:t>
                  </w:r>
                </w:p>
              </w:tc>
            </w:tr>
          </w:tbl>
          <w:p w14:paraId="1D553F1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highlight w:val="none"/>
                <w14:textFill>
                  <w14:solidFill>
                    <w14:schemeClr w14:val="tx1"/>
                  </w14:solidFill>
                </w14:textFill>
              </w:rPr>
              <w:t>、主要建设内容及建设规模</w:t>
            </w:r>
          </w:p>
          <w:p w14:paraId="399AEE4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（1）区域排涝能力提升工程</w:t>
            </w:r>
          </w:p>
          <w:p w14:paraId="4A2062C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本次工程迎驾厂排涝片拟新建西部新城排涝泵站1座，配套改造区内排涝沟总长10.065km；戴家河排涝片改造排涝沟总长1.425km</w:t>
            </w:r>
            <w:r>
              <w:rPr>
                <w:rFonts w:hint="default" w:ascii="Times New Roman" w:hAnsi="Times New Roman" w:eastAsia="宋体" w:cs="Times New Roman"/>
                <w:color w:val="000000" w:themeColor="text1"/>
                <w14:textFill>
                  <w14:solidFill>
                    <w14:schemeClr w14:val="tx1"/>
                  </w14:solidFill>
                </w14:textFill>
              </w:rPr>
              <w:t>，配套建设穿堤路涵</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。具体建设内容如下：</w:t>
            </w:r>
          </w:p>
          <w:p w14:paraId="13CDD08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1）在迎驾厂片新建西部新城排涝泵站1座，设计排涝面积为5.3km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配备先进排水设备以满足高峰流量需求。同时，配套改建区内的多条排涝沟，包括北侧边沟、六佛路排涝沟、中心排涝沟以及项家院排涝沟等，总长度达10.065km；改建涉及沟渠的拓宽、加深及加固处理，以提升抗洪能力，确保排水通道畅通无阻。</w:t>
            </w:r>
          </w:p>
          <w:p w14:paraId="6AE4132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2）在戴家河排涝片扩挖截流沟、疏通区内农田沟，扩大S332穿路涵等工程措施。</w:t>
            </w:r>
          </w:p>
          <w:p w14:paraId="0110AF7E">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表2-2  区域排涝能力提升工程建设内容详表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930"/>
              <w:gridCol w:w="1380"/>
              <w:gridCol w:w="1275"/>
              <w:gridCol w:w="4022"/>
            </w:tblGrid>
            <w:tr w14:paraId="71763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3081B10D">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930" w:type="dxa"/>
                  <w:noWrap w:val="0"/>
                  <w:vAlign w:val="center"/>
                </w:tcPr>
                <w:p w14:paraId="0D9E8C6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工程项目名称</w:t>
                  </w:r>
                </w:p>
              </w:tc>
              <w:tc>
                <w:tcPr>
                  <w:tcW w:w="1380" w:type="dxa"/>
                  <w:noWrap w:val="0"/>
                  <w:vAlign w:val="center"/>
                </w:tcPr>
                <w:p w14:paraId="4556BF8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1275" w:type="dxa"/>
                  <w:noWrap w:val="0"/>
                  <w:vAlign w:val="center"/>
                </w:tcPr>
                <w:p w14:paraId="2AF341A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4022" w:type="dxa"/>
                  <w:noWrap w:val="0"/>
                  <w:vAlign w:val="center"/>
                </w:tcPr>
                <w:p w14:paraId="6E289C5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设计主要参数</w:t>
                  </w:r>
                </w:p>
              </w:tc>
            </w:tr>
            <w:tr w14:paraId="48F1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1D272EC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30" w:type="dxa"/>
                  <w:noWrap w:val="0"/>
                  <w:vAlign w:val="center"/>
                </w:tcPr>
                <w:p w14:paraId="510B036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西部新城排涝站</w:t>
                  </w:r>
                </w:p>
              </w:tc>
              <w:tc>
                <w:tcPr>
                  <w:tcW w:w="1380" w:type="dxa"/>
                  <w:noWrap w:val="0"/>
                  <w:vAlign w:val="center"/>
                </w:tcPr>
                <w:p w14:paraId="1FFDC11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衡山镇永康桥村/柳林河堤防</w:t>
                  </w:r>
                </w:p>
              </w:tc>
              <w:tc>
                <w:tcPr>
                  <w:tcW w:w="1275" w:type="dxa"/>
                  <w:noWrap w:val="0"/>
                  <w:vAlign w:val="center"/>
                </w:tcPr>
                <w:p w14:paraId="4892389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新建泵站1座</w:t>
                  </w:r>
                </w:p>
              </w:tc>
              <w:tc>
                <w:tcPr>
                  <w:tcW w:w="4022" w:type="dxa"/>
                  <w:noWrap w:val="0"/>
                  <w:vAlign w:val="center"/>
                </w:tcPr>
                <w:p w14:paraId="491F301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泵站设计流量10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/s，选用4台立式轴流泵，单泵流量2.5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/s，总装机功率740kw。</w:t>
                  </w:r>
                </w:p>
              </w:tc>
            </w:tr>
            <w:tr w14:paraId="3C711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331848D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930" w:type="dxa"/>
                  <w:noWrap w:val="0"/>
                  <w:vAlign w:val="center"/>
                </w:tcPr>
                <w:p w14:paraId="1946BE6D">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1380" w:type="dxa"/>
                  <w:noWrap w:val="0"/>
                  <w:vAlign w:val="center"/>
                </w:tcPr>
                <w:p w14:paraId="2725486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东淠河堤后</w:t>
                  </w:r>
                </w:p>
              </w:tc>
              <w:tc>
                <w:tcPr>
                  <w:tcW w:w="1275" w:type="dxa"/>
                  <w:noWrap w:val="0"/>
                  <w:vAlign w:val="center"/>
                </w:tcPr>
                <w:p w14:paraId="74B6A7B3">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25C3EBA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noWrap w:val="0"/>
                  <w:vAlign w:val="center"/>
                </w:tcPr>
                <w:p w14:paraId="6A0D317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矩形排涝沟长</w:t>
                  </w:r>
                  <w:r>
                    <w:rPr>
                      <w:rFonts w:hint="default" w:ascii="Times New Roman" w:hAnsi="Times New Roman" w:eastAsia="宋体" w:cs="Times New Roman"/>
                      <w:color w:val="000000" w:themeColor="text1"/>
                      <w:sz w:val="21"/>
                      <w:szCs w:val="21"/>
                      <w14:textFill>
                        <w14:solidFill>
                          <w14:schemeClr w14:val="tx1"/>
                        </w14:solidFill>
                      </w14:textFill>
                    </w:rPr>
                    <w:t>1.65k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5"/>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p w14:paraId="6BC20D23">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梯形断面排涝沟长2.05k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，底宽2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1"/>
                      <w:sz w:val="21"/>
                      <w:szCs w:val="21"/>
                      <w14:textFill>
                        <w14:solidFill>
                          <w14:schemeClr w14:val="tx1"/>
                        </w14:solidFill>
                      </w14:textFill>
                    </w:rPr>
                    <w:t>，口宽约</w:t>
                  </w:r>
                  <w:r>
                    <w:rPr>
                      <w:rFonts w:hint="default" w:ascii="Times New Roman" w:hAnsi="Times New Roman" w:eastAsia="宋体" w:cs="Times New Roman"/>
                      <w:color w:val="000000" w:themeColor="text1"/>
                      <w:sz w:val="21"/>
                      <w:szCs w:val="21"/>
                      <w14:textFill>
                        <w14:solidFill>
                          <w14:schemeClr w14:val="tx1"/>
                        </w14:solidFill>
                      </w14:textFill>
                    </w:rPr>
                    <w:t>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5"/>
                      <w:sz w:val="21"/>
                      <w:szCs w:val="21"/>
                      <w14:textFill>
                        <w14:solidFill>
                          <w14:schemeClr w14:val="tx1"/>
                        </w14:solidFill>
                      </w14:textFill>
                    </w:rPr>
                    <w:t>，边坡</w:t>
                  </w:r>
                  <w:r>
                    <w:rPr>
                      <w:rFonts w:hint="default" w:ascii="Times New Roman" w:hAnsi="Times New Roman" w:eastAsia="宋体" w:cs="Times New Roman"/>
                      <w:color w:val="000000" w:themeColor="text1"/>
                      <w:sz w:val="21"/>
                      <w:szCs w:val="21"/>
                      <w14:textFill>
                        <w14:solidFill>
                          <w14:schemeClr w14:val="tx1"/>
                        </w14:solidFill>
                      </w14:textFill>
                    </w:rPr>
                    <w:t>1：1.5，采用联锁块护坡。</w:t>
                  </w:r>
                </w:p>
              </w:tc>
            </w:tr>
            <w:tr w14:paraId="240FF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2C5D35A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930" w:type="dxa"/>
                  <w:noWrap w:val="0"/>
                  <w:vAlign w:val="center"/>
                </w:tcPr>
                <w:p w14:paraId="30C3D8F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1380" w:type="dxa"/>
                  <w:noWrap w:val="0"/>
                  <w:vAlign w:val="center"/>
                </w:tcPr>
                <w:p w14:paraId="68377B8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永康桥村六佛路南侧</w:t>
                  </w:r>
                </w:p>
              </w:tc>
              <w:tc>
                <w:tcPr>
                  <w:tcW w:w="1275" w:type="dxa"/>
                  <w:noWrap w:val="0"/>
                  <w:vAlign w:val="center"/>
                </w:tcPr>
                <w:p w14:paraId="4D87A4F0">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505D747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noWrap w:val="0"/>
                  <w:vAlign w:val="center"/>
                </w:tcPr>
                <w:p w14:paraId="0AF9995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矩形断面，净宽2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20B20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7EE39D1D">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930" w:type="dxa"/>
                  <w:noWrap w:val="0"/>
                  <w:vAlign w:val="center"/>
                </w:tcPr>
                <w:p w14:paraId="5E25F74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1380" w:type="dxa"/>
                  <w:noWrap w:val="0"/>
                  <w:vAlign w:val="center"/>
                </w:tcPr>
                <w:p w14:paraId="09AE22DB">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1275" w:type="dxa"/>
                  <w:noWrap w:val="0"/>
                  <w:vAlign w:val="center"/>
                </w:tcPr>
                <w:p w14:paraId="6FA21491">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0B4B83F6">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2.585k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noWrap w:val="0"/>
                  <w:vAlign w:val="center"/>
                </w:tcPr>
                <w:p w14:paraId="652DFE4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矩形断面，分为规格</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4"/>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pacing w:val="-15"/>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4.5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8"/>
                      <w:sz w:val="21"/>
                      <w:szCs w:val="21"/>
                      <w14:textFill>
                        <w14:solidFill>
                          <w14:schemeClr w14:val="tx1"/>
                        </w14:solidFill>
                      </w14:textFill>
                    </w:rPr>
                    <w:t>、深</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9314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135986A6">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930" w:type="dxa"/>
                  <w:noWrap w:val="0"/>
                  <w:vAlign w:val="center"/>
                </w:tcPr>
                <w:p w14:paraId="3D0B648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1380" w:type="dxa"/>
                  <w:noWrap w:val="0"/>
                  <w:vAlign w:val="center"/>
                </w:tcPr>
                <w:p w14:paraId="7B869D5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1275" w:type="dxa"/>
                  <w:noWrap w:val="0"/>
                  <w:vAlign w:val="center"/>
                </w:tcPr>
                <w:p w14:paraId="5B2CAA31">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7F8615C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noWrap w:val="0"/>
                  <w:vAlign w:val="center"/>
                </w:tcPr>
                <w:p w14:paraId="07D342B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梯形断面，底宽</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1"/>
                      <w:sz w:val="21"/>
                      <w:szCs w:val="21"/>
                      <w14:textFill>
                        <w14:solidFill>
                          <w14:schemeClr w14:val="tx1"/>
                        </w14:solidFill>
                      </w14:textFill>
                    </w:rPr>
                    <w:t>，口宽约</w:t>
                  </w:r>
                  <w:r>
                    <w:rPr>
                      <w:rFonts w:hint="default" w:ascii="Times New Roman" w:hAnsi="Times New Roman" w:eastAsia="宋体" w:cs="Times New Roman"/>
                      <w:color w:val="000000" w:themeColor="text1"/>
                      <w:sz w:val="21"/>
                      <w:szCs w:val="21"/>
                      <w14:textFill>
                        <w14:solidFill>
                          <w14:schemeClr w14:val="tx1"/>
                        </w14:solidFill>
                      </w14:textFill>
                    </w:rPr>
                    <w:t>6~8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7"/>
                      <w:sz w:val="21"/>
                      <w:szCs w:val="21"/>
                      <w14:textFill>
                        <w14:solidFill>
                          <w14:schemeClr w14:val="tx1"/>
                        </w14:solidFill>
                      </w14:textFill>
                    </w:rPr>
                    <w:t>边坡</w:t>
                  </w:r>
                  <w:r>
                    <w:rPr>
                      <w:rFonts w:hint="default" w:ascii="Times New Roman" w:hAnsi="Times New Roman" w:eastAsia="宋体" w:cs="Times New Roman"/>
                      <w:color w:val="000000" w:themeColor="text1"/>
                      <w:sz w:val="21"/>
                      <w:szCs w:val="21"/>
                      <w14:textFill>
                        <w14:solidFill>
                          <w14:schemeClr w14:val="tx1"/>
                        </w14:solidFill>
                      </w14:textFill>
                    </w:rPr>
                    <w:t>1：1.5，采用联锁块护坡。</w:t>
                  </w:r>
                </w:p>
              </w:tc>
            </w:tr>
            <w:tr w14:paraId="48F21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424EA7C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930" w:type="dxa"/>
                  <w:noWrap w:val="0"/>
                  <w:vAlign w:val="center"/>
                </w:tcPr>
                <w:p w14:paraId="40AD28B7">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戴家河排涝片</w:t>
                  </w:r>
                </w:p>
              </w:tc>
              <w:tc>
                <w:tcPr>
                  <w:tcW w:w="1380" w:type="dxa"/>
                  <w:noWrap w:val="0"/>
                  <w:vAlign w:val="center"/>
                </w:tcPr>
                <w:p w14:paraId="01F36D33">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戴家河</w:t>
                  </w:r>
                </w:p>
              </w:tc>
              <w:tc>
                <w:tcPr>
                  <w:tcW w:w="1275" w:type="dxa"/>
                  <w:noWrap w:val="0"/>
                  <w:vAlign w:val="center"/>
                </w:tcPr>
                <w:p w14:paraId="02CEFDF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拆建穿路涵13座，改造排涝沟总长1.425k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noWrap w:val="0"/>
                  <w:vAlign w:val="center"/>
                </w:tcPr>
                <w:p w14:paraId="6B0762FC">
                  <w:pPr>
                    <w:pStyle w:val="202"/>
                    <w:keepNext w:val="0"/>
                    <w:keepLines w:val="0"/>
                    <w:numPr>
                      <w:ilvl w:val="0"/>
                      <w:numId w:val="2"/>
                    </w:numPr>
                    <w:suppressLineNumbers w:val="0"/>
                    <w:tabs>
                      <w:tab w:val="left" w:pos="634"/>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拆建穿路涵共计</w:t>
                  </w:r>
                  <w:r>
                    <w:rPr>
                      <w:rFonts w:hint="default" w:ascii="Times New Roman" w:hAnsi="Times New Roman" w:eastAsia="宋体" w:cs="Times New Roman"/>
                      <w:color w:val="000000" w:themeColor="text1"/>
                      <w:sz w:val="21"/>
                      <w:szCs w:val="21"/>
                      <w14:textFill>
                        <w14:solidFill>
                          <w14:schemeClr w14:val="tx1"/>
                        </w14:solidFill>
                      </w14:textFill>
                    </w:rPr>
                    <w:t>13座，其中：S332</w:t>
                  </w:r>
                  <w:r>
                    <w:rPr>
                      <w:rFonts w:hint="default" w:ascii="Times New Roman" w:hAnsi="Times New Roman" w:eastAsia="宋体" w:cs="Times New Roman"/>
                      <w:color w:val="000000" w:themeColor="text1"/>
                      <w:spacing w:val="-14"/>
                      <w:sz w:val="21"/>
                      <w:szCs w:val="21"/>
                      <w14:textFill>
                        <w14:solidFill>
                          <w14:schemeClr w14:val="tx1"/>
                        </w14:solidFill>
                      </w14:textFill>
                    </w:rPr>
                    <w:t>穿路涵</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1"/>
                      <w:sz w:val="21"/>
                      <w:szCs w:val="21"/>
                      <w14:textFill>
                        <w14:solidFill>
                          <w14:schemeClr w14:val="tx1"/>
                        </w14:solidFill>
                      </w14:textFill>
                    </w:rPr>
                    <w:t>座，尺寸</w:t>
                  </w:r>
                  <w:r>
                    <w:rPr>
                      <w:rFonts w:hint="default" w:ascii="Times New Roman" w:hAnsi="Times New Roman" w:eastAsia="宋体" w:cs="Times New Roman"/>
                      <w:color w:val="000000" w:themeColor="text1"/>
                      <w:sz w:val="21"/>
                      <w:szCs w:val="21"/>
                      <w14:textFill>
                        <w14:solidFill>
                          <w14:schemeClr w14:val="tx1"/>
                        </w14:solidFill>
                      </w14:textFill>
                    </w:rPr>
                    <w:t>3×1.8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，长37</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；1#、2#、3#</w:t>
                  </w:r>
                  <w:r>
                    <w:rPr>
                      <w:rFonts w:hint="default" w:ascii="Times New Roman" w:hAnsi="Times New Roman" w:eastAsia="宋体" w:cs="Times New Roman"/>
                      <w:color w:val="000000" w:themeColor="text1"/>
                      <w:spacing w:val="-14"/>
                      <w:sz w:val="21"/>
                      <w:szCs w:val="21"/>
                      <w14:textFill>
                        <w14:solidFill>
                          <w14:schemeClr w14:val="tx1"/>
                        </w14:solidFill>
                      </w14:textFill>
                    </w:rPr>
                    <w:t>穿路涵</w:t>
                  </w:r>
                  <w:r>
                    <w:rPr>
                      <w:rFonts w:hint="default" w:ascii="Times New Roman" w:hAnsi="Times New Roman" w:eastAsia="宋体" w:cs="Times New Roman"/>
                      <w:color w:val="000000" w:themeColor="text1"/>
                      <w:sz w:val="21"/>
                      <w:szCs w:val="21"/>
                      <w14:textFill>
                        <w14:solidFill>
                          <w14:schemeClr w14:val="tx1"/>
                        </w14:solidFill>
                      </w14:textFill>
                    </w:rPr>
                    <w:t>3座，尺寸3×1.8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，长9</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；4#穿路涵1座，尺寸3×3.8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，长7.3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。另拆建穿路管涵8座，管径0.5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p w14:paraId="67C7F0A2">
                  <w:pPr>
                    <w:pStyle w:val="202"/>
                    <w:keepNext w:val="0"/>
                    <w:keepLines w:val="0"/>
                    <w:numPr>
                      <w:ilvl w:val="0"/>
                      <w:numId w:val="2"/>
                    </w:numPr>
                    <w:suppressLineNumbers w:val="0"/>
                    <w:tabs>
                      <w:tab w:val="left" w:pos="634"/>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8"/>
                      <w:sz w:val="21"/>
                      <w:szCs w:val="21"/>
                      <w14:textFill>
                        <w14:solidFill>
                          <w14:schemeClr w14:val="tx1"/>
                        </w14:solidFill>
                      </w14:textFill>
                    </w:rPr>
                    <w:t>拆建</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3"/>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135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，尺寸1.5×1.5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pacing w:val="-15"/>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630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，尺寸2×1.8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0"/>
                      <w:sz w:val="21"/>
                      <w:szCs w:val="21"/>
                      <w14:textFill>
                        <w14:solidFill>
                          <w14:schemeClr w14:val="tx1"/>
                        </w14:solidFill>
                      </w14:textFill>
                    </w:rPr>
                    <w:t>；清淤护砌</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pacing w:val="-14"/>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630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8"/>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pacing w:val="-14"/>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，尺寸</w:t>
                  </w:r>
                  <w:r>
                    <w:rPr>
                      <w:rFonts w:hint="default" w:ascii="Times New Roman" w:hAnsi="Times New Roman" w:eastAsia="宋体" w:cs="Times New Roman"/>
                      <w:color w:val="000000" w:themeColor="text1"/>
                      <w:sz w:val="21"/>
                      <w:szCs w:val="21"/>
                      <w14:textFill>
                        <w14:solidFill>
                          <w14:schemeClr w14:val="tx1"/>
                        </w14:solidFill>
                      </w14:textFill>
                    </w:rPr>
                    <w:t>4×1.8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。（4#排涝沟与3#穿路涵衔接）。</w:t>
                  </w:r>
                </w:p>
              </w:tc>
            </w:tr>
          </w:tbl>
          <w:p w14:paraId="20525DDD">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（2）城区排涝通道整治工程</w:t>
            </w:r>
          </w:p>
          <w:p w14:paraId="0BE95E37">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本次工程重点整治城区幽芳河、高庙河、柳林河、新店河等4条排涝通道，总长25.62k</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，建设内容包括河道疏浚、护岸加固、新（拆）建蓄水建筑物等</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w:t>
            </w:r>
          </w:p>
          <w:p w14:paraId="09B1A0FD">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表 2-3  </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ab/>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城区排涝通道整治工程建设内容详表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839"/>
              <w:gridCol w:w="1031"/>
              <w:gridCol w:w="2179"/>
              <w:gridCol w:w="3489"/>
            </w:tblGrid>
            <w:tr w14:paraId="100C7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71E815A2">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39" w:type="dxa"/>
                  <w:noWrap w:val="0"/>
                  <w:vAlign w:val="center"/>
                </w:tcPr>
                <w:p w14:paraId="2BE74AF3">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工程项目名称</w:t>
                  </w:r>
                </w:p>
              </w:tc>
              <w:tc>
                <w:tcPr>
                  <w:tcW w:w="1031" w:type="dxa"/>
                  <w:noWrap w:val="0"/>
                  <w:vAlign w:val="center"/>
                </w:tcPr>
                <w:p w14:paraId="2FE933AE">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工程范围</w:t>
                  </w:r>
                </w:p>
              </w:tc>
              <w:tc>
                <w:tcPr>
                  <w:tcW w:w="2179" w:type="dxa"/>
                  <w:noWrap w:val="0"/>
                  <w:vAlign w:val="center"/>
                </w:tcPr>
                <w:p w14:paraId="713DBDA8">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3489" w:type="dxa"/>
                  <w:noWrap w:val="0"/>
                  <w:vAlign w:val="center"/>
                </w:tcPr>
                <w:p w14:paraId="25C9D77B">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设计主要参数</w:t>
                  </w:r>
                </w:p>
              </w:tc>
            </w:tr>
            <w:tr w14:paraId="5E255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47AAEB81">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39" w:type="dxa"/>
                  <w:noWrap w:val="0"/>
                  <w:vAlign w:val="center"/>
                </w:tcPr>
                <w:p w14:paraId="55485B96">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幽芳河排涝通道整治</w:t>
                  </w:r>
                </w:p>
              </w:tc>
              <w:tc>
                <w:tcPr>
                  <w:tcW w:w="1031" w:type="dxa"/>
                  <w:noWrap w:val="0"/>
                  <w:vAlign w:val="center"/>
                </w:tcPr>
                <w:p w14:paraId="39B9541E">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东石门水库~高庙河，长6.36k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noWrap w:val="0"/>
                  <w:vAlign w:val="center"/>
                </w:tcPr>
                <w:p w14:paraId="227633EF">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2"/>
                      <w:sz w:val="21"/>
                      <w:szCs w:val="21"/>
                      <w14:textFill>
                        <w14:solidFill>
                          <w14:schemeClr w14:val="tx1"/>
                        </w14:solidFill>
                      </w14:textFill>
                    </w:rPr>
                    <w:t>河道疏拓</w:t>
                  </w:r>
                  <w:r>
                    <w:rPr>
                      <w:rFonts w:hint="default" w:ascii="Times New Roman" w:hAnsi="Times New Roman" w:eastAsia="宋体" w:cs="Times New Roman"/>
                      <w:color w:val="000000" w:themeColor="text1"/>
                      <w:sz w:val="21"/>
                      <w:szCs w:val="21"/>
                      <w14:textFill>
                        <w14:solidFill>
                          <w14:schemeClr w14:val="tx1"/>
                        </w14:solidFill>
                      </w14:textFill>
                    </w:rPr>
                    <w:t>6.36k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，防</w:t>
                  </w:r>
                  <w:r>
                    <w:rPr>
                      <w:rFonts w:hint="default" w:ascii="Times New Roman" w:hAnsi="Times New Roman" w:eastAsia="宋体" w:cs="Times New Roman"/>
                      <w:color w:val="000000" w:themeColor="text1"/>
                      <w:spacing w:val="-15"/>
                      <w:sz w:val="21"/>
                      <w:szCs w:val="21"/>
                      <w14:textFill>
                        <w14:solidFill>
                          <w14:schemeClr w14:val="tx1"/>
                        </w14:solidFill>
                      </w14:textFill>
                    </w:rPr>
                    <w:t>洪达标</w:t>
                  </w:r>
                  <w:r>
                    <w:rPr>
                      <w:rFonts w:hint="default" w:ascii="Times New Roman" w:hAnsi="Times New Roman" w:eastAsia="宋体" w:cs="Times New Roman"/>
                      <w:color w:val="000000" w:themeColor="text1"/>
                      <w:sz w:val="21"/>
                      <w:szCs w:val="21"/>
                      <w14:textFill>
                        <w14:solidFill>
                          <w14:schemeClr w14:val="tx1"/>
                        </w14:solidFill>
                      </w14:textFill>
                    </w:rPr>
                    <w:t>2.4k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，护岸加</w:t>
                  </w:r>
                  <w:r>
                    <w:rPr>
                      <w:rFonts w:hint="default" w:ascii="Times New Roman" w:hAnsi="Times New Roman" w:eastAsia="宋体" w:cs="Times New Roman"/>
                      <w:color w:val="000000" w:themeColor="text1"/>
                      <w:spacing w:val="-29"/>
                      <w:sz w:val="21"/>
                      <w:szCs w:val="21"/>
                      <w14:textFill>
                        <w14:solidFill>
                          <w14:schemeClr w14:val="tx1"/>
                        </w14:solidFill>
                      </w14:textFill>
                    </w:rPr>
                    <w:t>固</w:t>
                  </w:r>
                  <w:r>
                    <w:rPr>
                      <w:rFonts w:hint="default" w:ascii="Times New Roman" w:hAnsi="Times New Roman" w:eastAsia="宋体" w:cs="Times New Roman"/>
                      <w:color w:val="000000" w:themeColor="text1"/>
                      <w:sz w:val="21"/>
                      <w:szCs w:val="21"/>
                      <w14:textFill>
                        <w14:solidFill>
                          <w14:schemeClr w14:val="tx1"/>
                        </w14:solidFill>
                      </w14:textFill>
                    </w:rPr>
                    <w:t>12.72k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w:t>
                  </w:r>
                  <w:r>
                    <w:rPr>
                      <w:rFonts w:hint="default" w:ascii="Times New Roman" w:hAnsi="Times New Roman" w:eastAsia="宋体" w:cs="Times New Roman"/>
                      <w:color w:val="000000" w:themeColor="text1"/>
                      <w:spacing w:val="-8"/>
                      <w:sz w:val="21"/>
                      <w:szCs w:val="21"/>
                      <w14:textFill>
                        <w14:solidFill>
                          <w14:schemeClr w14:val="tx1"/>
                        </w14:solidFill>
                      </w14:textFill>
                    </w:rPr>
                    <w:t>建蓄水建筑物</w:t>
                  </w:r>
                  <w:r>
                    <w:rPr>
                      <w:rFonts w:hint="default" w:ascii="Times New Roman" w:hAnsi="Times New Roman" w:eastAsia="宋体" w:cs="Times New Roman"/>
                      <w:color w:val="000000" w:themeColor="text1"/>
                      <w:sz w:val="21"/>
                      <w:szCs w:val="21"/>
                      <w14:textFill>
                        <w14:solidFill>
                          <w14:schemeClr w14:val="tx1"/>
                        </w14:solidFill>
                      </w14:textFill>
                    </w:rPr>
                    <w:t>7</w:t>
                  </w:r>
                  <w:r>
                    <w:rPr>
                      <w:rFonts w:hint="default" w:ascii="Times New Roman" w:hAnsi="Times New Roman" w:eastAsia="宋体" w:cs="Times New Roman"/>
                      <w:color w:val="000000" w:themeColor="text1"/>
                      <w:spacing w:val="-5"/>
                      <w:sz w:val="21"/>
                      <w:szCs w:val="21"/>
                      <w14:textFill>
                        <w14:solidFill>
                          <w14:schemeClr w14:val="tx1"/>
                        </w14:solidFill>
                      </w14:textFill>
                    </w:rPr>
                    <w:t>座，改</w:t>
                  </w:r>
                  <w:r>
                    <w:rPr>
                      <w:rFonts w:hint="default" w:ascii="Times New Roman" w:hAnsi="Times New Roman" w:eastAsia="宋体" w:cs="Times New Roman"/>
                      <w:color w:val="000000" w:themeColor="text1"/>
                      <w:spacing w:val="-10"/>
                      <w:sz w:val="21"/>
                      <w:szCs w:val="21"/>
                      <w14:textFill>
                        <w14:solidFill>
                          <w14:schemeClr w14:val="tx1"/>
                        </w14:solidFill>
                      </w14:textFill>
                    </w:rPr>
                    <w:t>造防汛道路</w:t>
                  </w:r>
                  <w:r>
                    <w:rPr>
                      <w:rFonts w:hint="default" w:ascii="Times New Roman" w:hAnsi="Times New Roman" w:eastAsia="宋体" w:cs="Times New Roman"/>
                      <w:color w:val="000000" w:themeColor="text1"/>
                      <w:sz w:val="21"/>
                      <w:szCs w:val="21"/>
                      <w14:textFill>
                        <w14:solidFill>
                          <w14:schemeClr w14:val="tx1"/>
                        </w14:solidFill>
                      </w14:textFill>
                    </w:rPr>
                    <w:t>1.8k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489" w:type="dxa"/>
                  <w:noWrap w:val="0"/>
                  <w:vAlign w:val="center"/>
                </w:tcPr>
                <w:p w14:paraId="388C7D4B">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①防洪达标采用挡浪墙，墙高1.0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左右。②护岸采用生态挡墙6.813k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，格宾石笼护脚3.727k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，岸坡清杂1.03k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，预制块护坡1.15k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。③拆建拦河坝1座，改造拦河坝2座，新建拦河坝2座，坝高0.8~1.74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9"/>
                      <w:sz w:val="21"/>
                      <w:szCs w:val="21"/>
                      <w14:textFill>
                        <w14:solidFill>
                          <w14:schemeClr w14:val="tx1"/>
                        </w14:solidFill>
                      </w14:textFill>
                    </w:rPr>
                    <w:t>④新建气盾坝</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1"/>
                      <w:sz w:val="21"/>
                      <w:szCs w:val="21"/>
                      <w14:textFill>
                        <w14:solidFill>
                          <w14:schemeClr w14:val="tx1"/>
                        </w14:solidFill>
                      </w14:textFill>
                    </w:rPr>
                    <w:t>座，坝高</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，拦</w:t>
                  </w:r>
                  <w:r>
                    <w:rPr>
                      <w:rFonts w:hint="default" w:ascii="Times New Roman" w:hAnsi="Times New Roman" w:eastAsia="宋体" w:cs="Times New Roman"/>
                      <w:color w:val="000000" w:themeColor="text1"/>
                      <w:spacing w:val="-3"/>
                      <w:sz w:val="21"/>
                      <w:szCs w:val="21"/>
                      <w14:textFill>
                        <w14:solidFill>
                          <w14:schemeClr w14:val="tx1"/>
                        </w14:solidFill>
                      </w14:textFill>
                    </w:rPr>
                    <w:t>河坝拆建为气盾坝</w:t>
                  </w:r>
                  <w:r>
                    <w:rPr>
                      <w:rFonts w:hint="default" w:ascii="Times New Roman" w:hAnsi="Times New Roman" w:eastAsia="宋体" w:cs="Times New Roman"/>
                      <w:color w:val="000000" w:themeColor="text1"/>
                      <w:sz w:val="21"/>
                      <w:szCs w:val="21"/>
                      <w14:textFill>
                        <w14:solidFill>
                          <w14:schemeClr w14:val="tx1"/>
                        </w14:solidFill>
                      </w14:textFill>
                    </w:rPr>
                    <w:t>1座，坝高1.5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。⑤堤顶防汛道路白改黑长1.8k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1C52F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14E1C370">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839" w:type="dxa"/>
                  <w:noWrap w:val="0"/>
                  <w:vAlign w:val="center"/>
                </w:tcPr>
                <w:p w14:paraId="595DF9D0">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高庙河排涝通道整治</w:t>
                  </w:r>
                </w:p>
              </w:tc>
              <w:tc>
                <w:tcPr>
                  <w:tcW w:w="1031" w:type="dxa"/>
                  <w:noWrap w:val="0"/>
                  <w:vAlign w:val="center"/>
                </w:tcPr>
                <w:p w14:paraId="4F8BE4B2">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牛角冲水库~东淠河，长5.65k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noWrap w:val="0"/>
                  <w:vAlign w:val="center"/>
                </w:tcPr>
                <w:p w14:paraId="23CB69CD">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新建护岸7.22k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，石笼固脚3.19k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，拆（新）建蓄水建筑物4座，新建巡查便道0.525k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，新建防洪墙0.8k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3489" w:type="dxa"/>
                  <w:noWrap w:val="0"/>
                  <w:vAlign w:val="center"/>
                </w:tcPr>
                <w:p w14:paraId="6A54B036">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①仰斜式挡墙护岸</w:t>
                  </w:r>
                  <w:r>
                    <w:rPr>
                      <w:rFonts w:hint="default" w:ascii="Times New Roman" w:hAnsi="Times New Roman" w:eastAsia="宋体" w:cs="Times New Roman"/>
                      <w:color w:val="000000" w:themeColor="text1"/>
                      <w:sz w:val="21"/>
                      <w:szCs w:val="21"/>
                      <w14:textFill>
                        <w14:solidFill>
                          <w14:schemeClr w14:val="tx1"/>
                        </w14:solidFill>
                      </w14:textFill>
                    </w:rPr>
                    <w:t>1580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，阶梯式</w:t>
                  </w:r>
                  <w:r>
                    <w:rPr>
                      <w:rFonts w:hint="default" w:ascii="Times New Roman" w:hAnsi="Times New Roman" w:eastAsia="宋体" w:cs="Times New Roman"/>
                      <w:color w:val="000000" w:themeColor="text1"/>
                      <w:spacing w:val="-8"/>
                      <w:sz w:val="21"/>
                      <w:szCs w:val="21"/>
                      <w14:textFill>
                        <w14:solidFill>
                          <w14:schemeClr w14:val="tx1"/>
                        </w14:solidFill>
                      </w14:textFill>
                    </w:rPr>
                    <w:t>生态挡墙护岸</w:t>
                  </w:r>
                  <w:r>
                    <w:rPr>
                      <w:rFonts w:hint="default" w:ascii="Times New Roman" w:hAnsi="Times New Roman" w:eastAsia="宋体" w:cs="Times New Roman"/>
                      <w:color w:val="000000" w:themeColor="text1"/>
                      <w:sz w:val="21"/>
                      <w:szCs w:val="21"/>
                      <w14:textFill>
                        <w14:solidFill>
                          <w14:schemeClr w14:val="tx1"/>
                        </w14:solidFill>
                      </w14:textFill>
                    </w:rPr>
                    <w:t>4080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，浆砌石挡墙200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8"/>
                      <w:sz w:val="21"/>
                      <w:szCs w:val="21"/>
                      <w14:textFill>
                        <w14:solidFill>
                          <w14:schemeClr w14:val="tx1"/>
                        </w14:solidFill>
                      </w14:textFill>
                    </w:rPr>
                    <w:t>，格宾石笼挡墙</w:t>
                  </w:r>
                  <w:r>
                    <w:rPr>
                      <w:rFonts w:hint="default" w:ascii="Times New Roman" w:hAnsi="Times New Roman" w:eastAsia="宋体" w:cs="Times New Roman"/>
                      <w:color w:val="000000" w:themeColor="text1"/>
                      <w:sz w:val="21"/>
                      <w:szCs w:val="21"/>
                      <w14:textFill>
                        <w14:solidFill>
                          <w14:schemeClr w14:val="tx1"/>
                        </w14:solidFill>
                      </w14:textFill>
                    </w:rPr>
                    <w:t>1180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，雷诺</w:t>
                  </w:r>
                  <w:r>
                    <w:rPr>
                      <w:rFonts w:hint="default" w:ascii="Times New Roman" w:hAnsi="Times New Roman" w:eastAsia="宋体" w:cs="Times New Roman"/>
                      <w:color w:val="000000" w:themeColor="text1"/>
                      <w:spacing w:val="-11"/>
                      <w:sz w:val="21"/>
                      <w:szCs w:val="21"/>
                      <w14:textFill>
                        <w14:solidFill>
                          <w14:schemeClr w14:val="tx1"/>
                        </w14:solidFill>
                      </w14:textFill>
                    </w:rPr>
                    <w:t>护垫护坡</w:t>
                  </w:r>
                  <w:r>
                    <w:rPr>
                      <w:rFonts w:hint="default" w:ascii="Times New Roman" w:hAnsi="Times New Roman" w:eastAsia="宋体" w:cs="Times New Roman"/>
                      <w:color w:val="000000" w:themeColor="text1"/>
                      <w:sz w:val="21"/>
                      <w:szCs w:val="21"/>
                      <w14:textFill>
                        <w14:solidFill>
                          <w14:schemeClr w14:val="tx1"/>
                        </w14:solidFill>
                      </w14:textFill>
                    </w:rPr>
                    <w:t>200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，格宾石笼固脚3152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7"/>
                      <w:sz w:val="21"/>
                      <w:szCs w:val="21"/>
                      <w14:textFill>
                        <w14:solidFill>
                          <w14:schemeClr w14:val="tx1"/>
                        </w14:solidFill>
                      </w14:textFill>
                    </w:rPr>
                    <w:t>。②拆建拦河坝</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pacing w:val="-3"/>
                      <w:sz w:val="21"/>
                      <w:szCs w:val="21"/>
                      <w14:textFill>
                        <w14:solidFill>
                          <w14:schemeClr w14:val="tx1"/>
                        </w14:solidFill>
                      </w14:textFill>
                    </w:rPr>
                    <w:t>座，新建拦</w:t>
                  </w:r>
                  <w:r>
                    <w:rPr>
                      <w:rFonts w:hint="default" w:ascii="Times New Roman" w:hAnsi="Times New Roman" w:eastAsia="宋体" w:cs="Times New Roman"/>
                      <w:color w:val="000000" w:themeColor="text1"/>
                      <w:spacing w:val="-18"/>
                      <w:sz w:val="21"/>
                      <w:szCs w:val="21"/>
                      <w14:textFill>
                        <w14:solidFill>
                          <w14:schemeClr w14:val="tx1"/>
                        </w14:solidFill>
                      </w14:textFill>
                    </w:rPr>
                    <w:t>河坝</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1"/>
                      <w:sz w:val="21"/>
                      <w:szCs w:val="21"/>
                      <w14:textFill>
                        <w14:solidFill>
                          <w14:schemeClr w14:val="tx1"/>
                        </w14:solidFill>
                      </w14:textFill>
                    </w:rPr>
                    <w:t>座，净高</w:t>
                  </w: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。③新建巡查</w:t>
                  </w:r>
                  <w:r>
                    <w:rPr>
                      <w:rFonts w:hint="default" w:ascii="Times New Roman" w:hAnsi="Times New Roman" w:eastAsia="宋体" w:cs="Times New Roman"/>
                      <w:color w:val="000000" w:themeColor="text1"/>
                      <w:spacing w:val="-18"/>
                      <w:sz w:val="21"/>
                      <w:szCs w:val="21"/>
                      <w14:textFill>
                        <w14:solidFill>
                          <w14:schemeClr w14:val="tx1"/>
                        </w14:solidFill>
                      </w14:textFill>
                    </w:rPr>
                    <w:t>便道</w:t>
                  </w:r>
                  <w:r>
                    <w:rPr>
                      <w:rFonts w:hint="default" w:ascii="Times New Roman" w:hAnsi="Times New Roman" w:eastAsia="宋体" w:cs="Times New Roman"/>
                      <w:color w:val="000000" w:themeColor="text1"/>
                      <w:sz w:val="21"/>
                      <w:szCs w:val="21"/>
                      <w14:textFill>
                        <w14:solidFill>
                          <w14:schemeClr w14:val="tx1"/>
                        </w14:solidFill>
                      </w14:textFill>
                    </w:rPr>
                    <w:t>0.525k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8"/>
                      <w:sz w:val="21"/>
                      <w:szCs w:val="21"/>
                      <w14:textFill>
                        <w14:solidFill>
                          <w14:schemeClr w14:val="tx1"/>
                        </w14:solidFill>
                      </w14:textFill>
                    </w:rPr>
                    <w:t>，宽</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。④新建防洪墙0.8k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，高1.0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59E61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6ED72398">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839" w:type="dxa"/>
                  <w:noWrap w:val="0"/>
                  <w:vAlign w:val="center"/>
                </w:tcPr>
                <w:p w14:paraId="59131E56">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柳林河排涝通道整治</w:t>
                  </w:r>
                </w:p>
              </w:tc>
              <w:tc>
                <w:tcPr>
                  <w:tcW w:w="1031" w:type="dxa"/>
                  <w:noWrap w:val="0"/>
                  <w:vAlign w:val="center"/>
                </w:tcPr>
                <w:p w14:paraId="31B05224">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团结水库~东淠河，长11.1k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noWrap w:val="0"/>
                  <w:vAlign w:val="center"/>
                </w:tcPr>
                <w:p w14:paraId="10F6EFF7">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3.415k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6"/>
                      <w:sz w:val="21"/>
                      <w:szCs w:val="21"/>
                      <w14:textFill>
                        <w14:solidFill>
                          <w14:schemeClr w14:val="tx1"/>
                        </w14:solidFill>
                      </w14:textFill>
                    </w:rPr>
                    <w:t>、护</w:t>
                  </w:r>
                  <w:r>
                    <w:rPr>
                      <w:rFonts w:hint="default" w:ascii="Times New Roman" w:hAnsi="Times New Roman" w:eastAsia="宋体" w:cs="Times New Roman"/>
                      <w:color w:val="000000" w:themeColor="text1"/>
                      <w:spacing w:val="-28"/>
                      <w:sz w:val="21"/>
                      <w:szCs w:val="21"/>
                      <w14:textFill>
                        <w14:solidFill>
                          <w14:schemeClr w14:val="tx1"/>
                        </w14:solidFill>
                      </w14:textFill>
                    </w:rPr>
                    <w:t>坡</w:t>
                  </w:r>
                  <w:r>
                    <w:rPr>
                      <w:rFonts w:hint="default" w:ascii="Times New Roman" w:hAnsi="Times New Roman" w:eastAsia="宋体" w:cs="Times New Roman"/>
                      <w:color w:val="000000" w:themeColor="text1"/>
                      <w:sz w:val="21"/>
                      <w:szCs w:val="21"/>
                      <w14:textFill>
                        <w14:solidFill>
                          <w14:schemeClr w14:val="tx1"/>
                        </w14:solidFill>
                      </w14:textFill>
                    </w:rPr>
                    <w:t>5.28k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，石笼固脚9.19k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，堤防封闭300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，加固拦河坝2座，拆建防洪闸1座，拆建（加固）排涝涵5座，堤顶防汛道路白改黑长7.2k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，水毁段修复16处。</w:t>
                  </w:r>
                </w:p>
              </w:tc>
              <w:tc>
                <w:tcPr>
                  <w:tcW w:w="3489" w:type="dxa"/>
                  <w:noWrap w:val="0"/>
                  <w:vAlign w:val="center"/>
                </w:tcPr>
                <w:p w14:paraId="6B306A1B">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①仰斜式挡墙护岸1535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，生态挡墙护岸1552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，格宾石笼固脚9190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，预制块护坡5280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；②加固拦河坝2座，设增设消能工③拆建防洪闸1座，孔口3×2.5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；④拆建排涝箱涵两座，孔口3.5×2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；DN1000涵管1座；维修涵闸2座；⑤堤顶防汛道路白改黑长7.2k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，宽5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；⑥水毁段修复16处。</w:t>
                  </w:r>
                </w:p>
              </w:tc>
            </w:tr>
            <w:tr w14:paraId="4002E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1D475444">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39" w:type="dxa"/>
                  <w:noWrap w:val="0"/>
                  <w:vAlign w:val="center"/>
                </w:tcPr>
                <w:p w14:paraId="34773FD6">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新店河排涝通道整治</w:t>
                  </w:r>
                </w:p>
              </w:tc>
              <w:tc>
                <w:tcPr>
                  <w:tcW w:w="1031" w:type="dxa"/>
                  <w:noWrap w:val="0"/>
                  <w:vAlign w:val="center"/>
                </w:tcPr>
                <w:p w14:paraId="62618828">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印墩村~入戴家河河口，长2.51k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noWrap w:val="0"/>
                  <w:vAlign w:val="center"/>
                </w:tcPr>
                <w:p w14:paraId="46CDCDCE">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2.106k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，现</w:t>
                  </w:r>
                  <w:r>
                    <w:rPr>
                      <w:rFonts w:hint="default" w:ascii="Times New Roman" w:hAnsi="Times New Roman" w:eastAsia="宋体" w:cs="Times New Roman"/>
                      <w:color w:val="000000" w:themeColor="text1"/>
                      <w:spacing w:val="-11"/>
                      <w:sz w:val="21"/>
                      <w:szCs w:val="21"/>
                      <w14:textFill>
                        <w14:solidFill>
                          <w14:schemeClr w14:val="tx1"/>
                        </w14:solidFill>
                      </w14:textFill>
                    </w:rPr>
                    <w:t>状护岸改造</w:t>
                  </w:r>
                  <w:r>
                    <w:rPr>
                      <w:rFonts w:hint="default" w:ascii="Times New Roman" w:hAnsi="Times New Roman" w:eastAsia="宋体" w:cs="Times New Roman"/>
                      <w:color w:val="000000" w:themeColor="text1"/>
                      <w:sz w:val="21"/>
                      <w:szCs w:val="21"/>
                      <w14:textFill>
                        <w14:solidFill>
                          <w14:schemeClr w14:val="tx1"/>
                        </w14:solidFill>
                      </w14:textFill>
                    </w:rPr>
                    <w:t>0.195k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1"/>
                      <w:sz w:val="21"/>
                      <w:szCs w:val="21"/>
                      <w14:textFill>
                        <w14:solidFill>
                          <w14:schemeClr w14:val="tx1"/>
                        </w14:solidFill>
                      </w14:textFill>
                    </w:rPr>
                    <w:t>河道疏浚</w:t>
                  </w:r>
                  <w:r>
                    <w:rPr>
                      <w:rFonts w:hint="default" w:ascii="Times New Roman" w:hAnsi="Times New Roman" w:eastAsia="宋体" w:cs="Times New Roman"/>
                      <w:color w:val="000000" w:themeColor="text1"/>
                      <w:sz w:val="21"/>
                      <w:szCs w:val="21"/>
                      <w14:textFill>
                        <w14:solidFill>
                          <w14:schemeClr w14:val="tx1"/>
                        </w14:solidFill>
                      </w14:textFill>
                    </w:rPr>
                    <w:t>0.7k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w:t>
                  </w:r>
                  <w:r>
                    <w:rPr>
                      <w:rFonts w:hint="default" w:ascii="Times New Roman" w:hAnsi="Times New Roman" w:eastAsia="宋体" w:cs="Times New Roman"/>
                      <w:color w:val="000000" w:themeColor="text1"/>
                      <w:spacing w:val="-12"/>
                      <w:sz w:val="21"/>
                      <w:szCs w:val="21"/>
                      <w14:textFill>
                        <w14:solidFill>
                          <w14:schemeClr w14:val="tx1"/>
                        </w14:solidFill>
                      </w14:textFill>
                    </w:rPr>
                    <w:t>建拦河坝</w:t>
                  </w:r>
                  <w:r>
                    <w:rPr>
                      <w:rFonts w:hint="default" w:ascii="Times New Roman" w:hAnsi="Times New Roman" w:eastAsia="宋体" w:cs="Times New Roman"/>
                      <w:color w:val="000000" w:themeColor="text1"/>
                      <w:sz w:val="21"/>
                      <w:szCs w:val="21"/>
                      <w14:textFill>
                        <w14:solidFill>
                          <w14:schemeClr w14:val="tx1"/>
                        </w14:solidFill>
                      </w14:textFill>
                    </w:rPr>
                    <w:t>5座，</w:t>
                  </w:r>
                  <w:r>
                    <w:rPr>
                      <w:rFonts w:hint="default" w:ascii="Times New Roman" w:hAnsi="Times New Roman" w:eastAsia="宋体" w:cs="Times New Roman"/>
                      <w:color w:val="000000" w:themeColor="text1"/>
                      <w:spacing w:val="-10"/>
                      <w:sz w:val="21"/>
                      <w:szCs w:val="21"/>
                      <w14:textFill>
                        <w14:solidFill>
                          <w14:schemeClr w14:val="tx1"/>
                        </w14:solidFill>
                      </w14:textFill>
                    </w:rPr>
                    <w:t>加固拦河坝</w:t>
                  </w:r>
                  <w:r>
                    <w:rPr>
                      <w:rFonts w:hint="default" w:ascii="Times New Roman" w:hAnsi="Times New Roman" w:eastAsia="宋体" w:cs="Times New Roman"/>
                      <w:color w:val="000000" w:themeColor="text1"/>
                      <w:sz w:val="21"/>
                      <w:szCs w:val="21"/>
                      <w14:textFill>
                        <w14:solidFill>
                          <w14:schemeClr w14:val="tx1"/>
                        </w14:solidFill>
                      </w14:textFill>
                    </w:rPr>
                    <w:t>1座，拆建漫水桥1座（改建为桥涵）。</w:t>
                  </w:r>
                </w:p>
              </w:tc>
              <w:tc>
                <w:tcPr>
                  <w:tcW w:w="3489" w:type="dxa"/>
                  <w:noWrap w:val="0"/>
                  <w:vAlign w:val="center"/>
                </w:tcPr>
                <w:p w14:paraId="4123C58B">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①新建浆砌石挡墙568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、素砼挡墙1538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；②左岸挡墙修复100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2"/>
                      <w:sz w:val="21"/>
                      <w:szCs w:val="21"/>
                      <w14:textFill>
                        <w14:solidFill>
                          <w14:schemeClr w14:val="tx1"/>
                        </w14:solidFill>
                      </w14:textFill>
                    </w:rPr>
                    <w:t>，现状挡墙加</w:t>
                  </w:r>
                  <w:r>
                    <w:rPr>
                      <w:rFonts w:hint="default" w:ascii="Times New Roman" w:hAnsi="Times New Roman" w:eastAsia="宋体" w:cs="Times New Roman"/>
                      <w:color w:val="000000" w:themeColor="text1"/>
                      <w:sz w:val="21"/>
                      <w:szCs w:val="21"/>
                      <w14:textFill>
                        <w14:solidFill>
                          <w14:schemeClr w14:val="tx1"/>
                        </w14:solidFill>
                      </w14:textFill>
                    </w:rPr>
                    <w:t>高95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；③河道疏浚700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；④拆（新）建拦河坝5座，加固拦河坝1座，拆建漫水桥1座（改建为桥涵）。</w:t>
                  </w:r>
                </w:p>
              </w:tc>
            </w:tr>
          </w:tbl>
          <w:p w14:paraId="09E1C569">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（3）排水管网改造工程</w:t>
            </w:r>
          </w:p>
          <w:p w14:paraId="29B10584">
            <w:pPr>
              <w:keepNext w:val="0"/>
              <w:keepLines w:val="0"/>
              <w:pageBreakBefore w:val="0"/>
              <w:widowControl/>
              <w:suppressLineNumbers w:val="0"/>
              <w:spacing w:before="0" w:beforeAutospacing="0" w:after="0" w:afterAutospacing="0" w:line="360" w:lineRule="auto"/>
              <w:ind w:left="0" w:right="0" w:firstLine="480"/>
              <w:jc w:val="both"/>
              <w:rPr>
                <w:rFonts w:hint="default" w:ascii="Times New Roman" w:hAnsi="Times New Roman" w:eastAsia="宋体" w:cs="Times New Roman"/>
                <w:b/>
                <w:color w:val="000000" w:themeColor="text1"/>
                <w:spacing w:val="-28"/>
                <w:sz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整治工程坚持“系统治理、厂网并重、雨污分流、绿色韧性”的理念，针对幽芳河与柳林河沿岸区域、南岳花都片、衡山工业园片长期存在的雨水排放不畅、内涝频发、雨污混接、管网容量不足、调蓄能力弱等系统性问题，以系统治理、源头管控、韧性提升、智慧赋能为核心理念，全面推进雨水系统的整体性、结构性、前瞻性改造，构建“安全、生态、智慧、可持续”的城市管理体系。本次工程新建排水管网总长30.8k</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，并配套建设检查井、提升泵站等附属建筑物</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w:t>
            </w:r>
          </w:p>
          <w:p w14:paraId="2FBDEB98">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表2-4    排水管网新建工程建设内容详表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578"/>
              <w:gridCol w:w="1146"/>
              <w:gridCol w:w="2010"/>
              <w:gridCol w:w="2679"/>
            </w:tblGrid>
            <w:tr w14:paraId="4D168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21C9F96D">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578" w:type="dxa"/>
                  <w:noWrap w:val="0"/>
                  <w:vAlign w:val="center"/>
                </w:tcPr>
                <w:p w14:paraId="4D2BB9B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工程项目名称</w:t>
                  </w:r>
                </w:p>
              </w:tc>
              <w:tc>
                <w:tcPr>
                  <w:tcW w:w="1146" w:type="dxa"/>
                  <w:noWrap w:val="0"/>
                  <w:vAlign w:val="center"/>
                </w:tcPr>
                <w:p w14:paraId="2A9C93C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2010" w:type="dxa"/>
                  <w:noWrap w:val="0"/>
                  <w:vAlign w:val="center"/>
                </w:tcPr>
                <w:p w14:paraId="03794BA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2679" w:type="dxa"/>
                  <w:noWrap w:val="0"/>
                  <w:vAlign w:val="center"/>
                </w:tcPr>
                <w:p w14:paraId="6F1FC59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设计主要参数</w:t>
                  </w:r>
                </w:p>
              </w:tc>
            </w:tr>
            <w:tr w14:paraId="6E9BF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552BE36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578" w:type="dxa"/>
                  <w:noWrap w:val="0"/>
                  <w:vAlign w:val="center"/>
                </w:tcPr>
                <w:p w14:paraId="5A24DB8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幽芳河、柳林河片区排水管网新建工程</w:t>
                  </w:r>
                </w:p>
              </w:tc>
              <w:tc>
                <w:tcPr>
                  <w:tcW w:w="1146" w:type="dxa"/>
                  <w:noWrap w:val="0"/>
                  <w:vAlign w:val="center"/>
                </w:tcPr>
                <w:p w14:paraId="24A6E13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东石门社区、柳林河西片（柳林河左岸堤后）</w:t>
                  </w:r>
                </w:p>
              </w:tc>
              <w:tc>
                <w:tcPr>
                  <w:tcW w:w="2010" w:type="dxa"/>
                  <w:noWrap w:val="0"/>
                  <w:vAlign w:val="center"/>
                </w:tcPr>
                <w:p w14:paraId="25A66DD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排水管网总长19.34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，其中：幽芳河排水管网约13.74k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，设检查井270座，提升泵站1座。柳林河片区排水管网约5.6k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，设检查井127座。</w:t>
                  </w:r>
                </w:p>
              </w:tc>
              <w:tc>
                <w:tcPr>
                  <w:tcW w:w="2679" w:type="dxa"/>
                  <w:noWrap w:val="0"/>
                  <w:vAlign w:val="center"/>
                </w:tcPr>
                <w:p w14:paraId="3E0A097D">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幽芳河片区排水管网主管采用De315，均为HDPE</w:t>
                  </w:r>
                  <w:r>
                    <w:rPr>
                      <w:rFonts w:hint="default" w:ascii="Times New Roman" w:hAnsi="Times New Roman" w:eastAsia="宋体" w:cs="Times New Roman"/>
                      <w:color w:val="000000" w:themeColor="text1"/>
                      <w:spacing w:val="-11"/>
                      <w:sz w:val="21"/>
                      <w:szCs w:val="21"/>
                      <w14:textFill>
                        <w14:solidFill>
                          <w14:schemeClr w14:val="tx1"/>
                        </w14:solidFill>
                      </w14:textFill>
                    </w:rPr>
                    <w:t>排</w:t>
                  </w:r>
                  <w:r>
                    <w:rPr>
                      <w:rFonts w:hint="default" w:ascii="Times New Roman" w:hAnsi="Times New Roman" w:eastAsia="宋体" w:cs="Times New Roman"/>
                      <w:color w:val="000000" w:themeColor="text1"/>
                      <w:sz w:val="21"/>
                      <w:szCs w:val="21"/>
                      <w14:textFill>
                        <w14:solidFill>
                          <w14:schemeClr w14:val="tx1"/>
                        </w14:solidFill>
                      </w14:textFill>
                    </w:rPr>
                    <w:t>水管材；检查井Φ700；设计总处理规模约为70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/d。柳林河片区排水管网主管采用De315、De110，均为HDPE</w:t>
                  </w:r>
                  <w:r>
                    <w:rPr>
                      <w:rFonts w:hint="default" w:ascii="Times New Roman" w:hAnsi="Times New Roman" w:eastAsia="宋体" w:cs="Times New Roman"/>
                      <w:color w:val="000000" w:themeColor="text1"/>
                      <w:spacing w:val="-4"/>
                      <w:sz w:val="21"/>
                      <w:szCs w:val="21"/>
                      <w14:textFill>
                        <w14:solidFill>
                          <w14:schemeClr w14:val="tx1"/>
                        </w14:solidFill>
                      </w14:textFill>
                    </w:rPr>
                    <w:t>排水管</w:t>
                  </w:r>
                  <w:r>
                    <w:rPr>
                      <w:rFonts w:hint="default" w:ascii="Times New Roman" w:hAnsi="Times New Roman" w:eastAsia="宋体" w:cs="Times New Roman"/>
                      <w:color w:val="000000" w:themeColor="text1"/>
                      <w:sz w:val="21"/>
                      <w:szCs w:val="21"/>
                      <w14:textFill>
                        <w14:solidFill>
                          <w14:schemeClr w14:val="tx1"/>
                        </w14:solidFill>
                      </w14:textFill>
                    </w:rPr>
                    <w:t>材；检查井Φ700；设计总处理规模约为40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r>
            <w:tr w14:paraId="5C124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75FCA271">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578" w:type="dxa"/>
                  <w:noWrap w:val="0"/>
                  <w:vAlign w:val="center"/>
                </w:tcPr>
                <w:p w14:paraId="07960880">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南岳花都片排水管网新建工程</w:t>
                  </w:r>
                </w:p>
              </w:tc>
              <w:tc>
                <w:tcPr>
                  <w:tcW w:w="1146" w:type="dxa"/>
                  <w:noWrap w:val="0"/>
                  <w:vAlign w:val="center"/>
                </w:tcPr>
                <w:p w14:paraId="02DC0BC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南岳花都小区西侧绿地</w:t>
                  </w:r>
                </w:p>
              </w:tc>
              <w:tc>
                <w:tcPr>
                  <w:tcW w:w="2010" w:type="dxa"/>
                  <w:noWrap w:val="0"/>
                  <w:vAlign w:val="center"/>
                </w:tcPr>
                <w:p w14:paraId="1DC125B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排水管网约460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，检查井7座。</w:t>
                  </w:r>
                </w:p>
              </w:tc>
              <w:tc>
                <w:tcPr>
                  <w:tcW w:w="2679" w:type="dxa"/>
                  <w:noWrap w:val="0"/>
                  <w:vAlign w:val="center"/>
                </w:tcPr>
                <w:p w14:paraId="42681E4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主管采用d1.8钢筋混凝土III级管，检查井为钢筋混凝土井。设计排水流量7.3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w:t>
                  </w:r>
                </w:p>
              </w:tc>
            </w:tr>
            <w:tr w14:paraId="0D802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44992D9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578" w:type="dxa"/>
                  <w:noWrap w:val="0"/>
                  <w:vAlign w:val="center"/>
                </w:tcPr>
                <w:p w14:paraId="0258203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衡山工业园片排水管网新建工程</w:t>
                  </w:r>
                </w:p>
              </w:tc>
              <w:tc>
                <w:tcPr>
                  <w:tcW w:w="1146" w:type="dxa"/>
                  <w:noWrap w:val="0"/>
                  <w:vAlign w:val="center"/>
                </w:tcPr>
                <w:p w14:paraId="425C0F0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w:t>
                  </w:r>
                </w:p>
              </w:tc>
              <w:tc>
                <w:tcPr>
                  <w:tcW w:w="2010" w:type="dxa"/>
                  <w:noWrap w:val="0"/>
                  <w:vAlign w:val="center"/>
                </w:tcPr>
                <w:p w14:paraId="06B4B017">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排水管网约11k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，设检查井约214座。</w:t>
                  </w:r>
                </w:p>
              </w:tc>
              <w:tc>
                <w:tcPr>
                  <w:tcW w:w="2679" w:type="dxa"/>
                  <w:noWrap w:val="0"/>
                  <w:vAlign w:val="center"/>
                </w:tcPr>
                <w:p w14:paraId="48B92F4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幽芳河排水管网主管采用d500-d1200，为Ⅱ级钢筋混凝土管，检查井主要为Φ1000、Φ1200的钢筋混凝土检查井。箱涵采用1500×2000、2000×2000，2500×3000的矩形钢筋混凝土预制箱涵。</w:t>
                  </w:r>
                </w:p>
              </w:tc>
            </w:tr>
          </w:tbl>
          <w:p w14:paraId="661F317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14:textFill>
                  <w14:solidFill>
                    <w14:schemeClr w14:val="tx1"/>
                  </w14:solidFill>
                </w14:textFill>
              </w:rPr>
            </w:pPr>
          </w:p>
          <w:p w14:paraId="7CDF87B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14:textFill>
                  <w14:solidFill>
                    <w14:schemeClr w14:val="tx1"/>
                  </w14:solidFill>
                </w14:textFill>
              </w:rPr>
            </w:pPr>
          </w:p>
          <w:p w14:paraId="10DEC56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14:textFill>
                  <w14:solidFill>
                    <w14:schemeClr w14:val="tx1"/>
                  </w14:solidFill>
                </w14:textFill>
              </w:rPr>
            </w:pPr>
          </w:p>
          <w:p w14:paraId="4AA55E9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14:textFill>
                  <w14:solidFill>
                    <w14:schemeClr w14:val="tx1"/>
                  </w14:solidFill>
                </w14:textFill>
              </w:rPr>
            </w:pPr>
          </w:p>
          <w:p w14:paraId="6123DD6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14:textFill>
                  <w14:solidFill>
                    <w14:schemeClr w14:val="tx1"/>
                  </w14:solidFill>
                </w14:textFill>
              </w:rPr>
            </w:pPr>
          </w:p>
          <w:p w14:paraId="446C2D9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highlight w:val="none"/>
                <w:lang w:val="en-US"/>
                <w14:textFill>
                  <w14:solidFill>
                    <w14:schemeClr w14:val="tx1"/>
                  </w14:solidFill>
                </w14:textFill>
              </w:rPr>
              <w:t>具体的项目工程组成情况见表2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14:textFill>
                  <w14:solidFill>
                    <w14:schemeClr w14:val="tx1"/>
                  </w14:solidFill>
                </w14:textFill>
              </w:rPr>
              <w:t>。</w:t>
            </w:r>
          </w:p>
          <w:p w14:paraId="1D950EFC">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表2-5  本项目工程组成一览表</w:t>
            </w:r>
          </w:p>
          <w:tbl>
            <w:tblPr>
              <w:tblStyle w:val="39"/>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72"/>
              <w:gridCol w:w="1268"/>
              <w:gridCol w:w="5909"/>
            </w:tblGrid>
            <w:tr w14:paraId="728B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noWrap w:val="0"/>
                  <w:vAlign w:val="center"/>
                </w:tcPr>
                <w:p w14:paraId="1FB0FEF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bookmarkStart w:id="5" w:name="OLE_LINK9"/>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类别</w:t>
                  </w:r>
                </w:p>
              </w:tc>
              <w:tc>
                <w:tcPr>
                  <w:tcW w:w="1640" w:type="dxa"/>
                  <w:gridSpan w:val="2"/>
                  <w:noWrap w:val="0"/>
                  <w:vAlign w:val="center"/>
                </w:tcPr>
                <w:p w14:paraId="3BBB8F1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5909" w:type="dxa"/>
                  <w:noWrap w:val="0"/>
                  <w:vAlign w:val="center"/>
                </w:tcPr>
                <w:p w14:paraId="131B899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建设内容</w:t>
                  </w:r>
                </w:p>
              </w:tc>
            </w:tr>
            <w:tr w14:paraId="2664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3B10009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主体工程</w:t>
                  </w:r>
                </w:p>
              </w:tc>
              <w:tc>
                <w:tcPr>
                  <w:tcW w:w="372" w:type="dxa"/>
                  <w:vMerge w:val="restart"/>
                  <w:noWrap w:val="0"/>
                  <w:vAlign w:val="center"/>
                </w:tcPr>
                <w:p w14:paraId="0497859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区域排涝能力提升工程</w:t>
                  </w:r>
                </w:p>
                <w:p w14:paraId="1EC50F4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268" w:type="dxa"/>
                  <w:shd w:val="clear" w:color="auto" w:fill="auto"/>
                  <w:noWrap w:val="0"/>
                  <w:vAlign w:val="center"/>
                </w:tcPr>
                <w:p w14:paraId="5D13E88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西部新城排涝站</w:t>
                  </w:r>
                </w:p>
              </w:tc>
              <w:tc>
                <w:tcPr>
                  <w:tcW w:w="5909" w:type="dxa"/>
                  <w:shd w:val="clear" w:color="auto" w:fill="auto"/>
                  <w:noWrap w:val="0"/>
                  <w:vAlign w:val="center"/>
                </w:tcPr>
                <w:p w14:paraId="4F738C28">
                  <w:pPr>
                    <w:keepNext w:val="0"/>
                    <w:keepLines w:val="0"/>
                    <w:pageBreakBefore w:val="0"/>
                    <w:suppressLineNumbers w:val="0"/>
                    <w:tabs>
                      <w:tab w:val="left" w:pos="556"/>
                    </w:tabs>
                    <w:spacing w:before="0" w:beforeAutospacing="0" w:after="0" w:afterAutospacing="0" w:line="240" w:lineRule="auto"/>
                    <w:ind w:left="0" w:right="0" w:firstLine="0"/>
                    <w:jc w:val="both"/>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新建泵站1座，</w:t>
                  </w:r>
                  <w:r>
                    <w:rPr>
                      <w:rFonts w:hint="default" w:ascii="Times New Roman" w:hAnsi="Times New Roman" w:eastAsia="宋体" w:cs="Times New Roman"/>
                      <w:color w:val="000000" w:themeColor="text1"/>
                      <w:sz w:val="21"/>
                      <w:szCs w:val="21"/>
                      <w14:textFill>
                        <w14:solidFill>
                          <w14:schemeClr w14:val="tx1"/>
                        </w14:solidFill>
                      </w14:textFill>
                    </w:rPr>
                    <w:t>设计流量10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/s，选用4台立式轴流泵，单泵流量2.5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/s，总装机功率740kw。</w:t>
                  </w:r>
                </w:p>
              </w:tc>
            </w:tr>
            <w:tr w14:paraId="70C6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103094A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660FC6F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268" w:type="dxa"/>
                  <w:noWrap w:val="0"/>
                  <w:vAlign w:val="center"/>
                </w:tcPr>
                <w:p w14:paraId="3BFF057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5909" w:type="dxa"/>
                  <w:noWrap w:val="0"/>
                  <w:vAlign w:val="center"/>
                </w:tcPr>
                <w:p w14:paraId="607E1420">
                  <w:pPr>
                    <w:keepNext w:val="0"/>
                    <w:keepLines w:val="0"/>
                    <w:pageBreakBefore w:val="0"/>
                    <w:suppressLineNumbers w:val="0"/>
                    <w:tabs>
                      <w:tab w:val="left" w:pos="556"/>
                    </w:tabs>
                    <w:spacing w:before="0" w:beforeAutospacing="0" w:after="0" w:afterAutospacing="0" w:line="240" w:lineRule="auto"/>
                    <w:ind w:left="0" w:right="0" w:firstLine="0"/>
                    <w:jc w:val="both"/>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北侧边沟长3.7km，其中：矩形排涝沟长1.65km，净宽2m、深1.5m；梯形断面排涝沟长2.05km，底宽2m，口宽约8m，边坡1：1.5，采用联锁块护坡。</w:t>
                  </w:r>
                </w:p>
              </w:tc>
            </w:tr>
            <w:tr w14:paraId="3452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0ACFB90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470AAAF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noWrap w:val="0"/>
                  <w:vAlign w:val="center"/>
                </w:tcPr>
                <w:p w14:paraId="4C355AA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5909" w:type="dxa"/>
                  <w:noWrap w:val="0"/>
                  <w:vAlign w:val="center"/>
                </w:tcPr>
                <w:p w14:paraId="460C456B">
                  <w:pPr>
                    <w:keepNext w:val="0"/>
                    <w:keepLines w:val="0"/>
                    <w:pageBreakBefore w:val="0"/>
                    <w:suppressLineNumbers w:val="0"/>
                    <w:tabs>
                      <w:tab w:val="left" w:pos="556"/>
                    </w:tabs>
                    <w:spacing w:before="0" w:beforeAutospacing="0" w:after="0" w:afterAutospacing="0" w:line="240" w:lineRule="auto"/>
                    <w:ind w:left="0" w:right="0" w:firstLine="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2.58km，矩形断面，净宽2m、深1.5m。</w:t>
                  </w:r>
                </w:p>
              </w:tc>
            </w:tr>
            <w:tr w14:paraId="3131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69E8D0D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3F4B239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noWrap w:val="0"/>
                  <w:vAlign w:val="center"/>
                </w:tcPr>
                <w:p w14:paraId="12BFD46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5909" w:type="dxa"/>
                  <w:noWrap w:val="0"/>
                  <w:vAlign w:val="center"/>
                </w:tcPr>
                <w:p w14:paraId="4DCE49F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改造排涝沟2.585k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sz w:val="21"/>
                      <w:szCs w:val="21"/>
                      <w14:textFill>
                        <w14:solidFill>
                          <w14:schemeClr w14:val="tx1"/>
                        </w14:solidFill>
                      </w14:textFill>
                    </w:rPr>
                    <w:t>矩形断面，分为规格</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4"/>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pacing w:val="-15"/>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4.5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8"/>
                      <w:sz w:val="21"/>
                      <w:szCs w:val="21"/>
                      <w14:textFill>
                        <w14:solidFill>
                          <w14:schemeClr w14:val="tx1"/>
                        </w14:solidFill>
                      </w14:textFill>
                    </w:rPr>
                    <w:t>、深</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A20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6C753CB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3E16FCC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noWrap w:val="0"/>
                  <w:vAlign w:val="center"/>
                </w:tcPr>
                <w:p w14:paraId="58B13BA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5909" w:type="dxa"/>
                  <w:noWrap w:val="0"/>
                  <w:vAlign w:val="center"/>
                </w:tcPr>
                <w:p w14:paraId="5558A1D2">
                  <w:pPr>
                    <w:keepNext w:val="0"/>
                    <w:keepLines w:val="0"/>
                    <w:pageBreakBefore w:val="0"/>
                    <w:suppressLineNumbers w:val="0"/>
                    <w:tabs>
                      <w:tab w:val="left" w:pos="556"/>
                    </w:tabs>
                    <w:spacing w:before="0" w:beforeAutospacing="0" w:after="0" w:afterAutospacing="0" w:line="240" w:lineRule="auto"/>
                    <w:ind w:left="0" w:right="0" w:firstLine="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1.2km，梯形断面，底宽2m，口宽约6~8m，边坡1：1.5，采用联锁块护坡。</w:t>
                  </w:r>
                </w:p>
              </w:tc>
            </w:tr>
            <w:tr w14:paraId="0CDC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2709550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75680FC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noWrap w:val="0"/>
                  <w:vAlign w:val="center"/>
                </w:tcPr>
                <w:p w14:paraId="368E494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戴家河排涝片</w:t>
                  </w:r>
                </w:p>
              </w:tc>
              <w:tc>
                <w:tcPr>
                  <w:tcW w:w="5909" w:type="dxa"/>
                  <w:noWrap w:val="0"/>
                  <w:vAlign w:val="center"/>
                </w:tcPr>
                <w:p w14:paraId="4BD6B5CD">
                  <w:pPr>
                    <w:keepNext w:val="0"/>
                    <w:keepLines w:val="0"/>
                    <w:pageBreakBefore w:val="0"/>
                    <w:suppressLineNumbers w:val="0"/>
                    <w:tabs>
                      <w:tab w:val="left" w:pos="556"/>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拆建穿路涵13座，改造排涝沟总长1.425k</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。（1）拆建穿路涵共计13座，其中：S332穿路涵1座，尺寸3×1.8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，长37</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；1#、2#、3#穿路涵3座，尺寸3×1.8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，长9</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；4#穿路涵1座，尺寸3×3.8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，长7.3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。另拆建穿路管涵8座，管径0.5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。（2）拆建1#排涝沟135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，尺寸1.5×1.5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；新建2#排涝沟630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，尺寸2×1.8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；清淤护砌3#排涝沟630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；新建4#排涝沟30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，尺寸4×1.8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。（4#排涝沟与3#穿路涵衔接）</w:t>
                  </w:r>
                </w:p>
              </w:tc>
            </w:tr>
            <w:tr w14:paraId="4924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50FFE86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restart"/>
                  <w:noWrap w:val="0"/>
                  <w:vAlign w:val="center"/>
                </w:tcPr>
                <w:p w14:paraId="041A902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城区排涝通道整治工程</w:t>
                  </w:r>
                </w:p>
              </w:tc>
              <w:tc>
                <w:tcPr>
                  <w:tcW w:w="1268" w:type="dxa"/>
                  <w:noWrap w:val="0"/>
                  <w:vAlign w:val="center"/>
                </w:tcPr>
                <w:p w14:paraId="78013F7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幽芳河排涝通道整治</w:t>
                  </w:r>
                </w:p>
              </w:tc>
              <w:tc>
                <w:tcPr>
                  <w:tcW w:w="5909" w:type="dxa"/>
                  <w:noWrap w:val="0"/>
                  <w:vAlign w:val="center"/>
                </w:tcPr>
                <w:p w14:paraId="1750D92B">
                  <w:pPr>
                    <w:keepNext w:val="0"/>
                    <w:keepLines w:val="0"/>
                    <w:pageBreakBefore w:val="0"/>
                    <w:suppressLineNumbers w:val="0"/>
                    <w:tabs>
                      <w:tab w:val="left" w:pos="556"/>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东石门水库~高庙河，长6.36k</w:t>
                  </w:r>
                  <w:r>
                    <w:rPr>
                      <w:rFonts w:hint="default" w:ascii="Times New Roman" w:hAnsi="Times New Roman" w:eastAsia="宋体" w:cs="Times New Roman"/>
                      <w:color w:val="000000" w:themeColor="text1"/>
                      <w:sz w:val="21"/>
                      <w:szCs w:val="21"/>
                      <w:lang w:eastAsia="zh-CN"/>
                      <w14:textFill>
                        <w14:solidFill>
                          <w14:schemeClr w14:val="tx1"/>
                        </w14:solidFill>
                      </w14:textFill>
                    </w:rPr>
                    <w:t>m；河道疏拓6.36km，防洪达标2.4km，护岸加固12.72km，拆（新）建蓄水建筑物7座，改造防汛道路1.8km。</w:t>
                  </w:r>
                </w:p>
              </w:tc>
            </w:tr>
            <w:tr w14:paraId="0ED9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1DD0EC1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341DACE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268" w:type="dxa"/>
                  <w:noWrap w:val="0"/>
                  <w:vAlign w:val="center"/>
                </w:tcPr>
                <w:p w14:paraId="4D14D0F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高庙河排涝通道整治</w:t>
                  </w:r>
                </w:p>
              </w:tc>
              <w:tc>
                <w:tcPr>
                  <w:tcW w:w="5909" w:type="dxa"/>
                  <w:noWrap w:val="0"/>
                  <w:vAlign w:val="center"/>
                </w:tcPr>
                <w:p w14:paraId="25BE8911">
                  <w:pPr>
                    <w:keepNext w:val="0"/>
                    <w:keepLines w:val="0"/>
                    <w:pageBreakBefore w:val="0"/>
                    <w:suppressLineNumbers w:val="0"/>
                    <w:tabs>
                      <w:tab w:val="left" w:pos="556"/>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牛角冲水库~东淠河，长5.65k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新建护岸7.22k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，石笼固脚3.19k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，拆（新）建蓄水建筑物4座，新建巡查便道0.525k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，新建防洪墙0.8k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r>
            <w:tr w14:paraId="6264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3F5FC2F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5AA5A76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noWrap w:val="0"/>
                  <w:vAlign w:val="center"/>
                </w:tcPr>
                <w:p w14:paraId="7AC14AB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柳林河排涝通道整治</w:t>
                  </w:r>
                </w:p>
              </w:tc>
              <w:tc>
                <w:tcPr>
                  <w:tcW w:w="5909" w:type="dxa"/>
                  <w:noWrap w:val="0"/>
                  <w:vAlign w:val="center"/>
                </w:tcPr>
                <w:p w14:paraId="432057AC">
                  <w:pPr>
                    <w:keepNext w:val="0"/>
                    <w:keepLines w:val="0"/>
                    <w:pageBreakBefore w:val="0"/>
                    <w:suppressLineNumbers w:val="0"/>
                    <w:tabs>
                      <w:tab w:val="left" w:pos="556"/>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团结水库~东淠河，长11.1k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3.415k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6"/>
                      <w:sz w:val="21"/>
                      <w:szCs w:val="21"/>
                      <w14:textFill>
                        <w14:solidFill>
                          <w14:schemeClr w14:val="tx1"/>
                        </w14:solidFill>
                      </w14:textFill>
                    </w:rPr>
                    <w:t>、护</w:t>
                  </w:r>
                  <w:r>
                    <w:rPr>
                      <w:rFonts w:hint="default" w:ascii="Times New Roman" w:hAnsi="Times New Roman" w:eastAsia="宋体" w:cs="Times New Roman"/>
                      <w:color w:val="000000" w:themeColor="text1"/>
                      <w:spacing w:val="-28"/>
                      <w:sz w:val="21"/>
                      <w:szCs w:val="21"/>
                      <w14:textFill>
                        <w14:solidFill>
                          <w14:schemeClr w14:val="tx1"/>
                        </w14:solidFill>
                      </w14:textFill>
                    </w:rPr>
                    <w:t>坡</w:t>
                  </w:r>
                  <w:r>
                    <w:rPr>
                      <w:rFonts w:hint="default" w:ascii="Times New Roman" w:hAnsi="Times New Roman" w:eastAsia="宋体" w:cs="Times New Roman"/>
                      <w:color w:val="000000" w:themeColor="text1"/>
                      <w:sz w:val="21"/>
                      <w:szCs w:val="21"/>
                      <w14:textFill>
                        <w14:solidFill>
                          <w14:schemeClr w14:val="tx1"/>
                        </w14:solidFill>
                      </w14:textFill>
                    </w:rPr>
                    <w:t>5.28k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，石笼固脚9.19k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，堤防封闭300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，加固拦河坝2座，拆建防洪闸1座，拆建（加固）排涝涵5座，堤顶防汛道路白改黑长7.2k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，水毁段修复16处。</w:t>
                  </w:r>
                </w:p>
              </w:tc>
            </w:tr>
            <w:tr w14:paraId="2F5B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497046C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3E397B0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noWrap w:val="0"/>
                  <w:vAlign w:val="center"/>
                </w:tcPr>
                <w:p w14:paraId="7146789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新店河排涝通道整治</w:t>
                  </w:r>
                </w:p>
              </w:tc>
              <w:tc>
                <w:tcPr>
                  <w:tcW w:w="5909" w:type="dxa"/>
                  <w:noWrap w:val="0"/>
                  <w:vAlign w:val="center"/>
                </w:tcPr>
                <w:p w14:paraId="2270C228">
                  <w:pPr>
                    <w:keepNext w:val="0"/>
                    <w:keepLines w:val="0"/>
                    <w:pageBreakBefore w:val="0"/>
                    <w:suppressLineNumbers w:val="0"/>
                    <w:tabs>
                      <w:tab w:val="left" w:pos="556"/>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印墩村~入戴家河河口，长2.51k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2.106k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，现</w:t>
                  </w:r>
                  <w:r>
                    <w:rPr>
                      <w:rFonts w:hint="default" w:ascii="Times New Roman" w:hAnsi="Times New Roman" w:eastAsia="宋体" w:cs="Times New Roman"/>
                      <w:color w:val="000000" w:themeColor="text1"/>
                      <w:spacing w:val="-11"/>
                      <w:sz w:val="21"/>
                      <w:szCs w:val="21"/>
                      <w14:textFill>
                        <w14:solidFill>
                          <w14:schemeClr w14:val="tx1"/>
                        </w14:solidFill>
                      </w14:textFill>
                    </w:rPr>
                    <w:t>状护岸改造</w:t>
                  </w:r>
                  <w:r>
                    <w:rPr>
                      <w:rFonts w:hint="default" w:ascii="Times New Roman" w:hAnsi="Times New Roman" w:eastAsia="宋体" w:cs="Times New Roman"/>
                      <w:color w:val="000000" w:themeColor="text1"/>
                      <w:sz w:val="21"/>
                      <w:szCs w:val="21"/>
                      <w14:textFill>
                        <w14:solidFill>
                          <w14:schemeClr w14:val="tx1"/>
                        </w14:solidFill>
                      </w14:textFill>
                    </w:rPr>
                    <w:t>0.195k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1"/>
                      <w:sz w:val="21"/>
                      <w:szCs w:val="21"/>
                      <w14:textFill>
                        <w14:solidFill>
                          <w14:schemeClr w14:val="tx1"/>
                        </w14:solidFill>
                      </w14:textFill>
                    </w:rPr>
                    <w:t>河道疏浚</w:t>
                  </w:r>
                  <w:r>
                    <w:rPr>
                      <w:rFonts w:hint="default" w:ascii="Times New Roman" w:hAnsi="Times New Roman" w:eastAsia="宋体" w:cs="Times New Roman"/>
                      <w:color w:val="000000" w:themeColor="text1"/>
                      <w:sz w:val="21"/>
                      <w:szCs w:val="21"/>
                      <w14:textFill>
                        <w14:solidFill>
                          <w14:schemeClr w14:val="tx1"/>
                        </w14:solidFill>
                      </w14:textFill>
                    </w:rPr>
                    <w:t>0.7k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w:t>
                  </w:r>
                  <w:r>
                    <w:rPr>
                      <w:rFonts w:hint="default" w:ascii="Times New Roman" w:hAnsi="Times New Roman" w:eastAsia="宋体" w:cs="Times New Roman"/>
                      <w:color w:val="000000" w:themeColor="text1"/>
                      <w:spacing w:val="-12"/>
                      <w:sz w:val="21"/>
                      <w:szCs w:val="21"/>
                      <w14:textFill>
                        <w14:solidFill>
                          <w14:schemeClr w14:val="tx1"/>
                        </w14:solidFill>
                      </w14:textFill>
                    </w:rPr>
                    <w:t>建拦河坝</w:t>
                  </w:r>
                  <w:r>
                    <w:rPr>
                      <w:rFonts w:hint="default" w:ascii="Times New Roman" w:hAnsi="Times New Roman" w:eastAsia="宋体" w:cs="Times New Roman"/>
                      <w:color w:val="000000" w:themeColor="text1"/>
                      <w:sz w:val="21"/>
                      <w:szCs w:val="21"/>
                      <w14:textFill>
                        <w14:solidFill>
                          <w14:schemeClr w14:val="tx1"/>
                        </w14:solidFill>
                      </w14:textFill>
                    </w:rPr>
                    <w:t>5座，</w:t>
                  </w:r>
                  <w:r>
                    <w:rPr>
                      <w:rFonts w:hint="default" w:ascii="Times New Roman" w:hAnsi="Times New Roman" w:eastAsia="宋体" w:cs="Times New Roman"/>
                      <w:color w:val="000000" w:themeColor="text1"/>
                      <w:spacing w:val="-10"/>
                      <w:sz w:val="21"/>
                      <w:szCs w:val="21"/>
                      <w14:textFill>
                        <w14:solidFill>
                          <w14:schemeClr w14:val="tx1"/>
                        </w14:solidFill>
                      </w14:textFill>
                    </w:rPr>
                    <w:t>加固拦河坝</w:t>
                  </w:r>
                  <w:r>
                    <w:rPr>
                      <w:rFonts w:hint="default" w:ascii="Times New Roman" w:hAnsi="Times New Roman" w:eastAsia="宋体" w:cs="Times New Roman"/>
                      <w:color w:val="000000" w:themeColor="text1"/>
                      <w:sz w:val="21"/>
                      <w:szCs w:val="21"/>
                      <w14:textFill>
                        <w14:solidFill>
                          <w14:schemeClr w14:val="tx1"/>
                        </w14:solidFill>
                      </w14:textFill>
                    </w:rPr>
                    <w:t>1座，拆建漫水桥1座（改建为桥涵）。</w:t>
                  </w:r>
                </w:p>
              </w:tc>
            </w:tr>
            <w:tr w14:paraId="3C0D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276311A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restart"/>
                  <w:noWrap w:val="0"/>
                  <w:vAlign w:val="center"/>
                </w:tcPr>
                <w:p w14:paraId="6C36365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排水管网改造工程</w:t>
                  </w:r>
                </w:p>
              </w:tc>
              <w:tc>
                <w:tcPr>
                  <w:tcW w:w="1268" w:type="dxa"/>
                  <w:noWrap w:val="0"/>
                  <w:vAlign w:val="center"/>
                </w:tcPr>
                <w:p w14:paraId="5C3C22E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幽芳河、柳林河片区排水管网新建工程</w:t>
                  </w:r>
                </w:p>
              </w:tc>
              <w:tc>
                <w:tcPr>
                  <w:tcW w:w="5909" w:type="dxa"/>
                  <w:noWrap w:val="0"/>
                  <w:vAlign w:val="center"/>
                </w:tcPr>
                <w:p w14:paraId="3E84895C">
                  <w:pPr>
                    <w:keepNext w:val="0"/>
                    <w:keepLines w:val="0"/>
                    <w:pageBreakBefore w:val="0"/>
                    <w:suppressLineNumbers w:val="0"/>
                    <w:tabs>
                      <w:tab w:val="left" w:pos="556"/>
                    </w:tabs>
                    <w:spacing w:before="0" w:beforeAutospacing="0" w:after="0" w:afterAutospacing="0" w:line="240" w:lineRule="auto"/>
                    <w:ind w:left="0" w:right="0" w:firstLine="0"/>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东石门社区、柳林河西片（柳林河左岸堤后）</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排水管网总长19.34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，其中：幽芳河排水管网约13.74k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，设检查井270座，提升泵站1座。柳林河片区排水管网约5.6k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，设检查井127座。</w:t>
                  </w:r>
                </w:p>
              </w:tc>
            </w:tr>
            <w:tr w14:paraId="7F7B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29C4117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2E9FB45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268" w:type="dxa"/>
                  <w:noWrap w:val="0"/>
                  <w:vAlign w:val="center"/>
                </w:tcPr>
                <w:p w14:paraId="2588486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南岳花都片排水管网新建工程</w:t>
                  </w:r>
                </w:p>
              </w:tc>
              <w:tc>
                <w:tcPr>
                  <w:tcW w:w="5909" w:type="dxa"/>
                  <w:noWrap w:val="0"/>
                  <w:vAlign w:val="center"/>
                </w:tcPr>
                <w:p w14:paraId="243123F9">
                  <w:pPr>
                    <w:keepNext w:val="0"/>
                    <w:keepLines w:val="0"/>
                    <w:pageBreakBefore w:val="0"/>
                    <w:suppressLineNumbers w:val="0"/>
                    <w:tabs>
                      <w:tab w:val="left" w:pos="556"/>
                    </w:tabs>
                    <w:spacing w:before="0" w:beforeAutospacing="0" w:after="0" w:afterAutospacing="0" w:line="240" w:lineRule="auto"/>
                    <w:ind w:left="0" w:right="0" w:firstLine="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南岳花都小区西侧绿地</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排水管网约460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，检查井7座。</w:t>
                  </w:r>
                </w:p>
              </w:tc>
            </w:tr>
            <w:tr w14:paraId="3358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221D2F9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noWrap w:val="0"/>
                  <w:vAlign w:val="center"/>
                </w:tcPr>
                <w:p w14:paraId="6CE06AA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noWrap w:val="0"/>
                  <w:vAlign w:val="center"/>
                </w:tcPr>
                <w:p w14:paraId="504C3E2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衡山工业园片排水管网新建工程</w:t>
                  </w:r>
                </w:p>
              </w:tc>
              <w:tc>
                <w:tcPr>
                  <w:tcW w:w="5909" w:type="dxa"/>
                  <w:noWrap w:val="0"/>
                  <w:vAlign w:val="center"/>
                </w:tcPr>
                <w:p w14:paraId="56971A8F">
                  <w:pPr>
                    <w:keepNext w:val="0"/>
                    <w:keepLines w:val="0"/>
                    <w:pageBreakBefore w:val="0"/>
                    <w:suppressLineNumbers w:val="0"/>
                    <w:tabs>
                      <w:tab w:val="left" w:pos="556"/>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排水管网约11k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，设检查井约214座。</w:t>
                  </w:r>
                </w:p>
              </w:tc>
            </w:tr>
            <w:tr w14:paraId="71CB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2CD1E11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临时工程</w:t>
                  </w:r>
                </w:p>
              </w:tc>
              <w:tc>
                <w:tcPr>
                  <w:tcW w:w="1640" w:type="dxa"/>
                  <w:gridSpan w:val="2"/>
                  <w:noWrap w:val="0"/>
                  <w:vAlign w:val="center"/>
                </w:tcPr>
                <w:p w14:paraId="1722F93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施工临时道路</w:t>
                  </w:r>
                </w:p>
              </w:tc>
              <w:tc>
                <w:tcPr>
                  <w:tcW w:w="5909" w:type="dxa"/>
                  <w:noWrap w:val="0"/>
                  <w:vAlign w:val="center"/>
                </w:tcPr>
                <w:p w14:paraId="77A8433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西部新城排涝站工程站址处有防汛道路相连，城区排涝通道整治工程和排水管新建工程中，工程沿线均有市政道路联通，场内交通便利。项目仅局部要修建临时道路便于材料和机械进场。</w:t>
                  </w:r>
                </w:p>
              </w:tc>
            </w:tr>
            <w:tr w14:paraId="7507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654D0969">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noWrap w:val="0"/>
                  <w:vAlign w:val="center"/>
                </w:tcPr>
                <w:p w14:paraId="2F508E7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临时施工区</w:t>
                  </w:r>
                </w:p>
              </w:tc>
              <w:tc>
                <w:tcPr>
                  <w:tcW w:w="5909" w:type="dxa"/>
                  <w:noWrap w:val="0"/>
                  <w:vAlign w:val="center"/>
                </w:tcPr>
                <w:p w14:paraId="13A3940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不设</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施工营地</w:t>
                  </w:r>
                  <w:r>
                    <w:rPr>
                      <w:rFonts w:hint="default" w:ascii="Times New Roman" w:hAnsi="Times New Roman" w:eastAsia="宋体" w:cs="Times New Roman"/>
                      <w:bCs/>
                      <w:color w:val="000000" w:themeColor="text1"/>
                      <w:sz w:val="21"/>
                      <w:szCs w:val="21"/>
                      <w:highlight w:val="none"/>
                      <w14:textFill>
                        <w14:solidFill>
                          <w14:schemeClr w14:val="tx1"/>
                        </w14:solidFill>
                      </w14:textFill>
                    </w:rPr>
                    <w:t>；项目施工期较短，施工期施工人员依托周边村庄居住</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；施工结束后对临时施工区进行土地平整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播撒草籽</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，施工过程中采取洒水降尘、彩钢板拦挡等措施。</w:t>
                  </w:r>
                </w:p>
              </w:tc>
            </w:tr>
            <w:tr w14:paraId="1F2C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1CE4F8EC">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noWrap w:val="0"/>
                  <w:vAlign w:val="center"/>
                </w:tcPr>
                <w:p w14:paraId="5DC8F2C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临时堆土场</w:t>
                  </w:r>
                </w:p>
              </w:tc>
              <w:tc>
                <w:tcPr>
                  <w:tcW w:w="5909" w:type="dxa"/>
                  <w:noWrap w:val="0"/>
                  <w:vAlign w:val="center"/>
                </w:tcPr>
                <w:p w14:paraId="5B8CA2F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本工程部分泵站主泵房全年施工，涉水工作面选择枯水期施工。考虑工程开挖与填筑时序的不匹配，在泵站施工区附近设置临时堆土场，暂存用于后续填筑的基坑开挖土石料。</w:t>
                  </w:r>
                  <w:r>
                    <w:rPr>
                      <w:rFonts w:hint="eastAsia" w:cs="Times New Roman"/>
                      <w:bCs/>
                      <w:color w:val="000000" w:themeColor="text1"/>
                      <w:sz w:val="21"/>
                      <w:szCs w:val="21"/>
                      <w:highlight w:val="none"/>
                      <w:lang w:val="en-US" w:eastAsia="zh-CN"/>
                      <w14:textFill>
                        <w14:solidFill>
                          <w14:schemeClr w14:val="tx1"/>
                        </w14:solidFill>
                      </w14:textFill>
                    </w:rPr>
                    <w:t>河道疏浚、清淤及</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余方土由县矿产公司统一运输安置</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14:paraId="7531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6F66302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公用工程</w:t>
                  </w:r>
                </w:p>
              </w:tc>
              <w:tc>
                <w:tcPr>
                  <w:tcW w:w="1640" w:type="dxa"/>
                  <w:gridSpan w:val="2"/>
                  <w:noWrap w:val="0"/>
                  <w:vAlign w:val="center"/>
                </w:tcPr>
                <w:p w14:paraId="6A93E05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给水</w:t>
                  </w:r>
                </w:p>
              </w:tc>
              <w:tc>
                <w:tcPr>
                  <w:tcW w:w="5909" w:type="dxa"/>
                  <w:noWrap w:val="0"/>
                  <w:vAlign w:val="center"/>
                </w:tcPr>
                <w:p w14:paraId="63751AB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施工用水就近取用</w:t>
                  </w:r>
                </w:p>
              </w:tc>
            </w:tr>
            <w:tr w14:paraId="58EB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558DDBC9">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noWrap w:val="0"/>
                  <w:vAlign w:val="center"/>
                </w:tcPr>
                <w:p w14:paraId="5DA582C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排水</w:t>
                  </w:r>
                </w:p>
              </w:tc>
              <w:tc>
                <w:tcPr>
                  <w:tcW w:w="5909" w:type="dxa"/>
                  <w:noWrap w:val="0"/>
                  <w:vAlign w:val="center"/>
                </w:tcPr>
                <w:p w14:paraId="3AE277D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施工废水沉淀后用于场地泼洒抑尘；生活污水排放依托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附近</w:t>
                  </w:r>
                  <w:r>
                    <w:rPr>
                      <w:rFonts w:hint="default" w:ascii="Times New Roman" w:hAnsi="Times New Roman" w:eastAsia="宋体" w:cs="Times New Roman"/>
                      <w:color w:val="000000" w:themeColor="text1"/>
                      <w:sz w:val="21"/>
                      <w:szCs w:val="21"/>
                      <w:highlight w:val="none"/>
                      <w14:textFill>
                        <w14:solidFill>
                          <w14:schemeClr w14:val="tx1"/>
                        </w14:solidFill>
                      </w14:textFill>
                    </w:rPr>
                    <w:t>租用民房</w:t>
                  </w:r>
                </w:p>
              </w:tc>
            </w:tr>
            <w:tr w14:paraId="113D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47FF088C">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noWrap w:val="0"/>
                  <w:vAlign w:val="center"/>
                </w:tcPr>
                <w:p w14:paraId="4C7222E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供电</w:t>
                  </w:r>
                </w:p>
              </w:tc>
              <w:tc>
                <w:tcPr>
                  <w:tcW w:w="5909" w:type="dxa"/>
                  <w:noWrap w:val="0"/>
                  <w:vAlign w:val="center"/>
                </w:tcPr>
                <w:p w14:paraId="773948A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工程用电负荷较小，可就近接用附近电网</w:t>
                  </w:r>
                </w:p>
              </w:tc>
            </w:tr>
            <w:tr w14:paraId="5B87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696357F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环保工程</w:t>
                  </w:r>
                </w:p>
              </w:tc>
              <w:tc>
                <w:tcPr>
                  <w:tcW w:w="1640" w:type="dxa"/>
                  <w:gridSpan w:val="2"/>
                  <w:noWrap w:val="0"/>
                  <w:vAlign w:val="center"/>
                </w:tcPr>
                <w:p w14:paraId="634111D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废气防治措施</w:t>
                  </w:r>
                </w:p>
              </w:tc>
              <w:tc>
                <w:tcPr>
                  <w:tcW w:w="5909" w:type="dxa"/>
                  <w:noWrap w:val="0"/>
                  <w:vAlign w:val="center"/>
                </w:tcPr>
                <w:p w14:paraId="55F9A119">
                  <w:pPr>
                    <w:keepNext w:val="0"/>
                    <w:keepLines w:val="0"/>
                    <w:pageBreakBefore w:val="0"/>
                    <w:widowControl w:val="0"/>
                    <w:suppressLineNumbers w:val="0"/>
                    <w:spacing w:before="0" w:beforeAutospacing="0" w:after="0" w:afterAutospacing="0" w:line="240" w:lineRule="auto"/>
                    <w:ind w:left="0" w:righ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施工期</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严格落实施工过程“六个百分百”中相关要求。沿施工现场四周连续设置施工围挡；施工现场出入口及现场内主要道路应进行混凝土硬化或铺设钢板；现场裸土应采取覆盖等措施，施工现场建筑材料和其他易飞扬的细颗粒建筑材料应密闭存放或采取密目网覆盖等措施；施工现场应采用机械喷雾与人工洒水相结合的方式有效控制施工扬尘；施工现场出入口应设置车辆冲洗设施，运输土石方、散装物料、建筑垃圾等车辆，密闭且冲洗后方可驶出施工现场，严禁车辆带泥上路。加强对施工机械、运输车辆的维修保养禁止以柴油为燃料的施工机械超负荷工作。</w:t>
                  </w:r>
                </w:p>
                <w:p w14:paraId="7DAEFF3F">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运营期：</w:t>
                  </w:r>
                  <w:r>
                    <w:rPr>
                      <w:rFonts w:hint="default" w:ascii="Times New Roman" w:hAnsi="Times New Roman" w:eastAsia="宋体" w:cs="Times New Roman"/>
                      <w:b w:val="0"/>
                      <w:bCs w:val="0"/>
                      <w:color w:val="000000" w:themeColor="text1"/>
                      <w:sz w:val="21"/>
                      <w:szCs w:val="21"/>
                      <w14:textFill>
                        <w14:solidFill>
                          <w14:schemeClr w14:val="tx1"/>
                        </w14:solidFill>
                      </w14:textFill>
                    </w:rPr>
                    <w:t>项目区内无废气污染源</w:t>
                  </w:r>
                </w:p>
              </w:tc>
            </w:tr>
            <w:tr w14:paraId="090E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6867FBDB">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noWrap w:val="0"/>
                  <w:vAlign w:val="center"/>
                </w:tcPr>
                <w:p w14:paraId="35BCD10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废水治理措施</w:t>
                  </w:r>
                </w:p>
              </w:tc>
              <w:tc>
                <w:tcPr>
                  <w:tcW w:w="5909" w:type="dxa"/>
                  <w:noWrap w:val="0"/>
                  <w:vAlign w:val="center"/>
                </w:tcPr>
                <w:p w14:paraId="2CF9DFB1">
                  <w:pPr>
                    <w:keepNext w:val="0"/>
                    <w:keepLines w:val="0"/>
                    <w:pageBreakBefore w:val="0"/>
                    <w:widowControl w:val="0"/>
                    <w:suppressLineNumbers w:val="0"/>
                    <w:spacing w:before="0" w:beforeAutospacing="0" w:after="0" w:afterAutospacing="0" w:line="240" w:lineRule="auto"/>
                    <w:ind w:left="0" w:righ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14:textFill>
                        <w14:solidFill>
                          <w14:schemeClr w14:val="tx1"/>
                        </w14:solidFill>
                      </w14:textFill>
                    </w:rPr>
                    <w:t>施工人员住宿全部通过就近租住民宅解决，生活污水经租住的民宅内的化粪池收集后用于农肥，不外排；车辆、设备冲洗废水经隔油、沉淀处理后回用于车辆冲洗、洒水降尘，不外排；</w:t>
                  </w:r>
                  <w:r>
                    <w:rPr>
                      <w:rFonts w:hint="default" w:ascii="Times New Roman" w:hAnsi="Times New Roman" w:eastAsia="宋体" w:cs="Times New Roman"/>
                      <w:color w:val="000000" w:themeColor="text1"/>
                      <w:sz w:val="21"/>
                      <w:szCs w:val="21"/>
                      <w:lang w:eastAsia="zh-CN"/>
                      <w14:textFill>
                        <w14:solidFill>
                          <w14:schemeClr w14:val="tx1"/>
                        </w14:solidFill>
                      </w14:textFill>
                    </w:rPr>
                    <w:t>围堰及</w:t>
                  </w:r>
                  <w:r>
                    <w:rPr>
                      <w:rFonts w:hint="default" w:ascii="Times New Roman" w:hAnsi="Times New Roman" w:eastAsia="宋体" w:cs="Times New Roman"/>
                      <w:color w:val="000000" w:themeColor="text1"/>
                      <w:sz w:val="21"/>
                      <w:szCs w:val="21"/>
                      <w14:textFill>
                        <w14:solidFill>
                          <w14:schemeClr w14:val="tx1"/>
                        </w14:solidFill>
                      </w14:textFill>
                    </w:rPr>
                    <w:t>基坑废水经抽排至施工区沉淀池处理后回用于车辆冲洗、洒水降尘，不外排。</w:t>
                  </w:r>
                </w:p>
                <w:p w14:paraId="726D169C">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运营期：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工程不设定点管理人员，运营期废水主要为收集的收集的沿河居民生活污水，除纳管的部分村庄外，较为集中的村庄采用集中污水处理，集中污水处理设施选用净化槽工艺；对于村庄较为分散的采用资源化利用工艺</w:t>
                  </w:r>
                  <w:r>
                    <w:rPr>
                      <w:rFonts w:hint="eastAsia" w:cs="Times New Roman"/>
                      <w:color w:val="000000" w:themeColor="text1"/>
                      <w:sz w:val="21"/>
                      <w:szCs w:val="21"/>
                      <w:lang w:val="en-US" w:eastAsia="zh-CN"/>
                      <w14:textFill>
                        <w14:solidFill>
                          <w14:schemeClr w14:val="tx1"/>
                        </w14:solidFill>
                      </w14:textFill>
                    </w:rPr>
                    <w:t>。尾水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结合周边情况，可排入农灌沟进行农用回灌，或者进行林地漫灌。</w:t>
                  </w:r>
                </w:p>
              </w:tc>
            </w:tr>
            <w:tr w14:paraId="7D26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70FD85E8">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noWrap w:val="0"/>
                  <w:vAlign w:val="center"/>
                </w:tcPr>
                <w:p w14:paraId="6C7179F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噪声治理措施</w:t>
                  </w:r>
                </w:p>
              </w:tc>
              <w:tc>
                <w:tcPr>
                  <w:tcW w:w="5909" w:type="dxa"/>
                  <w:noWrap w:val="0"/>
                  <w:vAlign w:val="center"/>
                </w:tcPr>
                <w:p w14:paraId="5DCCDA55">
                  <w:pPr>
                    <w:keepNext w:val="0"/>
                    <w:keepLines w:val="0"/>
                    <w:pageBreakBefore w:val="0"/>
                    <w:widowControl w:val="0"/>
                    <w:suppressLineNumbers w:val="0"/>
                    <w:spacing w:before="0" w:beforeAutospacing="0" w:after="0" w:afterAutospacing="0" w:line="240" w:lineRule="auto"/>
                    <w:ind w:left="0" w:righ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14:textFill>
                        <w14:solidFill>
                          <w14:schemeClr w14:val="tx1"/>
                        </w14:solidFill>
                      </w14:textFill>
                    </w:rPr>
                    <w:t>合理安排施工机械作业时间，禁止夜间施工，选用低噪声的机械设备，合理布局施工设备，采取基础减振等降噪措施，避免高噪声设备同时运行，施工机械等。明确施工噪声控制责任，对施工期间运输车辆，也应合理安排，限制车辆鸣笛等综合降噪措施。</w:t>
                  </w:r>
                </w:p>
                <w:p w14:paraId="494B3D53">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运营期：</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泵站</w:t>
                  </w:r>
                  <w:r>
                    <w:rPr>
                      <w:rFonts w:hint="default" w:ascii="Times New Roman" w:hAnsi="Times New Roman" w:eastAsia="宋体" w:cs="Times New Roman"/>
                      <w:color w:val="000000" w:themeColor="text1"/>
                      <w:sz w:val="21"/>
                      <w:szCs w:val="21"/>
                      <w14:textFill>
                        <w14:solidFill>
                          <w14:schemeClr w14:val="tx1"/>
                        </w14:solidFill>
                      </w14:textFill>
                    </w:rPr>
                    <w:t>优先选用低噪声设备，基础减震、加强机电设备维修及保养、距离衰减、</w:t>
                  </w:r>
                  <w:r>
                    <w:rPr>
                      <w:rFonts w:hint="default" w:ascii="Times New Roman" w:hAnsi="Times New Roman" w:eastAsia="宋体" w:cs="Times New Roman"/>
                      <w:color w:val="000000" w:themeColor="text1"/>
                      <w:sz w:val="21"/>
                      <w:szCs w:val="21"/>
                      <w:lang w:eastAsia="zh-CN"/>
                      <w14:textFill>
                        <w14:solidFill>
                          <w14:schemeClr w14:val="tx1"/>
                        </w14:solidFill>
                      </w14:textFill>
                    </w:rPr>
                    <w:t>房屋</w:t>
                  </w:r>
                  <w:r>
                    <w:rPr>
                      <w:rFonts w:hint="default" w:ascii="Times New Roman" w:hAnsi="Times New Roman" w:eastAsia="宋体" w:cs="Times New Roman"/>
                      <w:color w:val="000000" w:themeColor="text1"/>
                      <w:sz w:val="21"/>
                      <w:szCs w:val="21"/>
                      <w14:textFill>
                        <w14:solidFill>
                          <w14:schemeClr w14:val="tx1"/>
                        </w14:solidFill>
                      </w14:textFill>
                    </w:rPr>
                    <w:t>隔声等措施。</w:t>
                  </w:r>
                </w:p>
              </w:tc>
            </w:tr>
            <w:tr w14:paraId="5ADC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3995F8C2">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noWrap w:val="0"/>
                  <w:vAlign w:val="center"/>
                </w:tcPr>
                <w:p w14:paraId="43F5245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固废治理措施</w:t>
                  </w:r>
                </w:p>
              </w:tc>
              <w:tc>
                <w:tcPr>
                  <w:tcW w:w="5909" w:type="dxa"/>
                  <w:noWrap w:val="0"/>
                  <w:vAlign w:val="center"/>
                </w:tcPr>
                <w:p w14:paraId="75325D2A">
                  <w:pPr>
                    <w:keepNext w:val="0"/>
                    <w:keepLines w:val="0"/>
                    <w:pageBreakBefore w:val="0"/>
                    <w:widowControl w:val="0"/>
                    <w:suppressLineNumbers w:val="0"/>
                    <w:spacing w:before="0" w:beforeAutospacing="0" w:after="0" w:afterAutospacing="0" w:line="240" w:lineRule="auto"/>
                    <w:ind w:left="0" w:right="0" w:firstLine="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highlight w:val="none"/>
                      <w14:textFill>
                        <w14:solidFill>
                          <w14:schemeClr w14:val="tx1"/>
                        </w14:solidFill>
                      </w14:textFill>
                    </w:rPr>
                    <w:t>生活</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垃圾</w:t>
                  </w:r>
                  <w:r>
                    <w:rPr>
                      <w:rFonts w:hint="default" w:ascii="Times New Roman" w:hAnsi="Times New Roman" w:eastAsia="宋体" w:cs="Times New Roman"/>
                      <w:color w:val="000000" w:themeColor="text1"/>
                      <w:sz w:val="21"/>
                      <w:szCs w:val="21"/>
                      <w:highlight w:val="none"/>
                      <w14:textFill>
                        <w14:solidFill>
                          <w14:schemeClr w14:val="tx1"/>
                        </w14:solidFill>
                      </w14:textFill>
                    </w:rPr>
                    <w:t>采用垃圾桶集中收集后，委托环卫部门定期处理；具有回收利用价值建筑垃圾的尽可能回收利用，剩余建筑垃圾运至相关建筑垃圾处理单位综合利用；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余方土由县矿产公司统一运输安置</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738FFCB5">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本工程不设定点管理人员，运营期无生活垃圾生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产；泵站拦截的垃圾量应打捞后由环卫部门运至垃圾填埋场处理；泵站、闸门检修产生的废矿物油及沾染物，按危险废物管理要求进行集中回收处理。</w:t>
                  </w:r>
                </w:p>
              </w:tc>
            </w:tr>
            <w:tr w14:paraId="62D2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039DE186">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noWrap w:val="0"/>
                  <w:vAlign w:val="center"/>
                </w:tcPr>
                <w:p w14:paraId="0A2DBB8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生态恢复、水土保持措施</w:t>
                  </w:r>
                </w:p>
              </w:tc>
              <w:tc>
                <w:tcPr>
                  <w:tcW w:w="5909" w:type="dxa"/>
                  <w:noWrap w:val="0"/>
                  <w:vAlign w:val="center"/>
                </w:tcPr>
                <w:p w14:paraId="4264697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施工结束后，及时对临时占地区域进行植被恢复或复垦。</w:t>
                  </w:r>
                  <w:bookmarkEnd w:id="5"/>
                </w:p>
              </w:tc>
            </w:tr>
          </w:tbl>
          <w:p w14:paraId="321D42BA">
            <w:pPr>
              <w:keepNext w:val="0"/>
              <w:keepLines w:val="0"/>
              <w:pageBreakBefore w:val="0"/>
              <w:widowControl w:val="0"/>
              <w:numPr>
                <w:ilvl w:val="0"/>
                <w:numId w:val="0"/>
              </w:numPr>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3、设计</w:t>
            </w:r>
            <w:r>
              <w:rPr>
                <w:rFonts w:hint="default" w:ascii="Times New Roman" w:hAnsi="Times New Roman" w:eastAsia="宋体" w:cs="Times New Roman"/>
                <w:b/>
                <w:color w:val="000000" w:themeColor="text1"/>
                <w:sz w:val="24"/>
                <w:highlight w:val="none"/>
                <w14:textFill>
                  <w14:solidFill>
                    <w14:schemeClr w14:val="tx1"/>
                  </w14:solidFill>
                </w14:textFill>
              </w:rPr>
              <w:t>方案</w:t>
            </w:r>
          </w:p>
          <w:p w14:paraId="4CDD7A2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3.1区域排涝能力提升工程方案</w:t>
            </w:r>
          </w:p>
          <w:p w14:paraId="59C4F543">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3.1.1设计标准</w:t>
            </w:r>
          </w:p>
          <w:p w14:paraId="7D05AA24">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排涝标准：</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20年一遇。抽排标准采用20年一遇最大24h降雨1d排出。</w:t>
            </w:r>
          </w:p>
          <w:p w14:paraId="686D2034">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抗震标准：</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根据《中国地震动参数区划图》（GB18306－2015），本工程抗震设防取地震动峰值加速度0.1g，相应地震基本烈度为Ⅶ度。</w:t>
            </w:r>
          </w:p>
          <w:p w14:paraId="3BAD36C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3.1.2工程总布置</w:t>
            </w:r>
          </w:p>
          <w:p w14:paraId="6F00982F">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迎驾厂片工程总体布置方案如下：区域内现有支沟、农田沟渠及干沟相互连通，共同发挥灌溉与排水双重功能，形成完整的农田水利功能体系。支沟水流汇入主干沟道，整体排水流向呈现由南向北、由西向东的规律，最终汇集至新建泵站的前池。新建泵站选址于柳林河左岸堤防的背水侧堤后位置，紧邻堤防布置，其主要作用是在汛期抽排涝水，有效提升区域防洪排涝能力。</w:t>
            </w:r>
          </w:p>
          <w:p w14:paraId="45C3B336">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4B74E340">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1CA0DE15">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6E65A6CD">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0892A960">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20B71509">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5B4F92F5">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16F94065">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2EBFCC90">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69F7F1D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53635" cy="3242945"/>
                  <wp:effectExtent l="0" t="0" r="18415" b="14604"/>
                  <wp:docPr id="4"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5.png"/>
                          <pic:cNvPicPr>
                            <a:picLocks noChangeAspect="1"/>
                          </pic:cNvPicPr>
                        </pic:nvPicPr>
                        <pic:blipFill>
                          <a:blip r:embed="rId10"/>
                          <a:stretch>
                            <a:fillRect/>
                          </a:stretch>
                        </pic:blipFill>
                        <pic:spPr>
                          <a:xfrm>
                            <a:off x="0" y="0"/>
                            <a:ext cx="4953635" cy="3242945"/>
                          </a:xfrm>
                          <a:prstGeom prst="rect">
                            <a:avLst/>
                          </a:prstGeom>
                        </pic:spPr>
                      </pic:pic>
                    </a:graphicData>
                  </a:graphic>
                </wp:inline>
              </w:drawing>
            </w:r>
          </w:p>
          <w:p w14:paraId="6BA0E617">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 2-1</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迎驾厂片工程总体布置图</w:t>
            </w:r>
          </w:p>
          <w:p w14:paraId="6DA9DEB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戴家河片工程总体布置：工程内拆改建排涝沟沿现有线位，建筑物主要为穿路涵，均在原位置进行扩建。</w:t>
            </w:r>
          </w:p>
          <w:p w14:paraId="51CF48BB">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drawing>
                <wp:inline distT="0" distB="0" distL="0" distR="0">
                  <wp:extent cx="5128895" cy="3194050"/>
                  <wp:effectExtent l="0" t="0" r="14604" b="6350"/>
                  <wp:docPr id="5" name="图片 10" descr="5b3d4403-ca85-4052-813e-3f40d47d5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5b3d4403-ca85-4052-813e-3f40d47d541f"/>
                          <pic:cNvPicPr>
                            <a:picLocks noChangeAspect="1"/>
                          </pic:cNvPicPr>
                        </pic:nvPicPr>
                        <pic:blipFill>
                          <a:blip r:embed="rId11"/>
                          <a:stretch>
                            <a:fillRect/>
                          </a:stretch>
                        </pic:blipFill>
                        <pic:spPr>
                          <a:xfrm>
                            <a:off x="0" y="0"/>
                            <a:ext cx="5128895" cy="3194050"/>
                          </a:xfrm>
                          <a:prstGeom prst="rect">
                            <a:avLst/>
                          </a:prstGeom>
                        </pic:spPr>
                      </pic:pic>
                    </a:graphicData>
                  </a:graphic>
                </wp:inline>
              </w:drawing>
            </w:r>
          </w:p>
          <w:p w14:paraId="52179FA4">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图2-2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戴家河片工程总体布置图</w:t>
            </w:r>
          </w:p>
          <w:p w14:paraId="1585BC7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97450" cy="3077845"/>
                  <wp:effectExtent l="0" t="0" r="12700" b="8255"/>
                  <wp:docPr id="6"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7.jpeg"/>
                          <pic:cNvPicPr>
                            <a:picLocks noChangeAspect="1"/>
                          </pic:cNvPicPr>
                        </pic:nvPicPr>
                        <pic:blipFill>
                          <a:blip r:embed="rId12"/>
                          <a:stretch>
                            <a:fillRect/>
                          </a:stretch>
                        </pic:blipFill>
                        <pic:spPr>
                          <a:xfrm>
                            <a:off x="0" y="0"/>
                            <a:ext cx="4997450" cy="3077845"/>
                          </a:xfrm>
                          <a:prstGeom prst="rect">
                            <a:avLst/>
                          </a:prstGeom>
                        </pic:spPr>
                      </pic:pic>
                    </a:graphicData>
                  </a:graphic>
                </wp:inline>
              </w:drawing>
            </w:r>
          </w:p>
          <w:p w14:paraId="1D73CD17">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图2-3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戴家河片工程总体布置图（航拍示意）</w:t>
            </w:r>
          </w:p>
          <w:p w14:paraId="4FECB0AD">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3.2西部新城排涝泵站设计</w:t>
            </w:r>
          </w:p>
          <w:p w14:paraId="521F2AB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西部新城排涝泵站布置于柳林河左岸堤后，轴线垂直柳林河布置。顺水流方向布置的主要建筑物有进水闸、前池、泵室、汇水箱、穿堤箱涵、闸门井、出水池等。配套用房集中布置在泵站东侧。</w:t>
            </w:r>
          </w:p>
          <w:p w14:paraId="74D08B3F">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mc:AlternateContent>
                <mc:Choice Requires="wpg">
                  <w:drawing>
                    <wp:inline distT="0" distB="0" distL="0" distR="0">
                      <wp:extent cx="5059045" cy="3170555"/>
                      <wp:effectExtent l="0" t="0" r="8255" b="10795"/>
                      <wp:docPr id="7" name="组合 15"/>
                      <wp:cNvGraphicFramePr/>
                      <a:graphic xmlns:a="http://schemas.openxmlformats.org/drawingml/2006/main">
                        <a:graphicData uri="http://schemas.microsoft.com/office/word/2010/wordprocessingGroup">
                          <wpg:wgp>
                            <wpg:cNvGrpSpPr/>
                            <wpg:grpSpPr>
                              <a:xfrm>
                                <a:off x="0" y="0"/>
                                <a:ext cx="5059045" cy="3170555"/>
                                <a:chOff x="0" y="0"/>
                                <a:chExt cx="7967" cy="5382"/>
                              </a:xfrm>
                            </wpg:grpSpPr>
                            <pic:pic xmlns:pic="http://schemas.openxmlformats.org/drawingml/2006/picture">
                              <pic:nvPicPr>
                                <pic:cNvPr id="12" name="图片 6"/>
                                <pic:cNvPicPr>
                                  <a:picLocks noChangeAspect="1"/>
                                </pic:cNvPicPr>
                              </pic:nvPicPr>
                              <pic:blipFill>
                                <a:blip r:embed="rId13"/>
                                <a:stretch>
                                  <a:fillRect/>
                                </a:stretch>
                              </pic:blipFill>
                              <pic:spPr>
                                <a:xfrm>
                                  <a:off x="15" y="15"/>
                                  <a:ext cx="7937" cy="5352"/>
                                </a:xfrm>
                                <a:prstGeom prst="rect">
                                  <a:avLst/>
                                </a:prstGeom>
                                <a:noFill/>
                                <a:ln>
                                  <a:noFill/>
                                </a:ln>
                              </pic:spPr>
                            </pic:pic>
                            <wps:wsp>
                              <wps:cNvPr id="13" name="任意多边形 13"/>
                              <wps:cNvSpPr/>
                              <wps:spPr bwMode="auto">
                                <a:xfrm>
                                  <a:off x="0" y="0"/>
                                  <a:ext cx="7967" cy="5382"/>
                                </a:xfrm>
                                <a:custGeom>
                                  <a:avLst/>
                                  <a:gdLst/>
                                  <a:ahLst/>
                                  <a:cxnLst/>
                                  <a:rect l="0" t="0" r="r" b="b"/>
                                  <a:pathLst>
                                    <a:path w="7967" h="5382" extrusionOk="0">
                                      <a:moveTo>
                                        <a:pt x="7959" y="5382"/>
                                      </a:moveTo>
                                      <a:lnTo>
                                        <a:pt x="8" y="5382"/>
                                      </a:lnTo>
                                      <a:lnTo>
                                        <a:pt x="5" y="5382"/>
                                      </a:lnTo>
                                      <a:lnTo>
                                        <a:pt x="3" y="5381"/>
                                      </a:lnTo>
                                      <a:lnTo>
                                        <a:pt x="1" y="5379"/>
                                      </a:lnTo>
                                      <a:lnTo>
                                        <a:pt x="0" y="5377"/>
                                      </a:lnTo>
                                      <a:lnTo>
                                        <a:pt x="0" y="5375"/>
                                      </a:lnTo>
                                      <a:lnTo>
                                        <a:pt x="0" y="8"/>
                                      </a:lnTo>
                                      <a:lnTo>
                                        <a:pt x="0" y="5"/>
                                      </a:lnTo>
                                      <a:lnTo>
                                        <a:pt x="1" y="3"/>
                                      </a:lnTo>
                                      <a:lnTo>
                                        <a:pt x="3" y="1"/>
                                      </a:lnTo>
                                      <a:lnTo>
                                        <a:pt x="5" y="0"/>
                                      </a:lnTo>
                                      <a:lnTo>
                                        <a:pt x="8" y="0"/>
                                      </a:lnTo>
                                      <a:lnTo>
                                        <a:pt x="7959" y="0"/>
                                      </a:lnTo>
                                      <a:lnTo>
                                        <a:pt x="7962" y="0"/>
                                      </a:lnTo>
                                      <a:lnTo>
                                        <a:pt x="7964" y="1"/>
                                      </a:lnTo>
                                      <a:lnTo>
                                        <a:pt x="7965" y="3"/>
                                      </a:lnTo>
                                      <a:lnTo>
                                        <a:pt x="7966" y="5"/>
                                      </a:lnTo>
                                      <a:lnTo>
                                        <a:pt x="7967" y="8"/>
                                      </a:lnTo>
                                      <a:lnTo>
                                        <a:pt x="15" y="8"/>
                                      </a:lnTo>
                                      <a:lnTo>
                                        <a:pt x="8" y="15"/>
                                      </a:lnTo>
                                      <a:lnTo>
                                        <a:pt x="15" y="15"/>
                                      </a:lnTo>
                                      <a:lnTo>
                                        <a:pt x="15" y="5367"/>
                                      </a:lnTo>
                                      <a:lnTo>
                                        <a:pt x="8" y="5367"/>
                                      </a:lnTo>
                                      <a:lnTo>
                                        <a:pt x="15" y="5375"/>
                                      </a:lnTo>
                                      <a:lnTo>
                                        <a:pt x="7967" y="5375"/>
                                      </a:lnTo>
                                      <a:lnTo>
                                        <a:pt x="7966" y="5377"/>
                                      </a:lnTo>
                                      <a:lnTo>
                                        <a:pt x="7965" y="5379"/>
                                      </a:lnTo>
                                      <a:lnTo>
                                        <a:pt x="7964" y="5381"/>
                                      </a:lnTo>
                                      <a:lnTo>
                                        <a:pt x="7962" y="5382"/>
                                      </a:lnTo>
                                      <a:lnTo>
                                        <a:pt x="7959" y="5382"/>
                                      </a:lnTo>
                                      <a:close/>
                                      <a:moveTo>
                                        <a:pt x="15" y="15"/>
                                      </a:moveTo>
                                      <a:lnTo>
                                        <a:pt x="8" y="15"/>
                                      </a:lnTo>
                                      <a:lnTo>
                                        <a:pt x="15" y="8"/>
                                      </a:lnTo>
                                      <a:lnTo>
                                        <a:pt x="15" y="15"/>
                                      </a:lnTo>
                                      <a:close/>
                                      <a:moveTo>
                                        <a:pt x="7952" y="15"/>
                                      </a:moveTo>
                                      <a:lnTo>
                                        <a:pt x="15" y="15"/>
                                      </a:lnTo>
                                      <a:lnTo>
                                        <a:pt x="15" y="8"/>
                                      </a:lnTo>
                                      <a:lnTo>
                                        <a:pt x="7952" y="8"/>
                                      </a:lnTo>
                                      <a:lnTo>
                                        <a:pt x="7952" y="15"/>
                                      </a:lnTo>
                                      <a:close/>
                                      <a:moveTo>
                                        <a:pt x="7952" y="5375"/>
                                      </a:moveTo>
                                      <a:lnTo>
                                        <a:pt x="7952" y="8"/>
                                      </a:lnTo>
                                      <a:lnTo>
                                        <a:pt x="7959" y="15"/>
                                      </a:lnTo>
                                      <a:lnTo>
                                        <a:pt x="7967" y="15"/>
                                      </a:lnTo>
                                      <a:lnTo>
                                        <a:pt x="7967" y="5367"/>
                                      </a:lnTo>
                                      <a:lnTo>
                                        <a:pt x="7959" y="5367"/>
                                      </a:lnTo>
                                      <a:lnTo>
                                        <a:pt x="7952" y="5375"/>
                                      </a:lnTo>
                                      <a:close/>
                                      <a:moveTo>
                                        <a:pt x="7967" y="15"/>
                                      </a:moveTo>
                                      <a:lnTo>
                                        <a:pt x="7959" y="15"/>
                                      </a:lnTo>
                                      <a:lnTo>
                                        <a:pt x="7952" y="8"/>
                                      </a:lnTo>
                                      <a:lnTo>
                                        <a:pt x="7967" y="8"/>
                                      </a:lnTo>
                                      <a:lnTo>
                                        <a:pt x="7967" y="15"/>
                                      </a:lnTo>
                                      <a:close/>
                                      <a:moveTo>
                                        <a:pt x="15" y="5375"/>
                                      </a:moveTo>
                                      <a:lnTo>
                                        <a:pt x="8" y="5367"/>
                                      </a:lnTo>
                                      <a:lnTo>
                                        <a:pt x="15" y="5367"/>
                                      </a:lnTo>
                                      <a:lnTo>
                                        <a:pt x="15" y="5375"/>
                                      </a:lnTo>
                                      <a:close/>
                                      <a:moveTo>
                                        <a:pt x="7952" y="5375"/>
                                      </a:moveTo>
                                      <a:lnTo>
                                        <a:pt x="15" y="5375"/>
                                      </a:lnTo>
                                      <a:lnTo>
                                        <a:pt x="15" y="5367"/>
                                      </a:lnTo>
                                      <a:lnTo>
                                        <a:pt x="7952" y="5367"/>
                                      </a:lnTo>
                                      <a:lnTo>
                                        <a:pt x="7952" y="5375"/>
                                      </a:lnTo>
                                      <a:close/>
                                      <a:moveTo>
                                        <a:pt x="7967" y="5375"/>
                                      </a:moveTo>
                                      <a:lnTo>
                                        <a:pt x="7952" y="5375"/>
                                      </a:lnTo>
                                      <a:lnTo>
                                        <a:pt x="7959" y="5367"/>
                                      </a:lnTo>
                                      <a:lnTo>
                                        <a:pt x="7967" y="5367"/>
                                      </a:lnTo>
                                      <a:lnTo>
                                        <a:pt x="7967" y="5375"/>
                                      </a:lnTo>
                                      <a:close/>
                                    </a:path>
                                  </a:pathLst>
                                </a:custGeom>
                                <a:solidFill>
                                  <a:srgbClr val="585858"/>
                                </a:solidFill>
                                <a:ln>
                                  <a:noFill/>
                                </a:ln>
                              </wps:spPr>
                              <wps:bodyPr rot="0">
                                <a:noAutofit/>
                              </wps:bodyPr>
                            </wps:wsp>
                          </wpg:wgp>
                        </a:graphicData>
                      </a:graphic>
                    </wp:inline>
                  </w:drawing>
                </mc:Choice>
                <mc:Fallback>
                  <w:pict>
                    <v:group id="组合 15" o:spid="_x0000_s1026" o:spt="203" style="height:249.65pt;width:398.35pt;" coordsize="7967,5382" o:gfxdata="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rivB2IvEWrwHvvx/wG6u&#10;G/8Aaq12tcVpH+j/ABAv4+zef/6Bav8A+ztQB2tFFFAFdBGs8u3AlbazCq+scWaN/dniP/kVaev/&#10;ACFp/wDrjF/6E9M1ph/ZV2392Jn/AO+aA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">
                      <o:lock v:ext="edit" aspectratio="f"/>
                      <v:shape id="图片 6" o:spid="_x0000_s1026" o:spt="75" type="#_x0000_t75" style="position:absolute;left:15;top:15;height:5352;width:7937;" filled="f" o:preferrelative="t" stroked="f" coordsize="21600,21600" o:gfxdata="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g/1G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_x0000_s1026" o:spid="_x0000_s1026" o:spt="100" style="position:absolute;left:0;top:0;height:5382;width:7967;" fillcolor="#585858" filled="t" stroked="f" coordsize="7967,5382" o:gfxdata="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Yoiu5AAAA2wAA&#10;AA8AAAAAAAAAAQAgAAAAIgAAAGRycy9kb3ducmV2LnhtbFBLAQIUABQAAAAIAIdO4kAzLwWeOwAA&#10;ADkAAAAQAAAAAAAAAAEAIAAAAAgBAABkcnMvc2hhcGV4bWwueG1sUEsFBgAAAAAGAAYAWwEAALID&#10;AAAAAA==&#10;" path="m7959,5382l8,5382,5,5382,3,5381,1,5379,0,5377,0,5375,0,8,0,5,1,3,3,1,5,0,8,0,7959,0,7962,0,7964,1,7965,3,7966,5,7967,8,15,8,8,15,15,15,15,5367,8,5367,15,5375,7967,5375,7966,5377,7965,5379,7964,5381,7962,5382,7959,5382xm15,15l8,15,15,8,15,15xm7952,15l15,15,15,8,7952,8,7952,15xm7952,5375l7952,8,7959,15,7967,15,7967,5367,7959,5367,7952,5375xm7967,15l7959,15,7952,8,7967,8,7967,15xm15,5375l8,5367,15,5367,15,5375xm7952,5375l15,5375,15,5367,7952,5367,7952,5375xm7967,5375l7952,5375,7959,5367,7967,5367,7967,5375xe">
                        <v:fill on="t" focussize="0,0"/>
                        <v:stroke on="f"/>
                        <v:imagedata o:title=""/>
                        <o:lock v:ext="edit" aspectratio="f"/>
                      </v:shape>
                      <w10:wrap type="none"/>
                      <w10:anchorlock/>
                    </v:group>
                  </w:pict>
                </mc:Fallback>
              </mc:AlternateContent>
            </w:r>
          </w:p>
          <w:p w14:paraId="70C7CB63">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图2-4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工程平面布置图</w:t>
            </w:r>
          </w:p>
          <w:p w14:paraId="3D07897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p>
          <w:p w14:paraId="68FDA369">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3.2.1泵房布置</w:t>
            </w:r>
          </w:p>
          <w:p w14:paraId="54AEEE6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泵站采用堤后式布置。泵房内安装4台立式轴流泵机组，一列式布置，机组中心线对齐。水泵为单向排涝，下层流道兼顾自引功能，通过控制闸进行切换。泵站选用4台立式轴流泵，单泵流量2.5m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/s，设计排水总流量10.0m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w:t>
            </w:r>
          </w:p>
          <w:p w14:paraId="7107350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主泵房采用整体式钢筋混凝土结构，安装4台立式轴流泵，一列式布置，5t悬挂式电动单梁起重机，水泵安装高程64.50m。各台机组中心距根据水力条件及安装检修要求，确定为4.30m，各台机组的隔墩考虑检修门槽的需要厚度确定为0.80m，两侧边墩考虑挡土的需要，厚度确定为0.80m。为增强泵房结构的整体性和稳定性，减少不均匀沉降，将主、副厂房及检修间均布置在同一块底板上。经过布置，泵室底板垂直水流方向宽23.80m，顺水流方向长20.40m。</w:t>
            </w:r>
          </w:p>
          <w:p w14:paraId="3361DA1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根据设备布置需求及防洪要求，主泵房地面以下共分三层，分别为进水流道层、水泵层及电机层，各层高程分别为62.20m、64.50m及69.60m。安装间高程同电机层为69.60m，室外地面填土高度为69.30m。</w:t>
            </w:r>
          </w:p>
          <w:p w14:paraId="18501A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泵房底板、墩墙、梁板等均采用C30钢筋混凝土现浇结构，地面以上部分采用排架柱，柱间砌筑砖墙，柱上设吊车梁，轨顶高程为78.0m。</w:t>
            </w:r>
          </w:p>
          <w:p w14:paraId="7652D64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安装间紧靠泵站布置在东侧，顺水流方向长17.25m，与主厂房对齐，垂直水流方向长5.80m，其宽度满足一台水泵的检修需要。吊车梁从主厂房顺延至安装间，安装间结合泵站基坑开挖方案布置上下层辅机室。安装间地面高程69.60m，安装间内布置楼梯通向辅机室，下层辅机室底板顶高程与泵房水泵层相同，为64.50m。</w:t>
            </w:r>
          </w:p>
          <w:p w14:paraId="1C0FDBC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3.2.2厂房布置</w:t>
            </w:r>
          </w:p>
          <w:p w14:paraId="092C53E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副厂房位于主厂房下游侧的汇水箱上，与主厂房连通，为满足配电设备布置、运行管理、机组运行监控要求，副厂房宽8.5m，长23.80m，为一层结构，设置配电房、中控房。</w:t>
            </w:r>
          </w:p>
          <w:p w14:paraId="37EEF474">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3.3迎驾厂片排涝沟设计</w:t>
            </w:r>
          </w:p>
          <w:p w14:paraId="2E79DEF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本工程位于霍山县城，渠道恢复原则是尽量避免增加占地、减少矛盾协调和青苗赔偿等，同时考虑到便于施工等因素，明渠断面以简单为宜。本片区沟道采用钢筋混凝土渠道、护砌渠道。各渠道设计参数如下表：</w:t>
            </w:r>
          </w:p>
          <w:p w14:paraId="1A3028C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p>
          <w:p w14:paraId="6EECCDCE">
            <w:pPr>
              <w:keepNext w:val="0"/>
              <w:keepLines w:val="0"/>
              <w:pageBreakBefore w:val="0"/>
              <w:suppressLineNumbers w:val="0"/>
              <w:tabs>
                <w:tab w:val="left" w:pos="4022"/>
              </w:tabs>
              <w:spacing w:before="0" w:beforeAutospacing="0" w:after="0" w:afterAutospacing="0" w:line="360" w:lineRule="auto"/>
              <w:ind w:left="0" w:right="0" w:firstLine="482"/>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2-6  </w:t>
            </w:r>
            <w:r>
              <w:rPr>
                <w:rFonts w:hint="default" w:ascii="Times New Roman" w:hAnsi="Times New Roman" w:eastAsia="宋体" w:cs="Times New Roman"/>
                <w:b/>
                <w:color w:val="000000" w:themeColor="text1"/>
                <w:sz w:val="24"/>
                <w:szCs w:val="24"/>
                <w14:textFill>
                  <w14:solidFill>
                    <w14:schemeClr w14:val="tx1"/>
                  </w14:solidFill>
                </w14:textFill>
              </w:rPr>
              <w:t>迎驾厂片排涝沟主要设计参数表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2"/>
              <w:gridCol w:w="1380"/>
              <w:gridCol w:w="1442"/>
              <w:gridCol w:w="4537"/>
            </w:tblGrid>
            <w:tr w14:paraId="444BE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712" w:type="dxa"/>
                  <w:noWrap w:val="0"/>
                  <w:vAlign w:val="center"/>
                </w:tcPr>
                <w:p w14:paraId="203AAEA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380" w:type="dxa"/>
                  <w:noWrap w:val="0"/>
                  <w:vAlign w:val="center"/>
                </w:tcPr>
                <w:p w14:paraId="0FA6D6C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工程项目名称</w:t>
                  </w:r>
                </w:p>
              </w:tc>
              <w:tc>
                <w:tcPr>
                  <w:tcW w:w="1442" w:type="dxa"/>
                  <w:noWrap w:val="0"/>
                  <w:vAlign w:val="center"/>
                </w:tcPr>
                <w:p w14:paraId="0F9CB18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建设地点</w:t>
                  </w:r>
                </w:p>
              </w:tc>
              <w:tc>
                <w:tcPr>
                  <w:tcW w:w="4537" w:type="dxa"/>
                  <w:noWrap w:val="0"/>
                  <w:vAlign w:val="center"/>
                </w:tcPr>
                <w:p w14:paraId="0251F5D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设计主要参数</w:t>
                  </w:r>
                </w:p>
              </w:tc>
            </w:tr>
            <w:tr w14:paraId="33F03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noWrap w:val="0"/>
                  <w:vAlign w:val="center"/>
                </w:tcPr>
                <w:p w14:paraId="267331F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380" w:type="dxa"/>
                  <w:noWrap w:val="0"/>
                  <w:vAlign w:val="center"/>
                </w:tcPr>
                <w:p w14:paraId="33B89B7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1442" w:type="dxa"/>
                  <w:noWrap w:val="0"/>
                  <w:vAlign w:val="center"/>
                </w:tcPr>
                <w:p w14:paraId="22E833F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东淠河堤后</w:t>
                  </w:r>
                </w:p>
              </w:tc>
              <w:tc>
                <w:tcPr>
                  <w:tcW w:w="4537" w:type="dxa"/>
                  <w:noWrap w:val="0"/>
                  <w:vAlign w:val="center"/>
                </w:tcPr>
                <w:p w14:paraId="19AD0CC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矩形排涝沟长1.65k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p w14:paraId="715A9D5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梯形断面排涝沟长2.05k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，底宽2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，口宽约8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，边坡1：1.5，采用联锁块护坡。</w:t>
                  </w:r>
                </w:p>
              </w:tc>
            </w:tr>
            <w:tr w14:paraId="19949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noWrap w:val="0"/>
                  <w:vAlign w:val="center"/>
                </w:tcPr>
                <w:p w14:paraId="0F48979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380" w:type="dxa"/>
                  <w:noWrap w:val="0"/>
                  <w:vAlign w:val="center"/>
                </w:tcPr>
                <w:p w14:paraId="706C532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1442" w:type="dxa"/>
                  <w:noWrap w:val="0"/>
                  <w:vAlign w:val="center"/>
                </w:tcPr>
                <w:p w14:paraId="3EB0D07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永康桥村六佛路南侧</w:t>
                  </w:r>
                </w:p>
              </w:tc>
              <w:tc>
                <w:tcPr>
                  <w:tcW w:w="4537" w:type="dxa"/>
                  <w:noWrap w:val="0"/>
                  <w:vAlign w:val="center"/>
                </w:tcPr>
                <w:p w14:paraId="7F1D3CC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矩形断面，净宽2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r>
            <w:tr w14:paraId="3BE2C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noWrap w:val="0"/>
                  <w:vAlign w:val="center"/>
                </w:tcPr>
                <w:p w14:paraId="5CB36E7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380" w:type="dxa"/>
                  <w:noWrap w:val="0"/>
                  <w:vAlign w:val="center"/>
                </w:tcPr>
                <w:p w14:paraId="5B8A4DF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1442" w:type="dxa"/>
                  <w:noWrap w:val="0"/>
                  <w:vAlign w:val="center"/>
                </w:tcPr>
                <w:p w14:paraId="0C92FB3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4537" w:type="dxa"/>
                  <w:noWrap w:val="0"/>
                  <w:vAlign w:val="top"/>
                </w:tcPr>
                <w:p w14:paraId="36E1149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矩形断面，分为规格1：净宽3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；规格2：净宽4.5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r>
            <w:tr w14:paraId="47BA5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noWrap w:val="0"/>
                  <w:vAlign w:val="center"/>
                </w:tcPr>
                <w:p w14:paraId="110DD17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380" w:type="dxa"/>
                  <w:noWrap w:val="0"/>
                  <w:vAlign w:val="center"/>
                </w:tcPr>
                <w:p w14:paraId="5BDC73E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1442" w:type="dxa"/>
                  <w:noWrap w:val="0"/>
                  <w:vAlign w:val="center"/>
                </w:tcPr>
                <w:p w14:paraId="609453B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4537" w:type="dxa"/>
                  <w:noWrap w:val="0"/>
                  <w:vAlign w:val="top"/>
                </w:tcPr>
                <w:p w14:paraId="2D537C2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梯形断面，底宽2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，口宽约6~8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，边坡1：1.5，采用联锁块护坡。</w:t>
                  </w:r>
                </w:p>
              </w:tc>
            </w:tr>
          </w:tbl>
          <w:p w14:paraId="23E7A8C0">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0"/>
                <w14:textFill>
                  <w14:solidFill>
                    <w14:schemeClr w14:val="tx1"/>
                  </w14:solidFill>
                </w14:textFill>
              </w:rPr>
            </w:pPr>
          </w:p>
          <w:p w14:paraId="0F10FB3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61255" cy="2353945"/>
                  <wp:effectExtent l="0" t="0" r="10795" b="8255"/>
                  <wp:docPr id="8"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7.jpeg"/>
                          <pic:cNvPicPr>
                            <a:picLocks noChangeAspect="1"/>
                          </pic:cNvPicPr>
                        </pic:nvPicPr>
                        <pic:blipFill>
                          <a:blip r:embed="rId14"/>
                          <a:stretch>
                            <a:fillRect/>
                          </a:stretch>
                        </pic:blipFill>
                        <pic:spPr>
                          <a:xfrm>
                            <a:off x="0" y="0"/>
                            <a:ext cx="4961255" cy="2353944"/>
                          </a:xfrm>
                          <a:prstGeom prst="rect">
                            <a:avLst/>
                          </a:prstGeom>
                        </pic:spPr>
                      </pic:pic>
                    </a:graphicData>
                  </a:graphic>
                </wp:inline>
              </w:drawing>
            </w:r>
          </w:p>
          <w:p w14:paraId="2224E9F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br w:type="column"/>
            </w:r>
            <w:r>
              <w:rPr>
                <w:rFonts w:hint="default" w:ascii="Times New Roman" w:hAnsi="Times New Roman" w:eastAsia="宋体" w:cs="Times New Roman"/>
                <w:b/>
                <w:bCs/>
                <w:color w:val="000000" w:themeColor="text1"/>
                <w14:textFill>
                  <w14:solidFill>
                    <w14:schemeClr w14:val="tx1"/>
                  </w14:solidFill>
                </w14:textFill>
              </w:rPr>
              <w:t>图</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14:textFill>
                  <w14:solidFill>
                    <w14:schemeClr w14:val="tx1"/>
                  </w14:solidFill>
                </w14:textFill>
              </w:rPr>
              <w:t>排涝沟平面分布图</w:t>
            </w:r>
          </w:p>
          <w:p w14:paraId="0FCF770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3.3.1</w:t>
            </w:r>
            <w:r>
              <w:rPr>
                <w:rFonts w:hint="default" w:ascii="Times New Roman" w:hAnsi="Times New Roman" w:eastAsia="宋体" w:cs="Times New Roman"/>
                <w:b/>
                <w:bCs/>
                <w:color w:val="000000" w:themeColor="text1"/>
                <w14:textFill>
                  <w14:solidFill>
                    <w14:schemeClr w14:val="tx1"/>
                  </w14:solidFill>
                </w14:textFill>
              </w:rPr>
              <w:t>北侧边沟工程设计</w:t>
            </w:r>
          </w:p>
          <w:p w14:paraId="05AE766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北侧边沟位于东淠河堤后，分段采用矩形钢筋砼渠道及梯形联锁块护砌渠道，其中：矩形钢筋砼渠道长1.65km，净宽2m、深1.5m，边墙及底板厚300mm，底板下设100mm厚碎石垫层；梯形渠道长2.05km，底宽2m，口宽约8m，边坡1：1.5，采用预制联锁块护坡厚100mm，设碎石找平层厚50mm。</w:t>
            </w:r>
          </w:p>
          <w:p w14:paraId="64E237B2">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3.3.2六佛路排涝沟工程设计：</w:t>
            </w:r>
          </w:p>
          <w:p w14:paraId="35BD76D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六佛路排涝沟位于永康桥村六佛路南侧，采用矩形钢筋砼渠道，长2.58km，净宽2m、深1.5m，边墙及底板厚300mm，底板下设100mm厚碎石垫层。</w:t>
            </w:r>
          </w:p>
          <w:p w14:paraId="5936329C">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3.3.3中心排涝沟工程设计：</w:t>
            </w:r>
          </w:p>
          <w:p w14:paraId="6447DD3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中心排涝沟位于永康桥村中心位置，贯通东西方向。采用矩形钢筋砼渠道，分为规格1：净宽3m、深2.5m；规格2：净宽4.5m、深2.5m；净宽3m排涝沟长1340m，桩号范围0+000~1+340；净宽4.5m排涝沟长1245m，桩号范围1+340~2+585。墙及底板厚400mm，底板下设100mm厚碎石垫层。为保证两侧过往车辆及行人安全，中心沟两侧挡墙上部布置防护栏杆。</w:t>
            </w:r>
          </w:p>
          <w:p w14:paraId="17758E0B">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3.3.4项家院排涝沟工程设计</w:t>
            </w:r>
          </w:p>
          <w:p w14:paraId="4A9F739A">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项家院排涝沟位于永康桥村西部，采用梯形联锁块护砌渠道，底宽2m，口宽约6~8m，边坡1：1.5，预制联锁块护坡厚100mm，设碎石找平层厚50mm。</w:t>
            </w:r>
          </w:p>
          <w:p w14:paraId="53660112">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3.4戴家河片排涝沟设计</w:t>
            </w:r>
          </w:p>
          <w:p w14:paraId="7A2FD1C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戴家河片区位于半山半圩区，区内渠道功能兼作灌溉与排涝，在排涝的同时也需要注意水源极其宝贵。尽量避免增加占地、减少矛盾协调和青苗赔偿等，同时考虑到便于施工等因素，明渠断面以简单为宜。本片区沟道采用钢筋混凝土渠道、护砌渠道。各渠道设计参数如下表：</w:t>
            </w:r>
          </w:p>
          <w:p w14:paraId="0CE192D3">
            <w:pPr>
              <w:keepNext w:val="0"/>
              <w:keepLines w:val="0"/>
              <w:pageBreakBefore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2-7  </w:t>
            </w:r>
            <w:r>
              <w:rPr>
                <w:rFonts w:hint="default" w:ascii="Times New Roman" w:hAnsi="Times New Roman" w:eastAsia="宋体" w:cs="Times New Roman"/>
                <w:b/>
                <w:color w:val="000000" w:themeColor="text1"/>
                <w:sz w:val="24"/>
                <w:szCs w:val="24"/>
                <w14:textFill>
                  <w14:solidFill>
                    <w14:schemeClr w14:val="tx1"/>
                  </w14:solidFill>
                </w14:textFill>
              </w:rPr>
              <w:t>戴家河片排涝沟主要设计参数表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4"/>
              <w:gridCol w:w="6587"/>
            </w:tblGrid>
            <w:tr w14:paraId="29A63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noWrap w:val="0"/>
                  <w:vAlign w:val="center"/>
                </w:tcPr>
                <w:p w14:paraId="441BE275">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14:textFill>
                        <w14:solidFill>
                          <w14:schemeClr w14:val="tx1"/>
                        </w14:solidFill>
                      </w14:textFill>
                    </w:rPr>
                  </w:pPr>
                  <w:r>
                    <w:rPr>
                      <w:rFonts w:hint="default" w:ascii="Times New Roman" w:hAnsi="Times New Roman" w:eastAsia="宋体" w:cs="Times New Roman"/>
                      <w:b/>
                      <w:bCs w:val="0"/>
                      <w:color w:val="000000" w:themeColor="text1"/>
                      <w:sz w:val="21"/>
                      <w14:textFill>
                        <w14:solidFill>
                          <w14:schemeClr w14:val="tx1"/>
                        </w14:solidFill>
                      </w14:textFill>
                    </w:rPr>
                    <w:t>工程项目名称</w:t>
                  </w:r>
                </w:p>
              </w:tc>
              <w:tc>
                <w:tcPr>
                  <w:tcW w:w="6587" w:type="dxa"/>
                  <w:noWrap w:val="0"/>
                  <w:vAlign w:val="center"/>
                </w:tcPr>
                <w:p w14:paraId="5DC7135A">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val="0"/>
                      <w:color w:val="000000" w:themeColor="text1"/>
                      <w:sz w:val="21"/>
                      <w14:textFill>
                        <w14:solidFill>
                          <w14:schemeClr w14:val="tx1"/>
                        </w14:solidFill>
                      </w14:textFill>
                    </w:rPr>
                  </w:pPr>
                  <w:r>
                    <w:rPr>
                      <w:rFonts w:hint="default" w:ascii="Times New Roman" w:hAnsi="Times New Roman" w:eastAsia="宋体" w:cs="Times New Roman"/>
                      <w:b/>
                      <w:bCs w:val="0"/>
                      <w:color w:val="000000" w:themeColor="text1"/>
                      <w:sz w:val="21"/>
                      <w14:textFill>
                        <w14:solidFill>
                          <w14:schemeClr w14:val="tx1"/>
                        </w14:solidFill>
                      </w14:textFill>
                    </w:rPr>
                    <w:t>设计主要参数</w:t>
                  </w:r>
                </w:p>
              </w:tc>
            </w:tr>
            <w:tr w14:paraId="5ACC2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noWrap w:val="0"/>
                  <w:vAlign w:val="center"/>
                </w:tcPr>
                <w:p w14:paraId="510D42EC">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拆建1#排涝沟</w:t>
                  </w:r>
                </w:p>
              </w:tc>
              <w:tc>
                <w:tcPr>
                  <w:tcW w:w="6587" w:type="dxa"/>
                  <w:noWrap w:val="0"/>
                  <w:vAlign w:val="center"/>
                </w:tcPr>
                <w:p w14:paraId="759C9877">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矩形排涝沟长135</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，净宽1.5</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、深1.5</w:t>
                  </w:r>
                  <w:r>
                    <w:rPr>
                      <w:rFonts w:hint="default" w:ascii="Times New Roman" w:hAnsi="Times New Roman" w:eastAsia="宋体" w:cs="Times New Roman"/>
                      <w:color w:val="000000" w:themeColor="text1"/>
                      <w:sz w:val="21"/>
                      <w:lang w:eastAsia="zh-CN"/>
                      <w14:textFill>
                        <w14:solidFill>
                          <w14:schemeClr w14:val="tx1"/>
                        </w14:solidFill>
                      </w14:textFill>
                    </w:rPr>
                    <w:t>m</w:t>
                  </w:r>
                </w:p>
              </w:tc>
            </w:tr>
            <w:tr w14:paraId="4C4D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noWrap w:val="0"/>
                  <w:vAlign w:val="center"/>
                </w:tcPr>
                <w:p w14:paraId="1E4CDDA0">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新建2#排涝沟</w:t>
                  </w:r>
                </w:p>
              </w:tc>
              <w:tc>
                <w:tcPr>
                  <w:tcW w:w="6587" w:type="dxa"/>
                  <w:noWrap w:val="0"/>
                  <w:vAlign w:val="center"/>
                </w:tcPr>
                <w:p w14:paraId="54B752C9">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矩形排涝沟长630</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，净宽2</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、深1.8</w:t>
                  </w:r>
                  <w:r>
                    <w:rPr>
                      <w:rFonts w:hint="default" w:ascii="Times New Roman" w:hAnsi="Times New Roman" w:eastAsia="宋体" w:cs="Times New Roman"/>
                      <w:color w:val="000000" w:themeColor="text1"/>
                      <w:sz w:val="21"/>
                      <w:lang w:eastAsia="zh-CN"/>
                      <w14:textFill>
                        <w14:solidFill>
                          <w14:schemeClr w14:val="tx1"/>
                        </w14:solidFill>
                      </w14:textFill>
                    </w:rPr>
                    <w:t>m</w:t>
                  </w:r>
                </w:p>
              </w:tc>
            </w:tr>
            <w:tr w14:paraId="5F61B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noWrap w:val="0"/>
                  <w:vAlign w:val="center"/>
                </w:tcPr>
                <w:p w14:paraId="7582F442">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新建3#排涝沟</w:t>
                  </w:r>
                </w:p>
              </w:tc>
              <w:tc>
                <w:tcPr>
                  <w:tcW w:w="6587" w:type="dxa"/>
                  <w:noWrap w:val="0"/>
                  <w:vAlign w:val="center"/>
                </w:tcPr>
                <w:p w14:paraId="0381B434">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梯形排涝沟长630，底宽1.5~2</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，口宽约6~8</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，边坡1：1.5，采用联锁块护坡。</w:t>
                  </w:r>
                </w:p>
              </w:tc>
            </w:tr>
            <w:tr w14:paraId="6B651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noWrap w:val="0"/>
                  <w:vAlign w:val="center"/>
                </w:tcPr>
                <w:p w14:paraId="01B5EA66">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新建4#排涝沟</w:t>
                  </w:r>
                </w:p>
              </w:tc>
              <w:tc>
                <w:tcPr>
                  <w:tcW w:w="6587" w:type="dxa"/>
                  <w:noWrap w:val="0"/>
                  <w:vAlign w:val="center"/>
                </w:tcPr>
                <w:p w14:paraId="483A5C0D">
                  <w:pPr>
                    <w:pStyle w:val="202"/>
                    <w:keepNext w:val="0"/>
                    <w:keepLines w:val="0"/>
                    <w:pageBreakBefore w:val="0"/>
                    <w:suppressLineNumbers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梯形断面，底宽2</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，口宽约6~8</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，边坡1：1.5，采用联锁块护坡。</w:t>
                  </w:r>
                </w:p>
              </w:tc>
            </w:tr>
          </w:tbl>
          <w:p w14:paraId="4CDF41AC">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3.4.1、1#排涝沟工程设计：</w:t>
            </w:r>
          </w:p>
          <w:p w14:paraId="773A9EF8">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1#排涝沟位于S332穿路涵下游，现状渠道为矩形断面，过流能力不足，本次需对其进行裁剪，采用矩形钢筋砼渠道，长135m，净宽1.5m、深1.5m，边墙及底板厚300mm，底板下设100mm厚碎石垫层。</w:t>
            </w:r>
          </w:p>
          <w:p w14:paraId="601EA790">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3.4.2、2#排涝沟工程设计：</w:t>
            </w:r>
          </w:p>
          <w:p w14:paraId="4BD78AB4">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2#排涝沟位于S332穿路涵下游，现状渠道杂草丛生，阻碍行洪，排涝能力不足，拟采用矩形钢筋砼渠道，长630m，净宽2m、深1.8m，边墙及底板厚300mm，底板下设100mm厚碎石垫层。</w:t>
            </w:r>
          </w:p>
          <w:p w14:paraId="0EC25963">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3.4.3、3#排涝沟工程设计：</w:t>
            </w:r>
          </w:p>
          <w:p w14:paraId="5C1F2857">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3#排涝沟现状渠道杂草丛生，阻碍行洪，排涝能力不足，采用梯形联锁块护砌渠道，长630m，底宽2m，口宽约6~8m，边坡1：1.5，预制联锁块护坡厚100mm，设碎石找平层厚50mm。</w:t>
            </w:r>
          </w:p>
          <w:p w14:paraId="7322B62C">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3.4.4、4#排涝沟工程设计：</w:t>
            </w:r>
          </w:p>
          <w:p w14:paraId="70E50253">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4#排涝沟靠近排涝末端，拟采用矩形钢筋混凝土渠道结构，总长30m，净宽4m、深1.8m。边墙及底板厚度均为300mm，底板下方铺设100mm厚碎石垫层。墙顶与两侧地面平顺衔接。需特别注意的是，渠道北侧现状田面高程未能满足排涝要求，因该处存在洪水缺口，导致洪水泄入后方大棚蔬菜基地，后期需对该区域田面进行填高处理。</w:t>
            </w:r>
          </w:p>
          <w:p w14:paraId="6D2ED9FF">
            <w:pPr>
              <w:keepNext w:val="0"/>
              <w:keepLines w:val="0"/>
              <w:pageBreakBefore w:val="0"/>
              <w:widowControl/>
              <w:numPr>
                <w:ilvl w:val="0"/>
                <w:numId w:val="0"/>
              </w:numPr>
              <w:suppressLineNumbers w:val="0"/>
              <w:spacing w:before="0" w:beforeAutospacing="0" w:after="0" w:afterAutospacing="0" w:line="360" w:lineRule="auto"/>
              <w:ind w:left="480" w:right="0"/>
              <w:jc w:val="left"/>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3.4.5、戴家河片穿路涵设计</w:t>
            </w:r>
          </w:p>
          <w:p w14:paraId="223B7B4A">
            <w:pPr>
              <w:keepNext w:val="0"/>
              <w:keepLines w:val="0"/>
              <w:pageBreakBefore w:val="0"/>
              <w:widowControl/>
              <w:numPr>
                <w:ilvl w:val="0"/>
                <w:numId w:val="0"/>
              </w:numPr>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现状戴家河片穿路涵规模不足，导致排水不畅，根据水文分析计算，戴家河片10年一遇排涝流量为9.2m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s，S332以北区域涝水通过S332道路现状2处穿路涵排涝，因管涵（直径1.5m）不满足过流要求，因此需进行拆建。另外，位于区域排水末端的4#穿路涵承泄上游整个区域汇水，本次拟定S332穿路涵、4#穿路涵设计流量分别为4.5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/s、9.2m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/s。</w:t>
            </w:r>
          </w:p>
          <w:p w14:paraId="6E18FCE1">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（1）S332穿路涵：由进水口、涵洞洞身、出水池组成。涵洞进水口为C30钢筋砼结构，顺水流方向长4.34</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，底板及侧墙厚0.3</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，配套安装拦污栅1道；涵洞洞身为箱涵，顺水流方向长37</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，分为四节，涵洞洞身净尺寸为3.0</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×1.8</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（宽×高），为C30钢筋砼结构，底板、顶板及侧墙厚0.40</w:t>
            </w:r>
            <w:r>
              <w:rPr>
                <w:rFonts w:hint="default" w:ascii="Times New Roman" w:hAnsi="Times New Roman" w:eastAsia="宋体" w:cs="Times New Roman"/>
                <w:color w:val="000000" w:themeColor="text1"/>
                <w:lang w:eastAsia="zh-CN"/>
                <w14:textFill>
                  <w14:solidFill>
                    <w14:schemeClr w14:val="tx1"/>
                  </w14:solidFill>
                </w14:textFill>
              </w:rPr>
              <w:t>mm</w:t>
            </w:r>
            <w:r>
              <w:rPr>
                <w:rFonts w:hint="default" w:ascii="Times New Roman" w:hAnsi="Times New Roman" w:eastAsia="宋体" w:cs="Times New Roman"/>
                <w:color w:val="000000" w:themeColor="text1"/>
                <w14:textFill>
                  <w14:solidFill>
                    <w14:schemeClr w14:val="tx1"/>
                  </w14:solidFill>
                </w14:textFill>
              </w:rPr>
              <w:t>；出水池为C30钢筋砼结构，顺水流方向长5.4</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，底板厚0.35</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，侧墙厚0.3</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w:t>
            </w:r>
          </w:p>
          <w:p w14:paraId="1763DD2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穿路涵：由进水口、涵洞洞身、出水池组成。涵洞进水口为C30钢筋砼结构，顺水流方向长8.18m，底板及侧墙厚0.3m，配套安装拦污栅1道；涵洞洞身为箱涵，顺水流方向长7.3m，涵洞洞身净尺寸为3.0m×3.8m（宽×高），为C30钢筋砼结构，底板、顶板及侧墙厚0.40mm；出水池为C30钢筋砼结构，顺水流方向长9.2m，底板厚0.35m，侧墙厚0.3m。</w:t>
            </w:r>
          </w:p>
          <w:p w14:paraId="1979482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3.5城区排涝通道整治工程方案</w:t>
            </w:r>
          </w:p>
          <w:p w14:paraId="0CB68435">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3.5.1工程等级</w:t>
            </w:r>
          </w:p>
          <w:p w14:paraId="0E9D0832">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根据《防洪标准》（GB50201-2014）、《堤防工程设计规范》（GB50286-2013），结合淠河流域防洪规划的要求，并考虑经济、政治、社会、环境等因素以及与城市总体规划相衔接，本次柳林河、高庙河、幽芳河等城区沿线支流回水段按照50年一遇标准，堤防级别为2级；河道上游撇洪沟段防洪标准为10年一遇，堤防级别为5级；新店河防洪标准为10年一遇。</w:t>
            </w:r>
          </w:p>
          <w:p w14:paraId="694A291D">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城区排涝通道整治工程中新店河及高庙河、柳林河、幽芳河上游撇洪沟防洪标准为10年一遇，堤防级别为5级，防洪建筑物中，主要建筑物为5级，如驳岸挡墙、护坡等，气盾坝以及拦河坝为拦河建筑物，级别为5级，临时建筑物级别为5级，如围堰、导流沟渠等。高庙河、柳林河城区段防洪标准为50年一遇，堤防级别为2级，防洪建筑物中，主要建筑物为2级，如驳岸挡墙、护坡等，气盾坝以及拦河坝为拦河建筑物，级别为2级，临时建筑物级别为5级，如围堰、导流沟渠等。</w:t>
            </w:r>
          </w:p>
          <w:p w14:paraId="18A745D9">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3.5.2工程总体布置</w:t>
            </w:r>
          </w:p>
          <w:p w14:paraId="5B3708AC">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本工程涉及霍山县四条排涝通道，分别为幽芳河、高庙河、柳林河、新店河。河道疏浚沿原河道中心线，维持在现状河口内疏浚。因为排涝通道为山丘区河流，纵坡坡降大，流速快，需对该段河道河坡进行防护。</w:t>
            </w:r>
          </w:p>
          <w:p w14:paraId="2AA5AD98">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建筑物主要为蓄水建筑物，根据河道坡降适当增设蓄水建筑物，可减缓水流流速，同时满足生态用水需求。</w:t>
            </w:r>
          </w:p>
          <w:p w14:paraId="7972B435">
            <w:pPr>
              <w:keepNext w:val="0"/>
              <w:keepLines w:val="0"/>
              <w:pageBreakBefore w:val="0"/>
              <w:widowControl/>
              <w:suppressLineNumbers w:val="0"/>
              <w:spacing w:before="0" w:beforeAutospacing="0" w:after="0" w:afterAutospacing="0" w:line="360" w:lineRule="auto"/>
              <w:ind w:left="0" w:right="0" w:firstLine="0"/>
              <w:jc w:val="left"/>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5056505" cy="3121025"/>
                  <wp:effectExtent l="0" t="0" r="10795" b="3175"/>
                  <wp:docPr id="9"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47.jpeg"/>
                          <pic:cNvPicPr>
                            <a:picLocks noChangeAspect="1"/>
                          </pic:cNvPicPr>
                        </pic:nvPicPr>
                        <pic:blipFill>
                          <a:blip r:embed="rId15"/>
                          <a:stretch>
                            <a:fillRect/>
                          </a:stretch>
                        </pic:blipFill>
                        <pic:spPr>
                          <a:xfrm>
                            <a:off x="0" y="0"/>
                            <a:ext cx="5056505" cy="3121025"/>
                          </a:xfrm>
                          <a:prstGeom prst="rect">
                            <a:avLst/>
                          </a:prstGeom>
                        </pic:spPr>
                      </pic:pic>
                    </a:graphicData>
                  </a:graphic>
                </wp:inline>
              </w:drawing>
            </w:r>
          </w:p>
          <w:p w14:paraId="4D56654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图 2-6</w:t>
            </w:r>
            <w:r>
              <w:rPr>
                <w:rFonts w:hint="default" w:ascii="Times New Roman" w:hAnsi="Times New Roman" w:eastAsia="宋体" w:cs="Times New Roman"/>
                <w:b/>
                <w:bCs/>
                <w:color w:val="000000" w:themeColor="text1"/>
                <w:lang w:val="en-US" w:eastAsia="zh-CN"/>
                <w14:textFill>
                  <w14:solidFill>
                    <w14:schemeClr w14:val="tx1"/>
                  </w14:solidFill>
                </w14:textFill>
              </w:rPr>
              <w:tab/>
            </w:r>
            <w:r>
              <w:rPr>
                <w:rFonts w:hint="default" w:ascii="Times New Roman" w:hAnsi="Times New Roman" w:eastAsia="宋体" w:cs="Times New Roman"/>
                <w:b/>
                <w:bCs/>
                <w:color w:val="000000" w:themeColor="text1"/>
                <w:lang w:val="en-US" w:eastAsia="zh-CN"/>
                <w14:textFill>
                  <w14:solidFill>
                    <w14:schemeClr w14:val="tx1"/>
                  </w14:solidFill>
                </w14:textFill>
              </w:rPr>
              <w:t>排涝通道总平面示意图</w:t>
            </w:r>
          </w:p>
          <w:p w14:paraId="36630CBF">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3.5.3高庙河设计</w:t>
            </w:r>
          </w:p>
          <w:p w14:paraId="407F595F">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3.5.3.1堤防设计</w:t>
            </w:r>
          </w:p>
          <w:p w14:paraId="4DBEE14D">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根据规划，高庙河防洪标准为10~50年一遇。其中牛角冲水库溢洪道~迎宾大道（K0+000~K4+100），防洪标准为10年一遇，堤防等级为5级；迎宾大道~东淠河汇入口（桩号K4+100-K8+778），防洪标准为50年一遇，堤防等级为2级。</w:t>
            </w:r>
          </w:p>
          <w:p w14:paraId="0D6BA5DC">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3.5.3.2</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岸坡防护设计</w:t>
            </w:r>
          </w:p>
          <w:p w14:paraId="375E542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1、河道护岸</w:t>
            </w:r>
          </w:p>
          <w:p w14:paraId="78A8A1F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岸坡型式选择应结合安全、生态、景观、经济四个方面考虑，对于具备放坡条件的河段采用联锁砖护坡；对于用地受限，没有放坡条件，不适用坡面防护，采用阶梯式生态挡墙、浆砌石挡墙或格宾石笼挡墙，对于岸坡较缓，河道为梯形断面的位置，采用预制联锁块护坡。</w:t>
            </w:r>
          </w:p>
          <w:p w14:paraId="53D83F0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2、河道断面设计</w:t>
            </w:r>
          </w:p>
          <w:p w14:paraId="033EE3E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（1）牛角冲水库溢洪道~2号拦河坝（桩号K0+000-K0+266）</w:t>
            </w:r>
          </w:p>
          <w:p w14:paraId="0F22A42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左岸为浆砌石挡墙，右岸钢筋砼挡墙，挡墙基本完好，河床局部前滩有植被覆盖，环境较好。该段维持现状。</w:t>
            </w:r>
          </w:p>
          <w:p w14:paraId="6615FB7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（2）2号拦河坝K0+266~3号生产桥K1+130</w:t>
            </w:r>
          </w:p>
          <w:p w14:paraId="6B0C07F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该段河道岸坡为土坡，存在冲刷现象。对该段岸坡采用素砼仰斜式加固，墙高2.0m，墙趾埋深1.5m，墙趾采用开挖砂砾石回填。</w:t>
            </w:r>
          </w:p>
          <w:p w14:paraId="412AF69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（3）3号生产桥K1+130~K3+550</w:t>
            </w:r>
          </w:p>
          <w:p w14:paraId="3706E97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道岸坡大部分为土质岸坡，局部有高边坡，岸坡存在冲刷现象。3号生产桥下游有浆砌石墙或阶梯式生态挡墙护砌。该段岸坡采用阶梯式生态挡墙护砌，挡墙高度2~2.5m，墙趾埋深1.5m，墙趾采用开挖砂砾石回填，现状已护砌段维持现状。</w:t>
            </w:r>
          </w:p>
          <w:p w14:paraId="77EE21A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（4）K3+550~8号天池桥K5+650</w:t>
            </w:r>
          </w:p>
          <w:p w14:paraId="34DA819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岸坡采用六角框格护坡或联锁块护坡，其中K3+550~K4+100护坡存在部分老化损坏，局部护坡底格埂老化剥落，格埂底部存在淘刷现象。该段对K3+550~K4+100两岸底格埂进行拆建，坡脚前沿采用格宾石笼固脚，局部老化护坡进行修复。</w:t>
            </w:r>
          </w:p>
          <w:p w14:paraId="4BE22C2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（5）8号天池桥K5+650~幽芳河交汇点K7+225</w:t>
            </w:r>
          </w:p>
          <w:p w14:paraId="05C6F3B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岸坡采用复式断面，下部为直立墙，墙前布置污水管线，挡墙上部为草坪护坡或六角砖护坡。现状护岸情况良好，该段维持现状。</w:t>
            </w:r>
          </w:p>
          <w:p w14:paraId="398D0A0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p>
          <w:p w14:paraId="646CE72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（6）幽芳河汇入点K7+225~K8+025</w:t>
            </w:r>
          </w:p>
          <w:p w14:paraId="3D6D2A5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道左岸六角砖护坡，坡脚有淘刷现象，墙顶栏杆损坏严重；右岸K7+225~K7+375为浆砌石挡墙+草皮护坡，其余岸段土质岸坡，岸坡冲刷形成陡坎。该段左岸底格埂进行拆建，右岸采用石笼挡墙加固，墙高3.0m，两岸坡脚前沿采用格宾石笼固脚。</w:t>
            </w:r>
          </w:p>
          <w:p w14:paraId="3A9126C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（7）K8+025~液压坝K8+550</w:t>
            </w:r>
          </w:p>
          <w:p w14:paraId="40A11EE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该段左岸为将六角块护坡，坡脚存在淘刷现象；右岸部分为土质岸坡，岸坡冲刷形成陡坎。该段左岸底格埂拆建，局部陡坎处采用素砼挡墙加固，右岸采用石笼挡墙加固，墙高3.0m，两岸坡脚前沿采用格宾石笼固脚。</w:t>
            </w:r>
          </w:p>
          <w:p w14:paraId="6F0C9C3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（8）液压坝K8+550~外环路桥K8+707</w:t>
            </w:r>
          </w:p>
          <w:p w14:paraId="138D8B4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该段左岸为六角块护坡，运行情况良好；右岸钢筋砼挡墙+草坪护坡，运行情况良好。该段维持现状。</w:t>
            </w:r>
          </w:p>
          <w:p w14:paraId="250638D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（9）外环路桥K8+707~K8+778</w:t>
            </w:r>
          </w:p>
          <w:p w14:paraId="76B3D75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该段现状河道两侧为土质岸坡，岸坡裸露，局部有冲刷陡坎。河道两侧采用雷诺护垫护砌，坡脚采用格宾石笼固脚。</w:t>
            </w:r>
          </w:p>
          <w:p w14:paraId="2F967A41">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3.5.3.3河道建筑物设计</w:t>
            </w:r>
          </w:p>
          <w:p w14:paraId="3DB64B8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高庙河现状长度8.78km，起点河底高程为114.00m，终点河底高程为60.63m，落差达53.37m，纵向坡比0.0061，落差较大。河道沿线布置了多级拦河坝，用于减缓水流和稳定河槽，防止冲刷。本次满足泄洪安全的基础上，合理改造拦河建筑物。</w:t>
            </w:r>
          </w:p>
          <w:p w14:paraId="662D310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状7、9、13-1（三板桥退水渠汇入高庙河位置）号拦河坝破损，本工程中予以拆除重建。此外，迎宾大道附近拦河坝间距较大，河段常水位较低，河床冲刷下切，不利于河势稳定，本工程在迎宾大道上游新建拦河坝1座。</w:t>
            </w:r>
          </w:p>
          <w:p w14:paraId="2FFE7C57">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表2-8  拦河坝改造统计表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6"/>
              <w:gridCol w:w="2017"/>
              <w:gridCol w:w="2019"/>
              <w:gridCol w:w="2019"/>
            </w:tblGrid>
            <w:tr w14:paraId="7549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noWrap w:val="0"/>
                  <w:vAlign w:val="center"/>
                </w:tcPr>
                <w:p w14:paraId="138FBFA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w:t>
                  </w:r>
                </w:p>
              </w:tc>
              <w:tc>
                <w:tcPr>
                  <w:tcW w:w="2017" w:type="dxa"/>
                  <w:noWrap w:val="0"/>
                  <w:vAlign w:val="center"/>
                </w:tcPr>
                <w:p w14:paraId="79C8EF2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2019" w:type="dxa"/>
                  <w:noWrap w:val="0"/>
                  <w:vAlign w:val="center"/>
                </w:tcPr>
                <w:p w14:paraId="7CD7C9F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位置</w:t>
                  </w:r>
                </w:p>
              </w:tc>
              <w:tc>
                <w:tcPr>
                  <w:tcW w:w="2019" w:type="dxa"/>
                  <w:noWrap w:val="0"/>
                  <w:vAlign w:val="center"/>
                </w:tcPr>
                <w:p w14:paraId="3CF9F54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69A67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restart"/>
                  <w:noWrap w:val="0"/>
                  <w:vAlign w:val="center"/>
                </w:tcPr>
                <w:p w14:paraId="337932B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w:t>
                  </w:r>
                </w:p>
              </w:tc>
              <w:tc>
                <w:tcPr>
                  <w:tcW w:w="2017" w:type="dxa"/>
                  <w:noWrap w:val="0"/>
                  <w:vAlign w:val="center"/>
                </w:tcPr>
                <w:p w14:paraId="0DEE7B2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拦河坝7</w:t>
                  </w:r>
                </w:p>
              </w:tc>
              <w:tc>
                <w:tcPr>
                  <w:tcW w:w="2019" w:type="dxa"/>
                  <w:noWrap w:val="0"/>
                  <w:vAlign w:val="center"/>
                </w:tcPr>
                <w:p w14:paraId="29EC7F7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K1+220</w:t>
                  </w:r>
                </w:p>
              </w:tc>
              <w:tc>
                <w:tcPr>
                  <w:tcW w:w="2019" w:type="dxa"/>
                  <w:noWrap w:val="0"/>
                  <w:vAlign w:val="center"/>
                </w:tcPr>
                <w:p w14:paraId="7538DCF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67B56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097CBBB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76ACC8D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拦河坝9</w:t>
                  </w:r>
                </w:p>
              </w:tc>
              <w:tc>
                <w:tcPr>
                  <w:tcW w:w="2019" w:type="dxa"/>
                  <w:noWrap w:val="0"/>
                  <w:vAlign w:val="center"/>
                </w:tcPr>
                <w:p w14:paraId="46531FA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K2+203</w:t>
                  </w:r>
                </w:p>
              </w:tc>
              <w:tc>
                <w:tcPr>
                  <w:tcW w:w="2019" w:type="dxa"/>
                  <w:noWrap w:val="0"/>
                  <w:vAlign w:val="center"/>
                </w:tcPr>
                <w:p w14:paraId="2708FBF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0C3BF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699D3C1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3E12690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新建拦河坝11-1</w:t>
                  </w:r>
                </w:p>
              </w:tc>
              <w:tc>
                <w:tcPr>
                  <w:tcW w:w="2019" w:type="dxa"/>
                  <w:noWrap w:val="0"/>
                  <w:vAlign w:val="center"/>
                </w:tcPr>
                <w:p w14:paraId="476E052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K4+057</w:t>
                  </w:r>
                </w:p>
              </w:tc>
              <w:tc>
                <w:tcPr>
                  <w:tcW w:w="2019" w:type="dxa"/>
                  <w:noWrap w:val="0"/>
                  <w:vAlign w:val="center"/>
                </w:tcPr>
                <w:p w14:paraId="388BD50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73680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05F7C9B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018E600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拦河坝13-1</w:t>
                  </w:r>
                </w:p>
              </w:tc>
              <w:tc>
                <w:tcPr>
                  <w:tcW w:w="2019" w:type="dxa"/>
                  <w:noWrap w:val="0"/>
                  <w:vAlign w:val="center"/>
                </w:tcPr>
                <w:p w14:paraId="410F413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K6+239</w:t>
                  </w:r>
                </w:p>
              </w:tc>
              <w:tc>
                <w:tcPr>
                  <w:tcW w:w="2019" w:type="dxa"/>
                  <w:noWrap w:val="0"/>
                  <w:vAlign w:val="center"/>
                </w:tcPr>
                <w:p w14:paraId="4E5D1B8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bl>
          <w:p w14:paraId="1C372E3E">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表2-9  拦河坝改造参数表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018"/>
              <w:gridCol w:w="1706"/>
              <w:gridCol w:w="1461"/>
              <w:gridCol w:w="1185"/>
              <w:gridCol w:w="2102"/>
            </w:tblGrid>
            <w:tr w14:paraId="4FC50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599" w:type="dxa"/>
                  <w:noWrap w:val="0"/>
                  <w:vAlign w:val="center"/>
                </w:tcPr>
                <w:p w14:paraId="039D07A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018" w:type="dxa"/>
                  <w:noWrap w:val="0"/>
                  <w:vAlign w:val="center"/>
                </w:tcPr>
                <w:p w14:paraId="63C1200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桩号位置</w:t>
                  </w:r>
                </w:p>
              </w:tc>
              <w:tc>
                <w:tcPr>
                  <w:tcW w:w="1706" w:type="dxa"/>
                  <w:noWrap w:val="0"/>
                  <w:vAlign w:val="center"/>
                </w:tcPr>
                <w:p w14:paraId="0E9AF3D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461" w:type="dxa"/>
                  <w:noWrap w:val="0"/>
                  <w:vAlign w:val="center"/>
                </w:tcPr>
                <w:p w14:paraId="7044144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坝顶高程（m）</w:t>
                  </w:r>
                </w:p>
              </w:tc>
              <w:tc>
                <w:tcPr>
                  <w:tcW w:w="1185" w:type="dxa"/>
                  <w:noWrap w:val="0"/>
                  <w:vAlign w:val="center"/>
                </w:tcPr>
                <w:p w14:paraId="460CD2C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净宽（m）</w:t>
                  </w:r>
                </w:p>
              </w:tc>
              <w:tc>
                <w:tcPr>
                  <w:tcW w:w="2102" w:type="dxa"/>
                  <w:noWrap w:val="0"/>
                  <w:vAlign w:val="center"/>
                </w:tcPr>
                <w:p w14:paraId="39970A6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7A958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9" w:type="dxa"/>
                  <w:noWrap w:val="0"/>
                  <w:vAlign w:val="center"/>
                </w:tcPr>
                <w:p w14:paraId="4D6AE76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018" w:type="dxa"/>
                  <w:noWrap w:val="0"/>
                  <w:vAlign w:val="center"/>
                </w:tcPr>
                <w:p w14:paraId="2D3F831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K1+220</w:t>
                  </w:r>
                </w:p>
              </w:tc>
              <w:tc>
                <w:tcPr>
                  <w:tcW w:w="1706" w:type="dxa"/>
                  <w:noWrap w:val="0"/>
                  <w:vAlign w:val="center"/>
                </w:tcPr>
                <w:p w14:paraId="2876196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拆建拦河坝7</w:t>
                  </w:r>
                </w:p>
              </w:tc>
              <w:tc>
                <w:tcPr>
                  <w:tcW w:w="1461" w:type="dxa"/>
                  <w:noWrap w:val="0"/>
                  <w:vAlign w:val="center"/>
                </w:tcPr>
                <w:p w14:paraId="085CA10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102.45</w:t>
                  </w:r>
                </w:p>
              </w:tc>
              <w:tc>
                <w:tcPr>
                  <w:tcW w:w="1185" w:type="dxa"/>
                  <w:noWrap w:val="0"/>
                  <w:vAlign w:val="center"/>
                </w:tcPr>
                <w:p w14:paraId="4773614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2102" w:type="dxa"/>
                  <w:noWrap w:val="0"/>
                  <w:vAlign w:val="center"/>
                </w:tcPr>
                <w:p w14:paraId="1A6B40B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FFE1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599" w:type="dxa"/>
                  <w:noWrap w:val="0"/>
                  <w:vAlign w:val="center"/>
                </w:tcPr>
                <w:p w14:paraId="2AA0D19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018" w:type="dxa"/>
                  <w:noWrap w:val="0"/>
                  <w:vAlign w:val="center"/>
                </w:tcPr>
                <w:p w14:paraId="0C8E39A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K2+203</w:t>
                  </w:r>
                </w:p>
              </w:tc>
              <w:tc>
                <w:tcPr>
                  <w:tcW w:w="1706" w:type="dxa"/>
                  <w:noWrap w:val="0"/>
                  <w:vAlign w:val="center"/>
                </w:tcPr>
                <w:p w14:paraId="758AB5F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拆建拦河坝9</w:t>
                  </w:r>
                </w:p>
              </w:tc>
              <w:tc>
                <w:tcPr>
                  <w:tcW w:w="1461" w:type="dxa"/>
                  <w:noWrap w:val="0"/>
                  <w:vAlign w:val="center"/>
                </w:tcPr>
                <w:p w14:paraId="4910932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90.10</w:t>
                  </w:r>
                </w:p>
              </w:tc>
              <w:tc>
                <w:tcPr>
                  <w:tcW w:w="1185" w:type="dxa"/>
                  <w:noWrap w:val="0"/>
                  <w:vAlign w:val="center"/>
                </w:tcPr>
                <w:p w14:paraId="0BC76DD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02" w:type="dxa"/>
                  <w:noWrap w:val="0"/>
                  <w:vAlign w:val="center"/>
                </w:tcPr>
                <w:p w14:paraId="1CC9A74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E69E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9" w:type="dxa"/>
                  <w:noWrap w:val="0"/>
                  <w:vAlign w:val="center"/>
                </w:tcPr>
                <w:p w14:paraId="63A5A0B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018" w:type="dxa"/>
                  <w:noWrap w:val="0"/>
                  <w:vAlign w:val="center"/>
                </w:tcPr>
                <w:p w14:paraId="35018FE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K4+057</w:t>
                  </w:r>
                </w:p>
              </w:tc>
              <w:tc>
                <w:tcPr>
                  <w:tcW w:w="1706" w:type="dxa"/>
                  <w:noWrap w:val="0"/>
                  <w:vAlign w:val="center"/>
                </w:tcPr>
                <w:p w14:paraId="01399B1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新建拦河坝11-1</w:t>
                  </w:r>
                </w:p>
              </w:tc>
              <w:tc>
                <w:tcPr>
                  <w:tcW w:w="1461" w:type="dxa"/>
                  <w:noWrap w:val="0"/>
                  <w:vAlign w:val="center"/>
                </w:tcPr>
                <w:p w14:paraId="4F28CE9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75.70</w:t>
                  </w:r>
                </w:p>
              </w:tc>
              <w:tc>
                <w:tcPr>
                  <w:tcW w:w="1185" w:type="dxa"/>
                  <w:noWrap w:val="0"/>
                  <w:vAlign w:val="center"/>
                </w:tcPr>
                <w:p w14:paraId="470CFA7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02" w:type="dxa"/>
                  <w:noWrap w:val="0"/>
                  <w:vAlign w:val="center"/>
                </w:tcPr>
                <w:p w14:paraId="61E8531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43B6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99" w:type="dxa"/>
                  <w:noWrap w:val="0"/>
                  <w:vAlign w:val="center"/>
                </w:tcPr>
                <w:p w14:paraId="334EEC5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018" w:type="dxa"/>
                  <w:noWrap w:val="0"/>
                  <w:vAlign w:val="center"/>
                </w:tcPr>
                <w:p w14:paraId="4ACFDAE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K6+239</w:t>
                  </w:r>
                </w:p>
              </w:tc>
              <w:tc>
                <w:tcPr>
                  <w:tcW w:w="1706" w:type="dxa"/>
                  <w:noWrap w:val="0"/>
                  <w:vAlign w:val="center"/>
                </w:tcPr>
                <w:p w14:paraId="3162992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拆建拦河坝13-1</w:t>
                  </w:r>
                </w:p>
              </w:tc>
              <w:tc>
                <w:tcPr>
                  <w:tcW w:w="1461" w:type="dxa"/>
                  <w:noWrap w:val="0"/>
                  <w:vAlign w:val="center"/>
                </w:tcPr>
                <w:p w14:paraId="7D68164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66.00</w:t>
                  </w:r>
                </w:p>
              </w:tc>
              <w:tc>
                <w:tcPr>
                  <w:tcW w:w="1185" w:type="dxa"/>
                  <w:noWrap w:val="0"/>
                  <w:vAlign w:val="center"/>
                </w:tcPr>
                <w:p w14:paraId="06F60A0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2102" w:type="dxa"/>
                  <w:noWrap w:val="0"/>
                  <w:vAlign w:val="center"/>
                </w:tcPr>
                <w:p w14:paraId="34A0AE9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位于三板桥退水渠汇入高庙河位置</w:t>
                  </w:r>
                </w:p>
              </w:tc>
            </w:tr>
          </w:tbl>
          <w:p w14:paraId="7E33457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典型设计以拆建7号拦河坝为例。</w:t>
            </w:r>
          </w:p>
          <w:p w14:paraId="5FAD3F3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（1）工程布置</w:t>
            </w:r>
          </w:p>
          <w:p w14:paraId="645193B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拆建7号拦河坝位于桩号K1+220处，从上游到下游分别为进口段，控制段，消力池段和海漫段。</w:t>
            </w:r>
          </w:p>
          <w:p w14:paraId="435C262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进口段为毛石砼护底，两侧为钢筋砼挡墙，进口段长4.0m，净宽26.0m，底板高程101.45m。</w:t>
            </w:r>
          </w:p>
          <w:p w14:paraId="02ABB97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控制段为钢筋砼结构，顺水流方向长10.5m，净宽26.0m，坝身台阶式布置，台阶平面形状为花瓣布置。坝顶高程102.45~101.45m，底板厚1.5~0.5m，第一级平台上部布置人行汀步。</w:t>
            </w:r>
          </w:p>
          <w:p w14:paraId="5D5F469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消力池段为钢筋砼结构，长11m，净宽26.0m，底板高程101.45~100.95m。</w:t>
            </w:r>
          </w:p>
          <w:p w14:paraId="7655798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海漫段为毛石砼护底，两侧为钢筋砼挡墙，海漫段长4.0m，净宽26.0m，底板高程101.25m。</w:t>
            </w:r>
          </w:p>
          <w:p w14:paraId="62E8A01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3.5.3.4管理设施</w:t>
            </w:r>
          </w:p>
          <w:p w14:paraId="71791F3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高庙管理设施包括高庙河K8+025~K8+550右岸坡顶布置巡查便道；K7+225~K8+550左岸岸顶栏杆拆建。</w:t>
            </w:r>
          </w:p>
          <w:p w14:paraId="468140A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新建巡查道路位于高庙河右岸，桩号范围K8+025~K8+550，净宽2.5m。道路结构方案：</w:t>
            </w:r>
          </w:p>
          <w:p w14:paraId="191DD91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3cm细粒式沥青砼(AC-13)</w:t>
            </w:r>
          </w:p>
          <w:p w14:paraId="7336E35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5cm中粒式沥青混凝土（AC-20）水泥碎石稳定层</w:t>
            </w:r>
          </w:p>
          <w:p w14:paraId="0EB8162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黏土层</w:t>
            </w:r>
          </w:p>
          <w:p w14:paraId="0E2FE7D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道路结构详见下图：</w:t>
            </w:r>
          </w:p>
          <w:p w14:paraId="63C6C071">
            <w:pPr>
              <w:keepNext w:val="0"/>
              <w:keepLines w:val="0"/>
              <w:pageBreakBefore w:val="0"/>
              <w:widowControl w:val="0"/>
              <w:suppressLineNumbers w:val="0"/>
              <w:spacing w:before="0" w:beforeAutospacing="0" w:after="0" w:afterAutospacing="0" w:line="360" w:lineRule="auto"/>
              <w:ind w:left="0" w:right="0" w:firstLine="48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drawing>
                <wp:inline distT="0" distB="0" distL="0" distR="0">
                  <wp:extent cx="4046220" cy="3274695"/>
                  <wp:effectExtent l="0" t="0" r="11430" b="1905"/>
                  <wp:docPr id="10"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3.jpeg"/>
                          <pic:cNvPicPr>
                            <a:picLocks noChangeAspect="1"/>
                          </pic:cNvPicPr>
                        </pic:nvPicPr>
                        <pic:blipFill>
                          <a:blip r:embed="rId16"/>
                          <a:stretch>
                            <a:fillRect/>
                          </a:stretch>
                        </pic:blipFill>
                        <pic:spPr>
                          <a:xfrm>
                            <a:off x="0" y="0"/>
                            <a:ext cx="4046220" cy="3274695"/>
                          </a:xfrm>
                          <a:prstGeom prst="rect">
                            <a:avLst/>
                          </a:prstGeom>
                        </pic:spPr>
                      </pic:pic>
                    </a:graphicData>
                  </a:graphic>
                </wp:inline>
              </w:drawing>
            </w:r>
          </w:p>
          <w:p w14:paraId="08B17CEC">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2-7  巡查道路结构图</w:t>
            </w:r>
          </w:p>
          <w:p w14:paraId="6D9C306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岸顶栏杆拆建位于高庙河左岸K7+225~K8+550，长度1325m，栏杆采用花岗岩材质。</w:t>
            </w:r>
          </w:p>
          <w:p w14:paraId="701C5A8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drawing>
                <wp:inline distT="0" distB="0" distL="0" distR="0">
                  <wp:extent cx="4867910" cy="1889760"/>
                  <wp:effectExtent l="0" t="0" r="8890" b="15240"/>
                  <wp:docPr id="11"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54.jpeg"/>
                          <pic:cNvPicPr>
                            <a:picLocks noChangeAspect="1"/>
                          </pic:cNvPicPr>
                        </pic:nvPicPr>
                        <pic:blipFill>
                          <a:blip r:embed="rId17"/>
                          <a:stretch>
                            <a:fillRect/>
                          </a:stretch>
                        </pic:blipFill>
                        <pic:spPr>
                          <a:xfrm>
                            <a:off x="0" y="0"/>
                            <a:ext cx="4868493" cy="1889760"/>
                          </a:xfrm>
                          <a:prstGeom prst="rect">
                            <a:avLst/>
                          </a:prstGeom>
                        </pic:spPr>
                      </pic:pic>
                    </a:graphicData>
                  </a:graphic>
                </wp:inline>
              </w:drawing>
            </w:r>
          </w:p>
          <w:p w14:paraId="6144DD33">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2-8  花岗岩栏杆大样图</w:t>
            </w:r>
          </w:p>
          <w:p w14:paraId="10868ED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3.5.4柳林河设计</w:t>
            </w:r>
          </w:p>
          <w:p w14:paraId="2D9F8EE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bookmarkStart w:id="6" w:name="5.3.4.1堤防设计"/>
            <w:bookmarkEnd w:id="6"/>
            <w:bookmarkStart w:id="7" w:name="5.3.4.1堤防设计"/>
            <w:bookmarkEnd w:id="7"/>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3.5.4.1堤防设计</w:t>
            </w:r>
          </w:p>
          <w:p w14:paraId="3BC88CF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《霍山县城市防洪规划》（2020-2035）提出：城关圩防洪圈堤防的防洪标准为50年一遇；柳林河从小河沿（龙门冲河口）～柳林河口，堤防的防洪标准为50年一遇，堤防级别为2级。</w:t>
            </w:r>
          </w:p>
          <w:p w14:paraId="43DF07E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故本次治理柳林河堤防按上述规划并参照同地区同类工程项目经验，柳林河团结水库溢洪道~迎宾大道桥（K0+000~K6+600）撇洪沟段，防洪标准为10年一遇，堤防等级为5级。迎宾大道桥~龙门冲河口段（K6+600~K9+300），乡镇段防洪标准为50年一遇，堤防等级为2级。龙门冲河口~东淠河口段（K9+300~K11+300）城关圩防洪圈堤防防洪标准为50年一遇洪水标准，堤防级别为2级。</w:t>
            </w:r>
          </w:p>
          <w:p w14:paraId="37162A1C">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3.5.4.2岸坡防护设计</w:t>
            </w:r>
          </w:p>
          <w:p w14:paraId="15FDE72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柳林河岸坡防护型式选择遵循以下原则：对于具备放坡条件的河段采用预制联锁块护坡；对于堤后用地受限，没有放坡条件，采用埋石砼挡墙；对于河道断面宽，河道过流流速不大，两岸岸坡较缓，生态较好的堤段，采用阶梯式生态挡墙。</w:t>
            </w:r>
          </w:p>
          <w:p w14:paraId="61179E6C">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1、河道断面设计</w:t>
            </w:r>
          </w:p>
          <w:p w14:paraId="21C93FB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（1）团结水库溢流堰~溢洪道末端（K0+000~K0+045）</w:t>
            </w:r>
          </w:p>
          <w:p w14:paraId="703C3A0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团结水库溢洪道段右岸为重力式挡墙，高程满足防洪要求。左岸为土坡，岸坡陡峭（1：1），有冲刷。河底为砼护底，出口有冲坑。本次对左岸采用重力式挡墙防护，末端河底C25砼护底5m。</w:t>
            </w:r>
          </w:p>
          <w:p w14:paraId="29B44D0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（2）团结水库溢洪道末端~生产桥2（K0+045~K0+600）</w:t>
            </w:r>
          </w:p>
          <w:p w14:paraId="63D8E42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道弯曲，河口宽10~17m，河底岩石裸露。1号桥上游150m河道两岸为山体坡地；桥下左岸为茶田，右岸为土坡。两岸岸顶高程达标。2号生产桥上游右岸150m砼挡墙护岸，左岸28m砼挡墙护岸。现状1号桥以下段两岸凹岸冲刷，坡脚抗冲能力差。本次对1号桥以下段两岸坡脚采用格宾石笼固脚。2号生产桥下河底清杂清障。</w:t>
            </w:r>
          </w:p>
          <w:p w14:paraId="69B7D99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（3）生产桥2~2号拦河坝（K0+600~K1+900）</w:t>
            </w:r>
          </w:p>
          <w:p w14:paraId="6E022A6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桥2~2号拦河坝段河道上段岩石裸露，下段沙石堆积。左岸临茶园坡地，局部有护岸砼挡墙。右岸上下段有护岸砼挡墙。现状两岸弯段凹岸冲刷，坡脚抗冲能力差。本次对两岸坡脚采用格宾石笼固脚。</w:t>
            </w:r>
          </w:p>
          <w:p w14:paraId="2DDFEC8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（4）2号拦河坝~生产桥5（K1+900~K2+100）</w:t>
            </w:r>
          </w:p>
          <w:p w14:paraId="26DB79E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河道右岸为挡墙护岸，挡墙底部破损、脱空；堤顶为居民区和道路。左岸山体，近河底草木茂盛，影响过流。本次对左岸坡脚清理；右岸坡脚新建素砼护脚，挡墙破损段墙脚空隙灌入素砼。</w:t>
            </w:r>
          </w:p>
          <w:p w14:paraId="6D10FFAC">
            <w:pPr>
              <w:pStyle w:val="2"/>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57E0C7A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（5）生产桥5~小黄沟防洪闸（K2+100~K2+400）</w:t>
            </w:r>
          </w:p>
          <w:p w14:paraId="078ACD5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右岸防护达标，现状右岸为土坡，缺少防护；堤顶为居民区和道路。左岸为挡墙护岸，坡脚抗冲能力不足。本次对左岸坡脚新建格宾石笼护脚。右岸新建仰斜式挡墙护岸，埋深满足冲刷深度要求，墙角采用开挖料回填。</w:t>
            </w:r>
          </w:p>
          <w:p w14:paraId="37A963F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（6）小黄沟防洪闸~生产桥6（K2+400~K2+480）</w:t>
            </w:r>
          </w:p>
          <w:p w14:paraId="004A273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河道右岸为挡墙护岸，挡墙底部破损、脱空；堤顶为村庄和道路。左岸山体土坡，近河底草木茂盛，影响过流。本次对左岸坡脚清理；右岸坡脚新建素砼护脚，挡墙破损段墙脚空隙灌入素砼。</w:t>
            </w:r>
          </w:p>
          <w:p w14:paraId="4BB16B4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（7）生产桥6~3号拦河坝（K2+480~K3+260）</w:t>
            </w:r>
          </w:p>
          <w:p w14:paraId="2CE972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农科桥上游右岸55m为土坡，其余右岸为砼挡墙护岸，左岸为砼护坡。护坡底格埂存在冲刷和掏空。农科桥桥头衔接段土坡陡峭、坍塌。河底淤积。河底清杂清障。农科桥头衔接段土坡新建仰斜式挡墙55m防护。既有护岸坡脚外采用格宾石笼护脚。</w:t>
            </w:r>
          </w:p>
          <w:p w14:paraId="054636F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（8）3号拦河坝~生产桥9（K3+260~K3+660）</w:t>
            </w:r>
          </w:p>
          <w:p w14:paraId="374853A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拦河坝3下游至右岸支渠60m河道两岸为重力式砼挡墙护岸。以下至桥9为弯段河道，右岸迎流顶冲，左岸河底砂石堆积，两岸均为土质岸坡。河底淤积，土质岸坡冲刷。本次河底清障，K3+260~K3+660两岸新建生态挡墙护岸。</w:t>
            </w:r>
          </w:p>
          <w:p w14:paraId="1920F4A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（9）生产桥9~生产桥10（K3+660~K3+990）</w:t>
            </w:r>
          </w:p>
          <w:p w14:paraId="302FEC5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K3+660~K3+820左岸为重力式挡墙护岸，其余两岸现状为土坡；右岸下段K3+870~K3+990段临山体。河底淤积，土质岸坡冲刷。本次在K3+660~K3+820左岸挡墙墙角采用格宾石笼防护，K3+870~K3+990段左岸新建生态挡墙护岸、K3+660~K3+870段右岸新建仰斜式挡墙护岸。</w:t>
            </w:r>
          </w:p>
          <w:p w14:paraId="72C1DD6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（10）生产桥10~拦河坝4（K3+990~K4+210）</w:t>
            </w:r>
          </w:p>
          <w:p w14:paraId="5955F89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河段左岸为土坡，岸顶临基本农田，下段临山体。右岸为土坡，临近道路。河底淤积，土坡无防护，左岸弯段河床下切，土坡坡面冲刷。本次河底清障，两岸新建生态挡墙护岸。</w:t>
            </w:r>
          </w:p>
          <w:p w14:paraId="1D02E2C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（11）拦河坝4~山体段K4+210~K4+410</w:t>
            </w:r>
          </w:p>
          <w:p w14:paraId="739E6A2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河段左岸为山体，右岸直立挡墙护岸。坡脚抗冲能力不足。右岸坡脚采用格宾石笼护脚。</w:t>
            </w:r>
          </w:p>
          <w:p w14:paraId="64D64B0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（12）山体段~生产桥11K4+410~K4+600</w:t>
            </w:r>
          </w:p>
          <w:p w14:paraId="645C3B2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河段两岸均为土坡，坡脚冲刷。右岸草木丛生，影响行洪。两岸新建仰斜式挡墙防护。</w:t>
            </w:r>
          </w:p>
          <w:p w14:paraId="520EAEE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（13）生产桥11~拦河坝5（K4+600~K5+175）</w:t>
            </w:r>
          </w:p>
          <w:p w14:paraId="0F235B8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河段河底岩石裸露。右岸局部有小块石墙。左岸上下段临山，中段为直立挡墙。右岸块石墙老化破损，挡墙墙脚有冲刷。本次对河道中段清障，右岸新建仰斜式挡墙防护。左岸中段挡墙墙脚格宾石笼护脚。</w:t>
            </w:r>
          </w:p>
          <w:p w14:paraId="0D7C763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（14）拦河坝5~拦河坝8（K5+175~K6+660）</w:t>
            </w:r>
          </w:p>
          <w:p w14:paraId="4812F03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河段左岸临山体，右岸有砼护岸挡墙。挡墙墙脚有冲刷。本次对右岸挡墙墙脚格宾石笼护脚。</w:t>
            </w:r>
          </w:p>
          <w:p w14:paraId="46E9D32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（15）拦河坝8~养殖场上游（K6+660~K8+740）</w:t>
            </w:r>
          </w:p>
          <w:p w14:paraId="2827A55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两岸岸坡为六角块空心护坡，护坡损毁老化严重，多处底格埂断裂倾斜等水毁现象。河道淤积。两岸水泥路多处路面开裂损坏。右岸茶乡大道桥K8+160~K9+040俞家畈泄洪闸段右岸堤顶无防汛道路。本次对河道清障，两岸护坡拆建，坡脚新建格宾石笼护脚，两岸现状堤顶水泥路白改黑，沥青砼路面层宽5m，迎水坡侧缺失的波形护栏补全。茶乡大道桥K8+160~K8+740俞家畈泄洪闸段右岸堤顶新建580m道板砖路，宽2m。</w:t>
            </w:r>
          </w:p>
          <w:p w14:paraId="0DF5911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（16）养殖场~俞家畈泄洪闸（K8+740~K9+040）</w:t>
            </w:r>
          </w:p>
          <w:p w14:paraId="527E30F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左岸岸坡为六角块空心护坡，护坡损毁老化严重，存在底格埂断裂倾斜；左岸水泥路多处路面开裂损坏。右岸堤身矮小，高程不足，土坡无防护，堤顶无防汛道路。本次两岸坡脚新建格宾石笼护脚，左岸护坡拆建，现状堤顶水泥路白改黑，沥青砼路面层宽5m，迎水坡侧缺失的波形护栏补全。右堤300m堤防达标治理，岸坡采用埋石砼仰斜式挡墙。堤顶加宽至3.0m，设2m宽巡查道路，道板砖路面。</w:t>
            </w:r>
          </w:p>
          <w:p w14:paraId="7E61DA6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（17）俞家畈泄洪闸~便民桥(K9+040~K9+340)</w:t>
            </w:r>
          </w:p>
          <w:p w14:paraId="4B9EB02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两岸岸坡为六角块空心护坡，护坡损毁老化严重，多处底格埂断裂倾斜。两岸水泥路多处路面开裂损坏。本次对河道清障，两岸护坡拆建，坡脚新建格宾石笼护脚，俞家畈泄洪闸下游右岸顶冲段河道，坡脚新建石笼下部采用密打高压旋喷桩固脚防冲。两岸现状堤顶水泥路白改黑，沥青砼路面层宽5m，迎水坡侧缺失的波形护栏补全。</w:t>
            </w:r>
          </w:p>
          <w:p w14:paraId="4A4601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（18）便民桥~迎驾酒厂（K9+340~K9+830）</w:t>
            </w:r>
          </w:p>
          <w:p w14:paraId="71AED69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河段两岸现状为联锁块护坡，因水流冲刷，两岸护坡底格埂悬空，局部底格埂断裂倾斜。</w:t>
            </w:r>
          </w:p>
          <w:p w14:paraId="096C687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本次在两岸底格埂外采用格宾石笼防护，两岸现状堤顶水泥路白改黑，沥青砼路面层宽5m，迎水坡侧缺失的波形护栏补全。</w:t>
            </w:r>
          </w:p>
          <w:p w14:paraId="675E9B3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（19）迎驾酒厂~东淠河口（K9+830~K11+300）</w:t>
            </w:r>
          </w:p>
          <w:p w14:paraId="196BDAD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河段两岸现状为联锁块护坡，两岸多处底格埂存在损毁，据管理单位反馈在东淠河蓄水坝建成后，下段河道未出现新的水毁险情，河势基本稳定。两岸水泥路多处路面开裂损坏。</w:t>
            </w:r>
          </w:p>
          <w:p w14:paraId="4E5D960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两岸现状堤顶水泥路白改黑，沥青砼路面层宽5m，迎水坡侧缺失的波形护栏补全。</w:t>
            </w:r>
          </w:p>
          <w:p w14:paraId="1B3F7E2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2、水毁段加固设计</w:t>
            </w:r>
          </w:p>
          <w:p w14:paraId="52B4B37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在河道8号拦河坝下游段两岸共有17处水毁段，主要位于弯段及迎流顶冲段，受洪水淘刷，护坡下部损毁严重，底格埂断裂倾斜。本次将原格埂拆除后复建砼护脚挡墙，挡墙下部设置一排高喷桩，同时在挡墙前打设一排高喷桩，增强整体抗冲能力。对坡脚损毁的六角块护坡拆除，改建150mm厚现浇砼护坡。</w:t>
            </w:r>
          </w:p>
          <w:p w14:paraId="3F0E950A">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3、河道纵断面设计</w:t>
            </w:r>
          </w:p>
          <w:p w14:paraId="3E3C929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道设计底坡根据现状河道地形条件、天然纵坡要求确定：一般情况下维持原有天然河道的底坡不变，原河道长11300m，河底高程143.8m降至64.0m，天然纵坡为7.1‰；当某河段行洪断面偏小时，该段可适当加大底坡，但下游河道则须适当变缓；以此为原则，分段确定各河道的设计纵坡。</w:t>
            </w:r>
          </w:p>
          <w:p w14:paraId="52A31D0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本次河道治理后，防洪及抗冲均满足要求，现状河底多为岩石和角砾层，挖除困难。因此本次保持现状纵坡基本不变，为7.1‰，仅局部挖除河道内阻水滩地。</w:t>
            </w:r>
          </w:p>
          <w:p w14:paraId="658464E3">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3.5.4.3河道建筑物设计</w:t>
            </w:r>
          </w:p>
          <w:p w14:paraId="07BE827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柳林河治理段现状长度13.30km，起点河底高程为143.80m，终点河底高程为64.00m，落差达79.8m，纵向坡比0.0071，落差较大。河道沿线布置了多级拦河坝，用于减缓水流和稳定河槽，防止冲刷。本次为确保拦河坝泄洪安全，对拦河建筑物改造。同时沿河有多处支流汇入，汇入处多为排涝管涵，口径小，排涝能力不足，且结构简陋，本次对其进行拆建。</w:t>
            </w:r>
          </w:p>
          <w:p w14:paraId="78701F5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现状拦河坝4堰身破损，不能充分发挥蓄水能力。本次加固堰身。现状拦河坝9下游左岸有淠源渠汇入，河底有冲坑，增设消力池设施，以稳定河槽。</w:t>
            </w:r>
          </w:p>
          <w:p w14:paraId="7755ED7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表2-10  柳林河配套建筑物统计表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6"/>
              <w:gridCol w:w="2017"/>
              <w:gridCol w:w="2019"/>
              <w:gridCol w:w="2019"/>
            </w:tblGrid>
            <w:tr w14:paraId="1530D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noWrap w:val="0"/>
                  <w:vAlign w:val="center"/>
                </w:tcPr>
                <w:p w14:paraId="18BDE3D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w:t>
                  </w:r>
                </w:p>
              </w:tc>
              <w:tc>
                <w:tcPr>
                  <w:tcW w:w="2017" w:type="dxa"/>
                  <w:noWrap w:val="0"/>
                  <w:vAlign w:val="center"/>
                </w:tcPr>
                <w:p w14:paraId="0C07E5A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2019" w:type="dxa"/>
                  <w:noWrap w:val="0"/>
                  <w:vAlign w:val="center"/>
                </w:tcPr>
                <w:p w14:paraId="1020F5FC">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位置</w:t>
                  </w:r>
                </w:p>
              </w:tc>
              <w:tc>
                <w:tcPr>
                  <w:tcW w:w="2019" w:type="dxa"/>
                  <w:noWrap w:val="0"/>
                  <w:vAlign w:val="center"/>
                </w:tcPr>
                <w:p w14:paraId="47864F13">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58304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restart"/>
                  <w:noWrap w:val="0"/>
                  <w:vAlign w:val="center"/>
                </w:tcPr>
                <w:p w14:paraId="719405BE">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排涝涵闸</w:t>
                  </w:r>
                </w:p>
              </w:tc>
              <w:tc>
                <w:tcPr>
                  <w:tcW w:w="2017" w:type="dxa"/>
                  <w:noWrap w:val="0"/>
                  <w:vAlign w:val="center"/>
                </w:tcPr>
                <w:p w14:paraId="2EDCC8A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小黄沟涵闸</w:t>
                  </w:r>
                </w:p>
              </w:tc>
              <w:tc>
                <w:tcPr>
                  <w:tcW w:w="2019" w:type="dxa"/>
                  <w:noWrap w:val="0"/>
                  <w:vAlign w:val="center"/>
                </w:tcPr>
                <w:p w14:paraId="20FB79C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K2+400右岸</w:t>
                  </w:r>
                </w:p>
              </w:tc>
              <w:tc>
                <w:tcPr>
                  <w:tcW w:w="2019" w:type="dxa"/>
                  <w:noWrap w:val="0"/>
                  <w:vAlign w:val="center"/>
                </w:tcPr>
                <w:p w14:paraId="7F7CF3F0">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7064D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55573F6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169A067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排水渠出水涵</w:t>
                  </w:r>
                </w:p>
              </w:tc>
              <w:tc>
                <w:tcPr>
                  <w:tcW w:w="2019" w:type="dxa"/>
                  <w:noWrap w:val="0"/>
                  <w:vAlign w:val="center"/>
                </w:tcPr>
                <w:p w14:paraId="7427604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K4+020左岸</w:t>
                  </w:r>
                </w:p>
              </w:tc>
              <w:tc>
                <w:tcPr>
                  <w:tcW w:w="2019" w:type="dxa"/>
                  <w:noWrap w:val="0"/>
                  <w:vAlign w:val="center"/>
                </w:tcPr>
                <w:p w14:paraId="48B62D50">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70AE2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585C6B29">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0234927C">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排涝涵1</w:t>
                  </w:r>
                </w:p>
              </w:tc>
              <w:tc>
                <w:tcPr>
                  <w:tcW w:w="2019" w:type="dxa"/>
                  <w:noWrap w:val="0"/>
                  <w:vAlign w:val="center"/>
                </w:tcPr>
                <w:p w14:paraId="6D37E17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K4+820左岸</w:t>
                  </w:r>
                </w:p>
              </w:tc>
              <w:tc>
                <w:tcPr>
                  <w:tcW w:w="2019" w:type="dxa"/>
                  <w:noWrap w:val="0"/>
                  <w:vAlign w:val="center"/>
                </w:tcPr>
                <w:p w14:paraId="5E2DB04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031C2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327CBC5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1EDD3D5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排涝涵2</w:t>
                  </w:r>
                </w:p>
              </w:tc>
              <w:tc>
                <w:tcPr>
                  <w:tcW w:w="2019" w:type="dxa"/>
                  <w:noWrap w:val="0"/>
                  <w:vAlign w:val="center"/>
                </w:tcPr>
                <w:p w14:paraId="3ED205B2">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K5+115左岸</w:t>
                  </w:r>
                </w:p>
              </w:tc>
              <w:tc>
                <w:tcPr>
                  <w:tcW w:w="2019" w:type="dxa"/>
                  <w:noWrap w:val="0"/>
                  <w:vAlign w:val="center"/>
                </w:tcPr>
                <w:p w14:paraId="304DA01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47003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1151E8A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53CE4CFC">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龙门冲涵</w:t>
                  </w:r>
                </w:p>
              </w:tc>
              <w:tc>
                <w:tcPr>
                  <w:tcW w:w="2019" w:type="dxa"/>
                  <w:noWrap w:val="0"/>
                  <w:vAlign w:val="center"/>
                </w:tcPr>
                <w:p w14:paraId="08D40E0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K9+330右岸</w:t>
                  </w:r>
                </w:p>
              </w:tc>
              <w:tc>
                <w:tcPr>
                  <w:tcW w:w="2019" w:type="dxa"/>
                  <w:noWrap w:val="0"/>
                  <w:vAlign w:val="center"/>
                </w:tcPr>
                <w:p w14:paraId="72DD6E5B">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w:t>
                  </w:r>
                </w:p>
              </w:tc>
            </w:tr>
            <w:tr w14:paraId="00AD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0309C6A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28DF9489">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排水管涵</w:t>
                  </w:r>
                </w:p>
              </w:tc>
              <w:tc>
                <w:tcPr>
                  <w:tcW w:w="2019" w:type="dxa"/>
                  <w:noWrap w:val="0"/>
                  <w:vAlign w:val="center"/>
                </w:tcPr>
                <w:p w14:paraId="03F0070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K11+250左岸</w:t>
                  </w:r>
                </w:p>
              </w:tc>
              <w:tc>
                <w:tcPr>
                  <w:tcW w:w="2019" w:type="dxa"/>
                  <w:noWrap w:val="0"/>
                  <w:vAlign w:val="center"/>
                </w:tcPr>
                <w:p w14:paraId="32DD420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w:t>
                  </w:r>
                </w:p>
              </w:tc>
            </w:tr>
            <w:tr w14:paraId="291B3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restart"/>
                  <w:noWrap w:val="0"/>
                  <w:vAlign w:val="center"/>
                </w:tcPr>
                <w:p w14:paraId="23FBF4E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w:t>
                  </w:r>
                </w:p>
              </w:tc>
              <w:tc>
                <w:tcPr>
                  <w:tcW w:w="2017" w:type="dxa"/>
                  <w:noWrap w:val="0"/>
                  <w:vAlign w:val="center"/>
                </w:tcPr>
                <w:p w14:paraId="4F4CEF39">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拦河坝4</w:t>
                  </w:r>
                </w:p>
              </w:tc>
              <w:tc>
                <w:tcPr>
                  <w:tcW w:w="2019" w:type="dxa"/>
                  <w:noWrap w:val="0"/>
                  <w:vAlign w:val="center"/>
                </w:tcPr>
                <w:p w14:paraId="670639D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K4+210</w:t>
                  </w:r>
                </w:p>
              </w:tc>
              <w:tc>
                <w:tcPr>
                  <w:tcW w:w="2019" w:type="dxa"/>
                  <w:noWrap w:val="0"/>
                  <w:vAlign w:val="center"/>
                </w:tcPr>
                <w:p w14:paraId="1E9DB46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w:t>
                  </w:r>
                </w:p>
              </w:tc>
            </w:tr>
            <w:tr w14:paraId="26739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noWrap w:val="0"/>
                  <w:vAlign w:val="center"/>
                </w:tcPr>
                <w:p w14:paraId="2527261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17" w:type="dxa"/>
                  <w:noWrap w:val="0"/>
                  <w:vAlign w:val="center"/>
                </w:tcPr>
                <w:p w14:paraId="386DF47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拦河坝9</w:t>
                  </w:r>
                </w:p>
              </w:tc>
              <w:tc>
                <w:tcPr>
                  <w:tcW w:w="2019" w:type="dxa"/>
                  <w:noWrap w:val="0"/>
                  <w:vAlign w:val="center"/>
                </w:tcPr>
                <w:p w14:paraId="5883061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K7+760</w:t>
                  </w:r>
                </w:p>
              </w:tc>
              <w:tc>
                <w:tcPr>
                  <w:tcW w:w="2019" w:type="dxa"/>
                  <w:noWrap w:val="0"/>
                  <w:vAlign w:val="center"/>
                </w:tcPr>
                <w:p w14:paraId="7781022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w:t>
                  </w:r>
                </w:p>
              </w:tc>
            </w:tr>
          </w:tbl>
          <w:p w14:paraId="51FA6C8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3.5.4.4排涝涵闸工程</w:t>
            </w:r>
          </w:p>
          <w:p w14:paraId="43CEA6F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1、小黄沟涵闸</w:t>
            </w:r>
          </w:p>
          <w:p w14:paraId="7CABFE0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小黄沟位于柳林河右岸K2+400处，现状为3×2.5m的敞口排涝涵，无控制闸门。堤后为通水灌村居民区，柳林河高水位期间洪水倒灌内圩通水灌村。本次拆建为小黄沟防洪闸。</w:t>
            </w:r>
          </w:p>
          <w:p w14:paraId="7C5B3FF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（1）防洪闸总体布置</w:t>
            </w:r>
          </w:p>
          <w:p w14:paraId="13F738B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小黄沟防洪闸布置于小黄沟入柳林河河口处，与堤线正交布置，采用穿堤涵闸，C30钢筋混凝土箱涵结构，底板高程由排涝水位条件、上下游沟渠条件及原底板高程综合确定，洞径由排涝流量按流能力要求来确定。穿堤段采用4.5m长C30钢筋砼进水箱涵，共1节，单孔（净尺寸3×2.5m），相邻节接缝内设橡胶止水，箱涵顶板厚0.5m，侧壁厚0.5m，底板厚0.5m。出水侧布置钢筋砼控制段闸室，设单孔平面铸铁闸门控制，上设启闭机房。闸室段顺水流长3m，钢筋砼底板厚0.7m。排涝涵闸进口设C20砼重力式岸墙，平面为一字型布置，顺接现状排涝沟，涵闸进口均C25砼护底，排涝沟底与防洪闸底以1：6斜坡段顺接。闸室出口接柳林河右岸现状护岸挡墙，受防洪闸建设影响，两岸护岸挡墙重建，采用一字墙布置型式。</w:t>
            </w:r>
          </w:p>
          <w:p w14:paraId="7E380BD3">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2、排涝涵</w:t>
            </w:r>
          </w:p>
          <w:p w14:paraId="1CF86B5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状穿堤排涝涵原址拆建，因原排水沟规模较小，考虑施工及检修方便，现状管涵拆建为箱涵。排涝涵底板高程维持原底板高程。龙门冲涵因泄洪流量大，出口冲刷，出口挡墙断裂损坏，出口增设消能工，挡墙拆建。淮源大道桥上游左岸迎水坡的废弃排水管高水位倒灌。</w:t>
            </w:r>
          </w:p>
          <w:p w14:paraId="2648446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（1）排涝涵设计参数见下表：</w:t>
            </w:r>
          </w:p>
          <w:p w14:paraId="59AD323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表2-11  排涝涵设计方案汇总表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3"/>
              <w:gridCol w:w="1316"/>
              <w:gridCol w:w="1326"/>
              <w:gridCol w:w="1524"/>
              <w:gridCol w:w="2640"/>
              <w:gridCol w:w="692"/>
            </w:tblGrid>
            <w:tr w14:paraId="0C185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noWrap w:val="0"/>
                  <w:vAlign w:val="center"/>
                </w:tcPr>
                <w:p w14:paraId="48826BB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316" w:type="dxa"/>
                  <w:noWrap w:val="0"/>
                  <w:vAlign w:val="center"/>
                </w:tcPr>
                <w:p w14:paraId="7B7868E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桩号位置</w:t>
                  </w:r>
                </w:p>
              </w:tc>
              <w:tc>
                <w:tcPr>
                  <w:tcW w:w="1326" w:type="dxa"/>
                  <w:noWrap w:val="0"/>
                  <w:vAlign w:val="center"/>
                </w:tcPr>
                <w:p w14:paraId="7A7EA31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524" w:type="dxa"/>
                  <w:noWrap w:val="0"/>
                  <w:vAlign w:val="center"/>
                </w:tcPr>
                <w:p w14:paraId="045725E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底板高程（m）</w:t>
                  </w:r>
                </w:p>
              </w:tc>
              <w:tc>
                <w:tcPr>
                  <w:tcW w:w="2640" w:type="dxa"/>
                  <w:noWrap w:val="0"/>
                  <w:vAlign w:val="center"/>
                </w:tcPr>
                <w:p w14:paraId="79725B1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建设方案</w:t>
                  </w:r>
                </w:p>
              </w:tc>
              <w:tc>
                <w:tcPr>
                  <w:tcW w:w="692" w:type="dxa"/>
                  <w:noWrap w:val="0"/>
                  <w:vAlign w:val="center"/>
                </w:tcPr>
                <w:p w14:paraId="6EA355F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3C105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573" w:type="dxa"/>
                  <w:noWrap w:val="0"/>
                  <w:vAlign w:val="center"/>
                </w:tcPr>
                <w:p w14:paraId="0800DAE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316" w:type="dxa"/>
                  <w:noWrap w:val="0"/>
                  <w:vAlign w:val="center"/>
                </w:tcPr>
                <w:p w14:paraId="7E8E241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K4+820左岸</w:t>
                  </w:r>
                </w:p>
              </w:tc>
              <w:tc>
                <w:tcPr>
                  <w:tcW w:w="1326" w:type="dxa"/>
                  <w:noWrap w:val="0"/>
                  <w:vAlign w:val="center"/>
                </w:tcPr>
                <w:p w14:paraId="794E588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排涝涵1</w:t>
                  </w:r>
                </w:p>
              </w:tc>
              <w:tc>
                <w:tcPr>
                  <w:tcW w:w="1524" w:type="dxa"/>
                  <w:noWrap w:val="0"/>
                  <w:vAlign w:val="center"/>
                </w:tcPr>
                <w:p w14:paraId="62FB8EF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90.00</w:t>
                  </w:r>
                </w:p>
              </w:tc>
              <w:tc>
                <w:tcPr>
                  <w:tcW w:w="2640" w:type="dxa"/>
                  <w:noWrap w:val="0"/>
                  <w:vAlign w:val="center"/>
                </w:tcPr>
                <w:p w14:paraId="2656D8C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拆建箱涵，3.5×2m（宽×高）</w:t>
                  </w:r>
                </w:p>
              </w:tc>
              <w:tc>
                <w:tcPr>
                  <w:tcW w:w="692" w:type="dxa"/>
                  <w:noWrap w:val="0"/>
                  <w:vAlign w:val="center"/>
                </w:tcPr>
                <w:p w14:paraId="2E347D6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77A1C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73" w:type="dxa"/>
                  <w:noWrap w:val="0"/>
                  <w:vAlign w:val="center"/>
                </w:tcPr>
                <w:p w14:paraId="4EC9F19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316" w:type="dxa"/>
                  <w:noWrap w:val="0"/>
                  <w:vAlign w:val="center"/>
                </w:tcPr>
                <w:p w14:paraId="48B5A67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K5+115左岸</w:t>
                  </w:r>
                </w:p>
              </w:tc>
              <w:tc>
                <w:tcPr>
                  <w:tcW w:w="1326" w:type="dxa"/>
                  <w:noWrap w:val="0"/>
                  <w:vAlign w:val="center"/>
                </w:tcPr>
                <w:p w14:paraId="559C9C0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排涝涵2</w:t>
                  </w:r>
                </w:p>
              </w:tc>
              <w:tc>
                <w:tcPr>
                  <w:tcW w:w="1524" w:type="dxa"/>
                  <w:noWrap w:val="0"/>
                  <w:vAlign w:val="center"/>
                </w:tcPr>
                <w:p w14:paraId="2846200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85.33</w:t>
                  </w:r>
                </w:p>
              </w:tc>
              <w:tc>
                <w:tcPr>
                  <w:tcW w:w="2640" w:type="dxa"/>
                  <w:noWrap w:val="0"/>
                  <w:vAlign w:val="center"/>
                </w:tcPr>
                <w:p w14:paraId="473E753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拆建箱涵，2.5×2m（宽×高）</w:t>
                  </w:r>
                </w:p>
              </w:tc>
              <w:tc>
                <w:tcPr>
                  <w:tcW w:w="692" w:type="dxa"/>
                  <w:noWrap w:val="0"/>
                  <w:vAlign w:val="center"/>
                </w:tcPr>
                <w:p w14:paraId="452DDDB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3907C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noWrap w:val="0"/>
                  <w:vAlign w:val="center"/>
                </w:tcPr>
                <w:p w14:paraId="28C22D6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316" w:type="dxa"/>
                  <w:noWrap w:val="0"/>
                  <w:vAlign w:val="center"/>
                </w:tcPr>
                <w:p w14:paraId="5D1A5A6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K4+020左岸</w:t>
                  </w:r>
                </w:p>
              </w:tc>
              <w:tc>
                <w:tcPr>
                  <w:tcW w:w="1326" w:type="dxa"/>
                  <w:noWrap w:val="0"/>
                  <w:vAlign w:val="center"/>
                </w:tcPr>
                <w:p w14:paraId="3269527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排水渠出水涵</w:t>
                  </w:r>
                </w:p>
              </w:tc>
              <w:tc>
                <w:tcPr>
                  <w:tcW w:w="1524" w:type="dxa"/>
                  <w:noWrap w:val="0"/>
                  <w:vAlign w:val="center"/>
                </w:tcPr>
                <w:p w14:paraId="7D4203C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97.27</w:t>
                  </w:r>
                </w:p>
              </w:tc>
              <w:tc>
                <w:tcPr>
                  <w:tcW w:w="2640" w:type="dxa"/>
                  <w:noWrap w:val="0"/>
                  <w:vAlign w:val="center"/>
                </w:tcPr>
                <w:p w14:paraId="1BD7FF8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拆建DN1000涵管</w:t>
                  </w:r>
                </w:p>
              </w:tc>
              <w:tc>
                <w:tcPr>
                  <w:tcW w:w="692" w:type="dxa"/>
                  <w:noWrap w:val="0"/>
                  <w:vAlign w:val="center"/>
                </w:tcPr>
                <w:p w14:paraId="145AEA5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44557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noWrap w:val="0"/>
                  <w:vAlign w:val="center"/>
                </w:tcPr>
                <w:p w14:paraId="780A3C5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316" w:type="dxa"/>
                  <w:noWrap w:val="0"/>
                  <w:vAlign w:val="center"/>
                </w:tcPr>
                <w:p w14:paraId="5FE7334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K2+940右岸</w:t>
                  </w:r>
                </w:p>
              </w:tc>
              <w:tc>
                <w:tcPr>
                  <w:tcW w:w="1326" w:type="dxa"/>
                  <w:noWrap w:val="0"/>
                  <w:vAlign w:val="center"/>
                </w:tcPr>
                <w:p w14:paraId="2337EC8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龙门冲涵</w:t>
                  </w:r>
                </w:p>
              </w:tc>
              <w:tc>
                <w:tcPr>
                  <w:tcW w:w="1524" w:type="dxa"/>
                  <w:noWrap w:val="0"/>
                  <w:vAlign w:val="center"/>
                </w:tcPr>
                <w:p w14:paraId="0558A84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67.48</w:t>
                  </w:r>
                </w:p>
              </w:tc>
              <w:tc>
                <w:tcPr>
                  <w:tcW w:w="2640" w:type="dxa"/>
                  <w:noWrap w:val="0"/>
                  <w:vAlign w:val="center"/>
                </w:tcPr>
                <w:p w14:paraId="454D7A5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出口增设消能工，挡墙拆建</w:t>
                  </w:r>
                </w:p>
              </w:tc>
              <w:tc>
                <w:tcPr>
                  <w:tcW w:w="692" w:type="dxa"/>
                  <w:noWrap w:val="0"/>
                  <w:vAlign w:val="center"/>
                </w:tcPr>
                <w:p w14:paraId="1246366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w:t>
                  </w:r>
                </w:p>
              </w:tc>
            </w:tr>
            <w:tr w14:paraId="13DCB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noWrap w:val="0"/>
                  <w:vAlign w:val="center"/>
                </w:tcPr>
                <w:p w14:paraId="58F12EA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316" w:type="dxa"/>
                  <w:noWrap w:val="0"/>
                  <w:vAlign w:val="center"/>
                </w:tcPr>
                <w:p w14:paraId="689237F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K11+250左岸</w:t>
                  </w:r>
                </w:p>
              </w:tc>
              <w:tc>
                <w:tcPr>
                  <w:tcW w:w="1326" w:type="dxa"/>
                  <w:noWrap w:val="0"/>
                  <w:vAlign w:val="center"/>
                </w:tcPr>
                <w:p w14:paraId="7B23FD7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排水管</w:t>
                  </w:r>
                </w:p>
              </w:tc>
              <w:tc>
                <w:tcPr>
                  <w:tcW w:w="1524" w:type="dxa"/>
                  <w:noWrap w:val="0"/>
                  <w:vAlign w:val="center"/>
                </w:tcPr>
                <w:p w14:paraId="70A20AA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68.80</w:t>
                  </w:r>
                </w:p>
              </w:tc>
              <w:tc>
                <w:tcPr>
                  <w:tcW w:w="2640" w:type="dxa"/>
                  <w:noWrap w:val="0"/>
                  <w:vAlign w:val="center"/>
                </w:tcPr>
                <w:p w14:paraId="419CDDF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管涵拆除</w:t>
                  </w:r>
                </w:p>
              </w:tc>
              <w:tc>
                <w:tcPr>
                  <w:tcW w:w="692" w:type="dxa"/>
                  <w:noWrap w:val="0"/>
                  <w:vAlign w:val="center"/>
                </w:tcPr>
                <w:p w14:paraId="7A321B2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拆除</w:t>
                  </w:r>
                </w:p>
              </w:tc>
            </w:tr>
          </w:tbl>
          <w:p w14:paraId="35712BA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3、拦河坝工程</w:t>
            </w:r>
          </w:p>
          <w:p w14:paraId="50056BB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本次加固拦河坝2座，现状拦河坝4堰身破损，不能充分发挥蓄水能力。本次加固堰身。现状拦河坝9下游左岸有淠源渠汇入，河底有冲坑，增设消力池设施，以稳定河槽。</w:t>
            </w:r>
          </w:p>
          <w:p w14:paraId="31E55D50">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表2-12  拦河坝改造参数表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2"/>
              <w:gridCol w:w="1166"/>
              <w:gridCol w:w="1220"/>
              <w:gridCol w:w="4214"/>
              <w:gridCol w:w="759"/>
            </w:tblGrid>
            <w:tr w14:paraId="74575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noWrap w:val="0"/>
                  <w:vAlign w:val="center"/>
                </w:tcPr>
                <w:p w14:paraId="5B9DDD6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166" w:type="dxa"/>
                  <w:noWrap w:val="0"/>
                  <w:vAlign w:val="center"/>
                </w:tcPr>
                <w:p w14:paraId="61343F4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桩号位置</w:t>
                  </w:r>
                </w:p>
              </w:tc>
              <w:tc>
                <w:tcPr>
                  <w:tcW w:w="1220" w:type="dxa"/>
                  <w:noWrap w:val="0"/>
                  <w:vAlign w:val="center"/>
                </w:tcPr>
                <w:p w14:paraId="75365D3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4214" w:type="dxa"/>
                  <w:noWrap w:val="0"/>
                  <w:vAlign w:val="center"/>
                </w:tcPr>
                <w:p w14:paraId="4B3EC8D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建设方案</w:t>
                  </w:r>
                </w:p>
              </w:tc>
              <w:tc>
                <w:tcPr>
                  <w:tcW w:w="759" w:type="dxa"/>
                  <w:noWrap w:val="0"/>
                  <w:vAlign w:val="center"/>
                </w:tcPr>
                <w:p w14:paraId="676CBE2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77AE1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noWrap w:val="0"/>
                  <w:vAlign w:val="center"/>
                </w:tcPr>
                <w:p w14:paraId="4123858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166" w:type="dxa"/>
                  <w:noWrap w:val="0"/>
                  <w:vAlign w:val="center"/>
                </w:tcPr>
                <w:p w14:paraId="07E85F6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K4+210</w:t>
                  </w:r>
                </w:p>
              </w:tc>
              <w:tc>
                <w:tcPr>
                  <w:tcW w:w="1220" w:type="dxa"/>
                  <w:noWrap w:val="0"/>
                  <w:vAlign w:val="center"/>
                </w:tcPr>
                <w:p w14:paraId="7E4365D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拦河坝4</w:t>
                  </w:r>
                </w:p>
              </w:tc>
              <w:tc>
                <w:tcPr>
                  <w:tcW w:w="4214" w:type="dxa"/>
                  <w:noWrap w:val="0"/>
                  <w:vAlign w:val="center"/>
                </w:tcPr>
                <w:p w14:paraId="775EB5F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坝身采用C30砼修复</w:t>
                  </w:r>
                </w:p>
              </w:tc>
              <w:tc>
                <w:tcPr>
                  <w:tcW w:w="759" w:type="dxa"/>
                  <w:noWrap w:val="0"/>
                  <w:vAlign w:val="center"/>
                </w:tcPr>
                <w:p w14:paraId="1BDB9CF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w:t>
                  </w:r>
                </w:p>
              </w:tc>
            </w:tr>
            <w:tr w14:paraId="1C06B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noWrap w:val="0"/>
                  <w:vAlign w:val="center"/>
                </w:tcPr>
                <w:p w14:paraId="4470610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66" w:type="dxa"/>
                  <w:noWrap w:val="0"/>
                  <w:vAlign w:val="center"/>
                </w:tcPr>
                <w:p w14:paraId="052D15A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K7+760</w:t>
                  </w:r>
                </w:p>
              </w:tc>
              <w:tc>
                <w:tcPr>
                  <w:tcW w:w="1220" w:type="dxa"/>
                  <w:noWrap w:val="0"/>
                  <w:vAlign w:val="center"/>
                </w:tcPr>
                <w:p w14:paraId="1485CA6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拦河坝9</w:t>
                  </w:r>
                </w:p>
              </w:tc>
              <w:tc>
                <w:tcPr>
                  <w:tcW w:w="4214" w:type="dxa"/>
                  <w:noWrap w:val="0"/>
                  <w:vAlign w:val="center"/>
                </w:tcPr>
                <w:p w14:paraId="69BDF41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增设C30钢筋砼消力池，消力池长8m，宽58m。海漫长10m。</w:t>
                  </w:r>
                </w:p>
              </w:tc>
              <w:tc>
                <w:tcPr>
                  <w:tcW w:w="759" w:type="dxa"/>
                  <w:noWrap w:val="0"/>
                  <w:vAlign w:val="center"/>
                </w:tcPr>
                <w:p w14:paraId="65598A0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w:t>
                  </w:r>
                </w:p>
              </w:tc>
            </w:tr>
          </w:tbl>
          <w:p w14:paraId="6801536D">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3.5.5新店河设计</w:t>
            </w:r>
          </w:p>
          <w:p w14:paraId="3B28ED3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bookmarkStart w:id="8" w:name="5.3.5.1堤防设计"/>
            <w:bookmarkEnd w:id="8"/>
            <w:bookmarkStart w:id="9" w:name="5.3.5.1堤防设计"/>
            <w:bookmarkEnd w:id="9"/>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3.5.5.1堤防设计</w:t>
            </w:r>
          </w:p>
          <w:p w14:paraId="009742C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新店河执行“齐岸治理”（维持现状岸顶高程）标准，以“防冲不防淹”的治理思路进行河道治理。因此，本工程不涉及新店河堤防达标工程措施。</w:t>
            </w:r>
          </w:p>
          <w:p w14:paraId="74D18773">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3.5.5.2护岸设计</w:t>
            </w:r>
          </w:p>
          <w:p w14:paraId="2B72D26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岸坡型式选择应结合安全、生态、景观、经济四个方面，考虑新店河用地受限，没有放坡条件，不适用坡面防护，采用浆砌石挡墙或素砼挡墙。</w:t>
            </w:r>
          </w:p>
          <w:p w14:paraId="4179938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3.5.5.3河道断面设计</w:t>
            </w:r>
          </w:p>
          <w:p w14:paraId="6F98E3E7">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（1）新建挡墙</w:t>
            </w:r>
          </w:p>
          <w:p w14:paraId="759EDE9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工程结合新店河的现场情况，新店河干流、支流左岸均紧临道路，道路后方分布有居民点，左岸局部冲刷造成道路破坏，甚至造成洪水漫溢，威胁居民区安全。因此，工程对新店河干流、支流左岸存在冲刷问题的岸段采用素砼挡墙加固，挡墙高度2.0m，墙趾埋深0.9m，墙趾采用开挖砂砾石回填。新店河干流、支流右岸紧临山体，局部有河漫滩，局部迎流顶冲段冲刷严重，易造成下游河道淤积，影响河道行洪。本工程对干流、支流右岸迎流顶冲段采用浆砌石挡墙加固，高度1.5~2.0m，墙趾埋深0.9m，墙趾采用开挖砂砾石回填。</w:t>
            </w:r>
          </w:p>
          <w:p w14:paraId="002F1CA7">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（2）挡墙加固</w:t>
            </w:r>
          </w:p>
          <w:p w14:paraId="5F8CEF7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根据现场调查，新店河干流桩号K0+470~K0+570现状浆砌石挡墙开裂，挡墙底部淘刷严重，本工程对该段墙面灌浆勾缝处理，挡墙底部进行灌浆加固。</w:t>
            </w:r>
          </w:p>
          <w:p w14:paraId="3CA5D4A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新店河干流桩号K5+960~K6+055现状挡墙高度不足，洪水易冲刷挡墙上部岸坡，形成冲刷陡坎，本工程对该段挡墙进行加高处理，挡墙加高0.5m。</w:t>
            </w:r>
          </w:p>
          <w:p w14:paraId="114F6F17">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3.5.5.4河道建筑物设计</w:t>
            </w:r>
          </w:p>
          <w:p w14:paraId="1BC8F11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新店河治理段干流总长7.0km，起点为印墩村，终点汇入戴家河。干流河底高程116.82~70.00m，纵坡纵坡0.0066，落差较大。河道沿线布置了多级拦河坝，用于减缓水流和稳定河槽，防止冲刷。</w:t>
            </w:r>
          </w:p>
          <w:p w14:paraId="56E32CB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本工程新建干流拦河坝3座、加固干流拦河坝1座、拆建干流漫水桥1座、新建支流拦河坝1座。</w:t>
            </w:r>
          </w:p>
          <w:p w14:paraId="4C1F3ED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表2-13  拦河坝改造参数表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1189"/>
              <w:gridCol w:w="1932"/>
              <w:gridCol w:w="1321"/>
              <w:gridCol w:w="1268"/>
              <w:gridCol w:w="1760"/>
            </w:tblGrid>
            <w:tr w14:paraId="23815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01" w:type="dxa"/>
                  <w:noWrap w:val="0"/>
                  <w:vAlign w:val="center"/>
                </w:tcPr>
                <w:p w14:paraId="37E5D8C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189" w:type="dxa"/>
                  <w:noWrap w:val="0"/>
                  <w:vAlign w:val="center"/>
                </w:tcPr>
                <w:p w14:paraId="332937A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桩号位置</w:t>
                  </w:r>
                </w:p>
              </w:tc>
              <w:tc>
                <w:tcPr>
                  <w:tcW w:w="1932" w:type="dxa"/>
                  <w:noWrap w:val="0"/>
                  <w:vAlign w:val="center"/>
                </w:tcPr>
                <w:p w14:paraId="1E30D5C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321" w:type="dxa"/>
                  <w:noWrap w:val="0"/>
                  <w:vAlign w:val="center"/>
                </w:tcPr>
                <w:p w14:paraId="3F06D403">
                  <w:pPr>
                    <w:keepNext w:val="0"/>
                    <w:keepLines w:val="0"/>
                    <w:pageBreakBefore w:val="0"/>
                    <w:widowControl w:val="0"/>
                    <w:suppressLineNumbers w:val="0"/>
                    <w:spacing w:before="0" w:beforeAutospacing="0" w:after="0" w:afterAutospacing="0" w:line="240" w:lineRule="auto"/>
                    <w:ind w:left="0" w:right="0" w:firstLine="0"/>
                    <w:jc w:val="both"/>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坝顶高程（m）</w:t>
                  </w:r>
                </w:p>
              </w:tc>
              <w:tc>
                <w:tcPr>
                  <w:tcW w:w="1268" w:type="dxa"/>
                  <w:noWrap w:val="0"/>
                  <w:vAlign w:val="center"/>
                </w:tcPr>
                <w:p w14:paraId="4BDC25A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净宽（m）</w:t>
                  </w:r>
                </w:p>
              </w:tc>
              <w:tc>
                <w:tcPr>
                  <w:tcW w:w="1760" w:type="dxa"/>
                  <w:noWrap w:val="0"/>
                  <w:vAlign w:val="center"/>
                </w:tcPr>
                <w:p w14:paraId="63A7BEA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5F196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noWrap w:val="0"/>
                  <w:vAlign w:val="center"/>
                </w:tcPr>
                <w:p w14:paraId="425845D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189" w:type="dxa"/>
                  <w:noWrap w:val="0"/>
                  <w:vAlign w:val="center"/>
                </w:tcPr>
                <w:p w14:paraId="186A0F9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K0+100</w:t>
                  </w:r>
                </w:p>
              </w:tc>
              <w:tc>
                <w:tcPr>
                  <w:tcW w:w="1932" w:type="dxa"/>
                  <w:noWrap w:val="0"/>
                  <w:vAlign w:val="center"/>
                </w:tcPr>
                <w:p w14:paraId="1FC1ABE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新建干流拦河坝1</w:t>
                  </w:r>
                </w:p>
              </w:tc>
              <w:tc>
                <w:tcPr>
                  <w:tcW w:w="1321" w:type="dxa"/>
                  <w:noWrap w:val="0"/>
                  <w:vAlign w:val="center"/>
                </w:tcPr>
                <w:p w14:paraId="1AA4A4C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117.00</w:t>
                  </w:r>
                </w:p>
              </w:tc>
              <w:tc>
                <w:tcPr>
                  <w:tcW w:w="1268" w:type="dxa"/>
                  <w:noWrap w:val="0"/>
                  <w:vAlign w:val="center"/>
                </w:tcPr>
                <w:p w14:paraId="7928DF7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760" w:type="dxa"/>
                  <w:noWrap w:val="0"/>
                  <w:vAlign w:val="center"/>
                </w:tcPr>
                <w:p w14:paraId="592075B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6697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noWrap w:val="0"/>
                  <w:vAlign w:val="center"/>
                </w:tcPr>
                <w:p w14:paraId="27049FB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189" w:type="dxa"/>
                  <w:noWrap w:val="0"/>
                  <w:vAlign w:val="center"/>
                </w:tcPr>
                <w:p w14:paraId="2E518EF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K2+070</w:t>
                  </w:r>
                </w:p>
              </w:tc>
              <w:tc>
                <w:tcPr>
                  <w:tcW w:w="1932" w:type="dxa"/>
                  <w:noWrap w:val="0"/>
                  <w:vAlign w:val="center"/>
                </w:tcPr>
                <w:p w14:paraId="2EA44F9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加固干流拦河坝2</w:t>
                  </w:r>
                </w:p>
              </w:tc>
              <w:tc>
                <w:tcPr>
                  <w:tcW w:w="1321" w:type="dxa"/>
                  <w:noWrap w:val="0"/>
                  <w:vAlign w:val="center"/>
                </w:tcPr>
                <w:p w14:paraId="494639E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96.64</w:t>
                  </w:r>
                </w:p>
              </w:tc>
              <w:tc>
                <w:tcPr>
                  <w:tcW w:w="1268" w:type="dxa"/>
                  <w:noWrap w:val="0"/>
                  <w:vAlign w:val="center"/>
                </w:tcPr>
                <w:p w14:paraId="3216E4E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760" w:type="dxa"/>
                  <w:noWrap w:val="0"/>
                  <w:vAlign w:val="center"/>
                </w:tcPr>
                <w:p w14:paraId="03001C0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7BC0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1" w:type="dxa"/>
                  <w:noWrap w:val="0"/>
                  <w:vAlign w:val="center"/>
                </w:tcPr>
                <w:p w14:paraId="337C8D6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189" w:type="dxa"/>
                  <w:noWrap w:val="0"/>
                  <w:vAlign w:val="center"/>
                </w:tcPr>
                <w:p w14:paraId="48E483B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K3+322</w:t>
                  </w:r>
                </w:p>
              </w:tc>
              <w:tc>
                <w:tcPr>
                  <w:tcW w:w="1932" w:type="dxa"/>
                  <w:noWrap w:val="0"/>
                  <w:vAlign w:val="center"/>
                </w:tcPr>
                <w:p w14:paraId="5278358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新建干流拦河坝3</w:t>
                  </w:r>
                </w:p>
              </w:tc>
              <w:tc>
                <w:tcPr>
                  <w:tcW w:w="1321" w:type="dxa"/>
                  <w:noWrap w:val="0"/>
                  <w:vAlign w:val="center"/>
                </w:tcPr>
                <w:p w14:paraId="3246232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86.00</w:t>
                  </w:r>
                </w:p>
              </w:tc>
              <w:tc>
                <w:tcPr>
                  <w:tcW w:w="1268" w:type="dxa"/>
                  <w:noWrap w:val="0"/>
                  <w:vAlign w:val="center"/>
                </w:tcPr>
                <w:p w14:paraId="47F02DD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1760" w:type="dxa"/>
                  <w:noWrap w:val="0"/>
                  <w:vAlign w:val="center"/>
                </w:tcPr>
                <w:p w14:paraId="202A35F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D504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noWrap w:val="0"/>
                  <w:vAlign w:val="center"/>
                </w:tcPr>
                <w:p w14:paraId="478D63C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189" w:type="dxa"/>
                  <w:noWrap w:val="0"/>
                  <w:vAlign w:val="center"/>
                </w:tcPr>
                <w:p w14:paraId="0E752AE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K4+122</w:t>
                  </w:r>
                </w:p>
              </w:tc>
              <w:tc>
                <w:tcPr>
                  <w:tcW w:w="1932" w:type="dxa"/>
                  <w:noWrap w:val="0"/>
                  <w:vAlign w:val="center"/>
                </w:tcPr>
                <w:p w14:paraId="7635CF7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新建干流拦河坝4</w:t>
                  </w:r>
                </w:p>
              </w:tc>
              <w:tc>
                <w:tcPr>
                  <w:tcW w:w="1321" w:type="dxa"/>
                  <w:noWrap w:val="0"/>
                  <w:vAlign w:val="center"/>
                </w:tcPr>
                <w:p w14:paraId="20C11CD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82.00</w:t>
                  </w:r>
                </w:p>
              </w:tc>
              <w:tc>
                <w:tcPr>
                  <w:tcW w:w="1268" w:type="dxa"/>
                  <w:noWrap w:val="0"/>
                  <w:vAlign w:val="center"/>
                </w:tcPr>
                <w:p w14:paraId="060DA7E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w:t>
                  </w:r>
                </w:p>
              </w:tc>
              <w:tc>
                <w:tcPr>
                  <w:tcW w:w="1760" w:type="dxa"/>
                  <w:noWrap w:val="0"/>
                  <w:vAlign w:val="center"/>
                </w:tcPr>
                <w:p w14:paraId="4629031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8AF1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noWrap w:val="0"/>
                  <w:vAlign w:val="center"/>
                </w:tcPr>
                <w:p w14:paraId="04F15D2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189" w:type="dxa"/>
                  <w:noWrap w:val="0"/>
                  <w:vAlign w:val="center"/>
                </w:tcPr>
                <w:p w14:paraId="514CA35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K1+615</w:t>
                  </w:r>
                </w:p>
              </w:tc>
              <w:tc>
                <w:tcPr>
                  <w:tcW w:w="1932" w:type="dxa"/>
                  <w:noWrap w:val="0"/>
                  <w:vAlign w:val="center"/>
                </w:tcPr>
                <w:p w14:paraId="6305F70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新建支流拦河坝1</w:t>
                  </w:r>
                </w:p>
              </w:tc>
              <w:tc>
                <w:tcPr>
                  <w:tcW w:w="1321" w:type="dxa"/>
                  <w:noWrap w:val="0"/>
                  <w:vAlign w:val="center"/>
                </w:tcPr>
                <w:p w14:paraId="3CEAAAA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116.00</w:t>
                  </w:r>
                </w:p>
              </w:tc>
              <w:tc>
                <w:tcPr>
                  <w:tcW w:w="1268" w:type="dxa"/>
                  <w:noWrap w:val="0"/>
                  <w:vAlign w:val="center"/>
                </w:tcPr>
                <w:p w14:paraId="70194D0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760" w:type="dxa"/>
                  <w:noWrap w:val="0"/>
                  <w:vAlign w:val="center"/>
                </w:tcPr>
                <w:p w14:paraId="524E882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658EFAC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表2-14  漫水桥改造参数表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1189"/>
              <w:gridCol w:w="1933"/>
              <w:gridCol w:w="1564"/>
              <w:gridCol w:w="1365"/>
              <w:gridCol w:w="1419"/>
            </w:tblGrid>
            <w:tr w14:paraId="610A5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601" w:type="dxa"/>
                  <w:noWrap w:val="0"/>
                  <w:vAlign w:val="center"/>
                </w:tcPr>
                <w:p w14:paraId="2523292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1189" w:type="dxa"/>
                  <w:noWrap w:val="0"/>
                  <w:vAlign w:val="center"/>
                </w:tcPr>
                <w:p w14:paraId="4049ED9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桩号位置</w:t>
                  </w:r>
                </w:p>
              </w:tc>
              <w:tc>
                <w:tcPr>
                  <w:tcW w:w="1933" w:type="dxa"/>
                  <w:noWrap w:val="0"/>
                  <w:vAlign w:val="center"/>
                </w:tcPr>
                <w:p w14:paraId="106F47C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名称</w:t>
                  </w:r>
                </w:p>
              </w:tc>
              <w:tc>
                <w:tcPr>
                  <w:tcW w:w="1564" w:type="dxa"/>
                  <w:noWrap w:val="0"/>
                  <w:vAlign w:val="center"/>
                </w:tcPr>
                <w:p w14:paraId="3C8E666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桥顶高程（m）</w:t>
                  </w:r>
                </w:p>
              </w:tc>
              <w:tc>
                <w:tcPr>
                  <w:tcW w:w="1365" w:type="dxa"/>
                  <w:noWrap w:val="0"/>
                  <w:vAlign w:val="center"/>
                </w:tcPr>
                <w:p w14:paraId="2576E33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净宽（m）</w:t>
                  </w:r>
                </w:p>
              </w:tc>
              <w:tc>
                <w:tcPr>
                  <w:tcW w:w="1419" w:type="dxa"/>
                  <w:noWrap w:val="0"/>
                  <w:vAlign w:val="center"/>
                </w:tcPr>
                <w:p w14:paraId="17794C4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长度（m）</w:t>
                  </w:r>
                </w:p>
              </w:tc>
            </w:tr>
            <w:tr w14:paraId="5541A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noWrap w:val="0"/>
                  <w:vAlign w:val="center"/>
                </w:tcPr>
                <w:p w14:paraId="0A77BD6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189" w:type="dxa"/>
                  <w:noWrap w:val="0"/>
                  <w:vAlign w:val="center"/>
                </w:tcPr>
                <w:p w14:paraId="2DA9BC1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K4+860</w:t>
                  </w:r>
                </w:p>
              </w:tc>
              <w:tc>
                <w:tcPr>
                  <w:tcW w:w="1933" w:type="dxa"/>
                  <w:noWrap w:val="0"/>
                  <w:vAlign w:val="center"/>
                </w:tcPr>
                <w:p w14:paraId="4973402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拆建1号漫水桥</w:t>
                  </w:r>
                </w:p>
              </w:tc>
              <w:tc>
                <w:tcPr>
                  <w:tcW w:w="1564" w:type="dxa"/>
                  <w:noWrap w:val="0"/>
                  <w:vAlign w:val="center"/>
                </w:tcPr>
                <w:p w14:paraId="78C7EDF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79.01</w:t>
                  </w:r>
                </w:p>
              </w:tc>
              <w:tc>
                <w:tcPr>
                  <w:tcW w:w="1365" w:type="dxa"/>
                  <w:noWrap w:val="0"/>
                  <w:vAlign w:val="center"/>
                </w:tcPr>
                <w:p w14:paraId="660C562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8.00</w:t>
                  </w:r>
                </w:p>
              </w:tc>
              <w:tc>
                <w:tcPr>
                  <w:tcW w:w="1419" w:type="dxa"/>
                  <w:noWrap w:val="0"/>
                  <w:vAlign w:val="center"/>
                </w:tcPr>
                <w:p w14:paraId="14308E2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18.12</w:t>
                  </w:r>
                </w:p>
              </w:tc>
            </w:tr>
          </w:tbl>
          <w:p w14:paraId="14CCD4FD">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bookmarkStart w:id="10" w:name="5.3.5.4.1拦河坝设计"/>
            <w:bookmarkEnd w:id="10"/>
            <w:bookmarkStart w:id="11" w:name="5.3.5.4.1拦河坝设计"/>
            <w:bookmarkEnd w:id="11"/>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拦河坝设计，典型设计以改造2号拦河坝为例。</w:t>
            </w:r>
          </w:p>
          <w:p w14:paraId="37578FE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（1）工程布置</w:t>
            </w:r>
          </w:p>
          <w:p w14:paraId="1A3B6C2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改造2号拦河坝位于桩号K2+070处，从上游到下游分别为进口段，控制段，消力池段和海漫段。</w:t>
            </w:r>
          </w:p>
          <w:p w14:paraId="68C3827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进口段为毛石砼护底，两侧为浆砌石挡墙，进口段长4.0m，净宽14.0m，底板高程96.64m，进口段两岸新建浆砌石挡墙。</w:t>
            </w:r>
          </w:p>
          <w:p w14:paraId="214E2E5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控制段底板为钢筋砼结构，坝身采用毛石砼结构，加固段与老坝结构采用植筋加固连接，加固后控制段顺水流方向长5.52m，净宽14.0m，坝身台阶式布置，台阶平面形状为鱼麟型布置。坝顶高程96.84m，底板厚0.5m，第一级平台上部布置人行汀步。</w:t>
            </w:r>
          </w:p>
          <w:p w14:paraId="64E4496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消力池段为钢筋砼结构，长5.48m，净宽14.0m，底板高程94.50m。</w:t>
            </w:r>
          </w:p>
          <w:p w14:paraId="255DFE9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海漫段为毛石砼护底，海漫段长5.0m，净宽14.0m，底板高程95.00m，海曼段两侧为浆砌石挡墙。</w:t>
            </w:r>
          </w:p>
          <w:p w14:paraId="2B1EAE1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（2）桥涵设计</w:t>
            </w:r>
          </w:p>
          <w:p w14:paraId="77AC439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状漫水桥位于新店河干流K4+860，现状已损坏且存在阻水现象，工程改建为桥涵。典型桥涵为C30混凝土现浇双孔桥涵，桥孔净尺寸为6m（宽）*3.5m（高）*5（孔），桥面长41.8m，净宽5m，总宽5.8m，上设50~100mm厚C40砼磨耗层。桥梁纵曲线结合实际地形与两端道路水平顺接连接。</w:t>
            </w:r>
          </w:p>
          <w:p w14:paraId="4FEA8DBC">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3.5.6幽芳河设计</w:t>
            </w:r>
          </w:p>
          <w:p w14:paraId="2275A380">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bookmarkStart w:id="12" w:name="5.3.6.1河道设计"/>
            <w:bookmarkEnd w:id="12"/>
            <w:bookmarkStart w:id="13" w:name="5.3.6.1河道设计"/>
            <w:bookmarkEnd w:id="13"/>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3.5.6.1河道设计</w:t>
            </w:r>
          </w:p>
          <w:p w14:paraId="2D1A794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区域治理规划，幽芳河防洪标准为10~50年一遇。幽芳河沿线为高岗地无堤段。其中东石门水库溢洪道~迎宾大道（K0+000~BK3+600），防洪标准为10年一遇，堤防等级为5级；迎宾大道~高庙河段（K0+000~BK3+600），防洪标准为50年一遇，堤防等级为2级。</w:t>
            </w:r>
          </w:p>
          <w:p w14:paraId="74DDEE2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3.5.6.2岸坡防护设计</w:t>
            </w:r>
          </w:p>
          <w:p w14:paraId="274AE14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岸坡型式选择应结合安全、生态、景观、经济四个方面考虑，对于具备放坡条件的河段采用联锁砖护坡；对于用地受限，没有放坡条件，不适用坡面防护，采用阶梯式生态挡墙，对于岸坡较缓，河道为梯形断面的位置，采用预制联锁块护坡。</w:t>
            </w:r>
          </w:p>
          <w:p w14:paraId="3F766DD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3.5.6.3河道断面设计</w:t>
            </w:r>
          </w:p>
          <w:p w14:paraId="576A296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（1）东石门水库溢洪道~桥1（K0+000~K0+170）</w:t>
            </w:r>
          </w:p>
          <w:p w14:paraId="57C9703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东石门水库溢洪道~桥1防洪均满足标准，左岸K0+000~K0+088段岸坡为土坡，且该段临近居民区。其他段岸坡为浆砌石挡墙，底部存在掏空冲刷。本次对土质岸坡采用阶梯式生态挡墙进行防护，对现状浆砌石挡墙采用格宾石笼进行护底。</w:t>
            </w:r>
          </w:p>
          <w:p w14:paraId="625009F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（2）桥1~桥2（K0+170~K0+430）</w:t>
            </w:r>
          </w:p>
          <w:p w14:paraId="5997164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桥1~桥2段两岸防护达标，左岸为山体，右岸岸坡无防护且靠近道路。本次对右岸土质岸坡采用阶梯式生态挡墙进行防护，左岸山体段进行清杂整坡。</w:t>
            </w:r>
          </w:p>
          <w:p w14:paraId="34CF1BB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（3）桥2~桥3（K0+430~K0+555）</w:t>
            </w:r>
          </w:p>
          <w:p w14:paraId="5E7A44F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桥2~桥3段两岸防护达标，左岸为山体，右岸岸坡靠近道路，现状浆砌石挡墙，墙底有冲刷和掏空问题。本次对右岸浆砌石挡墙底部采用格宾石笼进行防护，左岸山体段进行清杂整坡。</w:t>
            </w:r>
          </w:p>
          <w:p w14:paraId="7CDFF7E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（4）桥3~桥6（K0+555~K1+200）</w:t>
            </w:r>
          </w:p>
          <w:p w14:paraId="1A8FE9B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桥3~桥6段两岸防护达标，右岸为居民区和道路，现状岸坡为土坡，缺少防护。左岸靠近山体，杂草丛生。本次对右岸岸采用阶梯式生态挡墙护岸进行防护，左岸仅进行整坡清杂。</w:t>
            </w:r>
          </w:p>
          <w:p w14:paraId="4763099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（5）桥6~拦河坝5（K1+200~K1+915）</w:t>
            </w:r>
          </w:p>
          <w:p w14:paraId="3A3EDC2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桥6~拦河坝5段两岸防护达标，两岸为居民区，局部靠近山体。现状两岸为土坡，缺少防护。本次对两岸采用阶梯式生态挡墙护岸进行防护。</w:t>
            </w:r>
          </w:p>
          <w:p w14:paraId="061AEBA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（6）拦河坝5~新建气盾坝2（K1+915~K4+110）</w:t>
            </w:r>
          </w:p>
          <w:p w14:paraId="4B51838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拦河坝5~新建气盾坝2段两岸现状为联锁块护坡，护坡联锁块老化缺失，底格埂开裂掏空。本次护坡进行拆建，岸坡底部采用阶梯式生态挡墙防护，挡墙顶部布置人行步道，挡墙顶至坡顶采用预制块防护。</w:t>
            </w:r>
          </w:p>
          <w:p w14:paraId="1A5508F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（7）新建气盾坝2~三斑路（K4+110~K5+210）</w:t>
            </w:r>
          </w:p>
          <w:p w14:paraId="2154F52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新建气盾坝2~三斑路段两岸现状为联锁块护坡，护坡底格埂存在冲刷和掏空。本次在底格埂外采用格宾石笼防护。</w:t>
            </w:r>
          </w:p>
          <w:p w14:paraId="5E77264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（8）三斑路~高庙河（K5+210~K6+360）</w:t>
            </w:r>
          </w:p>
          <w:p w14:paraId="7F8C4D6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三斑路~文峰小学东侧段左岸为联锁块护坡，护坡底格埂存在冲刷和掏空。右岸为土质岸坡，缺少防护。本次在左岸底格埂外采用格宾石笼防护，右岸新建联锁块护坡。</w:t>
            </w:r>
          </w:p>
          <w:p w14:paraId="4213B44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幽芳河河道岸坡防护汇总见下表：</w:t>
            </w:r>
          </w:p>
          <w:p w14:paraId="046F421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表2-15</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幽芳河岸坡防护设计汇总表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922"/>
              <w:gridCol w:w="922"/>
              <w:gridCol w:w="1166"/>
              <w:gridCol w:w="1644"/>
              <w:gridCol w:w="1166"/>
              <w:gridCol w:w="1411"/>
            </w:tblGrid>
            <w:tr w14:paraId="0F13C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restart"/>
                  <w:noWrap w:val="0"/>
                  <w:vAlign w:val="center"/>
                </w:tcPr>
                <w:p w14:paraId="3971B63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左右岸</w:t>
                  </w:r>
                </w:p>
              </w:tc>
              <w:tc>
                <w:tcPr>
                  <w:tcW w:w="922" w:type="dxa"/>
                  <w:vMerge w:val="restart"/>
                  <w:noWrap w:val="0"/>
                  <w:vAlign w:val="center"/>
                </w:tcPr>
                <w:p w14:paraId="6879847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起点桩号</w:t>
                  </w:r>
                </w:p>
              </w:tc>
              <w:tc>
                <w:tcPr>
                  <w:tcW w:w="922" w:type="dxa"/>
                  <w:vMerge w:val="restart"/>
                  <w:noWrap w:val="0"/>
                  <w:vAlign w:val="center"/>
                </w:tcPr>
                <w:p w14:paraId="6A8DBCD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终点桩号</w:t>
                  </w:r>
                </w:p>
              </w:tc>
              <w:tc>
                <w:tcPr>
                  <w:tcW w:w="5387" w:type="dxa"/>
                  <w:gridSpan w:val="4"/>
                  <w:noWrap w:val="0"/>
                  <w:vAlign w:val="center"/>
                </w:tcPr>
                <w:p w14:paraId="7498F3A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护砌长度（</w:t>
                  </w:r>
                  <w:r>
                    <w:rPr>
                      <w:rFonts w:hint="default" w:ascii="Times New Roman" w:hAnsi="Times New Roman" w:eastAsia="宋体" w:cs="Times New Roman"/>
                      <w:b/>
                      <w:color w:val="000000" w:themeColor="text1"/>
                      <w:sz w:val="21"/>
                      <w:szCs w:val="21"/>
                      <w:lang w:eastAsia="zh-CN"/>
                      <w14:textFill>
                        <w14:solidFill>
                          <w14:schemeClr w14:val="tx1"/>
                        </w14:solidFill>
                      </w14:textFill>
                    </w:rPr>
                    <w:t>m</w:t>
                  </w:r>
                  <w:r>
                    <w:rPr>
                      <w:rFonts w:hint="default" w:ascii="Times New Roman" w:hAnsi="Times New Roman" w:eastAsia="宋体" w:cs="Times New Roman"/>
                      <w:b/>
                      <w:color w:val="000000" w:themeColor="text1"/>
                      <w:sz w:val="21"/>
                      <w:szCs w:val="21"/>
                      <w14:textFill>
                        <w14:solidFill>
                          <w14:schemeClr w14:val="tx1"/>
                        </w14:solidFill>
                      </w14:textFill>
                    </w:rPr>
                    <w:t>）</w:t>
                  </w:r>
                </w:p>
              </w:tc>
            </w:tr>
            <w:tr w14:paraId="698C5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6BDA9FD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Merge w:val="continue"/>
                  <w:tcBorders>
                    <w:top w:val="nil"/>
                  </w:tcBorders>
                  <w:noWrap w:val="0"/>
                  <w:vAlign w:val="center"/>
                </w:tcPr>
                <w:p w14:paraId="42549A5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Merge w:val="continue"/>
                  <w:tcBorders>
                    <w:top w:val="nil"/>
                  </w:tcBorders>
                  <w:noWrap w:val="0"/>
                  <w:vAlign w:val="center"/>
                </w:tcPr>
                <w:p w14:paraId="69E79F5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124465A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生态挡墙</w:t>
                  </w:r>
                </w:p>
              </w:tc>
              <w:tc>
                <w:tcPr>
                  <w:tcW w:w="1644" w:type="dxa"/>
                  <w:noWrap w:val="0"/>
                  <w:vAlign w:val="center"/>
                </w:tcPr>
                <w:p w14:paraId="4BD6D4A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格宾石笼固脚</w:t>
                  </w:r>
                </w:p>
              </w:tc>
              <w:tc>
                <w:tcPr>
                  <w:tcW w:w="1166" w:type="dxa"/>
                  <w:noWrap w:val="0"/>
                  <w:vAlign w:val="center"/>
                </w:tcPr>
                <w:p w14:paraId="0F52838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岸坡清杂</w:t>
                  </w:r>
                </w:p>
              </w:tc>
              <w:tc>
                <w:tcPr>
                  <w:tcW w:w="1411" w:type="dxa"/>
                  <w:noWrap w:val="0"/>
                  <w:vAlign w:val="center"/>
                </w:tcPr>
                <w:p w14:paraId="04328F2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预制块护坡</w:t>
                  </w:r>
                </w:p>
              </w:tc>
            </w:tr>
            <w:tr w14:paraId="031F3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restart"/>
                  <w:noWrap w:val="0"/>
                  <w:vAlign w:val="center"/>
                </w:tcPr>
                <w:p w14:paraId="3E648AF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3C869C7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30947E9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7295E5D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左岸</w:t>
                  </w:r>
                </w:p>
              </w:tc>
              <w:tc>
                <w:tcPr>
                  <w:tcW w:w="922" w:type="dxa"/>
                  <w:noWrap w:val="0"/>
                  <w:vAlign w:val="center"/>
                </w:tcPr>
                <w:p w14:paraId="1C551F8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K0+000</w:t>
                  </w:r>
                </w:p>
              </w:tc>
              <w:tc>
                <w:tcPr>
                  <w:tcW w:w="922" w:type="dxa"/>
                  <w:noWrap w:val="0"/>
                  <w:vAlign w:val="center"/>
                </w:tcPr>
                <w:p w14:paraId="7E750D9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K0+088</w:t>
                  </w:r>
                </w:p>
              </w:tc>
              <w:tc>
                <w:tcPr>
                  <w:tcW w:w="1166" w:type="dxa"/>
                  <w:noWrap w:val="0"/>
                  <w:vAlign w:val="center"/>
                </w:tcPr>
                <w:p w14:paraId="7DE28DA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w:t>
                  </w:r>
                </w:p>
              </w:tc>
              <w:tc>
                <w:tcPr>
                  <w:tcW w:w="1644" w:type="dxa"/>
                  <w:noWrap w:val="0"/>
                  <w:vAlign w:val="center"/>
                </w:tcPr>
                <w:p w14:paraId="2F69CDA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580B5A6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2A660E9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F767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24E5B84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3078E85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K0+088</w:t>
                  </w:r>
                </w:p>
              </w:tc>
              <w:tc>
                <w:tcPr>
                  <w:tcW w:w="922" w:type="dxa"/>
                  <w:noWrap w:val="0"/>
                  <w:vAlign w:val="center"/>
                </w:tcPr>
                <w:p w14:paraId="443D2B8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1166" w:type="dxa"/>
                  <w:noWrap w:val="0"/>
                  <w:vAlign w:val="center"/>
                </w:tcPr>
                <w:p w14:paraId="795DBED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2E2294C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w:t>
                  </w:r>
                </w:p>
              </w:tc>
              <w:tc>
                <w:tcPr>
                  <w:tcW w:w="1166" w:type="dxa"/>
                  <w:noWrap w:val="0"/>
                  <w:vAlign w:val="center"/>
                </w:tcPr>
                <w:p w14:paraId="53C7189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5D2C1E0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E3C6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07DEEC3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31D9AD8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922" w:type="dxa"/>
                  <w:noWrap w:val="0"/>
                  <w:vAlign w:val="center"/>
                </w:tcPr>
                <w:p w14:paraId="2645C36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K1+200</w:t>
                  </w:r>
                </w:p>
              </w:tc>
              <w:tc>
                <w:tcPr>
                  <w:tcW w:w="1166" w:type="dxa"/>
                  <w:noWrap w:val="0"/>
                  <w:vAlign w:val="center"/>
                </w:tcPr>
                <w:p w14:paraId="3B47217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7A8ED7B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5630977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1030</w:t>
                  </w:r>
                </w:p>
              </w:tc>
              <w:tc>
                <w:tcPr>
                  <w:tcW w:w="1411" w:type="dxa"/>
                  <w:noWrap w:val="0"/>
                  <w:vAlign w:val="center"/>
                </w:tcPr>
                <w:p w14:paraId="1F51F3C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CF49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19CC358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73541FA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K1+200</w:t>
                  </w:r>
                </w:p>
              </w:tc>
              <w:tc>
                <w:tcPr>
                  <w:tcW w:w="922" w:type="dxa"/>
                  <w:noWrap w:val="0"/>
                  <w:vAlign w:val="center"/>
                </w:tcPr>
                <w:p w14:paraId="192E04A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1166" w:type="dxa"/>
                  <w:noWrap w:val="0"/>
                  <w:vAlign w:val="center"/>
                </w:tcPr>
                <w:p w14:paraId="22D0FE6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715</w:t>
                  </w:r>
                </w:p>
              </w:tc>
              <w:tc>
                <w:tcPr>
                  <w:tcW w:w="1644" w:type="dxa"/>
                  <w:noWrap w:val="0"/>
                  <w:vAlign w:val="center"/>
                </w:tcPr>
                <w:p w14:paraId="72B0686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04697B7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0A08E93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6B29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5EF1268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5C3EB00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922" w:type="dxa"/>
                  <w:noWrap w:val="0"/>
                  <w:vAlign w:val="center"/>
                </w:tcPr>
                <w:p w14:paraId="73D665A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1166" w:type="dxa"/>
                  <w:noWrap w:val="0"/>
                  <w:vAlign w:val="center"/>
                </w:tcPr>
                <w:p w14:paraId="7BC4401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2195</w:t>
                  </w:r>
                </w:p>
              </w:tc>
              <w:tc>
                <w:tcPr>
                  <w:tcW w:w="1644" w:type="dxa"/>
                  <w:noWrap w:val="0"/>
                  <w:vAlign w:val="center"/>
                </w:tcPr>
                <w:p w14:paraId="15EAA7B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41650FE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1EBB918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E2A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38E83A4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2CB138B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922" w:type="dxa"/>
                  <w:noWrap w:val="0"/>
                  <w:vAlign w:val="center"/>
                </w:tcPr>
                <w:p w14:paraId="5DF152D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K6+360</w:t>
                  </w:r>
                </w:p>
              </w:tc>
              <w:tc>
                <w:tcPr>
                  <w:tcW w:w="1166" w:type="dxa"/>
                  <w:noWrap w:val="0"/>
                  <w:vAlign w:val="center"/>
                </w:tcPr>
                <w:p w14:paraId="6DE5CDE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6F2E1F4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2250</w:t>
                  </w:r>
                </w:p>
              </w:tc>
              <w:tc>
                <w:tcPr>
                  <w:tcW w:w="1166" w:type="dxa"/>
                  <w:noWrap w:val="0"/>
                  <w:vAlign w:val="center"/>
                </w:tcPr>
                <w:p w14:paraId="23A63CB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2755E49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CB45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restart"/>
                  <w:noWrap w:val="0"/>
                  <w:vAlign w:val="center"/>
                </w:tcPr>
                <w:p w14:paraId="0AC4A1F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6D14F8B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5576305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13DCAC9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000DF6E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右岸</w:t>
                  </w:r>
                </w:p>
              </w:tc>
              <w:tc>
                <w:tcPr>
                  <w:tcW w:w="922" w:type="dxa"/>
                  <w:noWrap w:val="0"/>
                  <w:vAlign w:val="center"/>
                </w:tcPr>
                <w:p w14:paraId="5B306E1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K0+000</w:t>
                  </w:r>
                </w:p>
              </w:tc>
              <w:tc>
                <w:tcPr>
                  <w:tcW w:w="922" w:type="dxa"/>
                  <w:noWrap w:val="0"/>
                  <w:vAlign w:val="center"/>
                </w:tcPr>
                <w:p w14:paraId="7BBD63D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1166" w:type="dxa"/>
                  <w:noWrap w:val="0"/>
                  <w:vAlign w:val="center"/>
                </w:tcPr>
                <w:p w14:paraId="67DC9EC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0637ACD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170</w:t>
                  </w:r>
                </w:p>
              </w:tc>
              <w:tc>
                <w:tcPr>
                  <w:tcW w:w="1166" w:type="dxa"/>
                  <w:noWrap w:val="0"/>
                  <w:vAlign w:val="center"/>
                </w:tcPr>
                <w:p w14:paraId="1187988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2418FA8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4685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0D7B02C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6EABA58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922" w:type="dxa"/>
                  <w:noWrap w:val="0"/>
                  <w:vAlign w:val="center"/>
                </w:tcPr>
                <w:p w14:paraId="2B65048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K0+430</w:t>
                  </w:r>
                </w:p>
              </w:tc>
              <w:tc>
                <w:tcPr>
                  <w:tcW w:w="1166" w:type="dxa"/>
                  <w:noWrap w:val="0"/>
                  <w:vAlign w:val="center"/>
                </w:tcPr>
                <w:p w14:paraId="3F4D3D7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w:t>
                  </w:r>
                </w:p>
              </w:tc>
              <w:tc>
                <w:tcPr>
                  <w:tcW w:w="1644" w:type="dxa"/>
                  <w:noWrap w:val="0"/>
                  <w:vAlign w:val="center"/>
                </w:tcPr>
                <w:p w14:paraId="513A8F5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24A08FD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61C7B29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3D78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29261A0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64C0602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K0+430</w:t>
                  </w:r>
                </w:p>
              </w:tc>
              <w:tc>
                <w:tcPr>
                  <w:tcW w:w="922" w:type="dxa"/>
                  <w:noWrap w:val="0"/>
                  <w:vAlign w:val="center"/>
                </w:tcPr>
                <w:p w14:paraId="528A807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K0+555</w:t>
                  </w:r>
                </w:p>
              </w:tc>
              <w:tc>
                <w:tcPr>
                  <w:tcW w:w="1166" w:type="dxa"/>
                  <w:noWrap w:val="0"/>
                  <w:vAlign w:val="center"/>
                </w:tcPr>
                <w:p w14:paraId="3850016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4E9C3D5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w:t>
                  </w:r>
                </w:p>
              </w:tc>
              <w:tc>
                <w:tcPr>
                  <w:tcW w:w="1166" w:type="dxa"/>
                  <w:noWrap w:val="0"/>
                  <w:vAlign w:val="center"/>
                </w:tcPr>
                <w:p w14:paraId="6177BE1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2C9247D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7335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60EEF81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426E97A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K0+555</w:t>
                  </w:r>
                </w:p>
              </w:tc>
              <w:tc>
                <w:tcPr>
                  <w:tcW w:w="922" w:type="dxa"/>
                  <w:noWrap w:val="0"/>
                  <w:vAlign w:val="center"/>
                </w:tcPr>
                <w:p w14:paraId="1CC0057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1166" w:type="dxa"/>
                  <w:noWrap w:val="0"/>
                  <w:vAlign w:val="center"/>
                </w:tcPr>
                <w:p w14:paraId="13E3541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1360</w:t>
                  </w:r>
                </w:p>
              </w:tc>
              <w:tc>
                <w:tcPr>
                  <w:tcW w:w="1644" w:type="dxa"/>
                  <w:noWrap w:val="0"/>
                  <w:vAlign w:val="center"/>
                </w:tcPr>
                <w:p w14:paraId="057D3FD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18712DA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751B3CB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EFBA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0CDA6B8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20F75FC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922" w:type="dxa"/>
                  <w:noWrap w:val="0"/>
                  <w:vAlign w:val="center"/>
                </w:tcPr>
                <w:p w14:paraId="554C325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1166" w:type="dxa"/>
                  <w:noWrap w:val="0"/>
                  <w:vAlign w:val="center"/>
                </w:tcPr>
                <w:p w14:paraId="55D173D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2195</w:t>
                  </w:r>
                </w:p>
              </w:tc>
              <w:tc>
                <w:tcPr>
                  <w:tcW w:w="1644" w:type="dxa"/>
                  <w:noWrap w:val="0"/>
                  <w:vAlign w:val="center"/>
                </w:tcPr>
                <w:p w14:paraId="79310AB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06C97C0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59329CF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115D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6725F39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5AF635E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922" w:type="dxa"/>
                  <w:noWrap w:val="0"/>
                  <w:vAlign w:val="center"/>
                </w:tcPr>
                <w:p w14:paraId="5B575BD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K5+210</w:t>
                  </w:r>
                </w:p>
              </w:tc>
              <w:tc>
                <w:tcPr>
                  <w:tcW w:w="1166" w:type="dxa"/>
                  <w:noWrap w:val="0"/>
                  <w:vAlign w:val="center"/>
                </w:tcPr>
                <w:p w14:paraId="3323508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643702E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1100</w:t>
                  </w:r>
                </w:p>
              </w:tc>
              <w:tc>
                <w:tcPr>
                  <w:tcW w:w="1166" w:type="dxa"/>
                  <w:noWrap w:val="0"/>
                  <w:vAlign w:val="center"/>
                </w:tcPr>
                <w:p w14:paraId="11B9830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12324BF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6ED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1683723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284DA22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K5+210</w:t>
                  </w:r>
                </w:p>
              </w:tc>
              <w:tc>
                <w:tcPr>
                  <w:tcW w:w="922" w:type="dxa"/>
                  <w:noWrap w:val="0"/>
                  <w:vAlign w:val="center"/>
                </w:tcPr>
                <w:p w14:paraId="2BB97E4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K5+600</w:t>
                  </w:r>
                </w:p>
              </w:tc>
              <w:tc>
                <w:tcPr>
                  <w:tcW w:w="1166" w:type="dxa"/>
                  <w:noWrap w:val="0"/>
                  <w:vAlign w:val="center"/>
                </w:tcPr>
                <w:p w14:paraId="01F2DAF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214A8BE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151CA57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0BAB8B0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390</w:t>
                  </w:r>
                </w:p>
              </w:tc>
            </w:tr>
            <w:tr w14:paraId="0226D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noWrap w:val="0"/>
                  <w:vAlign w:val="center"/>
                </w:tcPr>
                <w:p w14:paraId="1BE44B5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noWrap w:val="0"/>
                  <w:vAlign w:val="center"/>
                </w:tcPr>
                <w:p w14:paraId="69ED5CE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K5+600</w:t>
                  </w:r>
                </w:p>
              </w:tc>
              <w:tc>
                <w:tcPr>
                  <w:tcW w:w="922" w:type="dxa"/>
                  <w:noWrap w:val="0"/>
                  <w:vAlign w:val="center"/>
                </w:tcPr>
                <w:p w14:paraId="4A8C95A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K6+360</w:t>
                  </w:r>
                </w:p>
              </w:tc>
              <w:tc>
                <w:tcPr>
                  <w:tcW w:w="1166" w:type="dxa"/>
                  <w:noWrap w:val="0"/>
                  <w:vAlign w:val="center"/>
                </w:tcPr>
                <w:p w14:paraId="03A5313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noWrap w:val="0"/>
                  <w:vAlign w:val="center"/>
                </w:tcPr>
                <w:p w14:paraId="0293D89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noWrap w:val="0"/>
                  <w:vAlign w:val="center"/>
                </w:tcPr>
                <w:p w14:paraId="59FF69B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noWrap w:val="0"/>
                  <w:vAlign w:val="center"/>
                </w:tcPr>
                <w:p w14:paraId="06ED007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760</w:t>
                  </w:r>
                </w:p>
              </w:tc>
            </w:tr>
            <w:tr w14:paraId="791E7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4" w:type="dxa"/>
                  <w:gridSpan w:val="3"/>
                  <w:noWrap w:val="0"/>
                  <w:vAlign w:val="center"/>
                </w:tcPr>
                <w:p w14:paraId="3DF631E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合计</w:t>
                  </w:r>
                </w:p>
              </w:tc>
              <w:tc>
                <w:tcPr>
                  <w:tcW w:w="1166" w:type="dxa"/>
                  <w:noWrap w:val="0"/>
                  <w:vAlign w:val="center"/>
                </w:tcPr>
                <w:p w14:paraId="597616B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6813</w:t>
                  </w:r>
                </w:p>
              </w:tc>
              <w:tc>
                <w:tcPr>
                  <w:tcW w:w="1644" w:type="dxa"/>
                  <w:noWrap w:val="0"/>
                  <w:vAlign w:val="center"/>
                </w:tcPr>
                <w:p w14:paraId="1E60491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3727</w:t>
                  </w:r>
                </w:p>
              </w:tc>
              <w:tc>
                <w:tcPr>
                  <w:tcW w:w="1166" w:type="dxa"/>
                  <w:noWrap w:val="0"/>
                  <w:vAlign w:val="center"/>
                </w:tcPr>
                <w:p w14:paraId="4551B55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1030</w:t>
                  </w:r>
                </w:p>
              </w:tc>
              <w:tc>
                <w:tcPr>
                  <w:tcW w:w="1411" w:type="dxa"/>
                  <w:noWrap w:val="0"/>
                  <w:vAlign w:val="center"/>
                </w:tcPr>
                <w:p w14:paraId="6100852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1150</w:t>
                  </w:r>
                </w:p>
              </w:tc>
            </w:tr>
          </w:tbl>
          <w:p w14:paraId="49CB688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3.5.6.4河道纵断面设计</w:t>
            </w:r>
          </w:p>
          <w:p w14:paraId="794C53A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道设计底坡根据现状河道地形条件、天然纵坡要求确定：一般情况下维持原有天然河道的底坡不变，原河道长6360m，河底高程101.41m降至63.88m，天然纵坡为6‰；当某河段行洪断面偏小时，该段可适当加大底坡，但下游河道则须适当变缓；以此为原则，分段确定各河道的设计纵坡。</w:t>
            </w:r>
          </w:p>
          <w:p w14:paraId="21ECB36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本次河道治理后，防洪及抗冲均满足要求，现状河底多为岩石会角砾层，挖除困难。因此本次保持现状纵坡基本不变，为6‰，仅局部挖除河道内阻水滩地</w:t>
            </w:r>
          </w:p>
          <w:p w14:paraId="0D36CE8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3.5.6.5河道建筑物设计</w:t>
            </w:r>
          </w:p>
          <w:p w14:paraId="6CF84AE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幽芳河现状长度6.36km，起点河底高程为102.41m，终点河底高程为63.88m，落差达38.53m，纵向坡比0.006，落差较大。河道沿线布置了多级拦河坝，用于减缓水流和稳定河槽，防止冲刷。如下图所示。本次满足泄洪安全的基础上，合理改造拦河建筑物。</w:t>
            </w:r>
          </w:p>
          <w:p w14:paraId="1C73A5E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状拦河坝1老化破损，本次原址拆建。现状拦河坝4和5距离较近，且阻水严重，造成其上游K1+600~K1+900段汛期受淹。因此本次改造拦河坝4，在其两侧增加放空闸门，拦河坝5改建为气盾坝，汛期气盾坝可放平，解决阻水问题。河道中游段缺少拦河坝，河道内冲刷较严重，本次新建2座拦河坝，1座气盾坝，以减缓水流和稳定河槽。拦河坝6坝体表面开裂老化，下游存在冲刷，对其坝体和下游消力池进行改造。</w:t>
            </w:r>
          </w:p>
          <w:p w14:paraId="4C24C3B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表2-16  幽芳河配套建筑物统计表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2145"/>
              <w:gridCol w:w="1470"/>
              <w:gridCol w:w="3152"/>
            </w:tblGrid>
            <w:tr w14:paraId="1DB85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noWrap w:val="0"/>
                  <w:vAlign w:val="center"/>
                </w:tcPr>
                <w:p w14:paraId="2E8D84F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w:t>
                  </w:r>
                </w:p>
              </w:tc>
              <w:tc>
                <w:tcPr>
                  <w:tcW w:w="2145" w:type="dxa"/>
                  <w:noWrap w:val="0"/>
                  <w:vAlign w:val="center"/>
                </w:tcPr>
                <w:p w14:paraId="738CDC6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470" w:type="dxa"/>
                  <w:noWrap w:val="0"/>
                  <w:vAlign w:val="center"/>
                </w:tcPr>
                <w:p w14:paraId="4FC085E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位置</w:t>
                  </w:r>
                </w:p>
              </w:tc>
              <w:tc>
                <w:tcPr>
                  <w:tcW w:w="3152" w:type="dxa"/>
                  <w:noWrap w:val="0"/>
                  <w:vAlign w:val="center"/>
                </w:tcPr>
                <w:p w14:paraId="1F8F49C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0FC44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restart"/>
                  <w:noWrap w:val="0"/>
                  <w:vAlign w:val="center"/>
                </w:tcPr>
                <w:p w14:paraId="4D14A07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w:t>
                  </w:r>
                </w:p>
              </w:tc>
              <w:tc>
                <w:tcPr>
                  <w:tcW w:w="2145" w:type="dxa"/>
                  <w:noWrap w:val="0"/>
                  <w:vAlign w:val="center"/>
                </w:tcPr>
                <w:p w14:paraId="019EE2D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拦河坝1</w:t>
                  </w:r>
                </w:p>
              </w:tc>
              <w:tc>
                <w:tcPr>
                  <w:tcW w:w="1470" w:type="dxa"/>
                  <w:noWrap w:val="0"/>
                  <w:vAlign w:val="center"/>
                </w:tcPr>
                <w:p w14:paraId="23045DA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K0+088</w:t>
                  </w:r>
                </w:p>
              </w:tc>
              <w:tc>
                <w:tcPr>
                  <w:tcW w:w="3152" w:type="dxa"/>
                  <w:noWrap w:val="0"/>
                  <w:vAlign w:val="center"/>
                </w:tcPr>
                <w:p w14:paraId="2C115BC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1B59F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noWrap w:val="0"/>
                  <w:vAlign w:val="center"/>
                </w:tcPr>
                <w:p w14:paraId="602FAE4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45" w:type="dxa"/>
                  <w:noWrap w:val="0"/>
                  <w:vAlign w:val="center"/>
                </w:tcPr>
                <w:p w14:paraId="46CDA11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拦河坝4</w:t>
                  </w:r>
                </w:p>
              </w:tc>
              <w:tc>
                <w:tcPr>
                  <w:tcW w:w="1470" w:type="dxa"/>
                  <w:noWrap w:val="0"/>
                  <w:vAlign w:val="center"/>
                </w:tcPr>
                <w:p w14:paraId="05C6E6A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K1+650</w:t>
                  </w:r>
                </w:p>
              </w:tc>
              <w:tc>
                <w:tcPr>
                  <w:tcW w:w="3152" w:type="dxa"/>
                  <w:noWrap w:val="0"/>
                  <w:vAlign w:val="center"/>
                </w:tcPr>
                <w:p w14:paraId="7DE65D7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改造，新增放空闸门2座</w:t>
                  </w:r>
                </w:p>
              </w:tc>
            </w:tr>
            <w:tr w14:paraId="64D95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noWrap w:val="0"/>
                  <w:vAlign w:val="center"/>
                </w:tcPr>
                <w:p w14:paraId="16CB09E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45" w:type="dxa"/>
                  <w:noWrap w:val="0"/>
                  <w:vAlign w:val="center"/>
                </w:tcPr>
                <w:p w14:paraId="2405F8B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拦河坝6</w:t>
                  </w:r>
                </w:p>
              </w:tc>
              <w:tc>
                <w:tcPr>
                  <w:tcW w:w="1470" w:type="dxa"/>
                  <w:noWrap w:val="0"/>
                  <w:vAlign w:val="center"/>
                </w:tcPr>
                <w:p w14:paraId="5657CF1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K2+575</w:t>
                  </w:r>
                </w:p>
              </w:tc>
              <w:tc>
                <w:tcPr>
                  <w:tcW w:w="3152" w:type="dxa"/>
                  <w:noWrap w:val="0"/>
                  <w:vAlign w:val="center"/>
                </w:tcPr>
                <w:p w14:paraId="7F6BF34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改造，改造坝体和消力池</w:t>
                  </w:r>
                </w:p>
              </w:tc>
            </w:tr>
            <w:tr w14:paraId="10F0F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noWrap w:val="0"/>
                  <w:vAlign w:val="center"/>
                </w:tcPr>
                <w:p w14:paraId="1ADB04F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45" w:type="dxa"/>
                  <w:noWrap w:val="0"/>
                  <w:vAlign w:val="center"/>
                </w:tcPr>
                <w:p w14:paraId="487417D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新建拦河坝1</w:t>
                  </w:r>
                </w:p>
              </w:tc>
              <w:tc>
                <w:tcPr>
                  <w:tcW w:w="1470" w:type="dxa"/>
                  <w:noWrap w:val="0"/>
                  <w:vAlign w:val="center"/>
                </w:tcPr>
                <w:p w14:paraId="07CE8B6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K2+270</w:t>
                  </w:r>
                </w:p>
              </w:tc>
              <w:tc>
                <w:tcPr>
                  <w:tcW w:w="3152" w:type="dxa"/>
                  <w:noWrap w:val="0"/>
                  <w:vAlign w:val="center"/>
                </w:tcPr>
                <w:p w14:paraId="68790E9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02780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noWrap w:val="0"/>
                  <w:vAlign w:val="center"/>
                </w:tcPr>
                <w:p w14:paraId="1ADCC56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45" w:type="dxa"/>
                  <w:noWrap w:val="0"/>
                  <w:vAlign w:val="center"/>
                </w:tcPr>
                <w:p w14:paraId="486D35E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新建拦河坝2</w:t>
                  </w:r>
                </w:p>
              </w:tc>
              <w:tc>
                <w:tcPr>
                  <w:tcW w:w="1470" w:type="dxa"/>
                  <w:noWrap w:val="0"/>
                  <w:vAlign w:val="center"/>
                </w:tcPr>
                <w:p w14:paraId="68AB7DE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K2+940</w:t>
                  </w:r>
                </w:p>
              </w:tc>
              <w:tc>
                <w:tcPr>
                  <w:tcW w:w="3152" w:type="dxa"/>
                  <w:noWrap w:val="0"/>
                  <w:vAlign w:val="center"/>
                </w:tcPr>
                <w:p w14:paraId="1857292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10F1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restart"/>
                  <w:noWrap w:val="0"/>
                  <w:vAlign w:val="center"/>
                </w:tcPr>
                <w:p w14:paraId="66FD0AC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气盾坝</w:t>
                  </w:r>
                </w:p>
              </w:tc>
              <w:tc>
                <w:tcPr>
                  <w:tcW w:w="2145" w:type="dxa"/>
                  <w:noWrap w:val="0"/>
                  <w:vAlign w:val="center"/>
                </w:tcPr>
                <w:p w14:paraId="68D1FFF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气盾坝1</w:t>
                  </w:r>
                </w:p>
              </w:tc>
              <w:tc>
                <w:tcPr>
                  <w:tcW w:w="1470" w:type="dxa"/>
                  <w:noWrap w:val="0"/>
                  <w:vAlign w:val="center"/>
                </w:tcPr>
                <w:p w14:paraId="76B6948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K1+915</w:t>
                  </w:r>
                </w:p>
              </w:tc>
              <w:tc>
                <w:tcPr>
                  <w:tcW w:w="3152" w:type="dxa"/>
                  <w:noWrap w:val="0"/>
                  <w:vAlign w:val="center"/>
                </w:tcPr>
                <w:p w14:paraId="3BFB379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拆除拦河坝5改建</w:t>
                  </w:r>
                </w:p>
              </w:tc>
            </w:tr>
            <w:tr w14:paraId="08266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noWrap w:val="0"/>
                  <w:vAlign w:val="center"/>
                </w:tcPr>
                <w:p w14:paraId="2E7648E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45" w:type="dxa"/>
                  <w:noWrap w:val="0"/>
                  <w:vAlign w:val="center"/>
                </w:tcPr>
                <w:p w14:paraId="2848785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气盾坝2</w:t>
                  </w:r>
                </w:p>
              </w:tc>
              <w:tc>
                <w:tcPr>
                  <w:tcW w:w="1470" w:type="dxa"/>
                  <w:noWrap w:val="0"/>
                  <w:vAlign w:val="center"/>
                </w:tcPr>
                <w:p w14:paraId="5C1F754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K4+110</w:t>
                  </w:r>
                </w:p>
              </w:tc>
              <w:tc>
                <w:tcPr>
                  <w:tcW w:w="3152" w:type="dxa"/>
                  <w:noWrap w:val="0"/>
                  <w:vAlign w:val="center"/>
                </w:tcPr>
                <w:p w14:paraId="550B9B6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bl>
          <w:p w14:paraId="5D7EA7C2">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1.气盾坝工程</w:t>
            </w:r>
          </w:p>
          <w:p w14:paraId="5D2E2758">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（1）气盾坝设计参数</w:t>
            </w:r>
          </w:p>
          <w:p w14:paraId="4F00872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本次共建设2座气盾坝，设计参数见下表，以气盾坝1为典型设计。</w:t>
            </w:r>
          </w:p>
          <w:p w14:paraId="6A8DA02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表2-17  滚水坝设计参数</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1297"/>
              <w:gridCol w:w="1362"/>
              <w:gridCol w:w="1610"/>
              <w:gridCol w:w="1103"/>
              <w:gridCol w:w="1937"/>
            </w:tblGrid>
            <w:tr w14:paraId="08398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2" w:type="dxa"/>
                  <w:noWrap w:val="0"/>
                  <w:vAlign w:val="center"/>
                </w:tcPr>
                <w:p w14:paraId="0EF9A01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297" w:type="dxa"/>
                  <w:noWrap w:val="0"/>
                  <w:vAlign w:val="center"/>
                </w:tcPr>
                <w:p w14:paraId="1356379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桩号</w:t>
                  </w:r>
                </w:p>
              </w:tc>
              <w:tc>
                <w:tcPr>
                  <w:tcW w:w="1362" w:type="dxa"/>
                  <w:noWrap w:val="0"/>
                  <w:vAlign w:val="center"/>
                </w:tcPr>
                <w:p w14:paraId="685157B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610" w:type="dxa"/>
                  <w:noWrap w:val="0"/>
                  <w:vAlign w:val="center"/>
                </w:tcPr>
                <w:p w14:paraId="5B9E154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坝顶高程（m）</w:t>
                  </w:r>
                </w:p>
              </w:tc>
              <w:tc>
                <w:tcPr>
                  <w:tcW w:w="1103" w:type="dxa"/>
                  <w:noWrap w:val="0"/>
                  <w:vAlign w:val="center"/>
                </w:tcPr>
                <w:p w14:paraId="684426B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坝宽（m）</w:t>
                  </w:r>
                </w:p>
              </w:tc>
              <w:tc>
                <w:tcPr>
                  <w:tcW w:w="1937" w:type="dxa"/>
                  <w:noWrap w:val="0"/>
                  <w:vAlign w:val="center"/>
                </w:tcPr>
                <w:p w14:paraId="7C3406A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762B9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2" w:type="dxa"/>
                  <w:noWrap w:val="0"/>
                  <w:vAlign w:val="center"/>
                </w:tcPr>
                <w:p w14:paraId="7014CAF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297" w:type="dxa"/>
                  <w:noWrap w:val="0"/>
                  <w:vAlign w:val="center"/>
                </w:tcPr>
                <w:p w14:paraId="7E2D950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K1+915</w:t>
                  </w:r>
                </w:p>
              </w:tc>
              <w:tc>
                <w:tcPr>
                  <w:tcW w:w="1362" w:type="dxa"/>
                  <w:noWrap w:val="0"/>
                  <w:vAlign w:val="center"/>
                </w:tcPr>
                <w:p w14:paraId="3670C8A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气盾坝1</w:t>
                  </w:r>
                </w:p>
              </w:tc>
              <w:tc>
                <w:tcPr>
                  <w:tcW w:w="1610" w:type="dxa"/>
                  <w:noWrap w:val="0"/>
                  <w:vAlign w:val="center"/>
                </w:tcPr>
                <w:p w14:paraId="010128F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85.5</w:t>
                  </w:r>
                </w:p>
              </w:tc>
              <w:tc>
                <w:tcPr>
                  <w:tcW w:w="1103" w:type="dxa"/>
                  <w:noWrap w:val="0"/>
                  <w:vAlign w:val="center"/>
                </w:tcPr>
                <w:p w14:paraId="7EBC27F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c>
                <w:tcPr>
                  <w:tcW w:w="1937" w:type="dxa"/>
                  <w:noWrap w:val="0"/>
                  <w:vAlign w:val="center"/>
                </w:tcPr>
                <w:p w14:paraId="582196E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拆除拦河坝5改建</w:t>
                  </w:r>
                </w:p>
              </w:tc>
            </w:tr>
            <w:tr w14:paraId="20AAC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2" w:type="dxa"/>
                  <w:noWrap w:val="0"/>
                  <w:vAlign w:val="center"/>
                </w:tcPr>
                <w:p w14:paraId="0BF1980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297" w:type="dxa"/>
                  <w:noWrap w:val="0"/>
                  <w:vAlign w:val="center"/>
                </w:tcPr>
                <w:p w14:paraId="1936AD5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K4+110</w:t>
                  </w:r>
                </w:p>
              </w:tc>
              <w:tc>
                <w:tcPr>
                  <w:tcW w:w="1362" w:type="dxa"/>
                  <w:noWrap w:val="0"/>
                  <w:vAlign w:val="center"/>
                </w:tcPr>
                <w:p w14:paraId="43596DE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气盾坝2</w:t>
                  </w:r>
                </w:p>
              </w:tc>
              <w:tc>
                <w:tcPr>
                  <w:tcW w:w="1610" w:type="dxa"/>
                  <w:noWrap w:val="0"/>
                  <w:vAlign w:val="center"/>
                </w:tcPr>
                <w:p w14:paraId="1D1093F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69.5</w:t>
                  </w:r>
                </w:p>
              </w:tc>
              <w:tc>
                <w:tcPr>
                  <w:tcW w:w="1103" w:type="dxa"/>
                  <w:noWrap w:val="0"/>
                  <w:vAlign w:val="center"/>
                </w:tcPr>
                <w:p w14:paraId="62C9457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1937" w:type="dxa"/>
                  <w:noWrap w:val="0"/>
                  <w:vAlign w:val="center"/>
                </w:tcPr>
                <w:p w14:paraId="7518A3A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bl>
          <w:p w14:paraId="3334DE2A">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（2）工程布置</w:t>
            </w:r>
          </w:p>
          <w:p w14:paraId="5588934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气盾坝1位于桩号K1+915，由拦河坝改建为气盾坝，解决汛期阻水问题的同时，保证日常减缓水流稳定河槽，设计流量为82.08m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w:t>
            </w:r>
          </w:p>
          <w:p w14:paraId="09C8379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气盾坝按水流方向分别为进口段、控制段和消力池段。</w:t>
            </w:r>
          </w:p>
          <w:p w14:paraId="2EAD615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进口段为钢筋混凝土八字墙，顺水流方向长7.0m，净宽28.0m，底板高程为84.00m，底板厚0.5m。</w:t>
            </w:r>
          </w:p>
          <w:p w14:paraId="5E924A7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控制段顺水流方向长8.0m，净宽28.0m，底板高程84.00~83.60m，底板厚1.1~1.5m，气盾坝坝顶高程86.50m。</w:t>
            </w:r>
          </w:p>
          <w:p w14:paraId="6ADD614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消力池段长18.62m，净宽28.00m，消力池深0.5m，池底顶高程为81.40m，底板厚0.5m。</w:t>
            </w:r>
          </w:p>
          <w:p w14:paraId="4309F06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设计洪水位，气盾坝放平泄洪，上游设计水位为85.35m，下游水位为84.80m。</w:t>
            </w:r>
          </w:p>
          <w:p w14:paraId="1BC98588">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2.拦河坝工程</w:t>
            </w:r>
          </w:p>
          <w:p w14:paraId="0836265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本次拆建拦河坝1座，新建拦河坝2座，改造拦河坝2座。设计参数见下表，以新建拦河坝1为典型设计。</w:t>
            </w:r>
          </w:p>
          <w:p w14:paraId="37F0909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表2-18  闸坝改造参数表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1018"/>
              <w:gridCol w:w="1461"/>
              <w:gridCol w:w="1447"/>
              <w:gridCol w:w="1136"/>
              <w:gridCol w:w="2409"/>
            </w:tblGrid>
            <w:tr w14:paraId="1995A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noWrap w:val="0"/>
                  <w:vAlign w:val="center"/>
                </w:tcPr>
                <w:p w14:paraId="7473DCB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018" w:type="dxa"/>
                  <w:noWrap w:val="0"/>
                  <w:vAlign w:val="center"/>
                </w:tcPr>
                <w:p w14:paraId="6796D0C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桩号位置</w:t>
                  </w:r>
                </w:p>
              </w:tc>
              <w:tc>
                <w:tcPr>
                  <w:tcW w:w="1461" w:type="dxa"/>
                  <w:noWrap w:val="0"/>
                  <w:vAlign w:val="center"/>
                </w:tcPr>
                <w:p w14:paraId="0328887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447" w:type="dxa"/>
                  <w:noWrap w:val="0"/>
                  <w:vAlign w:val="center"/>
                </w:tcPr>
                <w:p w14:paraId="574E7F3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坝顶高程（m）</w:t>
                  </w:r>
                </w:p>
              </w:tc>
              <w:tc>
                <w:tcPr>
                  <w:tcW w:w="1136" w:type="dxa"/>
                  <w:noWrap w:val="0"/>
                  <w:vAlign w:val="center"/>
                </w:tcPr>
                <w:p w14:paraId="6F2F276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净宽（m）</w:t>
                  </w:r>
                </w:p>
              </w:tc>
              <w:tc>
                <w:tcPr>
                  <w:tcW w:w="2409" w:type="dxa"/>
                  <w:noWrap w:val="0"/>
                  <w:vAlign w:val="center"/>
                </w:tcPr>
                <w:p w14:paraId="1EAB54D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2918B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noWrap w:val="0"/>
                  <w:vAlign w:val="center"/>
                </w:tcPr>
                <w:p w14:paraId="77F28A1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018" w:type="dxa"/>
                  <w:noWrap w:val="0"/>
                  <w:vAlign w:val="center"/>
                </w:tcPr>
                <w:p w14:paraId="4D67CC5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K0+088</w:t>
                  </w:r>
                </w:p>
              </w:tc>
              <w:tc>
                <w:tcPr>
                  <w:tcW w:w="1461" w:type="dxa"/>
                  <w:noWrap w:val="0"/>
                  <w:vAlign w:val="center"/>
                </w:tcPr>
                <w:p w14:paraId="3294CB9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拆建拦河坝1</w:t>
                  </w:r>
                </w:p>
              </w:tc>
              <w:tc>
                <w:tcPr>
                  <w:tcW w:w="1447" w:type="dxa"/>
                  <w:noWrap w:val="0"/>
                  <w:vAlign w:val="center"/>
                </w:tcPr>
                <w:p w14:paraId="79B4B35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101.6</w:t>
                  </w:r>
                </w:p>
              </w:tc>
              <w:tc>
                <w:tcPr>
                  <w:tcW w:w="1136" w:type="dxa"/>
                  <w:noWrap w:val="0"/>
                  <w:vAlign w:val="center"/>
                </w:tcPr>
                <w:p w14:paraId="0FF7F1E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15.5</w:t>
                  </w:r>
                </w:p>
              </w:tc>
              <w:tc>
                <w:tcPr>
                  <w:tcW w:w="2409" w:type="dxa"/>
                  <w:noWrap w:val="0"/>
                  <w:vAlign w:val="center"/>
                </w:tcPr>
                <w:p w14:paraId="7B4291C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拆建</w:t>
                  </w:r>
                </w:p>
              </w:tc>
            </w:tr>
            <w:tr w14:paraId="19728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noWrap w:val="0"/>
                  <w:vAlign w:val="center"/>
                </w:tcPr>
                <w:p w14:paraId="3176843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018" w:type="dxa"/>
                  <w:noWrap w:val="0"/>
                  <w:vAlign w:val="center"/>
                </w:tcPr>
                <w:p w14:paraId="6AEC17C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K1+650</w:t>
                  </w:r>
                </w:p>
              </w:tc>
              <w:tc>
                <w:tcPr>
                  <w:tcW w:w="1461" w:type="dxa"/>
                  <w:noWrap w:val="0"/>
                  <w:vAlign w:val="center"/>
                </w:tcPr>
                <w:p w14:paraId="13CB2E9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改造拦河坝4</w:t>
                  </w:r>
                </w:p>
              </w:tc>
              <w:tc>
                <w:tcPr>
                  <w:tcW w:w="1447" w:type="dxa"/>
                  <w:noWrap w:val="0"/>
                  <w:vAlign w:val="center"/>
                </w:tcPr>
                <w:p w14:paraId="0C669A1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86.4</w:t>
                  </w:r>
                </w:p>
              </w:tc>
              <w:tc>
                <w:tcPr>
                  <w:tcW w:w="1136" w:type="dxa"/>
                  <w:noWrap w:val="0"/>
                  <w:vAlign w:val="center"/>
                </w:tcPr>
                <w:p w14:paraId="490F624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2409" w:type="dxa"/>
                  <w:noWrap w:val="0"/>
                  <w:vAlign w:val="center"/>
                </w:tcPr>
                <w:p w14:paraId="5E280F5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改造，新增放空闸门2座</w:t>
                  </w:r>
                </w:p>
              </w:tc>
            </w:tr>
            <w:tr w14:paraId="1F5B4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noWrap w:val="0"/>
                  <w:vAlign w:val="center"/>
                </w:tcPr>
                <w:p w14:paraId="0B9D597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018" w:type="dxa"/>
                  <w:noWrap w:val="0"/>
                  <w:vAlign w:val="center"/>
                </w:tcPr>
                <w:p w14:paraId="5F7C6F0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K2+270</w:t>
                  </w:r>
                </w:p>
              </w:tc>
              <w:tc>
                <w:tcPr>
                  <w:tcW w:w="1461" w:type="dxa"/>
                  <w:noWrap w:val="0"/>
                  <w:vAlign w:val="center"/>
                </w:tcPr>
                <w:p w14:paraId="1C1E986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新建拦河坝1</w:t>
                  </w:r>
                </w:p>
              </w:tc>
              <w:tc>
                <w:tcPr>
                  <w:tcW w:w="1447" w:type="dxa"/>
                  <w:noWrap w:val="0"/>
                  <w:vAlign w:val="center"/>
                </w:tcPr>
                <w:p w14:paraId="3104B51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82.0</w:t>
                  </w:r>
                </w:p>
              </w:tc>
              <w:tc>
                <w:tcPr>
                  <w:tcW w:w="1136" w:type="dxa"/>
                  <w:noWrap w:val="0"/>
                  <w:vAlign w:val="center"/>
                </w:tcPr>
                <w:p w14:paraId="2D26D33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2409" w:type="dxa"/>
                  <w:noWrap w:val="0"/>
                  <w:vAlign w:val="center"/>
                </w:tcPr>
                <w:p w14:paraId="2B2B941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r w14:paraId="14095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noWrap w:val="0"/>
                  <w:vAlign w:val="center"/>
                </w:tcPr>
                <w:p w14:paraId="6AD5CB4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018" w:type="dxa"/>
                  <w:noWrap w:val="0"/>
                  <w:vAlign w:val="center"/>
                </w:tcPr>
                <w:p w14:paraId="2011572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K2+575</w:t>
                  </w:r>
                </w:p>
              </w:tc>
              <w:tc>
                <w:tcPr>
                  <w:tcW w:w="1461" w:type="dxa"/>
                  <w:noWrap w:val="0"/>
                  <w:vAlign w:val="center"/>
                </w:tcPr>
                <w:p w14:paraId="69B1BDE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改造拦河坝6</w:t>
                  </w:r>
                </w:p>
              </w:tc>
              <w:tc>
                <w:tcPr>
                  <w:tcW w:w="1447" w:type="dxa"/>
                  <w:noWrap w:val="0"/>
                  <w:vAlign w:val="center"/>
                </w:tcPr>
                <w:p w14:paraId="5200756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79.8</w:t>
                  </w:r>
                </w:p>
              </w:tc>
              <w:tc>
                <w:tcPr>
                  <w:tcW w:w="1136" w:type="dxa"/>
                  <w:noWrap w:val="0"/>
                  <w:vAlign w:val="center"/>
                </w:tcPr>
                <w:p w14:paraId="33F0F57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w:t>
                  </w:r>
                </w:p>
              </w:tc>
              <w:tc>
                <w:tcPr>
                  <w:tcW w:w="2409" w:type="dxa"/>
                  <w:noWrap w:val="0"/>
                  <w:vAlign w:val="center"/>
                </w:tcPr>
                <w:p w14:paraId="38EF6BE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改造，改造坝体和消力池</w:t>
                  </w:r>
                </w:p>
              </w:tc>
            </w:tr>
            <w:tr w14:paraId="45053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noWrap w:val="0"/>
                  <w:vAlign w:val="center"/>
                </w:tcPr>
                <w:p w14:paraId="2B504E3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018" w:type="dxa"/>
                  <w:noWrap w:val="0"/>
                  <w:vAlign w:val="center"/>
                </w:tcPr>
                <w:p w14:paraId="28B2F4F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K2+940</w:t>
                  </w:r>
                </w:p>
              </w:tc>
              <w:tc>
                <w:tcPr>
                  <w:tcW w:w="1461" w:type="dxa"/>
                  <w:noWrap w:val="0"/>
                  <w:vAlign w:val="center"/>
                </w:tcPr>
                <w:p w14:paraId="5881064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新建拦河坝2</w:t>
                  </w:r>
                </w:p>
              </w:tc>
              <w:tc>
                <w:tcPr>
                  <w:tcW w:w="1447" w:type="dxa"/>
                  <w:noWrap w:val="0"/>
                  <w:vAlign w:val="center"/>
                </w:tcPr>
                <w:p w14:paraId="52F50E2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76.1</w:t>
                  </w:r>
                </w:p>
              </w:tc>
              <w:tc>
                <w:tcPr>
                  <w:tcW w:w="1136" w:type="dxa"/>
                  <w:noWrap w:val="0"/>
                  <w:vAlign w:val="center"/>
                </w:tcPr>
                <w:p w14:paraId="3529874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2409" w:type="dxa"/>
                  <w:noWrap w:val="0"/>
                  <w:vAlign w:val="center"/>
                </w:tcPr>
                <w:p w14:paraId="499EB1C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w:t>
                  </w:r>
                </w:p>
              </w:tc>
            </w:tr>
          </w:tbl>
          <w:p w14:paraId="57160D7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（1）工程总体布置</w:t>
            </w:r>
          </w:p>
          <w:p w14:paraId="11ABA66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新建拦河坝1位于桩号K2+270处，从上游到下游分别为进口段，控制段，消力池段和海漫段。</w:t>
            </w:r>
          </w:p>
          <w:p w14:paraId="11F9FC8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进口段为钢筋混凝土八字墙，长6.0m，净宽29.0m，底板高程81.0m。</w:t>
            </w:r>
          </w:p>
          <w:p w14:paraId="21838E7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控制段顺水流方向长10.5m，净宽29.0m，底板高程82.00~81.00m，底板厚1.1~1.5m，坝顶高程82.00m。</w:t>
            </w:r>
          </w:p>
          <w:p w14:paraId="2BE9621C">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3.5.5.6管理设施</w:t>
            </w:r>
          </w:p>
          <w:p w14:paraId="644179E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本次改造巡查道路位于幽芳河右岸，桩号范围K1+800~K3+600右岸，在现状水泥路面基础上加铺沥青面层，改造为沥青路，净宽4.0m。</w:t>
            </w:r>
          </w:p>
          <w:p w14:paraId="0D8E625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道路结构方案：</w:t>
            </w:r>
          </w:p>
          <w:p w14:paraId="05222F9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3cm细粒式沥青砼(AC-13)</w:t>
            </w:r>
          </w:p>
          <w:p w14:paraId="08960AC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5cm中粒式沥青混凝土（AC-20）沥青封层</w:t>
            </w:r>
          </w:p>
          <w:p w14:paraId="2F3743C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现状水泥路面面层道路结构详见下图：</w:t>
            </w:r>
          </w:p>
          <w:p w14:paraId="7B2C6777">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drawing>
                <wp:inline distT="0" distB="0" distL="0" distR="0">
                  <wp:extent cx="3850640" cy="1795145"/>
                  <wp:effectExtent l="0" t="0" r="16510" b="14604"/>
                  <wp:docPr id="1" name="image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51.jpeg"/>
                          <pic:cNvPicPr>
                            <a:picLocks noChangeAspect="1"/>
                          </pic:cNvPicPr>
                        </pic:nvPicPr>
                        <pic:blipFill>
                          <a:blip r:embed="rId18"/>
                          <a:stretch>
                            <a:fillRect/>
                          </a:stretch>
                        </pic:blipFill>
                        <pic:spPr>
                          <a:xfrm>
                            <a:off x="0" y="0"/>
                            <a:ext cx="3850539" cy="1795272"/>
                          </a:xfrm>
                          <a:prstGeom prst="rect">
                            <a:avLst/>
                          </a:prstGeom>
                        </pic:spPr>
                      </pic:pic>
                    </a:graphicData>
                  </a:graphic>
                </wp:inline>
              </w:drawing>
            </w:r>
          </w:p>
          <w:p w14:paraId="628D8830">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2-9  巡查道路结构图</w:t>
            </w:r>
          </w:p>
          <w:p w14:paraId="79E1249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3.6排水管网新建工程方案</w:t>
            </w:r>
          </w:p>
          <w:p w14:paraId="22E000E6">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3.6.1柳林河、幽芳河排水管网新建工程方案</w:t>
            </w:r>
          </w:p>
          <w:p w14:paraId="34197096">
            <w:pPr>
              <w:pStyle w:val="16"/>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本次设计沿柳林河、幽芳河河道两岸布置污水主管，沿河居民住宅通过敷设支管接入主管，主管接入现状市政管道至污水厂。</w:t>
            </w:r>
          </w:p>
          <w:p w14:paraId="11CA10FB">
            <w:pPr>
              <w:pStyle w:val="16"/>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3.6.1.1柳林河管网新建工程设计</w:t>
            </w:r>
          </w:p>
          <w:p w14:paraId="6B7DF14F">
            <w:pPr>
              <w:pStyle w:val="16"/>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根据现场条件，沿柳林河西侧布置De315主管，接沿河居民住宅污水，由南向北接入现状市政管道至污水厂，管道总平面布置如下：</w:t>
            </w:r>
          </w:p>
          <w:p w14:paraId="79DDBBC4">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4871085" cy="3775710"/>
                  <wp:effectExtent l="0" t="0" r="5715" b="1524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a:picLocks noChangeAspect="1"/>
                          </pic:cNvPicPr>
                        </pic:nvPicPr>
                        <pic:blipFill>
                          <a:blip r:embed="rId19"/>
                          <a:stretch>
                            <a:fillRect/>
                          </a:stretch>
                        </pic:blipFill>
                        <pic:spPr>
                          <a:xfrm>
                            <a:off x="0" y="0"/>
                            <a:ext cx="4871085" cy="3775710"/>
                          </a:xfrm>
                          <a:prstGeom prst="rect">
                            <a:avLst/>
                          </a:prstGeom>
                        </pic:spPr>
                      </pic:pic>
                    </a:graphicData>
                  </a:graphic>
                </wp:inline>
              </w:drawing>
            </w:r>
          </w:p>
          <w:p w14:paraId="568615B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 2-10</w:t>
            </w:r>
            <w:r>
              <w:rPr>
                <w:rFonts w:hint="eastAsia"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柳林河管网总平面布置图</w:t>
            </w:r>
          </w:p>
          <w:p w14:paraId="2DD368CB">
            <w:pPr>
              <w:pStyle w:val="209"/>
              <w:keepNext w:val="0"/>
              <w:keepLines w:val="0"/>
              <w:pageBreakBefore w:val="0"/>
              <w:numPr>
                <w:ilvl w:val="0"/>
                <w:numId w:val="0"/>
              </w:numPr>
              <w:suppressLineNumbers w:val="0"/>
              <w:tabs>
                <w:tab w:val="left" w:pos="1320"/>
              </w:tabs>
              <w:spacing w:before="0" w:beforeAutospacing="0" w:after="0" w:afterAutospacing="0" w:line="360" w:lineRule="auto"/>
              <w:ind w:right="0"/>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3.6.1.2幽芳河管网新建工程设计</w:t>
            </w:r>
          </w:p>
          <w:p w14:paraId="60241A64">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根据现场条件，沿幽芳河西侧布置De315主管，接沿河居民住宅污水，由南向北接入现状市政管道至污水厂，管道总平面布置如下：</w:t>
            </w:r>
          </w:p>
          <w:p w14:paraId="7CB5F23E">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4012565" cy="3223260"/>
                  <wp:effectExtent l="0" t="0" r="6985" b="15240"/>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a:picLocks noChangeAspect="1"/>
                          </pic:cNvPicPr>
                        </pic:nvPicPr>
                        <pic:blipFill>
                          <a:blip r:embed="rId20"/>
                          <a:stretch>
                            <a:fillRect/>
                          </a:stretch>
                        </pic:blipFill>
                        <pic:spPr>
                          <a:xfrm>
                            <a:off x="0" y="0"/>
                            <a:ext cx="4012565" cy="3223260"/>
                          </a:xfrm>
                          <a:prstGeom prst="rect">
                            <a:avLst/>
                          </a:prstGeom>
                        </pic:spPr>
                      </pic:pic>
                    </a:graphicData>
                  </a:graphic>
                </wp:inline>
              </w:drawing>
            </w:r>
          </w:p>
          <w:p w14:paraId="4337026E">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 2-11  幽芳河管网总平面布置图</w:t>
            </w:r>
          </w:p>
          <w:p w14:paraId="7F38C613">
            <w:pPr>
              <w:keepNext w:val="0"/>
              <w:keepLines w:val="0"/>
              <w:pageBreakBefore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根据现场条件，幽芳河上游段因地形起伏及河道隔断，本段采用一体化设施集中处理及资源化利用分散处理方式，收集东土路、三斑路两岸居民生活污水。一体化设施集中</w:t>
            </w:r>
            <w:r>
              <w:rPr>
                <w:rFonts w:hint="default" w:ascii="Times New Roman" w:hAnsi="Times New Roman" w:eastAsia="宋体" w:cs="Times New Roman"/>
                <w:color w:val="000000" w:themeColor="text1"/>
                <w:lang w:val="en-US" w:eastAsia="zh-CN"/>
                <w14:textFill>
                  <w14:solidFill>
                    <w14:schemeClr w14:val="tx1"/>
                  </w14:solidFill>
                </w14:textFill>
              </w:rPr>
              <w:t>处理后废水排至人工湿地。</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资源化利用方式结合周边情况，可排入农灌沟进行农用回灌，或者进行林地漫灌，避免直接排入地表水，减少对地表水的污染。</w:t>
            </w:r>
          </w:p>
          <w:p w14:paraId="118604C1">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4533265" cy="2338070"/>
                  <wp:effectExtent l="0" t="0" r="635" b="508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jpeg"/>
                          <pic:cNvPicPr>
                            <a:picLocks noChangeAspect="1"/>
                          </pic:cNvPicPr>
                        </pic:nvPicPr>
                        <pic:blipFill>
                          <a:blip r:embed="rId21"/>
                          <a:stretch>
                            <a:fillRect/>
                          </a:stretch>
                        </pic:blipFill>
                        <pic:spPr>
                          <a:xfrm>
                            <a:off x="0" y="0"/>
                            <a:ext cx="4533265" cy="2338070"/>
                          </a:xfrm>
                          <a:prstGeom prst="rect">
                            <a:avLst/>
                          </a:prstGeom>
                        </pic:spPr>
                      </pic:pic>
                    </a:graphicData>
                  </a:graphic>
                </wp:inline>
              </w:drawing>
            </w:r>
          </w:p>
          <w:p w14:paraId="724869E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图2-12  东土路周边污水管网布置</w:t>
            </w:r>
          </w:p>
          <w:p w14:paraId="4858657A">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5064760" cy="2999740"/>
                  <wp:effectExtent l="0" t="0" r="2540" b="10160"/>
                  <wp:docPr id="1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a:picLocks noChangeAspect="1"/>
                          </pic:cNvPicPr>
                        </pic:nvPicPr>
                        <pic:blipFill>
                          <a:blip r:embed="rId22"/>
                          <a:stretch>
                            <a:fillRect/>
                          </a:stretch>
                        </pic:blipFill>
                        <pic:spPr>
                          <a:xfrm>
                            <a:off x="0" y="0"/>
                            <a:ext cx="5064760" cy="2999740"/>
                          </a:xfrm>
                          <a:prstGeom prst="rect">
                            <a:avLst/>
                          </a:prstGeom>
                        </pic:spPr>
                      </pic:pic>
                    </a:graphicData>
                  </a:graphic>
                </wp:inline>
              </w:drawing>
            </w:r>
          </w:p>
          <w:p w14:paraId="2509F528">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图2-13  幽芳河管网平面布置分图</w:t>
            </w:r>
          </w:p>
          <w:p w14:paraId="2C80A817">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污水管道由南向北沿三斑路、穿过迎宾大道，接入现状市政管道至污水厂，管道总平面布置如下，管道布置结合污水提升泵站的位置及地势等情况进行分布。</w:t>
            </w:r>
          </w:p>
          <w:p w14:paraId="6E800806">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2839085" cy="3789680"/>
                  <wp:effectExtent l="0" t="0" r="18415" b="127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pic:cNvPicPr>
                            <a:picLocks noChangeAspect="1"/>
                          </pic:cNvPicPr>
                        </pic:nvPicPr>
                        <pic:blipFill>
                          <a:blip r:embed="rId23"/>
                          <a:stretch>
                            <a:fillRect/>
                          </a:stretch>
                        </pic:blipFill>
                        <pic:spPr>
                          <a:xfrm>
                            <a:off x="0" y="0"/>
                            <a:ext cx="2839085" cy="3789680"/>
                          </a:xfrm>
                          <a:prstGeom prst="rect">
                            <a:avLst/>
                          </a:prstGeom>
                        </pic:spPr>
                      </pic:pic>
                    </a:graphicData>
                  </a:graphic>
                </wp:inline>
              </w:drawing>
            </w:r>
          </w:p>
          <w:p w14:paraId="5BC1F05F">
            <w:pPr>
              <w:keepNext w:val="0"/>
              <w:keepLines w:val="0"/>
              <w:pageBreakBefore w:val="0"/>
              <w:suppressLineNumbers w:val="0"/>
              <w:tabs>
                <w:tab w:val="left" w:pos="4121"/>
              </w:tabs>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szCs w:val="1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18"/>
                <w:highlight w:val="none"/>
                <w:lang w:val="en-US" w:eastAsia="zh-CN" w:bidi="ar-SA"/>
                <w14:textFill>
                  <w14:solidFill>
                    <w14:schemeClr w14:val="tx1"/>
                  </w14:solidFill>
                </w14:textFill>
              </w:rPr>
              <w:t>图2-14  幽芳河管网平面布置分图</w:t>
            </w:r>
          </w:p>
          <w:p w14:paraId="1017D8A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3.6.1.3污水加压泵站设计</w:t>
            </w:r>
          </w:p>
          <w:p w14:paraId="31350D1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管线布置，污水管道需从幽芳河东岸至西岸，本次考虑通过架管的方式过河。污水通过提升泵站提高扬程，满足架管的扬程要求，同时也能减少后续管道的埋设深度，节省投资。污水加压泵站位于迎宾大道南侧与幽芳河交界处。</w:t>
            </w:r>
          </w:p>
          <w:p w14:paraId="648F4AD6">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3.6.1.3.1泵站设计</w:t>
            </w:r>
          </w:p>
          <w:p w14:paraId="3D1F5F3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（1）相关参数</w:t>
            </w:r>
          </w:p>
          <w:p w14:paraId="662FACF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一体化加压泵站的构筑物有泵房、阀门井、配电柜及围墙等，尺寸如下，本次采用潜流泵，Q=1.5m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/h，H=15m，P=1.1kw，1用1备。</w:t>
            </w:r>
          </w:p>
          <w:p w14:paraId="48D2F1D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一体化泵站：直径1.2m，深3.5m，一座阀门井：直径1.2m，1座</w:t>
            </w:r>
          </w:p>
          <w:p w14:paraId="018E1CC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围墙：H=2.0m，10m</w:t>
            </w:r>
          </w:p>
          <w:p w14:paraId="1BE46BA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（2）污水泵出水管管材选用及防腐</w:t>
            </w:r>
          </w:p>
          <w:p w14:paraId="7C88454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污水泵出水管明装部分采用焊接钢管，焊接连接或法兰连接，内壁涂煤沥青、外壁涂防锈漆及银粉防腐。</w:t>
            </w:r>
          </w:p>
          <w:p w14:paraId="6D333B5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（3）污水泵及阀门检修</w:t>
            </w:r>
          </w:p>
          <w:p w14:paraId="742476E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污水泵要求设有自耦装置，在加压泵站设有检修间、备件库及单轨电动葫芦，检修时可直接起吊污水泵到检修间检修；电动阀及其他阀门可就地检修。</w:t>
            </w:r>
          </w:p>
          <w:p w14:paraId="34ADC6FC">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3.6.1.4污水处理设施设计</w:t>
            </w:r>
          </w:p>
          <w:p w14:paraId="50A84DA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设计范围内的村庄，污水规模较小，且部分村户较为分散。故本次设计除纳管的部分村庄外，较为集中的村庄采用集中污水处理，集中污水处理设施选用净化槽工艺，对于村庄较为分散的采用资源化利用工艺，出水达到安徽省地方标准《农村生活污水处理设施水污染物排放标准》(DB34/3527-2019)一级标准B标准。</w:t>
            </w:r>
          </w:p>
          <w:p w14:paraId="55302679">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3.6.1.4.1</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污水收集模式</w:t>
            </w:r>
          </w:p>
          <w:p w14:paraId="3D72CD4A">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根据居民区不同的地理位置、居民集中程度、地形地貌状况，居民区生活污水的收集模式可分为纳管模式、集中收集模式和分散收集模式三种。</w:t>
            </w:r>
          </w:p>
          <w:p w14:paraId="40B9B1E4">
            <w:pPr>
              <w:pStyle w:val="209"/>
              <w:keepNext w:val="0"/>
              <w:keepLines w:val="0"/>
              <w:pageBreakBefore w:val="0"/>
              <w:numPr>
                <w:ilvl w:val="0"/>
                <w:numId w:val="0"/>
              </w:numPr>
              <w:suppressLineNumbers w:val="0"/>
              <w:tabs>
                <w:tab w:val="left" w:pos="1080"/>
              </w:tabs>
              <w:spacing w:before="0" w:beforeAutospacing="0" w:after="0" w:afterAutospacing="0" w:line="360" w:lineRule="auto"/>
              <w:ind w:right="0"/>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（1）纳管收集模式</w:t>
            </w:r>
          </w:p>
          <w:p w14:paraId="64509066">
            <w:pPr>
              <w:pStyle w:val="16"/>
              <w:keepNext w:val="0"/>
              <w:keepLines w:val="0"/>
              <w:pageBreakBefore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纳管模式是指居民区生活污水通过管网收集输送到城镇污水处理厂统一处理的治理方式。这种方式主要适用于聚集程度高、紧邻城镇（2km范围内）、地形条件有利于生活污水依靠重力流入市政污水管网的居民区。</w:t>
            </w:r>
          </w:p>
          <w:p w14:paraId="3A6C936C">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drawing>
                <wp:inline distT="0" distB="0" distL="0" distR="0">
                  <wp:extent cx="4989830" cy="2625090"/>
                  <wp:effectExtent l="0" t="0" r="1270" b="3810"/>
                  <wp:docPr id="1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a:picLocks noChangeAspect="1"/>
                          </pic:cNvPicPr>
                        </pic:nvPicPr>
                        <pic:blipFill>
                          <a:blip r:embed="rId24"/>
                          <a:stretch>
                            <a:fillRect/>
                          </a:stretch>
                        </pic:blipFill>
                        <pic:spPr>
                          <a:xfrm>
                            <a:off x="0" y="0"/>
                            <a:ext cx="4989772" cy="2625090"/>
                          </a:xfrm>
                          <a:prstGeom prst="rect">
                            <a:avLst/>
                          </a:prstGeom>
                        </pic:spPr>
                      </pic:pic>
                    </a:graphicData>
                  </a:graphic>
                </wp:inline>
              </w:drawing>
            </w:r>
          </w:p>
          <w:p w14:paraId="6A456391">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br w:type="column"/>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图2-15  纳管模式示意图</w:t>
            </w:r>
          </w:p>
          <w:p w14:paraId="03A90655">
            <w:pPr>
              <w:pStyle w:val="209"/>
              <w:keepNext w:val="0"/>
              <w:keepLines w:val="0"/>
              <w:pageBreakBefore w:val="0"/>
              <w:numPr>
                <w:ilvl w:val="0"/>
                <w:numId w:val="0"/>
              </w:numPr>
              <w:suppressLineNumbers w:val="0"/>
              <w:tabs>
                <w:tab w:val="left" w:pos="1080"/>
              </w:tabs>
              <w:spacing w:before="0" w:beforeAutospacing="0" w:after="0" w:afterAutospacing="0" w:line="360" w:lineRule="auto"/>
              <w:ind w:right="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（2）集中收集处理</w:t>
            </w:r>
          </w:p>
          <w:p w14:paraId="6826B116">
            <w:pPr>
              <w:pStyle w:val="16"/>
              <w:keepNext w:val="0"/>
              <w:keepLines w:val="0"/>
              <w:pageBreakBefore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集中收集模式是针对生活污水无法纳入城镇污水处理厂的居民区，将单个或多个居民的生活污水进行统一收集，再排至村级污水独立处理设施进行处理的污水收集模式。这种方式主要适用于居民较为集中，在15户以上的，地形条件有利于生活污水依靠重力统一流入污水处理设施的居民区。</w:t>
            </w:r>
          </w:p>
          <w:p w14:paraId="7668DED5">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drawing>
                <wp:inline distT="0" distB="0" distL="0" distR="0">
                  <wp:extent cx="4705350" cy="2686685"/>
                  <wp:effectExtent l="0" t="0" r="0" b="18415"/>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jpeg"/>
                          <pic:cNvPicPr>
                            <a:picLocks noChangeAspect="1"/>
                          </pic:cNvPicPr>
                        </pic:nvPicPr>
                        <pic:blipFill>
                          <a:blip r:embed="rId25"/>
                          <a:stretch>
                            <a:fillRect/>
                          </a:stretch>
                        </pic:blipFill>
                        <pic:spPr>
                          <a:xfrm>
                            <a:off x="0" y="0"/>
                            <a:ext cx="4705350" cy="2686685"/>
                          </a:xfrm>
                          <a:prstGeom prst="rect">
                            <a:avLst/>
                          </a:prstGeom>
                        </pic:spPr>
                      </pic:pic>
                    </a:graphicData>
                  </a:graphic>
                </wp:inline>
              </w:drawing>
            </w:r>
          </w:p>
          <w:p w14:paraId="70CBA616">
            <w:pPr>
              <w:keepNext w:val="0"/>
              <w:keepLines w:val="0"/>
              <w:pageBreakBefore w:val="0"/>
              <w:suppressLineNumbers w:val="0"/>
              <w:tabs>
                <w:tab w:val="left" w:pos="3979"/>
              </w:tabs>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图2-16  按片区集中收集处理模式示意图</w:t>
            </w:r>
          </w:p>
          <w:p w14:paraId="3BC63331">
            <w:pPr>
              <w:pStyle w:val="209"/>
              <w:keepNext w:val="0"/>
              <w:keepLines w:val="0"/>
              <w:pageBreakBefore w:val="0"/>
              <w:numPr>
                <w:ilvl w:val="0"/>
                <w:numId w:val="0"/>
              </w:numPr>
              <w:suppressLineNumbers w:val="0"/>
              <w:tabs>
                <w:tab w:val="left" w:pos="1080"/>
              </w:tabs>
              <w:spacing w:before="0" w:beforeAutospacing="0" w:after="0" w:afterAutospacing="0" w:line="360" w:lineRule="auto"/>
              <w:ind w:right="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（3）资源化利用模式</w:t>
            </w:r>
          </w:p>
          <w:p w14:paraId="5F7016E7">
            <w:pPr>
              <w:pStyle w:val="16"/>
              <w:keepNext w:val="0"/>
              <w:keepLines w:val="0"/>
              <w:pageBreakBefore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资源化利用模式指对单户或多户居民住户产生的生活污水就近处理，一般日处理能力小于2m</w:t>
            </w:r>
            <w:r>
              <w:rPr>
                <w:rFonts w:hint="default" w:ascii="Times New Roman" w:hAnsi="Times New Roman" w:eastAsia="宋体" w:cs="Times New Roman"/>
                <w:b w:val="0"/>
                <w:bCs w:val="0"/>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这种方式主要适用于无法集中铺设管网或集中收集处理的居民区，住户较为分散、小于15户的，地形条件限制等因素难以统一收集、统一处理的乡镇地区特别是居住较为分散的山区、丘陵地带。收集污水经过处理后进行资源化利用，结合周边情况，可排入农灌沟进行农用回灌，或者进行林地漫灌，避免直接排入地表水，减少对地表水的污染。</w:t>
            </w:r>
          </w:p>
          <w:p w14:paraId="4971A765">
            <w:pPr>
              <w:pStyle w:val="16"/>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drawing>
                <wp:inline distT="0" distB="0" distL="0" distR="0">
                  <wp:extent cx="4967605" cy="1927225"/>
                  <wp:effectExtent l="0" t="0" r="4445" b="15875"/>
                  <wp:docPr id="2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a:picLocks noChangeAspect="1"/>
                          </pic:cNvPicPr>
                        </pic:nvPicPr>
                        <pic:blipFill>
                          <a:blip r:embed="rId26"/>
                          <a:stretch>
                            <a:fillRect/>
                          </a:stretch>
                        </pic:blipFill>
                        <pic:spPr>
                          <a:xfrm>
                            <a:off x="0" y="0"/>
                            <a:ext cx="4967605" cy="1927225"/>
                          </a:xfrm>
                          <a:prstGeom prst="rect">
                            <a:avLst/>
                          </a:prstGeom>
                        </pic:spPr>
                      </pic:pic>
                    </a:graphicData>
                  </a:graphic>
                </wp:inline>
              </w:drawing>
            </w:r>
          </w:p>
          <w:p w14:paraId="41814CD5">
            <w:pPr>
              <w:keepNext w:val="0"/>
              <w:keepLines w:val="0"/>
              <w:pageBreakBefore w:val="0"/>
              <w:suppressLineNumbers w:val="0"/>
              <w:tabs>
                <w:tab w:val="left" w:pos="3979"/>
              </w:tabs>
              <w:spacing w:before="0" w:beforeAutospacing="0" w:after="0" w:afterAutospacing="0" w:line="360" w:lineRule="auto"/>
              <w:ind w:left="0" w:right="0" w:firstLine="0"/>
              <w:jc w:val="cente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br w:type="column"/>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图2-17  资源化利用模式示意图</w:t>
            </w:r>
          </w:p>
          <w:p w14:paraId="27A0A6E6">
            <w:pPr>
              <w:pStyle w:val="209"/>
              <w:keepNext w:val="0"/>
              <w:keepLines w:val="0"/>
              <w:pageBreakBefore w:val="0"/>
              <w:numPr>
                <w:ilvl w:val="0"/>
                <w:numId w:val="0"/>
              </w:numPr>
              <w:suppressLineNumbers w:val="0"/>
              <w:tabs>
                <w:tab w:val="left" w:pos="1080"/>
              </w:tabs>
              <w:spacing w:before="0" w:beforeAutospacing="0" w:after="0" w:afterAutospacing="0" w:line="360" w:lineRule="auto"/>
              <w:ind w:right="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（4）适用模式</w:t>
            </w:r>
          </w:p>
          <w:p w14:paraId="2DE6B4E9">
            <w:pPr>
              <w:pStyle w:val="16"/>
              <w:keepNext w:val="0"/>
              <w:keepLines w:val="0"/>
              <w:pageBreakBefore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不同的污水收集处理模式，适用的条件不同。根据现场实际情况，选择合适的治理模式，节约建设及运行成本，提高处理效率。本次根据霍山县的实际情况，本次采用纳管模式和资源化利用模式。</w:t>
            </w:r>
          </w:p>
          <w:p w14:paraId="626D363D">
            <w:pPr>
              <w:keepNext w:val="0"/>
              <w:keepLines w:val="0"/>
              <w:pageBreakBefore w:val="0"/>
              <w:suppressLineNumbers w:val="0"/>
              <w:tabs>
                <w:tab w:val="left" w:pos="1226"/>
              </w:tabs>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表2-19  生活污水收集模式适用表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9"/>
              <w:gridCol w:w="6372"/>
            </w:tblGrid>
            <w:tr w14:paraId="4784A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99" w:type="dxa"/>
                  <w:noWrap w:val="0"/>
                  <w:vAlign w:val="center"/>
                </w:tcPr>
                <w:p w14:paraId="3071F76D">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收集模式</w:t>
                  </w:r>
                </w:p>
              </w:tc>
              <w:tc>
                <w:tcPr>
                  <w:tcW w:w="6372" w:type="dxa"/>
                  <w:noWrap w:val="0"/>
                  <w:vAlign w:val="center"/>
                </w:tcPr>
                <w:p w14:paraId="3974CDB7">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适用条件</w:t>
                  </w:r>
                </w:p>
              </w:tc>
            </w:tr>
            <w:tr w14:paraId="42265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99" w:type="dxa"/>
                  <w:noWrap w:val="0"/>
                  <w:vAlign w:val="center"/>
                </w:tcPr>
                <w:p w14:paraId="5D7C9781">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纳管模式</w:t>
                  </w:r>
                </w:p>
              </w:tc>
              <w:tc>
                <w:tcPr>
                  <w:tcW w:w="6372" w:type="dxa"/>
                  <w:noWrap w:val="0"/>
                  <w:vAlign w:val="center"/>
                </w:tcPr>
                <w:p w14:paraId="00581A82">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距离城镇2km范围内，聚集程度高，人口集中，地形、施工条件有利于生活污水依靠重力流输送至城镇污水处理厂（站）的农村地区</w:t>
                  </w:r>
                </w:p>
              </w:tc>
            </w:tr>
            <w:tr w14:paraId="1CD60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99" w:type="dxa"/>
                  <w:noWrap w:val="0"/>
                  <w:vAlign w:val="center"/>
                </w:tcPr>
                <w:p w14:paraId="33EDB508">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集中收集模式</w:t>
                  </w:r>
                </w:p>
              </w:tc>
              <w:tc>
                <w:tcPr>
                  <w:tcW w:w="6372" w:type="dxa"/>
                  <w:noWrap w:val="0"/>
                  <w:vAlign w:val="center"/>
                </w:tcPr>
                <w:p w14:paraId="7FCC079B">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单个村庄收集或相邻村庄距离小于2km，村户较为集中，在15户以上的，可以建设管网统一收集、统一处理的农村地区，可分为单村集中和连片集中两种类型。</w:t>
                  </w:r>
                </w:p>
              </w:tc>
            </w:tr>
            <w:tr w14:paraId="41A7E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99" w:type="dxa"/>
                  <w:noWrap w:val="0"/>
                  <w:vAlign w:val="center"/>
                </w:tcPr>
                <w:p w14:paraId="54DDDD8F">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资源化利用模式</w:t>
                  </w:r>
                </w:p>
              </w:tc>
              <w:tc>
                <w:tcPr>
                  <w:tcW w:w="6372" w:type="dxa"/>
                  <w:noWrap w:val="0"/>
                  <w:vAlign w:val="center"/>
                </w:tcPr>
                <w:p w14:paraId="302B73C7">
                  <w:pPr>
                    <w:pStyle w:val="202"/>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住户分散、小于15户的，地形条件限制等因素难以统一收集、统一处理的农村地区</w:t>
                  </w:r>
                </w:p>
              </w:tc>
            </w:tr>
          </w:tbl>
          <w:p w14:paraId="31BC00C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3.6.1.5处理设施方案</w:t>
            </w:r>
          </w:p>
          <w:p w14:paraId="63AA7A3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根据地形，本次柳林河沿岸居民生活污水接管处理，污水接至污水厂进行处理；幽芳河沿岸居民根据实际情况，采用接管、净化槽及资源化利用相结合的方案，接管接至市政管网</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p>
          <w:p w14:paraId="711D5EDA">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p>
          <w:p w14:paraId="634D5BF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3.6.1.6污水处理设计</w:t>
            </w:r>
          </w:p>
          <w:p w14:paraId="276D74A1">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3.6.1.6.1工艺方案及流程</w:t>
            </w:r>
          </w:p>
          <w:p w14:paraId="40C937B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本次柳林河沿岸居民生活污水接管处理，幽芳河沿岸居民根据实际情况，采用接管、净化槽及资源化利用相结合的方案。净化槽、资源化处理的工艺流程如下所示：</w:t>
            </w:r>
          </w:p>
          <w:p w14:paraId="40449C8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drawing>
                <wp:inline distT="0" distB="0" distL="0" distR="0">
                  <wp:extent cx="3420745" cy="507365"/>
                  <wp:effectExtent l="0" t="0" r="8255" b="6985"/>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jpeg"/>
                          <pic:cNvPicPr>
                            <a:picLocks noChangeAspect="1"/>
                          </pic:cNvPicPr>
                        </pic:nvPicPr>
                        <pic:blipFill>
                          <a:blip r:embed="rId27"/>
                          <a:stretch>
                            <a:fillRect/>
                          </a:stretch>
                        </pic:blipFill>
                        <pic:spPr>
                          <a:xfrm>
                            <a:off x="0" y="0"/>
                            <a:ext cx="3420768" cy="507587"/>
                          </a:xfrm>
                          <a:prstGeom prst="rect">
                            <a:avLst/>
                          </a:prstGeom>
                        </pic:spPr>
                      </pic:pic>
                    </a:graphicData>
                  </a:graphic>
                </wp:inline>
              </w:drawing>
            </w:r>
          </w:p>
          <w:p w14:paraId="4868DC3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drawing>
                <wp:inline distT="0" distB="0" distL="0" distR="0">
                  <wp:extent cx="2940050" cy="179705"/>
                  <wp:effectExtent l="0" t="0" r="12700" b="10795"/>
                  <wp:docPr id="2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a:picLocks noChangeAspect="1"/>
                          </pic:cNvPicPr>
                        </pic:nvPicPr>
                        <pic:blipFill>
                          <a:blip r:embed="rId28"/>
                          <a:stretch>
                            <a:fillRect/>
                          </a:stretch>
                        </pic:blipFill>
                        <pic:spPr>
                          <a:xfrm>
                            <a:off x="0" y="0"/>
                            <a:ext cx="2940638" cy="179831"/>
                          </a:xfrm>
                          <a:prstGeom prst="rect">
                            <a:avLst/>
                          </a:prstGeom>
                        </pic:spPr>
                      </pic:pic>
                    </a:graphicData>
                  </a:graphic>
                </wp:inline>
              </w:drawing>
            </w:r>
          </w:p>
          <w:p w14:paraId="5103C46E">
            <w:pPr>
              <w:keepNext w:val="0"/>
              <w:keepLines w:val="0"/>
              <w:pageBreakBefore w:val="0"/>
              <w:suppressLineNumbers w:val="0"/>
              <w:tabs>
                <w:tab w:val="left" w:pos="3979"/>
              </w:tabs>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br w:type="column"/>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图2-18污水处理工艺流程图</w:t>
            </w:r>
          </w:p>
          <w:p w14:paraId="705CB082">
            <w:pPr>
              <w:keepNext w:val="0"/>
              <w:keepLines w:val="0"/>
              <w:pageBreakBefore w:val="0"/>
              <w:suppressLineNumbers w:val="0"/>
              <w:tabs>
                <w:tab w:val="left" w:pos="3979"/>
              </w:tabs>
              <w:spacing w:before="0" w:beforeAutospacing="0" w:after="0" w:afterAutospacing="0" w:line="360" w:lineRule="auto"/>
              <w:ind w:left="0" w:right="0" w:firstLine="480"/>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净化槽</w:t>
            </w:r>
          </w:p>
          <w:p w14:paraId="6AF8A142">
            <w:pPr>
              <w:keepNext w:val="0"/>
              <w:keepLines w:val="0"/>
              <w:pageBreakBefore w:val="0"/>
              <w:suppressLineNumbers w:val="0"/>
              <w:tabs>
                <w:tab w:val="left" w:pos="3979"/>
              </w:tabs>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净化槽适用于1户至30户民用住宅粪便、生活污水等处理，是一种小型的人工强化生物接触氧化槽，但是户均投资较高，运行维护费用也很高。净化槽里存在各种类型的微生物（细菌和原生动物），利用这些微生物对污染物质进行分解，达到处理污水的目的。小型净化槽采用玻璃钢增强塑料（FRP）材质，在工厂批量生产，现场安装。户型净化槽工艺可以废除居民区化粪池的使用，直接将原接入化粪池的排污管及厨房、浴室等内的排水管接至户用净化槽。</w:t>
            </w:r>
          </w:p>
          <w:p w14:paraId="3A5F4E88">
            <w:pPr>
              <w:pStyle w:val="16"/>
              <w:keepNext w:val="0"/>
              <w:keepLines w:val="0"/>
              <w:suppressLineNumbers w:val="0"/>
              <w:spacing w:beforeAutospacing="0" w:afterAutospacing="0"/>
              <w:ind w:left="0" w:firstLine="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4985385" cy="2247900"/>
                  <wp:effectExtent l="0" t="0" r="5715"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png"/>
                          <pic:cNvPicPr>
                            <a:picLocks noChangeAspect="1"/>
                          </pic:cNvPicPr>
                        </pic:nvPicPr>
                        <pic:blipFill>
                          <a:blip r:embed="rId29"/>
                          <a:stretch>
                            <a:fillRect/>
                          </a:stretch>
                        </pic:blipFill>
                        <pic:spPr>
                          <a:xfrm>
                            <a:off x="0" y="0"/>
                            <a:ext cx="4985385" cy="2247900"/>
                          </a:xfrm>
                          <a:prstGeom prst="rect">
                            <a:avLst/>
                          </a:prstGeom>
                        </pic:spPr>
                      </pic:pic>
                    </a:graphicData>
                  </a:graphic>
                </wp:inline>
              </w:drawing>
            </w:r>
          </w:p>
          <w:p w14:paraId="5C0F2A97">
            <w:pPr>
              <w:keepNext w:val="0"/>
              <w:keepLines w:val="0"/>
              <w:suppressLineNumbers w:val="0"/>
              <w:tabs>
                <w:tab w:val="left" w:pos="1329"/>
              </w:tabs>
              <w:spacing w:before="149" w:beforeAutospacing="0" w:after="0" w:afterAutospacing="0" w:line="360" w:lineRule="auto"/>
              <w:ind w:left="0" w:right="101" w:firstLine="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图</w:t>
            </w:r>
            <w:r>
              <w:rPr>
                <w:rFonts w:hint="eastAsia" w:cs="Times New Roman"/>
                <w:b/>
                <w:color w:val="000000" w:themeColor="text1"/>
                <w:sz w:val="24"/>
                <w:szCs w:val="24"/>
                <w:lang w:val="en-US" w:eastAsia="zh-CN"/>
                <w14:textFill>
                  <w14:solidFill>
                    <w14:schemeClr w14:val="tx1"/>
                  </w14:solidFill>
                </w14:textFill>
              </w:rPr>
              <w:t>2-19</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default" w:ascii="Times New Roman" w:hAnsi="Times New Roman" w:eastAsia="宋体" w:cs="Times New Roman"/>
                <w:b/>
                <w:color w:val="000000" w:themeColor="text1"/>
                <w:sz w:val="24"/>
                <w:szCs w:val="24"/>
                <w14:textFill>
                  <w14:solidFill>
                    <w14:schemeClr w14:val="tx1"/>
                  </w14:solidFill>
                </w14:textFill>
              </w:rPr>
              <w:t>净化槽实物图净化槽内部展示图</w:t>
            </w:r>
          </w:p>
          <w:p w14:paraId="58C9DFEE">
            <w:pPr>
              <w:keepNext w:val="0"/>
              <w:keepLines w:val="0"/>
              <w:suppressLineNumbers w:val="0"/>
              <w:spacing w:before="0" w:beforeAutospacing="0" w:after="0" w:afterAutospacing="0" w:line="360" w:lineRule="auto"/>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资源化利用工艺</w:t>
            </w:r>
          </w:p>
          <w:p w14:paraId="68DEE59D">
            <w:pPr>
              <w:keepNext w:val="0"/>
              <w:keepLines w:val="0"/>
              <w:suppressLineNumbers w:val="0"/>
              <w:spacing w:before="0" w:beforeAutospacing="0" w:after="0" w:afterAutospacing="0" w:line="360" w:lineRule="auto"/>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黑水处理资源化利用主要采用黑水无害化有机肥池，主要通过在黑水无害化有机肥池内投加高效发酵菌剂，无害化处理后制取液态有机肥还田，实现黑水资源化利用。</w:t>
            </w:r>
          </w:p>
          <w:p w14:paraId="7D8DA0E7">
            <w:pPr>
              <w:pStyle w:val="16"/>
              <w:keepNext w:val="0"/>
              <w:keepLines w:val="0"/>
              <w:suppressLineNumbers w:val="0"/>
              <w:spacing w:before="158" w:beforeAutospacing="0" w:afterAutospacing="0" w:line="360" w:lineRule="auto"/>
              <w:ind w:left="0" w:right="289" w:firstLine="0"/>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5078730" cy="1991360"/>
                  <wp:effectExtent l="0" t="0" r="7620" b="8890"/>
                  <wp:docPr id="2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a:picLocks noChangeAspect="1"/>
                          </pic:cNvPicPr>
                        </pic:nvPicPr>
                        <pic:blipFill>
                          <a:blip r:embed="rId30"/>
                          <a:stretch>
                            <a:fillRect/>
                          </a:stretch>
                        </pic:blipFill>
                        <pic:spPr>
                          <a:xfrm>
                            <a:off x="0" y="0"/>
                            <a:ext cx="5078730" cy="1991360"/>
                          </a:xfrm>
                          <a:prstGeom prst="rect">
                            <a:avLst/>
                          </a:prstGeom>
                        </pic:spPr>
                      </pic:pic>
                    </a:graphicData>
                  </a:graphic>
                </wp:inline>
              </w:drawing>
            </w:r>
          </w:p>
          <w:p w14:paraId="04693630">
            <w:pPr>
              <w:keepNext w:val="0"/>
              <w:keepLines w:val="0"/>
              <w:suppressLineNumbers w:val="0"/>
              <w:spacing w:before="0" w:beforeAutospacing="0" w:after="0" w:afterAutospacing="0" w:line="360" w:lineRule="auto"/>
              <w:ind w:left="0" w:right="0"/>
              <w:jc w:val="center"/>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 xml:space="preserve">2-20  </w:t>
            </w:r>
            <w:r>
              <w:rPr>
                <w:rFonts w:hint="default"/>
                <w:b/>
                <w:bCs/>
                <w:color w:val="000000" w:themeColor="text1"/>
                <w:lang w:eastAsia="zh-CN"/>
                <w14:textFill>
                  <w14:solidFill>
                    <w14:schemeClr w14:val="tx1"/>
                  </w14:solidFill>
                </w14:textFill>
              </w:rPr>
              <w:t>资源化利用工艺流程图</w:t>
            </w:r>
          </w:p>
          <w:p w14:paraId="10CE8977">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eastAsia="zh-CN"/>
                <w14:textFill>
                  <w14:solidFill>
                    <w14:schemeClr w14:val="tx1"/>
                  </w14:solidFill>
                </w14:textFill>
              </w:rPr>
              <w:t>黑水无害化处理池</w:t>
            </w:r>
          </w:p>
          <w:p w14:paraId="1C525B52">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第一格：黑水强化分解池。投加高效发酵菌剂（360mL）和球形填料（填充度&gt;50%），其作用是强化分解黑水中有机物；</w:t>
            </w:r>
          </w:p>
          <w:p w14:paraId="799919EA">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二格：无害化处理池。投加球形填料（填充度&gt;80%），进一步分解有机物质，实现粪污中有机物的腐殖化，并灭活病原微生物，实现粪污的无害化，能够将大肠杆菌群落数降低到1万个/升以下，蛔虫卵沙门氏菌的去除率均可达到98%以上，pH值稳定在7-9，达到国家的无害化标准和卫生标准。</w:t>
            </w:r>
          </w:p>
          <w:p w14:paraId="451D909F">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第三格：液态有机肥调蓄池。水质经处理后可达《粪便无害化卫生要求》</w:t>
            </w:r>
          </w:p>
          <w:p w14:paraId="37E3D7E7">
            <w:pPr>
              <w:keepNext w:val="0"/>
              <w:keepLines w:val="0"/>
              <w:suppressLineNumbers w:val="0"/>
              <w:spacing w:before="0" w:beforeAutospacing="0" w:after="0" w:afterAutospacing="0" w:line="360" w:lineRule="auto"/>
              <w:ind w:left="0" w:right="0" w:firstLine="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（GB7959-2012），居民可从该池舀取液态肥适用于蔬菜地或农田。</w:t>
            </w:r>
          </w:p>
          <w:p w14:paraId="77C8D0E1">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灰水处理工艺采用黑、灰水灌溉标准处理池。若在实际施工过程中，部分居民内部难以黑灰分离改造及省考断面时，灰水处理工艺设备前端应增设缺氧罐。</w:t>
            </w:r>
          </w:p>
          <w:p w14:paraId="38AACE4E">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eastAsia="zh-CN"/>
                <w14:textFill>
                  <w14:solidFill>
                    <w14:schemeClr w14:val="tx1"/>
                  </w14:solidFill>
                </w14:textFill>
              </w:rPr>
              <w:t>黑、灰水灌溉标准处理池</w:t>
            </w:r>
          </w:p>
          <w:p w14:paraId="6BD4BD5B">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第一格：黑灰水调节沉淀池。投加高效厌氧菌剂（360mL）和填料球（填充度&gt;90%），强化有机物的降解；</w:t>
            </w:r>
          </w:p>
          <w:p w14:paraId="4F3ECA2B">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第二格：除臭过滤池。投加除臭滤料，通过滤料与附着微生物处理，有效去除臭味物质，并降解部分有机物；</w:t>
            </w:r>
          </w:p>
          <w:p w14:paraId="48D1609F">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第三格：除氨氮过滤池。添加除氨氮滤料，可有效富集去除污水中氨氮，氨氮去除率在85%-95%之间；</w:t>
            </w:r>
          </w:p>
          <w:p w14:paraId="42940F54">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第四格：除磷过滤池。添加除磷滤料，可有效降低污水中的总磷含量，总磷去除率在85%-95%之间。</w:t>
            </w:r>
          </w:p>
          <w:p w14:paraId="04572AB6">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经过处理后水质可达到《农田灌溉水质标准》（GB5084-2021）和《农村生活污水处理设施水污染物排放标准》（DB32/3462-2020），可用于灌溉或用于土壤渗透。</w:t>
            </w:r>
          </w:p>
          <w:p w14:paraId="6F4F5F07">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lang w:eastAsia="zh-CN"/>
                <w14:textFill>
                  <w14:solidFill>
                    <w14:schemeClr w14:val="tx1"/>
                  </w14:solidFill>
                </w14:textFill>
              </w:rPr>
              <w:t>隔油池</w:t>
            </w:r>
          </w:p>
          <w:p w14:paraId="4812FF08">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color w:val="000000" w:themeColor="text1"/>
                <w:lang w:eastAsia="zh-CN"/>
                <w14:textFill>
                  <w14:solidFill>
                    <w14:schemeClr w14:val="tx1"/>
                  </w14:solidFill>
                </w14:textFill>
              </w:rPr>
              <w:t>本次设计餐厨污水出水口均安装具有水封功能的隔油池，隔油处理后排入黑、灰水灌溉标准处理池。隔油池选取成品塑料隔油池，村质为PE，规格800×400×400mm。</w:t>
            </w: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5097145" cy="2068830"/>
                  <wp:effectExtent l="0" t="0" r="8255" b="762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jpeg"/>
                          <pic:cNvPicPr>
                            <a:picLocks noChangeAspect="1"/>
                          </pic:cNvPicPr>
                        </pic:nvPicPr>
                        <pic:blipFill>
                          <a:blip r:embed="rId31"/>
                          <a:stretch>
                            <a:fillRect/>
                          </a:stretch>
                        </pic:blipFill>
                        <pic:spPr>
                          <a:xfrm>
                            <a:off x="0" y="0"/>
                            <a:ext cx="5097145" cy="2068830"/>
                          </a:xfrm>
                          <a:prstGeom prst="rect">
                            <a:avLst/>
                          </a:prstGeom>
                        </pic:spPr>
                      </pic:pic>
                    </a:graphicData>
                  </a:graphic>
                </wp:inline>
              </w:drawing>
            </w:r>
          </w:p>
          <w:p w14:paraId="547EE7F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 xml:space="preserve">2-21  </w:t>
            </w:r>
            <w:r>
              <w:rPr>
                <w:rFonts w:hint="default"/>
                <w:b/>
                <w:bCs/>
                <w:color w:val="000000" w:themeColor="text1"/>
                <w:lang w:eastAsia="zh-CN"/>
                <w14:textFill>
                  <w14:solidFill>
                    <w14:schemeClr w14:val="tx1"/>
                  </w14:solidFill>
                </w14:textFill>
              </w:rPr>
              <w:t>资源化利用工艺高程图</w:t>
            </w:r>
          </w:p>
          <w:p w14:paraId="01AFCC0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3.6.1.6.2出水标准</w:t>
            </w:r>
          </w:p>
          <w:p w14:paraId="6C135C3B">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排放标准按安徽省地方标准《农村生活污水处理设施水污染物排放标准》</w:t>
            </w:r>
          </w:p>
          <w:p w14:paraId="532D2FFA">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(DB34/3527-2019)中的一级B标准。</w:t>
            </w:r>
          </w:p>
          <w:p w14:paraId="5C885BC4">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3.6.1.6.3净化槽设计参数和设备配置</w:t>
            </w:r>
          </w:p>
          <w:p w14:paraId="1B9FE2A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（1）构筑物参数</w:t>
            </w:r>
          </w:p>
          <w:p w14:paraId="21F1894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前期现场调研，该地生活用水定额为120L/人。根据《室外给水设计标准（GB50013-2018）》，污水排放系数为80%，污水处理率为85%。本次污水部分进入净化槽进行处理，部分接管进入污水厂处理。根据污水量预测，本次幽芳河两岸根据地形，进入净化槽处理的人口为225人，本次采用两座净化槽，服务人口分别为110人、105人，处理规模为10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/d，本次幽芳河两岸新建2座10m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/d净化槽，其参数如下：</w:t>
            </w:r>
          </w:p>
          <w:p w14:paraId="2970FCD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一体化调节池：1.2m×2.5m</w:t>
            </w:r>
            <w:r>
              <w:rPr>
                <w:rFonts w:hint="eastAsia" w:cs="Times New Roman"/>
                <w:b w:val="0"/>
                <w:bCs w:val="0"/>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净化槽：2.13×1.15×1.3m</w:t>
            </w:r>
          </w:p>
          <w:p w14:paraId="01222BC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提升泵：Q=1.5m</w:t>
            </w:r>
            <w:r>
              <w:rPr>
                <w:rFonts w:hint="default" w:ascii="Times New Roman" w:hAnsi="Times New Roman" w:eastAsia="宋体" w:cs="Times New Roman"/>
                <w:b w:val="0"/>
                <w:bCs w:val="0"/>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/d，N=0.15kw</w:t>
            </w:r>
          </w:p>
          <w:p w14:paraId="77150E1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阀门井：1.25×1.1×0.4m，含流量计。</w:t>
            </w:r>
          </w:p>
          <w:p w14:paraId="397CD42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3.6.1.6.4资源化利用</w:t>
            </w:r>
          </w:p>
          <w:p w14:paraId="09B88E7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幽芳河周边居民分布较散，根据居民住宅分布，部分住宅因地形高差及位置，污水无法接入主管道，本次在屋后建设资源化利用，将污水处理后进行灌溉处理。本次用建设资源化利用20座。</w:t>
            </w:r>
          </w:p>
          <w:p w14:paraId="23EB4B2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（1）工艺流程</w:t>
            </w:r>
          </w:p>
          <w:p w14:paraId="5A3B4AB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黑水处理资源化利用主要采用黑水无害化有机肥池，主要通过在黑水无害化有机肥池内投加高效发酵菌剂，无害化处理后制取液态有机肥还田，实现黑水资源化利用。</w:t>
            </w:r>
          </w:p>
          <w:p w14:paraId="5F19F19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（2）设计参数</w:t>
            </w:r>
          </w:p>
          <w:p w14:paraId="603C69F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1）黑水无害化处理池</w:t>
            </w:r>
          </w:p>
          <w:p w14:paraId="448F1F2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1、规格为1950×1160×1168mm，壁厚不小于7mm；</w:t>
            </w:r>
          </w:p>
          <w:p w14:paraId="75379C8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2、分为3格；各格过水管安装需满足水流方向为上进下出，以便出水不短流；</w:t>
            </w:r>
          </w:p>
          <w:p w14:paraId="3D76E92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3、材质为PE，检查口口径为300×300×400mm；</w:t>
            </w:r>
          </w:p>
          <w:p w14:paraId="3DA0611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4、含一体化加高井筒和井盖。</w:t>
            </w:r>
          </w:p>
          <w:p w14:paraId="05A1861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2）黑、灰水灌溉标准处理池</w:t>
            </w:r>
          </w:p>
          <w:p w14:paraId="702827D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1、规格为2048.5×1128.5×111.5.5mm，壁厚不小于7mm；</w:t>
            </w:r>
          </w:p>
          <w:p w14:paraId="7FD82C4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2、分为4格，第2、3、4格安装有滤料模压一体成型承托层，满足滤料安装条件；各格过水管安装需满足水的流态，水流方向为上进下出，各格进水位置距池底10-20cm；</w:t>
            </w:r>
          </w:p>
          <w:p w14:paraId="1943F6B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3、材质为PE，检查口口径为300×200×300mm；</w:t>
            </w:r>
          </w:p>
          <w:p w14:paraId="2B5B6B9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4、含分体加高井筒、井盖、格栅为模压成型（小格栅2块：87×26mm；大格栅1块：86×58mm）、导流管。</w:t>
            </w:r>
          </w:p>
          <w:p w14:paraId="193CA10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3）隔油池</w:t>
            </w:r>
          </w:p>
          <w:p w14:paraId="343C70A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本次设计餐厨污水出水口均安装具有水封功能的隔油池，隔油处理后排入黑、灰水灌溉标准处理池。隔油池选取成品塑料隔油池，材质为PE，规格800×400×400mm。</w:t>
            </w:r>
          </w:p>
          <w:p w14:paraId="0689EFD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710D6E72">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3.6.1.7工程量</w:t>
            </w:r>
          </w:p>
          <w:p w14:paraId="05D82F5B">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表2-20  排水管道工程量一览表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1580"/>
              <w:gridCol w:w="2384"/>
              <w:gridCol w:w="1292"/>
              <w:gridCol w:w="1942"/>
            </w:tblGrid>
            <w:tr w14:paraId="6B0F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873" w:type="dxa"/>
                  <w:noWrap w:val="0"/>
                  <w:vAlign w:val="center"/>
                </w:tcPr>
                <w:p w14:paraId="1114DF3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580" w:type="dxa"/>
                  <w:noWrap w:val="0"/>
                  <w:vAlign w:val="center"/>
                </w:tcPr>
                <w:p w14:paraId="2BE7B4A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河道</w:t>
                  </w:r>
                </w:p>
              </w:tc>
              <w:tc>
                <w:tcPr>
                  <w:tcW w:w="2384" w:type="dxa"/>
                  <w:noWrap w:val="0"/>
                  <w:vAlign w:val="center"/>
                </w:tcPr>
                <w:p w14:paraId="22D2C54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1292" w:type="dxa"/>
                  <w:noWrap w:val="0"/>
                  <w:vAlign w:val="center"/>
                </w:tcPr>
                <w:p w14:paraId="671F4B4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942" w:type="dxa"/>
                  <w:noWrap w:val="0"/>
                  <w:vAlign w:val="center"/>
                </w:tcPr>
                <w:p w14:paraId="4F567E8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48BEC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restart"/>
                  <w:noWrap w:val="0"/>
                  <w:vAlign w:val="center"/>
                </w:tcPr>
                <w:p w14:paraId="565C91B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25AA840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12CD72B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580" w:type="dxa"/>
                  <w:vMerge w:val="restart"/>
                  <w:noWrap w:val="0"/>
                  <w:vAlign w:val="center"/>
                </w:tcPr>
                <w:p w14:paraId="2F9F8D2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5C7B15D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56F301D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w:t>
                  </w:r>
                </w:p>
              </w:tc>
              <w:tc>
                <w:tcPr>
                  <w:tcW w:w="2384" w:type="dxa"/>
                  <w:noWrap w:val="0"/>
                  <w:vAlign w:val="center"/>
                </w:tcPr>
                <w:p w14:paraId="482C8C6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De315主管</w:t>
                  </w:r>
                </w:p>
              </w:tc>
              <w:tc>
                <w:tcPr>
                  <w:tcW w:w="1292" w:type="dxa"/>
                  <w:noWrap w:val="0"/>
                  <w:vAlign w:val="center"/>
                </w:tcPr>
                <w:p w14:paraId="422B0AE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noWrap w:val="0"/>
                  <w:vAlign w:val="center"/>
                </w:tcPr>
                <w:p w14:paraId="704C3BF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2780</w:t>
                  </w:r>
                </w:p>
              </w:tc>
            </w:tr>
            <w:tr w14:paraId="3E842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586E7AE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33E6DB7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50CFC17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接户管De160</w:t>
                  </w:r>
                </w:p>
              </w:tc>
              <w:tc>
                <w:tcPr>
                  <w:tcW w:w="1292" w:type="dxa"/>
                  <w:noWrap w:val="0"/>
                  <w:vAlign w:val="center"/>
                </w:tcPr>
                <w:p w14:paraId="1A403CF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noWrap w:val="0"/>
                  <w:vAlign w:val="center"/>
                </w:tcPr>
                <w:p w14:paraId="15A36FD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2250</w:t>
                  </w:r>
                </w:p>
              </w:tc>
            </w:tr>
            <w:tr w14:paraId="3FF00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21C46D0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216711D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78B78B5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检查井Φ700</w:t>
                  </w:r>
                </w:p>
              </w:tc>
              <w:tc>
                <w:tcPr>
                  <w:tcW w:w="1292" w:type="dxa"/>
                  <w:noWrap w:val="0"/>
                  <w:vAlign w:val="center"/>
                </w:tcPr>
                <w:p w14:paraId="4AA4998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48DDC75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127</w:t>
                  </w:r>
                </w:p>
              </w:tc>
            </w:tr>
            <w:tr w14:paraId="3D1A8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4C9E7AE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01064B0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4FDA686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接户井Φ450</w:t>
                  </w:r>
                </w:p>
              </w:tc>
              <w:tc>
                <w:tcPr>
                  <w:tcW w:w="1292" w:type="dxa"/>
                  <w:noWrap w:val="0"/>
                  <w:vAlign w:val="center"/>
                </w:tcPr>
                <w:p w14:paraId="5A315CF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6EC2006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w:t>
                  </w:r>
                </w:p>
              </w:tc>
            </w:tr>
            <w:tr w14:paraId="40AC7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restart"/>
                  <w:noWrap w:val="0"/>
                  <w:vAlign w:val="center"/>
                </w:tcPr>
                <w:p w14:paraId="09B0BA4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2C7975C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7D84D56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338641B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4907D70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7C1807C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580" w:type="dxa"/>
                  <w:vMerge w:val="restart"/>
                  <w:noWrap w:val="0"/>
                  <w:vAlign w:val="center"/>
                </w:tcPr>
                <w:p w14:paraId="55074AD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34C1B91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1C80668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1D151CF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4B2F8B9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p>
                <w:p w14:paraId="0CE37A1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w:t>
                  </w:r>
                </w:p>
              </w:tc>
              <w:tc>
                <w:tcPr>
                  <w:tcW w:w="2384" w:type="dxa"/>
                  <w:noWrap w:val="0"/>
                  <w:vAlign w:val="center"/>
                </w:tcPr>
                <w:p w14:paraId="63D3EE7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De315主管</w:t>
                  </w:r>
                </w:p>
              </w:tc>
              <w:tc>
                <w:tcPr>
                  <w:tcW w:w="1292" w:type="dxa"/>
                  <w:noWrap w:val="0"/>
                  <w:vAlign w:val="center"/>
                </w:tcPr>
                <w:p w14:paraId="0CF19AA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noWrap w:val="0"/>
                  <w:vAlign w:val="center"/>
                </w:tcPr>
                <w:p w14:paraId="56B87F1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8003</w:t>
                  </w:r>
                </w:p>
              </w:tc>
            </w:tr>
            <w:tr w14:paraId="4FC02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5DAF634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04A2FE9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30DB50C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De110主管</w:t>
                  </w:r>
                </w:p>
              </w:tc>
              <w:tc>
                <w:tcPr>
                  <w:tcW w:w="1292" w:type="dxa"/>
                  <w:noWrap w:val="0"/>
                  <w:vAlign w:val="center"/>
                </w:tcPr>
                <w:p w14:paraId="21A47D0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noWrap w:val="0"/>
                  <w:vAlign w:val="center"/>
                </w:tcPr>
                <w:p w14:paraId="47A72D6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w:t>
                  </w:r>
                </w:p>
              </w:tc>
            </w:tr>
            <w:tr w14:paraId="1DEBC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3EA7595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3F25FD1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70DDFA6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接户管De160</w:t>
                  </w:r>
                </w:p>
              </w:tc>
              <w:tc>
                <w:tcPr>
                  <w:tcW w:w="1292" w:type="dxa"/>
                  <w:noWrap w:val="0"/>
                  <w:vAlign w:val="center"/>
                </w:tcPr>
                <w:p w14:paraId="5E72D0A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noWrap w:val="0"/>
                  <w:vAlign w:val="center"/>
                </w:tcPr>
                <w:p w14:paraId="1B21BEA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6240</w:t>
                  </w:r>
                </w:p>
              </w:tc>
            </w:tr>
            <w:tr w14:paraId="0B235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330F296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2A65ED7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3F85957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检查井Φ700</w:t>
                  </w:r>
                </w:p>
              </w:tc>
              <w:tc>
                <w:tcPr>
                  <w:tcW w:w="1292" w:type="dxa"/>
                  <w:noWrap w:val="0"/>
                  <w:vAlign w:val="center"/>
                </w:tcPr>
                <w:p w14:paraId="6B72E8D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6483383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270</w:t>
                  </w:r>
                </w:p>
              </w:tc>
            </w:tr>
            <w:tr w14:paraId="7335E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70CA510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2677919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2B404FE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接户井Φ450</w:t>
                  </w:r>
                </w:p>
              </w:tc>
              <w:tc>
                <w:tcPr>
                  <w:tcW w:w="1292" w:type="dxa"/>
                  <w:noWrap w:val="0"/>
                  <w:vAlign w:val="center"/>
                </w:tcPr>
                <w:p w14:paraId="4EBDDF3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68F47EF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832</w:t>
                  </w:r>
                </w:p>
              </w:tc>
            </w:tr>
            <w:tr w14:paraId="30944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5F7F879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63E0E17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56DA4A9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跌水井2.1×1.0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292" w:type="dxa"/>
                  <w:noWrap w:val="0"/>
                  <w:vAlign w:val="center"/>
                </w:tcPr>
                <w:p w14:paraId="27F8CC4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3463CC3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8197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7558199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2FFCDDE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5EC764F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提升泵站</w:t>
                  </w:r>
                </w:p>
              </w:tc>
              <w:tc>
                <w:tcPr>
                  <w:tcW w:w="1292" w:type="dxa"/>
                  <w:noWrap w:val="0"/>
                  <w:vAlign w:val="center"/>
                </w:tcPr>
                <w:p w14:paraId="1E7303B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43741E0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1332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26EDD5C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20DBE64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2F6ACF5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净化槽</w:t>
                  </w:r>
                </w:p>
              </w:tc>
              <w:tc>
                <w:tcPr>
                  <w:tcW w:w="1292" w:type="dxa"/>
                  <w:noWrap w:val="0"/>
                  <w:vAlign w:val="center"/>
                </w:tcPr>
                <w:p w14:paraId="625C04B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1E028E7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992D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noWrap w:val="0"/>
                  <w:vAlign w:val="center"/>
                </w:tcPr>
                <w:p w14:paraId="2332B2B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noWrap w:val="0"/>
                  <w:vAlign w:val="center"/>
                </w:tcPr>
                <w:p w14:paraId="36E5842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noWrap w:val="0"/>
                  <w:vAlign w:val="center"/>
                </w:tcPr>
                <w:p w14:paraId="0E4D26A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资源化利用</w:t>
                  </w:r>
                </w:p>
              </w:tc>
              <w:tc>
                <w:tcPr>
                  <w:tcW w:w="1292" w:type="dxa"/>
                  <w:noWrap w:val="0"/>
                  <w:vAlign w:val="center"/>
                </w:tcPr>
                <w:p w14:paraId="01B7AB7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noWrap w:val="0"/>
                  <w:vAlign w:val="center"/>
                </w:tcPr>
                <w:p w14:paraId="6A99F30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r>
          </w:tbl>
          <w:p w14:paraId="469ACD4D">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3.6.2南岳花都片排水管网新建工程</w:t>
            </w:r>
          </w:p>
          <w:p w14:paraId="0702E5EA">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3.6.2.1南岳花都片排水管网总体布置</w:t>
            </w:r>
          </w:p>
          <w:p w14:paraId="4BAA8A1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开槽明挖方案。在东支沟设排水暗涵排至淠源渠。排水暗涵布置在惠民路及支路下方，走向自南向北。线路长460m，暗涵全线采用开槽明挖，主管采用d1.8m砼管涵。西支沟处采用d1.2m排水管涵连通至主管。设检查井7个。</w:t>
            </w:r>
          </w:p>
          <w:p w14:paraId="3327DAC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19D798C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113CDC4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05501BF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30C8E99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671DBB9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0B78842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6B9F1CC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6F3200D2">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2987040" cy="4645660"/>
                  <wp:effectExtent l="0" t="0" r="3810" b="2540"/>
                  <wp:docPr id="2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jpeg"/>
                          <pic:cNvPicPr>
                            <a:picLocks noChangeAspect="1"/>
                          </pic:cNvPicPr>
                        </pic:nvPicPr>
                        <pic:blipFill>
                          <a:blip r:embed="rId32"/>
                          <a:stretch>
                            <a:fillRect/>
                          </a:stretch>
                        </pic:blipFill>
                        <pic:spPr>
                          <a:xfrm>
                            <a:off x="0" y="0"/>
                            <a:ext cx="2987040" cy="4645660"/>
                          </a:xfrm>
                          <a:prstGeom prst="rect">
                            <a:avLst/>
                          </a:prstGeom>
                        </pic:spPr>
                      </pic:pic>
                    </a:graphicData>
                  </a:graphic>
                </wp:inline>
              </w:drawing>
            </w:r>
          </w:p>
          <w:p w14:paraId="328114CA">
            <w:pPr>
              <w:keepNext w:val="0"/>
              <w:keepLines w:val="0"/>
              <w:pageBreakBefore w:val="0"/>
              <w:suppressLineNumbers w:val="0"/>
              <w:tabs>
                <w:tab w:val="left" w:pos="3979"/>
              </w:tabs>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w:t>
            </w:r>
            <w:r>
              <w:rPr>
                <w:rFonts w:hint="eastAsia" w:cs="Times New Roman"/>
                <w:b/>
                <w:bCs/>
                <w:color w:val="000000" w:themeColor="text1"/>
                <w:sz w:val="24"/>
                <w:szCs w:val="24"/>
                <w:highlight w:val="none"/>
                <w:lang w:val="en-US" w:eastAsia="zh-CN" w:bidi="ar-SA"/>
                <w14:textFill>
                  <w14:solidFill>
                    <w14:schemeClr w14:val="tx1"/>
                  </w14:solidFill>
                </w14:textFill>
              </w:rPr>
              <w:t xml:space="preserve">22 </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 xml:space="preserve"> 南岳花都片排水管网总体布置图</w:t>
            </w:r>
          </w:p>
          <w:p w14:paraId="54D1DD6C">
            <w:pPr>
              <w:keepNext w:val="0"/>
              <w:keepLines w:val="0"/>
              <w:pageBreakBefore w:val="0"/>
              <w:suppressLineNumbers w:val="0"/>
              <w:tabs>
                <w:tab w:val="left" w:pos="3979"/>
              </w:tabs>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3.6.2.2工艺设计</w:t>
            </w:r>
          </w:p>
          <w:p w14:paraId="0F808F46">
            <w:pPr>
              <w:keepNext w:val="0"/>
              <w:keepLines w:val="0"/>
              <w:pageBreakBefore w:val="0"/>
              <w:suppressLineNumbers w:val="0"/>
              <w:tabs>
                <w:tab w:val="left" w:pos="3979"/>
              </w:tabs>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本次排水管网的设计标准按20年一遇过流流量7.3m</w:t>
            </w:r>
            <w:r>
              <w:rPr>
                <w:rFonts w:hint="default" w:ascii="Times New Roman" w:hAnsi="Times New Roman" w:eastAsia="宋体" w:cs="Times New Roman"/>
                <w:b w:val="0"/>
                <w:bCs w:val="0"/>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/s。管道初步采用d1.8m钢筋混凝土管，根据现场条件，按东支沟至西支沟连通段及西支沟排水段分别分析。</w:t>
            </w:r>
          </w:p>
          <w:p w14:paraId="018C1BC9">
            <w:pPr>
              <w:keepNext w:val="0"/>
              <w:keepLines w:val="0"/>
              <w:pageBreakBefore w:val="0"/>
              <w:suppressLineNumbers w:val="0"/>
              <w:tabs>
                <w:tab w:val="left" w:pos="3979"/>
              </w:tabs>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3.6.2.3排水管道规模</w:t>
            </w:r>
          </w:p>
          <w:p w14:paraId="6BC11B31">
            <w:pPr>
              <w:keepNext w:val="0"/>
              <w:keepLines w:val="0"/>
              <w:pageBreakBefore w:val="0"/>
              <w:suppressLineNumbers w:val="0"/>
              <w:tabs>
                <w:tab w:val="left" w:pos="3979"/>
              </w:tabs>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东支沟进口水位80.20m，排水管道进口底高程78.80m，水深2.0m；出口位于淠源渠，渠底高程71.70m，灌溉常水位74.56，20年一遇水位74.84m。排水管道出口底高程取73.00m，灌溉常水位下出流为淹没压力流。20年一遇设计工况下水深1.84m，水深1.84m，管道按淹没压力流设计。</w:t>
            </w:r>
          </w:p>
          <w:p w14:paraId="4AD1F0C4">
            <w:pPr>
              <w:keepNext w:val="0"/>
              <w:keepLines w:val="0"/>
              <w:pageBreakBefore w:val="0"/>
              <w:suppressLineNumbers w:val="0"/>
              <w:tabs>
                <w:tab w:val="left" w:pos="3979"/>
              </w:tabs>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3.6.2.4排水管道纵坡</w:t>
            </w:r>
          </w:p>
          <w:p w14:paraId="66AEB684">
            <w:pPr>
              <w:keepNext w:val="0"/>
              <w:keepLines w:val="0"/>
              <w:pageBreakBefore w:val="0"/>
              <w:suppressLineNumbers w:val="0"/>
              <w:tabs>
                <w:tab w:val="left" w:pos="3979"/>
              </w:tabs>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东支沟至西支沟段排水管道长94m，采用d1.8m钢筋混凝土管，管道过流面进口底高程78.80m，出口设三通井（兼做检查井），出口底高程77.00m。管道纵坡36‰。</w:t>
            </w:r>
          </w:p>
          <w:p w14:paraId="5A775028">
            <w:pPr>
              <w:keepNext w:val="0"/>
              <w:keepLines w:val="0"/>
              <w:pageBreakBefore w:val="0"/>
              <w:suppressLineNumbers w:val="0"/>
              <w:tabs>
                <w:tab w:val="left" w:pos="3979"/>
              </w:tabs>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西支沟至淠源渠段排水管道长366m，采用d1.8m钢筋混凝土管，管道过流面进口底高程77.00m，出口底高程73.00m。管道平均纵坡12.5‰。</w:t>
            </w:r>
          </w:p>
          <w:p w14:paraId="2BDF0F36">
            <w:pPr>
              <w:keepNext w:val="0"/>
              <w:keepLines w:val="0"/>
              <w:pageBreakBefore w:val="0"/>
              <w:suppressLineNumbers w:val="0"/>
              <w:tabs>
                <w:tab w:val="left" w:pos="3979"/>
              </w:tabs>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3.6.3衡山工业园片排水管网新建工程</w:t>
            </w:r>
          </w:p>
          <w:p w14:paraId="5F98D3E6">
            <w:pPr>
              <w:keepNext w:val="0"/>
              <w:keepLines w:val="0"/>
              <w:pageBreakBefore w:val="0"/>
              <w:suppressLineNumbers w:val="0"/>
              <w:tabs>
                <w:tab w:val="left" w:pos="3979"/>
              </w:tabs>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3.6.3.1园区现状</w:t>
            </w:r>
          </w:p>
          <w:p w14:paraId="26E4727C">
            <w:pPr>
              <w:keepNext w:val="0"/>
              <w:keepLines w:val="0"/>
              <w:pageBreakBefore w:val="0"/>
              <w:suppressLineNumbers w:val="0"/>
              <w:tabs>
                <w:tab w:val="left" w:pos="3979"/>
              </w:tabs>
              <w:spacing w:before="0" w:beforeAutospacing="0" w:after="0" w:afterAutospacing="0" w:line="360" w:lineRule="auto"/>
              <w:ind w:left="0" w:right="0" w:firstLine="480"/>
              <w:jc w:val="left"/>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目前，潜台寺排涝站排涝面积为3.28km</w:t>
            </w:r>
            <w:r>
              <w:rPr>
                <w:rFonts w:hint="default" w:ascii="Times New Roman" w:hAnsi="Times New Roman" w:eastAsia="宋体" w:cs="Times New Roman"/>
                <w:b w:val="0"/>
                <w:bCs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，泵站设计流量为11.1m</w:t>
            </w:r>
            <w:r>
              <w:rPr>
                <w:rFonts w:hint="default" w:ascii="Times New Roman" w:hAnsi="Times New Roman" w:eastAsia="宋体" w:cs="Times New Roman"/>
                <w:b w:val="0"/>
                <w:bCs w:val="0"/>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/s，雨水服务面积如</w:t>
            </w:r>
            <w:r>
              <w:rPr>
                <w:rFonts w:hint="eastAsia" w:cs="Times New Roman"/>
                <w:b w:val="0"/>
                <w:bCs w:val="0"/>
                <w:color w:val="000000" w:themeColor="text1"/>
                <w:sz w:val="24"/>
                <w:szCs w:val="24"/>
                <w:highlight w:val="none"/>
                <w:lang w:val="en-US" w:eastAsia="zh-CN" w:bidi="ar-SA"/>
                <w14:textFill>
                  <w14:solidFill>
                    <w14:schemeClr w14:val="tx1"/>
                  </w14:solidFill>
                </w14:textFill>
              </w:rPr>
              <w:t>下</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图所示，本次雨水设计的服务范围按排涝面积考虑。本次污水设计服务范围为：北至迎宾大道，南至西路，东至裕民路，西至潜台路</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w:t>
            </w:r>
          </w:p>
          <w:p w14:paraId="58D839B1">
            <w:pPr>
              <w:keepNext w:val="0"/>
              <w:keepLines w:val="0"/>
              <w:pageBreakBefore w:val="0"/>
              <w:suppressLineNumbers w:val="0"/>
              <w:tabs>
                <w:tab w:val="left" w:pos="3979"/>
              </w:tabs>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224655" cy="2329815"/>
                  <wp:effectExtent l="0" t="0" r="4445" b="13335"/>
                  <wp:docPr id="2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3.jpeg"/>
                          <pic:cNvPicPr>
                            <a:picLocks noChangeAspect="1"/>
                          </pic:cNvPicPr>
                        </pic:nvPicPr>
                        <pic:blipFill>
                          <a:blip r:embed="rId33"/>
                          <a:stretch>
                            <a:fillRect/>
                          </a:stretch>
                        </pic:blipFill>
                        <pic:spPr>
                          <a:xfrm>
                            <a:off x="0" y="0"/>
                            <a:ext cx="4224655" cy="2329815"/>
                          </a:xfrm>
                          <a:prstGeom prst="rect">
                            <a:avLst/>
                          </a:prstGeom>
                        </pic:spPr>
                      </pic:pic>
                    </a:graphicData>
                  </a:graphic>
                </wp:inline>
              </w:drawing>
            </w:r>
          </w:p>
          <w:p w14:paraId="59D3323A">
            <w:pPr>
              <w:keepNext w:val="0"/>
              <w:keepLines w:val="0"/>
              <w:pageBreakBefore w:val="0"/>
              <w:suppressLineNumbers w:val="0"/>
              <w:tabs>
                <w:tab w:val="left" w:pos="3979"/>
              </w:tabs>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图2-2</w:t>
            </w:r>
            <w:r>
              <w:rPr>
                <w:rFonts w:hint="eastAsia" w:cs="Times New Roman"/>
                <w:b/>
                <w:bCs/>
                <w:color w:val="000000" w:themeColor="text1"/>
                <w:sz w:val="24"/>
                <w:szCs w:val="24"/>
                <w:highlight w:val="none"/>
                <w:lang w:val="en-US" w:eastAsia="zh-CN" w:bidi="ar-SA"/>
                <w14:textFill>
                  <w14:solidFill>
                    <w14:schemeClr w14:val="tx1"/>
                  </w14:solidFill>
                </w14:textFill>
              </w:rPr>
              <w:t xml:space="preserve">3 </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 xml:space="preserve"> 雨水服务面积图</w:t>
            </w:r>
          </w:p>
          <w:p w14:paraId="23B9AB77">
            <w:pPr>
              <w:keepNext w:val="0"/>
              <w:keepLines w:val="0"/>
              <w:pageBreakBefore w:val="0"/>
              <w:suppressLineNumbers w:val="0"/>
              <w:tabs>
                <w:tab w:val="left" w:pos="3979"/>
              </w:tabs>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0" distR="0">
                  <wp:extent cx="4747895" cy="3287395"/>
                  <wp:effectExtent l="0" t="0" r="14604" b="825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4"/>
                          <a:stretch>
                            <a:fillRect/>
                          </a:stretch>
                        </pic:blipFill>
                        <pic:spPr>
                          <a:xfrm>
                            <a:off x="1744345" y="998855"/>
                            <a:ext cx="4747895" cy="3287395"/>
                          </a:xfrm>
                          <a:prstGeom prst="rect">
                            <a:avLst/>
                          </a:prstGeom>
                          <a:noFill/>
                          <a:ln>
                            <a:noFill/>
                          </a:ln>
                        </pic:spPr>
                      </pic:pic>
                    </a:graphicData>
                  </a:graphic>
                </wp:inline>
              </w:drawing>
            </w:r>
          </w:p>
          <w:p w14:paraId="01273E2D">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 2-2</w:t>
            </w:r>
            <w:r>
              <w:rPr>
                <w:rFonts w:hint="eastAsia"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污水服务面积图</w:t>
            </w:r>
          </w:p>
          <w:p w14:paraId="03C14FFD">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3.6.3.2设计方案</w:t>
            </w:r>
          </w:p>
          <w:p w14:paraId="50554559">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3.6.3.2.1雨水设计方案</w:t>
            </w:r>
          </w:p>
          <w:p w14:paraId="5CFFC9E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本次片区雨水通过雨水管道及箱涵排至潜台寺排涝泵站。</w:t>
            </w:r>
          </w:p>
          <w:p w14:paraId="65B0130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淠河西路（柳林路-康复北路）设计雨水由西向东排入位于康复北路新建管道，设计管径D600-D1200，长度约1300m；</w:t>
            </w:r>
          </w:p>
          <w:p w14:paraId="6272C77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淠河西路（康复北路-潜台路）设计雨水由西向东排入位于潜台路西侧现状雨水沟渠，设计管径D600-D1000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长度约390m；</w:t>
            </w:r>
          </w:p>
          <w:p w14:paraId="2F80D5F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玉带桥中心排沟-淠河西路设计雨水由北向南新建箱涵2000*1500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长度约590m；白马尖路（淠河西路-与儿街）设计雨水由北向南新建箱涵2000*2000，长度约300m；</w:t>
            </w:r>
          </w:p>
          <w:p w14:paraId="6FE2B1B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与儿街（白马尖路-康复北路）设计雨水由西向东新建箱涵2000*2000，长度约500m；</w:t>
            </w:r>
          </w:p>
          <w:p w14:paraId="0F5D070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康复北路（淠河西路-外环路）设计雨水由北向南新建雨水管道D1000-1200</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箱涵3000*2500，接入潜台寺排涝泵站，长度约610m。</w:t>
            </w:r>
          </w:p>
          <w:p w14:paraId="2411428A">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p>
          <w:p w14:paraId="481C31A7">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33950" cy="2516505"/>
                  <wp:effectExtent l="0" t="0" r="0" b="17145"/>
                  <wp:docPr id="2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5.jpeg"/>
                          <pic:cNvPicPr>
                            <a:picLocks noChangeAspect="1"/>
                          </pic:cNvPicPr>
                        </pic:nvPicPr>
                        <pic:blipFill>
                          <a:blip r:embed="rId35"/>
                          <a:stretch>
                            <a:fillRect/>
                          </a:stretch>
                        </pic:blipFill>
                        <pic:spPr>
                          <a:xfrm>
                            <a:off x="0" y="0"/>
                            <a:ext cx="4933950" cy="2516505"/>
                          </a:xfrm>
                          <a:prstGeom prst="rect">
                            <a:avLst/>
                          </a:prstGeom>
                        </pic:spPr>
                      </pic:pic>
                    </a:graphicData>
                  </a:graphic>
                </wp:inline>
              </w:drawing>
            </w:r>
          </w:p>
          <w:p w14:paraId="21E13024">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图2-2</w:t>
            </w:r>
            <w:r>
              <w:rPr>
                <w:rFonts w:hint="eastAsia"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雨水管网布置示意图</w:t>
            </w:r>
          </w:p>
          <w:p w14:paraId="4B94DED3">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3.6.3.2.2污水设计方案</w:t>
            </w:r>
          </w:p>
          <w:p w14:paraId="16E65270">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本工程服务范围地形地貌相对简单，本次设计针对工程服务区特有的地形地貌及现状水系及污水管道布置情况，设计污水管网布置方案，简述如下：</w:t>
            </w:r>
          </w:p>
          <w:p w14:paraId="56CB88E9">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淠河西路（柳林路-潜台路）设计污水由东西向中间排入康复北路设计污水管道，设计管径D500~D800，长度约1650m。</w:t>
            </w:r>
          </w:p>
          <w:p w14:paraId="67D52C70">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与儿街路（柳林路-康复北路）设计污水由西向东排入康复北路设计污水管道，设计管径D500，长度约760m。</w:t>
            </w:r>
          </w:p>
          <w:p w14:paraId="311856E7">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佛通路（淠河西路-白马尖路）设计污水由南向北排入与儿街路设计污水管道，设计管径D500，长度约220m。</w:t>
            </w:r>
          </w:p>
          <w:p w14:paraId="70FE23EC">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白马尖路（外环路-淠河西路）设计污水由南北向中间排入与儿街路设计污水管道，设计管径D500，长度约470m。</w:t>
            </w:r>
          </w:p>
          <w:p w14:paraId="4BAEB4B4">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康复北路（外环路-淠河西路）设计污水由北向南再向东排入现状衡山工业园污水提升泵站，设计管径D800，长度约1020m。</w:t>
            </w:r>
          </w:p>
          <w:p w14:paraId="233FE60B">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5032375" cy="2526665"/>
                  <wp:effectExtent l="0" t="0" r="15875" b="6985"/>
                  <wp:docPr id="30"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jpeg"/>
                          <pic:cNvPicPr>
                            <a:picLocks noChangeAspect="1"/>
                          </pic:cNvPicPr>
                        </pic:nvPicPr>
                        <pic:blipFill>
                          <a:blip r:embed="rId36"/>
                          <a:stretch>
                            <a:fillRect/>
                          </a:stretch>
                        </pic:blipFill>
                        <pic:spPr>
                          <a:xfrm>
                            <a:off x="0" y="0"/>
                            <a:ext cx="5032375" cy="2526665"/>
                          </a:xfrm>
                          <a:prstGeom prst="rect">
                            <a:avLst/>
                          </a:prstGeom>
                        </pic:spPr>
                      </pic:pic>
                    </a:graphicData>
                  </a:graphic>
                </wp:inline>
              </w:drawing>
            </w:r>
          </w:p>
          <w:p w14:paraId="3FE5B9E4">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图2-2</w:t>
            </w:r>
            <w:r>
              <w:rPr>
                <w:rFonts w:hint="eastAsia"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污水管网布置示意图</w:t>
            </w:r>
          </w:p>
          <w:p w14:paraId="6A185A56">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3.6.3.3工程量</w:t>
            </w:r>
          </w:p>
          <w:p w14:paraId="46376A44">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本次衡山工业园片区雨水管网改造工程量一览表如下表所示。</w:t>
            </w:r>
          </w:p>
          <w:p w14:paraId="3599022B">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表2-21  管道工程量一览表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9"/>
              <w:gridCol w:w="910"/>
              <w:gridCol w:w="2750"/>
              <w:gridCol w:w="1677"/>
              <w:gridCol w:w="910"/>
              <w:gridCol w:w="915"/>
            </w:tblGrid>
            <w:tr w14:paraId="031ED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6BBA9D4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910" w:type="dxa"/>
                  <w:noWrap w:val="0"/>
                  <w:vAlign w:val="center"/>
                </w:tcPr>
                <w:p w14:paraId="4EA7087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分类</w:t>
                  </w:r>
                </w:p>
              </w:tc>
              <w:tc>
                <w:tcPr>
                  <w:tcW w:w="2750" w:type="dxa"/>
                  <w:noWrap w:val="0"/>
                  <w:vAlign w:val="center"/>
                </w:tcPr>
                <w:p w14:paraId="05F991F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1677" w:type="dxa"/>
                  <w:noWrap w:val="0"/>
                  <w:vAlign w:val="center"/>
                </w:tcPr>
                <w:p w14:paraId="563416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规格</w:t>
                  </w:r>
                </w:p>
              </w:tc>
              <w:tc>
                <w:tcPr>
                  <w:tcW w:w="910" w:type="dxa"/>
                  <w:noWrap w:val="0"/>
                  <w:vAlign w:val="center"/>
                </w:tcPr>
                <w:p w14:paraId="4F8A08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c>
                <w:tcPr>
                  <w:tcW w:w="915" w:type="dxa"/>
                  <w:noWrap w:val="0"/>
                  <w:vAlign w:val="center"/>
                </w:tcPr>
                <w:p w14:paraId="06B1DEC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r>
            <w:tr w14:paraId="64A03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76EF6D8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10" w:type="dxa"/>
                  <w:vMerge w:val="restart"/>
                  <w:noWrap w:val="0"/>
                  <w:vAlign w:val="center"/>
                </w:tcPr>
                <w:p w14:paraId="5DC63FF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w:t>
                  </w:r>
                </w:p>
              </w:tc>
              <w:tc>
                <w:tcPr>
                  <w:tcW w:w="2750" w:type="dxa"/>
                  <w:noWrap w:val="0"/>
                  <w:vAlign w:val="center"/>
                </w:tcPr>
                <w:p w14:paraId="5F928DB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noWrap w:val="0"/>
                  <w:vAlign w:val="center"/>
                </w:tcPr>
                <w:p w14:paraId="571D49D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DN800</w:t>
                  </w:r>
                </w:p>
              </w:tc>
              <w:tc>
                <w:tcPr>
                  <w:tcW w:w="910" w:type="dxa"/>
                  <w:noWrap w:val="0"/>
                  <w:vAlign w:val="center"/>
                </w:tcPr>
                <w:p w14:paraId="3BE4FC0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2450</w:t>
                  </w:r>
                </w:p>
              </w:tc>
              <w:tc>
                <w:tcPr>
                  <w:tcW w:w="915" w:type="dxa"/>
                  <w:noWrap w:val="0"/>
                  <w:vAlign w:val="center"/>
                </w:tcPr>
                <w:p w14:paraId="77C0A2D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7B09B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5CA334C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910" w:type="dxa"/>
                  <w:vMerge w:val="continue"/>
                  <w:tcBorders>
                    <w:top w:val="nil"/>
                  </w:tcBorders>
                  <w:noWrap w:val="0"/>
                  <w:vAlign w:val="center"/>
                </w:tcPr>
                <w:p w14:paraId="2A57386A">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28E2B75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noWrap w:val="0"/>
                  <w:vAlign w:val="center"/>
                </w:tcPr>
                <w:p w14:paraId="289A994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DN500</w:t>
                  </w:r>
                </w:p>
              </w:tc>
              <w:tc>
                <w:tcPr>
                  <w:tcW w:w="910" w:type="dxa"/>
                  <w:noWrap w:val="0"/>
                  <w:vAlign w:val="center"/>
                </w:tcPr>
                <w:p w14:paraId="28D73BF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1285</w:t>
                  </w:r>
                </w:p>
              </w:tc>
              <w:tc>
                <w:tcPr>
                  <w:tcW w:w="915" w:type="dxa"/>
                  <w:noWrap w:val="0"/>
                  <w:vAlign w:val="center"/>
                </w:tcPr>
                <w:p w14:paraId="7B8D5FF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4CEB7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65BCDC8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910" w:type="dxa"/>
                  <w:vMerge w:val="continue"/>
                  <w:tcBorders>
                    <w:top w:val="nil"/>
                  </w:tcBorders>
                  <w:noWrap w:val="0"/>
                  <w:vAlign w:val="center"/>
                </w:tcPr>
                <w:p w14:paraId="2626CB72">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74D472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noWrap w:val="0"/>
                  <w:vAlign w:val="center"/>
                </w:tcPr>
                <w:p w14:paraId="4E2738E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DN400</w:t>
                  </w:r>
                </w:p>
              </w:tc>
              <w:tc>
                <w:tcPr>
                  <w:tcW w:w="910" w:type="dxa"/>
                  <w:noWrap w:val="0"/>
                  <w:vAlign w:val="center"/>
                </w:tcPr>
                <w:p w14:paraId="7A8688D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450</w:t>
                  </w:r>
                </w:p>
              </w:tc>
              <w:tc>
                <w:tcPr>
                  <w:tcW w:w="915" w:type="dxa"/>
                  <w:noWrap w:val="0"/>
                  <w:vAlign w:val="center"/>
                </w:tcPr>
                <w:p w14:paraId="2DCF5F0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63224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0B73395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910" w:type="dxa"/>
                  <w:vMerge w:val="continue"/>
                  <w:tcBorders>
                    <w:top w:val="nil"/>
                  </w:tcBorders>
                  <w:noWrap w:val="0"/>
                  <w:vAlign w:val="center"/>
                </w:tcPr>
                <w:p w14:paraId="5E6FB1B0">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582D3F0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noWrap w:val="0"/>
                  <w:vAlign w:val="center"/>
                </w:tcPr>
                <w:p w14:paraId="57B8073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∅1250</w:t>
                  </w:r>
                </w:p>
              </w:tc>
              <w:tc>
                <w:tcPr>
                  <w:tcW w:w="910" w:type="dxa"/>
                  <w:noWrap w:val="0"/>
                  <w:vAlign w:val="center"/>
                </w:tcPr>
                <w:p w14:paraId="702C730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w:t>
                  </w:r>
                </w:p>
              </w:tc>
              <w:tc>
                <w:tcPr>
                  <w:tcW w:w="915" w:type="dxa"/>
                  <w:noWrap w:val="0"/>
                  <w:vAlign w:val="center"/>
                </w:tcPr>
                <w:p w14:paraId="4AAB8AF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r>
            <w:tr w14:paraId="35CFB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732D8B8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910" w:type="dxa"/>
                  <w:vMerge w:val="continue"/>
                  <w:tcBorders>
                    <w:top w:val="nil"/>
                  </w:tcBorders>
                  <w:noWrap w:val="0"/>
                  <w:vAlign w:val="center"/>
                </w:tcPr>
                <w:p w14:paraId="4724F723">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6C6F1C6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noWrap w:val="0"/>
                  <w:vAlign w:val="center"/>
                </w:tcPr>
                <w:p w14:paraId="40E1083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w:t>
                  </w:r>
                </w:p>
              </w:tc>
              <w:tc>
                <w:tcPr>
                  <w:tcW w:w="910" w:type="dxa"/>
                  <w:noWrap w:val="0"/>
                  <w:vAlign w:val="center"/>
                </w:tcPr>
                <w:p w14:paraId="12A6C7D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w:t>
                  </w:r>
                </w:p>
              </w:tc>
              <w:tc>
                <w:tcPr>
                  <w:tcW w:w="915" w:type="dxa"/>
                  <w:noWrap w:val="0"/>
                  <w:vAlign w:val="center"/>
                </w:tcPr>
                <w:p w14:paraId="2C836E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r>
            <w:tr w14:paraId="6608E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51322D7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910" w:type="dxa"/>
                  <w:vMerge w:val="restart"/>
                  <w:noWrap w:val="0"/>
                  <w:vAlign w:val="center"/>
                </w:tcPr>
                <w:p w14:paraId="6E2292F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雨水</w:t>
                  </w:r>
                </w:p>
              </w:tc>
              <w:tc>
                <w:tcPr>
                  <w:tcW w:w="2750" w:type="dxa"/>
                  <w:noWrap w:val="0"/>
                  <w:vAlign w:val="center"/>
                </w:tcPr>
                <w:p w14:paraId="223539B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noWrap w:val="0"/>
                  <w:vAlign w:val="center"/>
                </w:tcPr>
                <w:p w14:paraId="2095095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DN600</w:t>
                  </w:r>
                </w:p>
              </w:tc>
              <w:tc>
                <w:tcPr>
                  <w:tcW w:w="910" w:type="dxa"/>
                  <w:noWrap w:val="0"/>
                  <w:vAlign w:val="center"/>
                </w:tcPr>
                <w:p w14:paraId="10FB274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1050</w:t>
                  </w:r>
                </w:p>
              </w:tc>
              <w:tc>
                <w:tcPr>
                  <w:tcW w:w="915" w:type="dxa"/>
                  <w:noWrap w:val="0"/>
                  <w:vAlign w:val="center"/>
                </w:tcPr>
                <w:p w14:paraId="4AE5825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4A524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6712CD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910" w:type="dxa"/>
                  <w:vMerge w:val="continue"/>
                  <w:noWrap w:val="0"/>
                  <w:vAlign w:val="center"/>
                </w:tcPr>
                <w:p w14:paraId="248C2DB2">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4288CEB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noWrap w:val="0"/>
                  <w:vAlign w:val="center"/>
                </w:tcPr>
                <w:p w14:paraId="2FEBB49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DN800</w:t>
                  </w:r>
                </w:p>
              </w:tc>
              <w:tc>
                <w:tcPr>
                  <w:tcW w:w="910" w:type="dxa"/>
                  <w:noWrap w:val="0"/>
                  <w:vAlign w:val="center"/>
                </w:tcPr>
                <w:p w14:paraId="21928DF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630</w:t>
                  </w:r>
                </w:p>
              </w:tc>
              <w:tc>
                <w:tcPr>
                  <w:tcW w:w="915" w:type="dxa"/>
                  <w:noWrap w:val="0"/>
                  <w:vAlign w:val="center"/>
                </w:tcPr>
                <w:p w14:paraId="6904FF0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3012E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682384C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910" w:type="dxa"/>
                  <w:vMerge w:val="continue"/>
                  <w:noWrap w:val="0"/>
                  <w:vAlign w:val="center"/>
                </w:tcPr>
                <w:p w14:paraId="600204EC">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546ABF7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noWrap w:val="0"/>
                  <w:vAlign w:val="center"/>
                </w:tcPr>
                <w:p w14:paraId="18ED997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DN1000</w:t>
                  </w:r>
                </w:p>
              </w:tc>
              <w:tc>
                <w:tcPr>
                  <w:tcW w:w="910" w:type="dxa"/>
                  <w:noWrap w:val="0"/>
                  <w:vAlign w:val="center"/>
                </w:tcPr>
                <w:p w14:paraId="27C04B0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w:t>
                  </w:r>
                </w:p>
              </w:tc>
              <w:tc>
                <w:tcPr>
                  <w:tcW w:w="915" w:type="dxa"/>
                  <w:noWrap w:val="0"/>
                  <w:vAlign w:val="center"/>
                </w:tcPr>
                <w:p w14:paraId="77E48A0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40909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6178327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910" w:type="dxa"/>
                  <w:vMerge w:val="continue"/>
                  <w:noWrap w:val="0"/>
                  <w:vAlign w:val="center"/>
                </w:tcPr>
                <w:p w14:paraId="11FFA773">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70233D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noWrap w:val="0"/>
                  <w:vAlign w:val="center"/>
                </w:tcPr>
                <w:p w14:paraId="506B64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DN1200</w:t>
                  </w:r>
                </w:p>
              </w:tc>
              <w:tc>
                <w:tcPr>
                  <w:tcW w:w="910" w:type="dxa"/>
                  <w:noWrap w:val="0"/>
                  <w:vAlign w:val="center"/>
                </w:tcPr>
                <w:p w14:paraId="61F95A5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w:t>
                  </w:r>
                </w:p>
              </w:tc>
              <w:tc>
                <w:tcPr>
                  <w:tcW w:w="915" w:type="dxa"/>
                  <w:noWrap w:val="0"/>
                  <w:vAlign w:val="center"/>
                </w:tcPr>
                <w:p w14:paraId="4826D8B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5D71F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6EC9A0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910" w:type="dxa"/>
                  <w:vMerge w:val="continue"/>
                  <w:noWrap w:val="0"/>
                  <w:vAlign w:val="center"/>
                </w:tcPr>
                <w:p w14:paraId="738ED71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64D3CC7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HDPE缠绕管</w:t>
                  </w:r>
                </w:p>
              </w:tc>
              <w:tc>
                <w:tcPr>
                  <w:tcW w:w="1677" w:type="dxa"/>
                  <w:noWrap w:val="0"/>
                  <w:vAlign w:val="center"/>
                </w:tcPr>
                <w:p w14:paraId="08E8D9A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DN300</w:t>
                  </w:r>
                </w:p>
              </w:tc>
              <w:tc>
                <w:tcPr>
                  <w:tcW w:w="910" w:type="dxa"/>
                  <w:noWrap w:val="0"/>
                  <w:vAlign w:val="center"/>
                </w:tcPr>
                <w:p w14:paraId="01D2368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2048</w:t>
                  </w:r>
                </w:p>
              </w:tc>
              <w:tc>
                <w:tcPr>
                  <w:tcW w:w="915" w:type="dxa"/>
                  <w:noWrap w:val="0"/>
                  <w:vAlign w:val="center"/>
                </w:tcPr>
                <w:p w14:paraId="2F39B93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52FCB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2CE98D7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910" w:type="dxa"/>
                  <w:vMerge w:val="continue"/>
                  <w:noWrap w:val="0"/>
                  <w:vAlign w:val="center"/>
                </w:tcPr>
                <w:p w14:paraId="6AB4406C">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400B351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noWrap w:val="0"/>
                  <w:vAlign w:val="center"/>
                </w:tcPr>
                <w:p w14:paraId="30021D0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∅1250</w:t>
                  </w:r>
                </w:p>
              </w:tc>
              <w:tc>
                <w:tcPr>
                  <w:tcW w:w="910" w:type="dxa"/>
                  <w:noWrap w:val="0"/>
                  <w:vAlign w:val="center"/>
                </w:tcPr>
                <w:p w14:paraId="5A36786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w:t>
                  </w:r>
                </w:p>
              </w:tc>
              <w:tc>
                <w:tcPr>
                  <w:tcW w:w="915" w:type="dxa"/>
                  <w:noWrap w:val="0"/>
                  <w:vAlign w:val="center"/>
                </w:tcPr>
                <w:p w14:paraId="63D166C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r>
            <w:tr w14:paraId="4C404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31B2D9E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910" w:type="dxa"/>
                  <w:vMerge w:val="continue"/>
                  <w:noWrap w:val="0"/>
                  <w:vAlign w:val="center"/>
                </w:tcPr>
                <w:p w14:paraId="64FFE01F">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479727C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noWrap w:val="0"/>
                  <w:vAlign w:val="center"/>
                </w:tcPr>
                <w:p w14:paraId="30490FF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1300*1100</w:t>
                  </w:r>
                </w:p>
              </w:tc>
              <w:tc>
                <w:tcPr>
                  <w:tcW w:w="910" w:type="dxa"/>
                  <w:noWrap w:val="0"/>
                  <w:vAlign w:val="center"/>
                </w:tcPr>
                <w:p w14:paraId="356869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915" w:type="dxa"/>
                  <w:noWrap w:val="0"/>
                  <w:vAlign w:val="center"/>
                </w:tcPr>
                <w:p w14:paraId="35085C1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r>
            <w:tr w14:paraId="133F3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67AAEC2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910" w:type="dxa"/>
                  <w:vMerge w:val="continue"/>
                  <w:noWrap w:val="0"/>
                  <w:vAlign w:val="center"/>
                </w:tcPr>
                <w:p w14:paraId="23126B05">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648954C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noWrap w:val="0"/>
                  <w:vAlign w:val="center"/>
                </w:tcPr>
                <w:p w14:paraId="523614C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1500*1100</w:t>
                  </w:r>
                </w:p>
              </w:tc>
              <w:tc>
                <w:tcPr>
                  <w:tcW w:w="910" w:type="dxa"/>
                  <w:noWrap w:val="0"/>
                  <w:vAlign w:val="center"/>
                </w:tcPr>
                <w:p w14:paraId="403E39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915" w:type="dxa"/>
                  <w:noWrap w:val="0"/>
                  <w:vAlign w:val="center"/>
                </w:tcPr>
                <w:p w14:paraId="3E30617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r>
            <w:tr w14:paraId="2E658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33C9243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910" w:type="dxa"/>
                  <w:vMerge w:val="continue"/>
                  <w:noWrap w:val="0"/>
                  <w:vAlign w:val="center"/>
                </w:tcPr>
                <w:p w14:paraId="3C77AA61">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1801FEB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雨水篦子</w:t>
                  </w:r>
                </w:p>
              </w:tc>
              <w:tc>
                <w:tcPr>
                  <w:tcW w:w="1677" w:type="dxa"/>
                  <w:noWrap w:val="0"/>
                  <w:vAlign w:val="center"/>
                </w:tcPr>
                <w:p w14:paraId="551A075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2030*960</w:t>
                  </w:r>
                </w:p>
              </w:tc>
              <w:tc>
                <w:tcPr>
                  <w:tcW w:w="910" w:type="dxa"/>
                  <w:noWrap w:val="0"/>
                  <w:vAlign w:val="center"/>
                </w:tcPr>
                <w:p w14:paraId="4D65639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256</w:t>
                  </w:r>
                </w:p>
              </w:tc>
              <w:tc>
                <w:tcPr>
                  <w:tcW w:w="915" w:type="dxa"/>
                  <w:noWrap w:val="0"/>
                  <w:vAlign w:val="center"/>
                </w:tcPr>
                <w:p w14:paraId="3FF6954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r>
            <w:tr w14:paraId="4BD59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5399F72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910" w:type="dxa"/>
                  <w:vMerge w:val="restart"/>
                  <w:noWrap w:val="0"/>
                  <w:vAlign w:val="center"/>
                </w:tcPr>
                <w:p w14:paraId="53DBCD1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箱涵</w:t>
                  </w:r>
                </w:p>
              </w:tc>
              <w:tc>
                <w:tcPr>
                  <w:tcW w:w="2750" w:type="dxa"/>
                  <w:noWrap w:val="0"/>
                  <w:vAlign w:val="center"/>
                </w:tcPr>
                <w:p w14:paraId="2E32317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预制钢筋混凝土</w:t>
                  </w:r>
                </w:p>
              </w:tc>
              <w:tc>
                <w:tcPr>
                  <w:tcW w:w="1677" w:type="dxa"/>
                  <w:noWrap w:val="0"/>
                  <w:vAlign w:val="center"/>
                </w:tcPr>
                <w:p w14:paraId="630D3A0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2000*1500</w:t>
                  </w:r>
                </w:p>
              </w:tc>
              <w:tc>
                <w:tcPr>
                  <w:tcW w:w="910" w:type="dxa"/>
                  <w:noWrap w:val="0"/>
                  <w:vAlign w:val="center"/>
                </w:tcPr>
                <w:p w14:paraId="038C1CC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590</w:t>
                  </w:r>
                </w:p>
              </w:tc>
              <w:tc>
                <w:tcPr>
                  <w:tcW w:w="915" w:type="dxa"/>
                  <w:noWrap w:val="0"/>
                  <w:vAlign w:val="center"/>
                </w:tcPr>
                <w:p w14:paraId="57C0F0B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39CC8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46DD49E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910" w:type="dxa"/>
                  <w:vMerge w:val="continue"/>
                  <w:tcBorders>
                    <w:top w:val="nil"/>
                  </w:tcBorders>
                  <w:noWrap w:val="0"/>
                  <w:vAlign w:val="center"/>
                </w:tcPr>
                <w:p w14:paraId="2CF68A7F">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06F5045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预制钢筋混凝土</w:t>
                  </w:r>
                </w:p>
              </w:tc>
              <w:tc>
                <w:tcPr>
                  <w:tcW w:w="1677" w:type="dxa"/>
                  <w:noWrap w:val="0"/>
                  <w:vAlign w:val="center"/>
                </w:tcPr>
                <w:p w14:paraId="5088F2B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2000*2000</w:t>
                  </w:r>
                </w:p>
              </w:tc>
              <w:tc>
                <w:tcPr>
                  <w:tcW w:w="910" w:type="dxa"/>
                  <w:noWrap w:val="0"/>
                  <w:vAlign w:val="center"/>
                </w:tcPr>
                <w:p w14:paraId="0832F70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830</w:t>
                  </w:r>
                </w:p>
              </w:tc>
              <w:tc>
                <w:tcPr>
                  <w:tcW w:w="915" w:type="dxa"/>
                  <w:noWrap w:val="0"/>
                  <w:vAlign w:val="center"/>
                </w:tcPr>
                <w:p w14:paraId="4E3656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1748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7DE5370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910" w:type="dxa"/>
                  <w:vMerge w:val="continue"/>
                  <w:tcBorders>
                    <w:top w:val="nil"/>
                  </w:tcBorders>
                  <w:noWrap w:val="0"/>
                  <w:vAlign w:val="center"/>
                </w:tcPr>
                <w:p w14:paraId="0D073756">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240AC67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预制钢筋混凝土</w:t>
                  </w:r>
                </w:p>
              </w:tc>
              <w:tc>
                <w:tcPr>
                  <w:tcW w:w="1677" w:type="dxa"/>
                  <w:noWrap w:val="0"/>
                  <w:vAlign w:val="center"/>
                </w:tcPr>
                <w:p w14:paraId="1CF9CAE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2500*3000</w:t>
                  </w:r>
                </w:p>
              </w:tc>
              <w:tc>
                <w:tcPr>
                  <w:tcW w:w="910" w:type="dxa"/>
                  <w:noWrap w:val="0"/>
                  <w:vAlign w:val="center"/>
                </w:tcPr>
                <w:p w14:paraId="08A5A05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820</w:t>
                  </w:r>
                </w:p>
              </w:tc>
              <w:tc>
                <w:tcPr>
                  <w:tcW w:w="915" w:type="dxa"/>
                  <w:noWrap w:val="0"/>
                  <w:vAlign w:val="center"/>
                </w:tcPr>
                <w:p w14:paraId="1DDA229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r w14:paraId="2C258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2D9AF4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910" w:type="dxa"/>
                  <w:vMerge w:val="continue"/>
                  <w:tcBorders>
                    <w:top w:val="nil"/>
                  </w:tcBorders>
                  <w:noWrap w:val="0"/>
                  <w:vAlign w:val="center"/>
                </w:tcPr>
                <w:p w14:paraId="00CDB363">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38F92E7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八字口</w:t>
                  </w:r>
                </w:p>
              </w:tc>
              <w:tc>
                <w:tcPr>
                  <w:tcW w:w="1677" w:type="dxa"/>
                  <w:noWrap w:val="0"/>
                  <w:vAlign w:val="center"/>
                </w:tcPr>
                <w:p w14:paraId="293D79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5000*3000</w:t>
                  </w:r>
                </w:p>
              </w:tc>
              <w:tc>
                <w:tcPr>
                  <w:tcW w:w="910" w:type="dxa"/>
                  <w:noWrap w:val="0"/>
                  <w:vAlign w:val="center"/>
                </w:tcPr>
                <w:p w14:paraId="18BCEB2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915" w:type="dxa"/>
                  <w:noWrap w:val="0"/>
                  <w:vAlign w:val="center"/>
                </w:tcPr>
                <w:p w14:paraId="7DEEC47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r>
            <w:tr w14:paraId="2D980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noWrap w:val="0"/>
                  <w:vAlign w:val="center"/>
                </w:tcPr>
                <w:p w14:paraId="2C7155F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910" w:type="dxa"/>
                  <w:noWrap w:val="0"/>
                  <w:vAlign w:val="center"/>
                </w:tcPr>
                <w:p w14:paraId="7AA4E42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noWrap w:val="0"/>
                  <w:vAlign w:val="center"/>
                </w:tcPr>
                <w:p w14:paraId="0B35762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明渠</w:t>
                  </w:r>
                </w:p>
              </w:tc>
              <w:tc>
                <w:tcPr>
                  <w:tcW w:w="1677" w:type="dxa"/>
                  <w:noWrap w:val="0"/>
                  <w:vAlign w:val="center"/>
                </w:tcPr>
                <w:p w14:paraId="37EA5B5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2500*3000</w:t>
                  </w:r>
                </w:p>
              </w:tc>
              <w:tc>
                <w:tcPr>
                  <w:tcW w:w="910" w:type="dxa"/>
                  <w:noWrap w:val="0"/>
                  <w:vAlign w:val="center"/>
                </w:tcPr>
                <w:p w14:paraId="2B7526B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290</w:t>
                  </w:r>
                </w:p>
              </w:tc>
              <w:tc>
                <w:tcPr>
                  <w:tcW w:w="915" w:type="dxa"/>
                  <w:noWrap w:val="0"/>
                  <w:vAlign w:val="center"/>
                </w:tcPr>
                <w:p w14:paraId="36CCD0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r>
          </w:tbl>
          <w:p w14:paraId="55758211">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bookmarkStart w:id="14" w:name="5.4.2.6.4处理设施方案选择"/>
            <w:bookmarkEnd w:id="14"/>
            <w:bookmarkStart w:id="15" w:name="5.4.2.6.4处理设施方案选择"/>
            <w:bookmarkEnd w:id="15"/>
            <w:bookmarkStart w:id="16" w:name="5.4.4工程量"/>
            <w:bookmarkEnd w:id="16"/>
            <w:bookmarkStart w:id="17" w:name="5.4.4工程量"/>
            <w:bookmarkEnd w:id="17"/>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4、本项目由主要工程量</w:t>
            </w:r>
          </w:p>
          <w:p w14:paraId="685ACD2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bookmarkStart w:id="18" w:name="5.6.1区域排涝能力提升工程主要工程量"/>
            <w:bookmarkEnd w:id="18"/>
            <w:bookmarkStart w:id="19" w:name="5.6.1区域排涝能力提升工程主要工程量"/>
            <w:bookmarkEnd w:id="19"/>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区域排涝能力提升工程主要工程量；</w:t>
            </w:r>
          </w:p>
          <w:p w14:paraId="5082727B">
            <w:pPr>
              <w:keepNext w:val="0"/>
              <w:keepLines w:val="0"/>
              <w:pageBreakBefore w:val="0"/>
              <w:widowControl/>
              <w:suppressLineNumbers w:val="0"/>
              <w:spacing w:before="0" w:beforeAutospacing="0" w:after="0" w:afterAutospacing="0" w:line="240" w:lineRule="auto"/>
              <w:ind w:left="0" w:right="0" w:firstLine="482"/>
              <w:jc w:val="cente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表2-22  西部新城排涝站工程主要工程量表</w:t>
            </w:r>
          </w:p>
          <w:tbl>
            <w:tblPr>
              <w:tblStyle w:val="39"/>
              <w:tblW w:w="80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4205"/>
              <w:gridCol w:w="918"/>
              <w:gridCol w:w="1590"/>
            </w:tblGrid>
            <w:tr w14:paraId="4AFA3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D711DD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4205" w:type="dxa"/>
                  <w:noWrap w:val="0"/>
                  <w:vAlign w:val="center"/>
                </w:tcPr>
                <w:p w14:paraId="088AAFB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工程或费用名称</w:t>
                  </w:r>
                </w:p>
              </w:tc>
              <w:tc>
                <w:tcPr>
                  <w:tcW w:w="918" w:type="dxa"/>
                  <w:noWrap w:val="0"/>
                  <w:vAlign w:val="center"/>
                </w:tcPr>
                <w:p w14:paraId="50CA27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590" w:type="dxa"/>
                  <w:noWrap w:val="0"/>
                  <w:vAlign w:val="center"/>
                </w:tcPr>
                <w:p w14:paraId="404E738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72EB3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4E7860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205" w:type="dxa"/>
                  <w:noWrap w:val="0"/>
                  <w:vAlign w:val="center"/>
                </w:tcPr>
                <w:p w14:paraId="09AF224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 建筑工程</w:t>
                  </w:r>
                </w:p>
              </w:tc>
              <w:tc>
                <w:tcPr>
                  <w:tcW w:w="918" w:type="dxa"/>
                  <w:noWrap w:val="0"/>
                  <w:vAlign w:val="center"/>
                </w:tcPr>
                <w:p w14:paraId="3BB47E0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0B013BB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1297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6048C3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205" w:type="dxa"/>
                  <w:noWrap w:val="0"/>
                  <w:vAlign w:val="center"/>
                </w:tcPr>
                <w:p w14:paraId="1CFD816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区域排涝能力提升工程</w:t>
                  </w:r>
                </w:p>
              </w:tc>
              <w:tc>
                <w:tcPr>
                  <w:tcW w:w="918" w:type="dxa"/>
                  <w:noWrap w:val="0"/>
                  <w:vAlign w:val="center"/>
                </w:tcPr>
                <w:p w14:paraId="1F3752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CC4CE8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7ED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943B20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2769E4D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西部新城排涝能力提升工程</w:t>
                  </w:r>
                </w:p>
              </w:tc>
              <w:tc>
                <w:tcPr>
                  <w:tcW w:w="918" w:type="dxa"/>
                  <w:noWrap w:val="0"/>
                  <w:vAlign w:val="center"/>
                </w:tcPr>
                <w:p w14:paraId="1BDFED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7AF712E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D858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4FD5D7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noWrap w:val="0"/>
                  <w:vAlign w:val="center"/>
                </w:tcPr>
                <w:p w14:paraId="7BCE4AF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排涝沟整治</w:t>
                  </w:r>
                </w:p>
              </w:tc>
              <w:tc>
                <w:tcPr>
                  <w:tcW w:w="918" w:type="dxa"/>
                  <w:noWrap w:val="0"/>
                  <w:vAlign w:val="center"/>
                </w:tcPr>
                <w:p w14:paraId="7A31A76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50902A6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ABA1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2A7C7B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w:t>
                  </w:r>
                </w:p>
              </w:tc>
              <w:tc>
                <w:tcPr>
                  <w:tcW w:w="4205" w:type="dxa"/>
                  <w:noWrap w:val="0"/>
                  <w:vAlign w:val="center"/>
                </w:tcPr>
                <w:p w14:paraId="3A794A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918" w:type="dxa"/>
                  <w:noWrap w:val="0"/>
                  <w:vAlign w:val="center"/>
                </w:tcPr>
                <w:p w14:paraId="3F9752F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5B6F13B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1313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7C1AE7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1.1.1.1</w:t>
                  </w:r>
                </w:p>
              </w:tc>
              <w:tc>
                <w:tcPr>
                  <w:tcW w:w="4205" w:type="dxa"/>
                  <w:noWrap w:val="0"/>
                  <w:vAlign w:val="center"/>
                </w:tcPr>
                <w:p w14:paraId="1FACC5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noWrap w:val="0"/>
                  <w:vAlign w:val="center"/>
                </w:tcPr>
                <w:p w14:paraId="3741336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29B6E14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4288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5A244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1E626CA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noWrap w:val="0"/>
                  <w:vAlign w:val="center"/>
                </w:tcPr>
                <w:p w14:paraId="4A2D7F1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61B9785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39043.31</w:t>
                  </w:r>
                </w:p>
              </w:tc>
            </w:tr>
            <w:tr w14:paraId="1EE18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93E1A4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6106B3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noWrap w:val="0"/>
                  <w:vAlign w:val="center"/>
                </w:tcPr>
                <w:p w14:paraId="6EFAB4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EFDF6A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22035.452</w:t>
                  </w:r>
                </w:p>
              </w:tc>
            </w:tr>
            <w:tr w14:paraId="0B7C0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3DCF36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722A6B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918" w:type="dxa"/>
                  <w:noWrap w:val="0"/>
                  <w:vAlign w:val="center"/>
                </w:tcPr>
                <w:p w14:paraId="26D93F7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983EB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17900.118</w:t>
                  </w:r>
                </w:p>
              </w:tc>
            </w:tr>
            <w:tr w14:paraId="62EA6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678BEC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42EC88C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918" w:type="dxa"/>
                  <w:noWrap w:val="0"/>
                  <w:vAlign w:val="center"/>
                </w:tcPr>
                <w:p w14:paraId="47FB963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E00FD2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17900.118</w:t>
                  </w:r>
                </w:p>
              </w:tc>
            </w:tr>
            <w:tr w14:paraId="39A0D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7C3286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153B01A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noWrap w:val="0"/>
                  <w:vAlign w:val="center"/>
                </w:tcPr>
                <w:p w14:paraId="491E094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23410B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15215.1</w:t>
                  </w:r>
                </w:p>
              </w:tc>
            </w:tr>
            <w:tr w14:paraId="78957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BC81A8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1.1.1.2</w:t>
                  </w:r>
                </w:p>
              </w:tc>
              <w:tc>
                <w:tcPr>
                  <w:tcW w:w="4205" w:type="dxa"/>
                  <w:noWrap w:val="0"/>
                  <w:vAlign w:val="center"/>
                </w:tcPr>
                <w:p w14:paraId="3635D30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noWrap w:val="0"/>
                  <w:vAlign w:val="center"/>
                </w:tcPr>
                <w:p w14:paraId="7A0BC8E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1102B9F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3A6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4FE22D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028C1C1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noWrap w:val="0"/>
                  <w:vAlign w:val="center"/>
                </w:tcPr>
                <w:p w14:paraId="341FA59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6187DC3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1249.21</w:t>
                  </w:r>
                </w:p>
              </w:tc>
            </w:tr>
            <w:tr w14:paraId="62848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D3DB6A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1.1.1.3</w:t>
                  </w:r>
                </w:p>
              </w:tc>
              <w:tc>
                <w:tcPr>
                  <w:tcW w:w="4205" w:type="dxa"/>
                  <w:noWrap w:val="0"/>
                  <w:vAlign w:val="center"/>
                </w:tcPr>
                <w:p w14:paraId="77B869C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noWrap w:val="0"/>
                  <w:vAlign w:val="center"/>
                </w:tcPr>
                <w:p w14:paraId="2E8478B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5DDB1EE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A662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A78DAC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59CC34A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noWrap w:val="0"/>
                  <w:vAlign w:val="center"/>
                </w:tcPr>
                <w:p w14:paraId="0B9AED5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01609F9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9853.47</w:t>
                  </w:r>
                </w:p>
              </w:tc>
            </w:tr>
            <w:tr w14:paraId="20638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B8C62B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005A8C6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918" w:type="dxa"/>
                  <w:noWrap w:val="0"/>
                  <w:vAlign w:val="center"/>
                </w:tcPr>
                <w:p w14:paraId="7F72CBF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1CE22CE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1169.64</w:t>
                  </w:r>
                </w:p>
              </w:tc>
            </w:tr>
            <w:tr w14:paraId="6D390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F95156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4F7B8EA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918" w:type="dxa"/>
                  <w:noWrap w:val="0"/>
                  <w:vAlign w:val="center"/>
                </w:tcPr>
                <w:p w14:paraId="3040C2C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1043B41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1667.95</w:t>
                  </w:r>
                </w:p>
              </w:tc>
            </w:tr>
            <w:tr w14:paraId="3B777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438941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7C19ECB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918" w:type="dxa"/>
                  <w:noWrap w:val="0"/>
                  <w:vAlign w:val="center"/>
                </w:tcPr>
                <w:p w14:paraId="686E63D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563948D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1924.56</w:t>
                  </w:r>
                </w:p>
              </w:tc>
            </w:tr>
            <w:tr w14:paraId="141F1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9E5C3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3BCEF80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noWrap w:val="0"/>
                  <w:vAlign w:val="center"/>
                </w:tcPr>
                <w:p w14:paraId="364F6FD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4FFD2F0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359.25</w:t>
                  </w:r>
                </w:p>
              </w:tc>
            </w:tr>
            <w:tr w14:paraId="6102C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7AD472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noWrap w:val="0"/>
                  <w:vAlign w:val="center"/>
                </w:tcPr>
                <w:p w14:paraId="3F32DD8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noWrap w:val="0"/>
                  <w:vAlign w:val="center"/>
                </w:tcPr>
                <w:p w14:paraId="319F77E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73DC645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13289.83</w:t>
                  </w:r>
                </w:p>
              </w:tc>
            </w:tr>
            <w:tr w14:paraId="5E975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88BB75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noWrap w:val="0"/>
                  <w:vAlign w:val="center"/>
                </w:tcPr>
                <w:p w14:paraId="1AAB353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noWrap w:val="0"/>
                  <w:vAlign w:val="center"/>
                </w:tcPr>
                <w:p w14:paraId="6825EC4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484E7C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4762.15</w:t>
                  </w:r>
                </w:p>
              </w:tc>
            </w:tr>
            <w:tr w14:paraId="418C6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50956D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1.1.1.4</w:t>
                  </w:r>
                </w:p>
              </w:tc>
              <w:tc>
                <w:tcPr>
                  <w:tcW w:w="4205" w:type="dxa"/>
                  <w:noWrap w:val="0"/>
                  <w:vAlign w:val="center"/>
                </w:tcPr>
                <w:p w14:paraId="08C1D4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noWrap w:val="0"/>
                  <w:vAlign w:val="center"/>
                </w:tcPr>
                <w:p w14:paraId="4D2CBE9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B06892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4E60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77714E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0FE6F8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noWrap w:val="0"/>
                  <w:vAlign w:val="center"/>
                </w:tcPr>
                <w:p w14:paraId="66DD26D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66D68B6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22791.99</w:t>
                  </w:r>
                </w:p>
              </w:tc>
            </w:tr>
            <w:tr w14:paraId="23696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F1872E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w:t>
                  </w:r>
                </w:p>
              </w:tc>
              <w:tc>
                <w:tcPr>
                  <w:tcW w:w="4205" w:type="dxa"/>
                  <w:noWrap w:val="0"/>
                  <w:vAlign w:val="center"/>
                </w:tcPr>
                <w:p w14:paraId="313509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918" w:type="dxa"/>
                  <w:noWrap w:val="0"/>
                  <w:vAlign w:val="center"/>
                </w:tcPr>
                <w:p w14:paraId="5F7E8DA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E6914B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C2E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082C9B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1.1.2.1</w:t>
                  </w:r>
                </w:p>
              </w:tc>
              <w:tc>
                <w:tcPr>
                  <w:tcW w:w="4205" w:type="dxa"/>
                  <w:noWrap w:val="0"/>
                  <w:vAlign w:val="center"/>
                </w:tcPr>
                <w:p w14:paraId="4B4497A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noWrap w:val="0"/>
                  <w:vAlign w:val="center"/>
                </w:tcPr>
                <w:p w14:paraId="43E3F70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0A08150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8CF1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7F525C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698240F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noWrap w:val="0"/>
                  <w:vAlign w:val="center"/>
                </w:tcPr>
                <w:p w14:paraId="31C6AC5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7E52106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30852.14</w:t>
                  </w:r>
                </w:p>
              </w:tc>
            </w:tr>
            <w:tr w14:paraId="7FF7F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42A618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02F17D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挖掘机挖土自卸汽车运输(III类土)运距5k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noWrap w:val="0"/>
                  <w:vAlign w:val="center"/>
                </w:tcPr>
                <w:p w14:paraId="1B72F1C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4F952B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5517.704</w:t>
                  </w:r>
                </w:p>
              </w:tc>
            </w:tr>
            <w:tr w14:paraId="28162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2010D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1F417A9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918" w:type="dxa"/>
                  <w:noWrap w:val="0"/>
                  <w:vAlign w:val="center"/>
                </w:tcPr>
                <w:p w14:paraId="38E6A4F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76BE950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22303.976</w:t>
                  </w:r>
                </w:p>
              </w:tc>
            </w:tr>
            <w:tr w14:paraId="61D56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92DD0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0299D5B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918" w:type="dxa"/>
                  <w:noWrap w:val="0"/>
                  <w:vAlign w:val="center"/>
                </w:tcPr>
                <w:p w14:paraId="2506EA2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CD6DB9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22303.976</w:t>
                  </w:r>
                </w:p>
              </w:tc>
            </w:tr>
            <w:tr w14:paraId="3214A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87E627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55E1980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noWrap w:val="0"/>
                  <w:vAlign w:val="center"/>
                </w:tcPr>
                <w:p w14:paraId="581C22E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528781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18958.38</w:t>
                  </w:r>
                </w:p>
              </w:tc>
            </w:tr>
            <w:tr w14:paraId="4FA3C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DF6E9B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1.1.2.2</w:t>
                  </w:r>
                </w:p>
              </w:tc>
              <w:tc>
                <w:tcPr>
                  <w:tcW w:w="4205" w:type="dxa"/>
                  <w:noWrap w:val="0"/>
                  <w:vAlign w:val="center"/>
                </w:tcPr>
                <w:p w14:paraId="6A40351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noWrap w:val="0"/>
                  <w:vAlign w:val="center"/>
                </w:tcPr>
                <w:p w14:paraId="5199182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03D71F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0241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554B4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3BABC19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noWrap w:val="0"/>
                  <w:vAlign w:val="center"/>
                </w:tcPr>
                <w:p w14:paraId="1C0616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658631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780.19</w:t>
                  </w:r>
                </w:p>
              </w:tc>
            </w:tr>
            <w:tr w14:paraId="4B9C7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A4CB33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1.1.2.3</w:t>
                  </w:r>
                </w:p>
              </w:tc>
              <w:tc>
                <w:tcPr>
                  <w:tcW w:w="4205" w:type="dxa"/>
                  <w:noWrap w:val="0"/>
                  <w:vAlign w:val="center"/>
                </w:tcPr>
                <w:p w14:paraId="1244C7A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noWrap w:val="0"/>
                  <w:vAlign w:val="center"/>
                </w:tcPr>
                <w:p w14:paraId="2DAA8F3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1DBB898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287F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E841ED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5B18F7A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918" w:type="dxa"/>
                  <w:noWrap w:val="0"/>
                  <w:vAlign w:val="center"/>
                </w:tcPr>
                <w:p w14:paraId="4A7010B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6FD534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2173.39</w:t>
                  </w:r>
                </w:p>
              </w:tc>
            </w:tr>
            <w:tr w14:paraId="13F9B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1B8348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775E26D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918" w:type="dxa"/>
                  <w:noWrap w:val="0"/>
                  <w:vAlign w:val="center"/>
                </w:tcPr>
                <w:p w14:paraId="4FBFAE1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96DF3D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2507.76</w:t>
                  </w:r>
                </w:p>
              </w:tc>
            </w:tr>
            <w:tr w14:paraId="7DF69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65442A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684CB9A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noWrap w:val="0"/>
                  <w:vAlign w:val="center"/>
                </w:tcPr>
                <w:p w14:paraId="5FB2042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563893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468.12</w:t>
                  </w:r>
                </w:p>
              </w:tc>
            </w:tr>
            <w:tr w14:paraId="5B7DA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4D1DC5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6A857D5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noWrap w:val="0"/>
                  <w:vAlign w:val="center"/>
                </w:tcPr>
                <w:p w14:paraId="457E9AF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7C2FDCF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9696.67</w:t>
                  </w:r>
                </w:p>
              </w:tc>
            </w:tr>
            <w:tr w14:paraId="3E010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982CE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699F0E3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noWrap w:val="0"/>
                  <w:vAlign w:val="center"/>
                </w:tcPr>
                <w:p w14:paraId="4FF2319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5D454E1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4681.15</w:t>
                  </w:r>
                </w:p>
              </w:tc>
            </w:tr>
            <w:tr w14:paraId="57C6A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26E115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1.1.2.4</w:t>
                  </w:r>
                </w:p>
              </w:tc>
              <w:tc>
                <w:tcPr>
                  <w:tcW w:w="4205" w:type="dxa"/>
                  <w:noWrap w:val="0"/>
                  <w:vAlign w:val="center"/>
                </w:tcPr>
                <w:p w14:paraId="6A7FF9B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noWrap w:val="0"/>
                  <w:vAlign w:val="center"/>
                </w:tcPr>
                <w:p w14:paraId="7DA083F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03E104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713C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F2A5EE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31D8150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noWrap w:val="0"/>
                  <w:vAlign w:val="center"/>
                </w:tcPr>
                <w:p w14:paraId="5518B73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0F95D97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16457.35</w:t>
                  </w:r>
                </w:p>
              </w:tc>
            </w:tr>
            <w:tr w14:paraId="2102C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AC7DA3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c>
                <w:tcPr>
                  <w:tcW w:w="4205" w:type="dxa"/>
                  <w:noWrap w:val="0"/>
                  <w:vAlign w:val="center"/>
                </w:tcPr>
                <w:p w14:paraId="5A743CC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918" w:type="dxa"/>
                  <w:noWrap w:val="0"/>
                  <w:vAlign w:val="center"/>
                </w:tcPr>
                <w:p w14:paraId="1709DAD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710CEA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E26D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B55AE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1.1.3.1</w:t>
                  </w:r>
                </w:p>
              </w:tc>
              <w:tc>
                <w:tcPr>
                  <w:tcW w:w="4205" w:type="dxa"/>
                  <w:noWrap w:val="0"/>
                  <w:vAlign w:val="center"/>
                </w:tcPr>
                <w:p w14:paraId="730AEA8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noWrap w:val="0"/>
                  <w:vAlign w:val="center"/>
                </w:tcPr>
                <w:p w14:paraId="05F2D86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0C71E1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EC19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2B11F7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6B0A9D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noWrap w:val="0"/>
                  <w:vAlign w:val="center"/>
                </w:tcPr>
                <w:p w14:paraId="5D15BE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654CBA4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40415.96</w:t>
                  </w:r>
                </w:p>
              </w:tc>
            </w:tr>
            <w:tr w14:paraId="47F8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74F629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5834441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挖掘机挖土自卸汽车运输(III类土) 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noWrap w:val="0"/>
                  <w:vAlign w:val="center"/>
                </w:tcPr>
                <w:p w14:paraId="7E3C56C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7B43B33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32817.958</w:t>
                  </w:r>
                </w:p>
              </w:tc>
            </w:tr>
            <w:tr w14:paraId="190F8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C09F5B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5C37299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918" w:type="dxa"/>
                  <w:noWrap w:val="0"/>
                  <w:vAlign w:val="center"/>
                </w:tcPr>
                <w:p w14:paraId="7296D5C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65D50C8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41979.412</w:t>
                  </w:r>
                </w:p>
              </w:tc>
            </w:tr>
            <w:tr w14:paraId="66820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AF51E7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251FBA6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918" w:type="dxa"/>
                  <w:noWrap w:val="0"/>
                  <w:vAlign w:val="center"/>
                </w:tcPr>
                <w:p w14:paraId="6011486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5B01D0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41979.412</w:t>
                  </w:r>
                </w:p>
              </w:tc>
            </w:tr>
            <w:tr w14:paraId="69B09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40BE62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52320E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noWrap w:val="0"/>
                  <w:vAlign w:val="center"/>
                </w:tcPr>
                <w:p w14:paraId="02576E7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441837D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35682.5</w:t>
                  </w:r>
                </w:p>
              </w:tc>
            </w:tr>
            <w:tr w14:paraId="59722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116F6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1.1.3.2</w:t>
                  </w:r>
                </w:p>
              </w:tc>
              <w:tc>
                <w:tcPr>
                  <w:tcW w:w="4205" w:type="dxa"/>
                  <w:noWrap w:val="0"/>
                  <w:vAlign w:val="center"/>
                </w:tcPr>
                <w:p w14:paraId="6262A89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noWrap w:val="0"/>
                  <w:vAlign w:val="center"/>
                </w:tcPr>
                <w:p w14:paraId="182BC49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FD2601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0D7D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A0BB0F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5B649DB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noWrap w:val="0"/>
                  <w:vAlign w:val="center"/>
                </w:tcPr>
                <w:p w14:paraId="2CF37BF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0A7AE91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1318.41</w:t>
                  </w:r>
                </w:p>
              </w:tc>
            </w:tr>
            <w:tr w14:paraId="72D9E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0AE39F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1.1.3.3</w:t>
                  </w:r>
                </w:p>
              </w:tc>
              <w:tc>
                <w:tcPr>
                  <w:tcW w:w="4205" w:type="dxa"/>
                  <w:noWrap w:val="0"/>
                  <w:vAlign w:val="center"/>
                </w:tcPr>
                <w:p w14:paraId="27FC82D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noWrap w:val="0"/>
                  <w:vAlign w:val="center"/>
                </w:tcPr>
                <w:p w14:paraId="63FAD11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9313C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B73C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57F4FA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7CD1E4A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918" w:type="dxa"/>
                  <w:noWrap w:val="0"/>
                  <w:vAlign w:val="center"/>
                </w:tcPr>
                <w:p w14:paraId="1027F2A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B2ABE4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5050.3</w:t>
                  </w:r>
                </w:p>
              </w:tc>
            </w:tr>
            <w:tr w14:paraId="5C3BA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915F9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0909DB4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918" w:type="dxa"/>
                  <w:noWrap w:val="0"/>
                  <w:vAlign w:val="center"/>
                </w:tcPr>
                <w:p w14:paraId="647FFA4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0B32F96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5583.6</w:t>
                  </w:r>
                </w:p>
              </w:tc>
            </w:tr>
            <w:tr w14:paraId="7CACD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A5CE1C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237836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noWrap w:val="0"/>
                  <w:vAlign w:val="center"/>
                </w:tcPr>
                <w:p w14:paraId="6CAA2FA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3F4CD6B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1063.39</w:t>
                  </w:r>
                </w:p>
              </w:tc>
            </w:tr>
            <w:tr w14:paraId="39B6B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6D95F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252AECE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noWrap w:val="0"/>
                  <w:vAlign w:val="center"/>
                </w:tcPr>
                <w:p w14:paraId="525863C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5F0F6D3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21801.1</w:t>
                  </w:r>
                </w:p>
              </w:tc>
            </w:tr>
            <w:tr w14:paraId="61171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46EEB7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065F2B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noWrap w:val="0"/>
                  <w:vAlign w:val="center"/>
                </w:tcPr>
                <w:p w14:paraId="72E2C7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6A0E2A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10633.9</w:t>
                  </w:r>
                </w:p>
              </w:tc>
            </w:tr>
            <w:tr w14:paraId="4EDB4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6F54FD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1.1.3.4</w:t>
                  </w:r>
                </w:p>
              </w:tc>
              <w:tc>
                <w:tcPr>
                  <w:tcW w:w="4205" w:type="dxa"/>
                  <w:noWrap w:val="0"/>
                  <w:vAlign w:val="center"/>
                </w:tcPr>
                <w:p w14:paraId="2B53120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noWrap w:val="0"/>
                  <w:vAlign w:val="center"/>
                </w:tcPr>
                <w:p w14:paraId="7574711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BFA02C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F68C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F12A56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210EA8C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noWrap w:val="0"/>
                  <w:vAlign w:val="center"/>
                </w:tcPr>
                <w:p w14:paraId="00296A2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70ED09A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21172.4</w:t>
                  </w:r>
                </w:p>
              </w:tc>
            </w:tr>
            <w:tr w14:paraId="5CD69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60D082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47BC69D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石材栏杆</w:t>
                  </w:r>
                </w:p>
              </w:tc>
              <w:tc>
                <w:tcPr>
                  <w:tcW w:w="918" w:type="dxa"/>
                  <w:noWrap w:val="0"/>
                  <w:vAlign w:val="center"/>
                </w:tcPr>
                <w:p w14:paraId="243E55D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6807AC4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5583.6</w:t>
                  </w:r>
                </w:p>
              </w:tc>
            </w:tr>
            <w:tr w14:paraId="58DA3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3CDD66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w:t>
                  </w:r>
                </w:p>
              </w:tc>
              <w:tc>
                <w:tcPr>
                  <w:tcW w:w="4205" w:type="dxa"/>
                  <w:noWrap w:val="0"/>
                  <w:vAlign w:val="center"/>
                </w:tcPr>
                <w:p w14:paraId="6FA5EA7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918" w:type="dxa"/>
                  <w:noWrap w:val="0"/>
                  <w:vAlign w:val="center"/>
                </w:tcPr>
                <w:p w14:paraId="2DE70CD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1F53251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C657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1F76C7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1.1.4.1</w:t>
                  </w:r>
                </w:p>
              </w:tc>
              <w:tc>
                <w:tcPr>
                  <w:tcW w:w="4205" w:type="dxa"/>
                  <w:noWrap w:val="0"/>
                  <w:vAlign w:val="center"/>
                </w:tcPr>
                <w:p w14:paraId="4F88BB9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noWrap w:val="0"/>
                  <w:vAlign w:val="center"/>
                </w:tcPr>
                <w:p w14:paraId="646FD4F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2641C7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A46D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026DC1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3FB8251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noWrap w:val="0"/>
                  <w:vAlign w:val="center"/>
                </w:tcPr>
                <w:p w14:paraId="3957A2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42EF684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10063.92</w:t>
                  </w:r>
                </w:p>
              </w:tc>
            </w:tr>
            <w:tr w14:paraId="0383A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614A95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05CF56E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挖掘机挖土自卸汽车运输(III类土) 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noWrap w:val="0"/>
                  <w:vAlign w:val="center"/>
                </w:tcPr>
                <w:p w14:paraId="0755300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0CAE8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3164.5</w:t>
                  </w:r>
                </w:p>
              </w:tc>
            </w:tr>
            <w:tr w14:paraId="5B613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8E53B5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1.1.4.2</w:t>
                  </w:r>
                </w:p>
              </w:tc>
              <w:tc>
                <w:tcPr>
                  <w:tcW w:w="4205" w:type="dxa"/>
                  <w:noWrap w:val="0"/>
                  <w:vAlign w:val="center"/>
                </w:tcPr>
                <w:p w14:paraId="480975D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noWrap w:val="0"/>
                  <w:vAlign w:val="center"/>
                </w:tcPr>
                <w:p w14:paraId="7052E9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79D4524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0061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14B64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105EB56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noWrap w:val="0"/>
                  <w:vAlign w:val="center"/>
                </w:tcPr>
                <w:p w14:paraId="3F4312F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43A03A5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233.64</w:t>
                  </w:r>
                </w:p>
              </w:tc>
            </w:tr>
            <w:tr w14:paraId="663DF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D1B74F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1.1.4.3</w:t>
                  </w:r>
                </w:p>
              </w:tc>
              <w:tc>
                <w:tcPr>
                  <w:tcW w:w="4205" w:type="dxa"/>
                  <w:noWrap w:val="0"/>
                  <w:vAlign w:val="center"/>
                </w:tcPr>
                <w:p w14:paraId="1721BEC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noWrap w:val="0"/>
                  <w:vAlign w:val="center"/>
                </w:tcPr>
                <w:p w14:paraId="1BE68F3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F3B28D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A349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324218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27AD47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noWrap w:val="0"/>
                  <w:vAlign w:val="center"/>
                </w:tcPr>
                <w:p w14:paraId="0AA0969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08E2F0A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4672.86</w:t>
                  </w:r>
                </w:p>
              </w:tc>
            </w:tr>
            <w:tr w14:paraId="184EA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94FC1B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589D2C6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918" w:type="dxa"/>
                  <w:noWrap w:val="0"/>
                  <w:vAlign w:val="center"/>
                </w:tcPr>
                <w:p w14:paraId="2FA2C18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877ECD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622.08</w:t>
                  </w:r>
                </w:p>
              </w:tc>
            </w:tr>
            <w:tr w14:paraId="6F382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0C79E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3DBA2D1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noWrap w:val="0"/>
                  <w:vAlign w:val="center"/>
                </w:tcPr>
                <w:p w14:paraId="0189040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35E21D6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3110.4</w:t>
                  </w:r>
                </w:p>
              </w:tc>
            </w:tr>
            <w:tr w14:paraId="64F03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2F7A09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4C9CB26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noWrap w:val="0"/>
                  <w:vAlign w:val="center"/>
                </w:tcPr>
                <w:p w14:paraId="1FC279E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1C8B5E3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622.08</w:t>
                  </w:r>
                </w:p>
              </w:tc>
            </w:tr>
            <w:tr w14:paraId="2E9E8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672295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1.1.4.4</w:t>
                  </w:r>
                </w:p>
              </w:tc>
              <w:tc>
                <w:tcPr>
                  <w:tcW w:w="4205" w:type="dxa"/>
                  <w:noWrap w:val="0"/>
                  <w:vAlign w:val="center"/>
                </w:tcPr>
                <w:p w14:paraId="77E272F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noWrap w:val="0"/>
                  <w:vAlign w:val="center"/>
                </w:tcPr>
                <w:p w14:paraId="79B28BE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75E62B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75EA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9881C4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58DCFFB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noWrap w:val="0"/>
                  <w:vAlign w:val="center"/>
                </w:tcPr>
                <w:p w14:paraId="7F7005B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682B46D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2304.48</w:t>
                  </w:r>
                </w:p>
              </w:tc>
            </w:tr>
            <w:tr w14:paraId="0C03F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0D8CC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1.1.5</w:t>
                  </w:r>
                </w:p>
              </w:tc>
              <w:tc>
                <w:tcPr>
                  <w:tcW w:w="4205" w:type="dxa"/>
                  <w:noWrap w:val="0"/>
                  <w:vAlign w:val="center"/>
                </w:tcPr>
                <w:p w14:paraId="0142FE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桥涵</w:t>
                  </w:r>
                </w:p>
              </w:tc>
              <w:tc>
                <w:tcPr>
                  <w:tcW w:w="918" w:type="dxa"/>
                  <w:noWrap w:val="0"/>
                  <w:vAlign w:val="center"/>
                </w:tcPr>
                <w:p w14:paraId="0E967DD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590" w:type="dxa"/>
                  <w:noWrap w:val="0"/>
                  <w:vAlign w:val="center"/>
                </w:tcPr>
                <w:p w14:paraId="4AA2BC4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r>
            <w:tr w14:paraId="71F0D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0F3A67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w:t>
                  </w:r>
                </w:p>
              </w:tc>
              <w:tc>
                <w:tcPr>
                  <w:tcW w:w="4205" w:type="dxa"/>
                  <w:noWrap w:val="0"/>
                  <w:vAlign w:val="center"/>
                </w:tcPr>
                <w:p w14:paraId="55BED66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桥涵</w:t>
                  </w:r>
                </w:p>
              </w:tc>
              <w:tc>
                <w:tcPr>
                  <w:tcW w:w="918" w:type="dxa"/>
                  <w:noWrap w:val="0"/>
                  <w:vAlign w:val="center"/>
                </w:tcPr>
                <w:p w14:paraId="115A2D4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590" w:type="dxa"/>
                  <w:noWrap w:val="0"/>
                  <w:vAlign w:val="center"/>
                </w:tcPr>
                <w:p w14:paraId="6BADE2F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r>
            <w:tr w14:paraId="4A7C2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A6D7AB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c>
                <w:tcPr>
                  <w:tcW w:w="4205" w:type="dxa"/>
                  <w:noWrap w:val="0"/>
                  <w:vAlign w:val="center"/>
                </w:tcPr>
                <w:p w14:paraId="7A3DAD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桥涵</w:t>
                  </w:r>
                </w:p>
              </w:tc>
              <w:tc>
                <w:tcPr>
                  <w:tcW w:w="918" w:type="dxa"/>
                  <w:noWrap w:val="0"/>
                  <w:vAlign w:val="center"/>
                </w:tcPr>
                <w:p w14:paraId="00B9AFB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590" w:type="dxa"/>
                  <w:noWrap w:val="0"/>
                  <w:vAlign w:val="center"/>
                </w:tcPr>
                <w:p w14:paraId="49E1E2E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1027D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F9CB3D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1.1.8</w:t>
                  </w:r>
                </w:p>
              </w:tc>
              <w:tc>
                <w:tcPr>
                  <w:tcW w:w="4205" w:type="dxa"/>
                  <w:noWrap w:val="0"/>
                  <w:vAlign w:val="center"/>
                </w:tcPr>
                <w:p w14:paraId="26F7632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918" w:type="dxa"/>
                  <w:noWrap w:val="0"/>
                  <w:vAlign w:val="center"/>
                </w:tcPr>
                <w:p w14:paraId="1D0FF11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043AC3E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764E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3BC0A5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006052E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918" w:type="dxa"/>
                  <w:noWrap w:val="0"/>
                  <w:vAlign w:val="center"/>
                </w:tcPr>
                <w:p w14:paraId="42588B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noWrap w:val="0"/>
                  <w:vAlign w:val="center"/>
                </w:tcPr>
                <w:p w14:paraId="2831976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4FB5F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EDB64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noWrap w:val="0"/>
                  <w:vAlign w:val="center"/>
                </w:tcPr>
                <w:p w14:paraId="1664F66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noWrap w:val="0"/>
                  <w:vAlign w:val="center"/>
                </w:tcPr>
                <w:p w14:paraId="0160385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01B7597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100C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3CAC87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4205" w:type="dxa"/>
                  <w:noWrap w:val="0"/>
                  <w:vAlign w:val="center"/>
                </w:tcPr>
                <w:p w14:paraId="0F3D8BA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noWrap w:val="0"/>
                  <w:vAlign w:val="center"/>
                </w:tcPr>
                <w:p w14:paraId="24261D4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1751BD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B993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275F8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1.2.1.1</w:t>
                  </w:r>
                </w:p>
              </w:tc>
              <w:tc>
                <w:tcPr>
                  <w:tcW w:w="4205" w:type="dxa"/>
                  <w:noWrap w:val="0"/>
                  <w:vAlign w:val="center"/>
                </w:tcPr>
                <w:p w14:paraId="0E3549F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noWrap w:val="0"/>
                  <w:vAlign w:val="center"/>
                </w:tcPr>
                <w:p w14:paraId="56D4B42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2C2EDB8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97A4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66" w:type="dxa"/>
                  <w:noWrap w:val="0"/>
                  <w:vAlign w:val="center"/>
                </w:tcPr>
                <w:p w14:paraId="253FA2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0BDD44B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noWrap w:val="0"/>
                  <w:vAlign w:val="center"/>
                </w:tcPr>
                <w:p w14:paraId="27DE1BE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49FBAF8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2819.938</w:t>
                  </w:r>
                </w:p>
              </w:tc>
            </w:tr>
            <w:tr w14:paraId="456DD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53E59B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5042A8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noWrap w:val="0"/>
                  <w:vAlign w:val="center"/>
                </w:tcPr>
                <w:p w14:paraId="66891BD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9BCD39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25379.442</w:t>
                  </w:r>
                </w:p>
              </w:tc>
            </w:tr>
            <w:tr w14:paraId="7B476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9D75DD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268F8AA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noWrap w:val="0"/>
                  <w:vAlign w:val="center"/>
                </w:tcPr>
                <w:p w14:paraId="3D16F34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01F859B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25379.442</w:t>
                  </w:r>
                </w:p>
              </w:tc>
            </w:tr>
            <w:tr w14:paraId="08173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9E51A7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52DFCD1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noWrap w:val="0"/>
                  <w:vAlign w:val="center"/>
                </w:tcPr>
                <w:p w14:paraId="4E856F8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70A2166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16778.629</w:t>
                  </w:r>
                </w:p>
              </w:tc>
            </w:tr>
            <w:tr w14:paraId="4C9A7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958045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01836C3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918" w:type="dxa"/>
                  <w:noWrap w:val="0"/>
                  <w:vAlign w:val="center"/>
                </w:tcPr>
                <w:p w14:paraId="1D63EF4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5254083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7190.841</w:t>
                  </w:r>
                </w:p>
              </w:tc>
            </w:tr>
            <w:tr w14:paraId="15A79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0CDEFB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noWrap w:val="0"/>
                  <w:vAlign w:val="center"/>
                </w:tcPr>
                <w:p w14:paraId="219B49F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10%水泥土</w:t>
                  </w:r>
                </w:p>
              </w:tc>
              <w:tc>
                <w:tcPr>
                  <w:tcW w:w="918" w:type="dxa"/>
                  <w:noWrap w:val="0"/>
                  <w:vAlign w:val="center"/>
                </w:tcPr>
                <w:p w14:paraId="105EB5E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11110F5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C3D4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C59500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1.2.1.2</w:t>
                  </w:r>
                </w:p>
              </w:tc>
              <w:tc>
                <w:tcPr>
                  <w:tcW w:w="4205" w:type="dxa"/>
                  <w:noWrap w:val="0"/>
                  <w:vAlign w:val="center"/>
                </w:tcPr>
                <w:p w14:paraId="09BF0BB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noWrap w:val="0"/>
                  <w:vAlign w:val="center"/>
                </w:tcPr>
                <w:p w14:paraId="4BA18AF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21EF7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1EEA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7A2109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742682C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noWrap w:val="0"/>
                  <w:vAlign w:val="center"/>
                </w:tcPr>
                <w:p w14:paraId="0F42D5F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73014A9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37.11</w:t>
                  </w:r>
                </w:p>
              </w:tc>
            </w:tr>
            <w:tr w14:paraId="38B9B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17316C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1B28F7C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抛石</w:t>
                  </w:r>
                </w:p>
              </w:tc>
              <w:tc>
                <w:tcPr>
                  <w:tcW w:w="918" w:type="dxa"/>
                  <w:noWrap w:val="0"/>
                  <w:vAlign w:val="center"/>
                </w:tcPr>
                <w:p w14:paraId="36835EE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48569A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167.08</w:t>
                  </w:r>
                </w:p>
              </w:tc>
            </w:tr>
            <w:tr w14:paraId="0BB0E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5264B1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1.2.1.3</w:t>
                  </w:r>
                </w:p>
              </w:tc>
              <w:tc>
                <w:tcPr>
                  <w:tcW w:w="4205" w:type="dxa"/>
                  <w:noWrap w:val="0"/>
                  <w:vAlign w:val="center"/>
                </w:tcPr>
                <w:p w14:paraId="33C8096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918" w:type="dxa"/>
                  <w:noWrap w:val="0"/>
                  <w:vAlign w:val="center"/>
                </w:tcPr>
                <w:p w14:paraId="4C2CC05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5851DF9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F848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3A0907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408DD64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高压旋喷桩</w:t>
                  </w:r>
                </w:p>
              </w:tc>
              <w:tc>
                <w:tcPr>
                  <w:tcW w:w="918" w:type="dxa"/>
                  <w:noWrap w:val="0"/>
                  <w:vAlign w:val="center"/>
                </w:tcPr>
                <w:p w14:paraId="70037B8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3C6EFD2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1812.8</w:t>
                  </w:r>
                </w:p>
              </w:tc>
            </w:tr>
            <w:tr w14:paraId="7B623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4FCBDE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1.2.1.4</w:t>
                  </w:r>
                </w:p>
              </w:tc>
              <w:tc>
                <w:tcPr>
                  <w:tcW w:w="4205" w:type="dxa"/>
                  <w:noWrap w:val="0"/>
                  <w:vAlign w:val="center"/>
                </w:tcPr>
                <w:p w14:paraId="2FC311E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noWrap w:val="0"/>
                  <w:vAlign w:val="center"/>
                </w:tcPr>
                <w:p w14:paraId="7A05339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6CCB982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8102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EB08BF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07A0A5A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C25六角实心块护坡</w:t>
                  </w:r>
                </w:p>
              </w:tc>
              <w:tc>
                <w:tcPr>
                  <w:tcW w:w="918" w:type="dxa"/>
                  <w:noWrap w:val="0"/>
                  <w:vAlign w:val="center"/>
                </w:tcPr>
                <w:p w14:paraId="417FE59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0D2DDE8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18.66</w:t>
                  </w:r>
                </w:p>
              </w:tc>
            </w:tr>
            <w:tr w14:paraId="2E552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15FF16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4BB2EF1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浆砌块石护坡</w:t>
                  </w:r>
                </w:p>
              </w:tc>
              <w:tc>
                <w:tcPr>
                  <w:tcW w:w="918" w:type="dxa"/>
                  <w:noWrap w:val="0"/>
                  <w:vAlign w:val="center"/>
                </w:tcPr>
                <w:p w14:paraId="5B9BA19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ECD9B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64.56</w:t>
                  </w:r>
                </w:p>
              </w:tc>
            </w:tr>
            <w:tr w14:paraId="3222F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09F852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127439C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C25砼护底</w:t>
                  </w:r>
                </w:p>
              </w:tc>
              <w:tc>
                <w:tcPr>
                  <w:tcW w:w="918" w:type="dxa"/>
                  <w:noWrap w:val="0"/>
                  <w:vAlign w:val="center"/>
                </w:tcPr>
                <w:p w14:paraId="6927BAA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63BFB2D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8881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A01467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74DBD70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918" w:type="dxa"/>
                  <w:noWrap w:val="0"/>
                  <w:vAlign w:val="center"/>
                </w:tcPr>
                <w:p w14:paraId="6FD3C97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7C16546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23.58</w:t>
                  </w:r>
                </w:p>
              </w:tc>
            </w:tr>
            <w:tr w14:paraId="55BEF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A584E3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145D2C1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C25砼支墩</w:t>
                  </w:r>
                </w:p>
              </w:tc>
              <w:tc>
                <w:tcPr>
                  <w:tcW w:w="918" w:type="dxa"/>
                  <w:noWrap w:val="0"/>
                  <w:vAlign w:val="center"/>
                </w:tcPr>
                <w:p w14:paraId="1DC7C31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46CBA59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w:t>
                  </w:r>
                </w:p>
              </w:tc>
            </w:tr>
            <w:tr w14:paraId="1D757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A196EE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noWrap w:val="0"/>
                  <w:vAlign w:val="center"/>
                </w:tcPr>
                <w:p w14:paraId="344666B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C25砼垫层</w:t>
                  </w:r>
                </w:p>
              </w:tc>
              <w:tc>
                <w:tcPr>
                  <w:tcW w:w="918" w:type="dxa"/>
                  <w:noWrap w:val="0"/>
                  <w:vAlign w:val="center"/>
                </w:tcPr>
                <w:p w14:paraId="47CABDF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6DD4B6A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145.34</w:t>
                  </w:r>
                </w:p>
              </w:tc>
            </w:tr>
            <w:tr w14:paraId="310E7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10028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noWrap w:val="0"/>
                  <w:vAlign w:val="center"/>
                </w:tcPr>
                <w:p w14:paraId="4CF90D9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C30砼底板</w:t>
                  </w:r>
                </w:p>
              </w:tc>
              <w:tc>
                <w:tcPr>
                  <w:tcW w:w="918" w:type="dxa"/>
                  <w:noWrap w:val="0"/>
                  <w:vAlign w:val="center"/>
                </w:tcPr>
                <w:p w14:paraId="5179D1D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4096086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952.524</w:t>
                  </w:r>
                </w:p>
              </w:tc>
            </w:tr>
            <w:tr w14:paraId="2AEBE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0D6BC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noWrap w:val="0"/>
                  <w:vAlign w:val="center"/>
                </w:tcPr>
                <w:p w14:paraId="4361436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C30砼中部结构</w:t>
                  </w:r>
                </w:p>
              </w:tc>
              <w:tc>
                <w:tcPr>
                  <w:tcW w:w="918" w:type="dxa"/>
                  <w:noWrap w:val="0"/>
                  <w:vAlign w:val="center"/>
                </w:tcPr>
                <w:p w14:paraId="2451FFC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7659AD9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302.544</w:t>
                  </w:r>
                </w:p>
              </w:tc>
            </w:tr>
            <w:tr w14:paraId="7A51A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41AFA7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noWrap w:val="0"/>
                  <w:vAlign w:val="center"/>
                </w:tcPr>
                <w:p w14:paraId="21885C2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C30砼侧墙</w:t>
                  </w:r>
                </w:p>
              </w:tc>
              <w:tc>
                <w:tcPr>
                  <w:tcW w:w="918" w:type="dxa"/>
                  <w:noWrap w:val="0"/>
                  <w:vAlign w:val="center"/>
                </w:tcPr>
                <w:p w14:paraId="211980E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1C695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1390.698</w:t>
                  </w:r>
                </w:p>
              </w:tc>
            </w:tr>
            <w:tr w14:paraId="5C83D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6F4FE5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205" w:type="dxa"/>
                  <w:noWrap w:val="0"/>
                  <w:vAlign w:val="center"/>
                </w:tcPr>
                <w:p w14:paraId="41C4307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C30箱式涵洞</w:t>
                  </w:r>
                </w:p>
              </w:tc>
              <w:tc>
                <w:tcPr>
                  <w:tcW w:w="918" w:type="dxa"/>
                  <w:noWrap w:val="0"/>
                  <w:vAlign w:val="center"/>
                </w:tcPr>
                <w:p w14:paraId="04E26FE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363217C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171.702</w:t>
                  </w:r>
                </w:p>
              </w:tc>
            </w:tr>
            <w:tr w14:paraId="7B732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010E57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noWrap w:val="0"/>
                  <w:vAlign w:val="center"/>
                </w:tcPr>
                <w:p w14:paraId="2708E22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C30砼排架</w:t>
                  </w:r>
                </w:p>
              </w:tc>
              <w:tc>
                <w:tcPr>
                  <w:tcW w:w="918" w:type="dxa"/>
                  <w:noWrap w:val="0"/>
                  <w:vAlign w:val="center"/>
                </w:tcPr>
                <w:p w14:paraId="40DFFC3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4EA057F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12.69</w:t>
                  </w:r>
                </w:p>
              </w:tc>
            </w:tr>
            <w:tr w14:paraId="05D95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FE718A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noWrap w:val="0"/>
                  <w:vAlign w:val="center"/>
                </w:tcPr>
                <w:p w14:paraId="03BE7BC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C30砼顶板</w:t>
                  </w:r>
                </w:p>
              </w:tc>
              <w:tc>
                <w:tcPr>
                  <w:tcW w:w="918" w:type="dxa"/>
                  <w:noWrap w:val="0"/>
                  <w:vAlign w:val="center"/>
                </w:tcPr>
                <w:p w14:paraId="7686FA9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248FCCE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352.629</w:t>
                  </w:r>
                </w:p>
              </w:tc>
            </w:tr>
            <w:tr w14:paraId="53D37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F8DE80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205" w:type="dxa"/>
                  <w:noWrap w:val="0"/>
                  <w:vAlign w:val="center"/>
                </w:tcPr>
                <w:p w14:paraId="0215691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noWrap w:val="0"/>
                  <w:vAlign w:val="center"/>
                </w:tcPr>
                <w:p w14:paraId="5F5646F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13781B3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318.276</w:t>
                  </w:r>
                </w:p>
              </w:tc>
            </w:tr>
            <w:tr w14:paraId="1C8FB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9D721D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205" w:type="dxa"/>
                  <w:noWrap w:val="0"/>
                  <w:vAlign w:val="center"/>
                </w:tcPr>
                <w:p w14:paraId="3376DDC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noWrap w:val="0"/>
                  <w:vAlign w:val="center"/>
                </w:tcPr>
                <w:p w14:paraId="11BFF04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3BADB7E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7767.11</w:t>
                  </w:r>
                </w:p>
              </w:tc>
            </w:tr>
            <w:tr w14:paraId="1BE23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94F8A8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4205" w:type="dxa"/>
                  <w:noWrap w:val="0"/>
                  <w:vAlign w:val="center"/>
                </w:tcPr>
                <w:p w14:paraId="5CBF8DC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noWrap w:val="0"/>
                  <w:vAlign w:val="center"/>
                </w:tcPr>
                <w:p w14:paraId="3F70B04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noWrap w:val="0"/>
                  <w:vAlign w:val="center"/>
                </w:tcPr>
                <w:p w14:paraId="1887258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3694.54</w:t>
                  </w:r>
                </w:p>
              </w:tc>
            </w:tr>
            <w:tr w14:paraId="4F366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D5D28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1.2.1.5</w:t>
                  </w:r>
                </w:p>
              </w:tc>
              <w:tc>
                <w:tcPr>
                  <w:tcW w:w="4205" w:type="dxa"/>
                  <w:noWrap w:val="0"/>
                  <w:vAlign w:val="center"/>
                </w:tcPr>
                <w:p w14:paraId="4C0B612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noWrap w:val="0"/>
                  <w:vAlign w:val="center"/>
                </w:tcPr>
                <w:p w14:paraId="062AFC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72BDF0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CFCB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C54645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571D2CE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堤顶沥青道路</w:t>
                  </w:r>
                </w:p>
              </w:tc>
              <w:tc>
                <w:tcPr>
                  <w:tcW w:w="918" w:type="dxa"/>
                  <w:noWrap w:val="0"/>
                  <w:vAlign w:val="center"/>
                </w:tcPr>
                <w:p w14:paraId="3D12CA3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302D1EE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CF17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AC7BA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0F1CF7D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C30素砼路面厚180</w:t>
                  </w:r>
                </w:p>
              </w:tc>
              <w:tc>
                <w:tcPr>
                  <w:tcW w:w="918" w:type="dxa"/>
                  <w:noWrap w:val="0"/>
                  <w:vAlign w:val="center"/>
                </w:tcPr>
                <w:p w14:paraId="37CADEE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5E082B6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540</w:t>
                  </w:r>
                </w:p>
              </w:tc>
            </w:tr>
            <w:tr w14:paraId="0F0D9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D564E1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1B25B8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水泥稳定碎石厚180</w:t>
                  </w:r>
                </w:p>
              </w:tc>
              <w:tc>
                <w:tcPr>
                  <w:tcW w:w="918" w:type="dxa"/>
                  <w:noWrap w:val="0"/>
                  <w:vAlign w:val="center"/>
                </w:tcPr>
                <w:p w14:paraId="27F2E9B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2367D86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540</w:t>
                  </w:r>
                </w:p>
              </w:tc>
            </w:tr>
            <w:tr w14:paraId="0E9A3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5DA24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00882FC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p>
              </w:tc>
              <w:tc>
                <w:tcPr>
                  <w:tcW w:w="918" w:type="dxa"/>
                  <w:noWrap w:val="0"/>
                  <w:vAlign w:val="center"/>
                </w:tcPr>
                <w:p w14:paraId="74B0604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58FB866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540</w:t>
                  </w:r>
                </w:p>
              </w:tc>
            </w:tr>
            <w:tr w14:paraId="69931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49906A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374CD76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撒草籽</w:t>
                  </w:r>
                </w:p>
              </w:tc>
              <w:tc>
                <w:tcPr>
                  <w:tcW w:w="918" w:type="dxa"/>
                  <w:noWrap w:val="0"/>
                  <w:vAlign w:val="center"/>
                </w:tcPr>
                <w:p w14:paraId="35B13CF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6290685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03FF9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7E1B95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3D09029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栏杆</w:t>
                  </w:r>
                </w:p>
              </w:tc>
              <w:tc>
                <w:tcPr>
                  <w:tcW w:w="918" w:type="dxa"/>
                  <w:noWrap w:val="0"/>
                  <w:vAlign w:val="center"/>
                </w:tcPr>
                <w:p w14:paraId="3030086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15AA445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90.48</w:t>
                  </w:r>
                </w:p>
              </w:tc>
            </w:tr>
            <w:tr w14:paraId="6478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B28966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227F70B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noWrap w:val="0"/>
                  <w:vAlign w:val="center"/>
                </w:tcPr>
                <w:p w14:paraId="7F425BF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025EAF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143.79</w:t>
                  </w:r>
                </w:p>
              </w:tc>
            </w:tr>
            <w:tr w14:paraId="04FE1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F92205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0EB2AE9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泵房</w:t>
                  </w:r>
                </w:p>
              </w:tc>
              <w:tc>
                <w:tcPr>
                  <w:tcW w:w="918" w:type="dxa"/>
                  <w:noWrap w:val="0"/>
                  <w:vAlign w:val="center"/>
                </w:tcPr>
                <w:p w14:paraId="78DC3A3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0AA6C9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486.51</w:t>
                  </w:r>
                </w:p>
              </w:tc>
            </w:tr>
            <w:tr w14:paraId="5590B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C91B86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6450AC8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配电管理房</w:t>
                  </w:r>
                </w:p>
              </w:tc>
              <w:tc>
                <w:tcPr>
                  <w:tcW w:w="918" w:type="dxa"/>
                  <w:noWrap w:val="0"/>
                  <w:vAlign w:val="center"/>
                </w:tcPr>
                <w:p w14:paraId="34B81FF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noWrap w:val="0"/>
                  <w:vAlign w:val="center"/>
                </w:tcPr>
                <w:p w14:paraId="243E680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113.59</w:t>
                  </w:r>
                </w:p>
              </w:tc>
            </w:tr>
            <w:tr w14:paraId="02CE4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FAE17A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4D233E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室外工程</w:t>
                  </w:r>
                </w:p>
              </w:tc>
              <w:tc>
                <w:tcPr>
                  <w:tcW w:w="918" w:type="dxa"/>
                  <w:noWrap w:val="0"/>
                  <w:vAlign w:val="center"/>
                </w:tcPr>
                <w:p w14:paraId="7BB6C9F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90" w:type="dxa"/>
                  <w:noWrap w:val="0"/>
                  <w:vAlign w:val="center"/>
                </w:tcPr>
                <w:p w14:paraId="5D078D2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r>
            <w:tr w14:paraId="508A7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E527BF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2439164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第二部分 机电设备及安装工程</w:t>
                  </w:r>
                </w:p>
              </w:tc>
              <w:tc>
                <w:tcPr>
                  <w:tcW w:w="918" w:type="dxa"/>
                  <w:noWrap w:val="0"/>
                  <w:vAlign w:val="center"/>
                </w:tcPr>
                <w:p w14:paraId="3438251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2039FDE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6698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905DEC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205" w:type="dxa"/>
                  <w:noWrap w:val="0"/>
                  <w:vAlign w:val="center"/>
                </w:tcPr>
                <w:p w14:paraId="1CA689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noWrap w:val="0"/>
                  <w:vAlign w:val="center"/>
                </w:tcPr>
                <w:p w14:paraId="477E4A3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45B31C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3DD3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3CCE8B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1D36F49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水泵设备及安装工程</w:t>
                  </w:r>
                </w:p>
              </w:tc>
              <w:tc>
                <w:tcPr>
                  <w:tcW w:w="918" w:type="dxa"/>
                  <w:noWrap w:val="0"/>
                  <w:vAlign w:val="center"/>
                </w:tcPr>
                <w:p w14:paraId="7EE76FD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6ADBEA7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1CBB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4D8C9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143B25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立式轴流泵1000ZLB-3，Q=2.5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/s，—1°，N=185kW，n=490r/</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in，D=870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，含传动装置、联轴器、弯管、安装附件（地脚螺栓等）、易损件、专用工具等装置</w:t>
                  </w:r>
                </w:p>
              </w:tc>
              <w:tc>
                <w:tcPr>
                  <w:tcW w:w="918" w:type="dxa"/>
                  <w:noWrap w:val="0"/>
                  <w:vAlign w:val="center"/>
                </w:tcPr>
                <w:p w14:paraId="1BDC3B4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4E7D836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47274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5E40FB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30A270B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立式异步电机380V，n=490r/</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in，185kW，含安装附件（如地脚螺栓）等。</w:t>
                  </w:r>
                </w:p>
              </w:tc>
              <w:tc>
                <w:tcPr>
                  <w:tcW w:w="918" w:type="dxa"/>
                  <w:noWrap w:val="0"/>
                  <w:vAlign w:val="center"/>
                </w:tcPr>
                <w:p w14:paraId="0657AA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22D850F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0EEC4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B0B45B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2718B94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技术供水系统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供水变频泵2台、阀件、管道、吊架等若干</w:t>
                  </w:r>
                </w:p>
              </w:tc>
              <w:tc>
                <w:tcPr>
                  <w:tcW w:w="918" w:type="dxa"/>
                  <w:noWrap w:val="0"/>
                  <w:vAlign w:val="center"/>
                </w:tcPr>
                <w:p w14:paraId="7821B11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noWrap w:val="0"/>
                  <w:vAlign w:val="center"/>
                </w:tcPr>
                <w:p w14:paraId="1BC2276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0DA6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558ECA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171B780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检修排水系统检修泵3台、管道若干等</w:t>
                  </w:r>
                </w:p>
              </w:tc>
              <w:tc>
                <w:tcPr>
                  <w:tcW w:w="918" w:type="dxa"/>
                  <w:noWrap w:val="0"/>
                  <w:vAlign w:val="center"/>
                </w:tcPr>
                <w:p w14:paraId="5A418CB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noWrap w:val="0"/>
                  <w:vAlign w:val="center"/>
                </w:tcPr>
                <w:p w14:paraId="1E46495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E4C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C2BB58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1E6C1F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渗漏排水系统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潜水排污泵2台、阀件若干、管道若干等</w:t>
                  </w:r>
                </w:p>
              </w:tc>
              <w:tc>
                <w:tcPr>
                  <w:tcW w:w="918" w:type="dxa"/>
                  <w:noWrap w:val="0"/>
                  <w:vAlign w:val="center"/>
                </w:tcPr>
                <w:p w14:paraId="558CCF1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noWrap w:val="0"/>
                  <w:vAlign w:val="center"/>
                </w:tcPr>
                <w:p w14:paraId="1B81925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7AF7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DBF8F5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noWrap w:val="0"/>
                  <w:vAlign w:val="center"/>
                </w:tcPr>
                <w:p w14:paraId="684211D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通风系统风机4台，风管和支架若干</w:t>
                  </w:r>
                </w:p>
              </w:tc>
              <w:tc>
                <w:tcPr>
                  <w:tcW w:w="918" w:type="dxa"/>
                  <w:noWrap w:val="0"/>
                  <w:vAlign w:val="center"/>
                </w:tcPr>
                <w:p w14:paraId="1ECD108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noWrap w:val="0"/>
                  <w:vAlign w:val="center"/>
                </w:tcPr>
                <w:p w14:paraId="66DDB55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08D6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51032C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noWrap w:val="0"/>
                  <w:vAlign w:val="center"/>
                </w:tcPr>
                <w:p w14:paraId="5D664F7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机组状态监测，测振、测摆、测速、测压。含传感器、现地监测柜（多功能状态检测保护装置等）、状态检测服务器、电缆等</w:t>
                  </w:r>
                </w:p>
              </w:tc>
              <w:tc>
                <w:tcPr>
                  <w:tcW w:w="918" w:type="dxa"/>
                  <w:noWrap w:val="0"/>
                  <w:vAlign w:val="center"/>
                </w:tcPr>
                <w:p w14:paraId="6B562F5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496C278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4109B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DE455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noWrap w:val="0"/>
                  <w:vAlign w:val="center"/>
                </w:tcPr>
                <w:p w14:paraId="35DF6D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水尺</w:t>
                  </w:r>
                </w:p>
              </w:tc>
              <w:tc>
                <w:tcPr>
                  <w:tcW w:w="918" w:type="dxa"/>
                  <w:noWrap w:val="0"/>
                  <w:vAlign w:val="center"/>
                </w:tcPr>
                <w:p w14:paraId="193256C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w:t>
                  </w:r>
                </w:p>
              </w:tc>
              <w:tc>
                <w:tcPr>
                  <w:tcW w:w="1590" w:type="dxa"/>
                  <w:noWrap w:val="0"/>
                  <w:vAlign w:val="center"/>
                </w:tcPr>
                <w:p w14:paraId="4AFEB34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49DE2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65FDD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noWrap w:val="0"/>
                  <w:vAlign w:val="center"/>
                </w:tcPr>
                <w:p w14:paraId="3472BC6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机修设备千斤顶QYL10、手拉葫芦HSZ-10、小五金工具等</w:t>
                  </w:r>
                </w:p>
              </w:tc>
              <w:tc>
                <w:tcPr>
                  <w:tcW w:w="918" w:type="dxa"/>
                  <w:noWrap w:val="0"/>
                  <w:vAlign w:val="center"/>
                </w:tcPr>
                <w:p w14:paraId="434603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7D88086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1089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1AD0CF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654A57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起重设备及安装工程</w:t>
                  </w:r>
                </w:p>
              </w:tc>
              <w:tc>
                <w:tcPr>
                  <w:tcW w:w="918" w:type="dxa"/>
                  <w:noWrap w:val="0"/>
                  <w:vAlign w:val="center"/>
                </w:tcPr>
                <w:p w14:paraId="4EA7C76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331B536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8603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3FECC1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33E83F6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电动单梁桥式起重机5吨，含轨道、车挡4个、安全滑触线、安装附件</w:t>
                  </w:r>
                </w:p>
              </w:tc>
              <w:tc>
                <w:tcPr>
                  <w:tcW w:w="918" w:type="dxa"/>
                  <w:noWrap w:val="0"/>
                  <w:vAlign w:val="center"/>
                </w:tcPr>
                <w:p w14:paraId="2886796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75DF2F3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5906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F98ECD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00C5EDE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泵房电动葫芦，2x80kN电动葫芦，轨道约20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，含控制设备、轨道及预埋件</w:t>
                  </w:r>
                </w:p>
              </w:tc>
              <w:tc>
                <w:tcPr>
                  <w:tcW w:w="918" w:type="dxa"/>
                  <w:noWrap w:val="0"/>
                  <w:vAlign w:val="center"/>
                </w:tcPr>
                <w:p w14:paraId="15CB3B0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76C3715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B552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68A378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1694CF7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高低压电气设备</w:t>
                  </w:r>
                </w:p>
              </w:tc>
              <w:tc>
                <w:tcPr>
                  <w:tcW w:w="918" w:type="dxa"/>
                  <w:noWrap w:val="0"/>
                  <w:vAlign w:val="center"/>
                </w:tcPr>
                <w:p w14:paraId="0EB92A9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5F85CB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B0AD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F489FA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59C58F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10kV高压市政线路接入工程</w:t>
                  </w:r>
                </w:p>
              </w:tc>
              <w:tc>
                <w:tcPr>
                  <w:tcW w:w="918" w:type="dxa"/>
                  <w:noWrap w:val="0"/>
                  <w:vAlign w:val="center"/>
                </w:tcPr>
                <w:p w14:paraId="6DAD2E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13CE9EE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32A9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090967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199EF81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10kV高可靠性供电费用</w:t>
                  </w:r>
                </w:p>
              </w:tc>
              <w:tc>
                <w:tcPr>
                  <w:tcW w:w="918" w:type="dxa"/>
                  <w:noWrap w:val="0"/>
                  <w:vAlign w:val="center"/>
                </w:tcPr>
                <w:p w14:paraId="1740769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15E2CC8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A275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A358FB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717A426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负荷监控终端</w:t>
                  </w:r>
                </w:p>
              </w:tc>
              <w:tc>
                <w:tcPr>
                  <w:tcW w:w="918" w:type="dxa"/>
                  <w:noWrap w:val="0"/>
                  <w:vAlign w:val="center"/>
                </w:tcPr>
                <w:p w14:paraId="3BF9C21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0C1D2A1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4BB9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8D2D8B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5F8F364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终端杆电涌保护器及杆上设备</w:t>
                  </w:r>
                </w:p>
              </w:tc>
              <w:tc>
                <w:tcPr>
                  <w:tcW w:w="918" w:type="dxa"/>
                  <w:noWrap w:val="0"/>
                  <w:vAlign w:val="center"/>
                </w:tcPr>
                <w:p w14:paraId="263D35B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16CB510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EA68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725819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16CB221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10kV高压中置柜</w:t>
                  </w:r>
                </w:p>
              </w:tc>
              <w:tc>
                <w:tcPr>
                  <w:tcW w:w="918" w:type="dxa"/>
                  <w:noWrap w:val="0"/>
                  <w:vAlign w:val="center"/>
                </w:tcPr>
                <w:p w14:paraId="5CE28C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061530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r>
            <w:tr w14:paraId="761E6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95BDD1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noWrap w:val="0"/>
                  <w:vAlign w:val="center"/>
                </w:tcPr>
                <w:p w14:paraId="03A7B7F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主变干式变压器柜</w:t>
                  </w:r>
                </w:p>
              </w:tc>
              <w:tc>
                <w:tcPr>
                  <w:tcW w:w="918" w:type="dxa"/>
                  <w:noWrap w:val="0"/>
                  <w:vAlign w:val="center"/>
                </w:tcPr>
                <w:p w14:paraId="0ADE10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7B06654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0791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3868E7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noWrap w:val="0"/>
                  <w:vAlign w:val="center"/>
                </w:tcPr>
                <w:p w14:paraId="5E3A345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所变干式变压器柜</w:t>
                  </w:r>
                </w:p>
              </w:tc>
              <w:tc>
                <w:tcPr>
                  <w:tcW w:w="918" w:type="dxa"/>
                  <w:noWrap w:val="0"/>
                  <w:vAlign w:val="center"/>
                </w:tcPr>
                <w:p w14:paraId="57AED22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5DA95F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8548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DFAB9D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noWrap w:val="0"/>
                  <w:vAlign w:val="center"/>
                </w:tcPr>
                <w:p w14:paraId="3DC540D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0.4kV低压进线柜</w:t>
                  </w:r>
                </w:p>
              </w:tc>
              <w:tc>
                <w:tcPr>
                  <w:tcW w:w="918" w:type="dxa"/>
                  <w:noWrap w:val="0"/>
                  <w:vAlign w:val="center"/>
                </w:tcPr>
                <w:p w14:paraId="66A30EE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0BC9A33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2FFDB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A18B5B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noWrap w:val="0"/>
                  <w:vAlign w:val="center"/>
                </w:tcPr>
                <w:p w14:paraId="4184C75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0.4kV低压出线柜</w:t>
                  </w:r>
                </w:p>
              </w:tc>
              <w:tc>
                <w:tcPr>
                  <w:tcW w:w="918" w:type="dxa"/>
                  <w:noWrap w:val="0"/>
                  <w:vAlign w:val="center"/>
                </w:tcPr>
                <w:p w14:paraId="4126F9F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9B6AF1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54152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7BF347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205" w:type="dxa"/>
                  <w:noWrap w:val="0"/>
                  <w:vAlign w:val="center"/>
                </w:tcPr>
                <w:p w14:paraId="2E095D2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0.4kV滤波型动态电容补偿柜</w:t>
                  </w:r>
                </w:p>
              </w:tc>
              <w:tc>
                <w:tcPr>
                  <w:tcW w:w="918" w:type="dxa"/>
                  <w:noWrap w:val="0"/>
                  <w:vAlign w:val="center"/>
                </w:tcPr>
                <w:p w14:paraId="6267287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087DE93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43E56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D5CB1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noWrap w:val="0"/>
                  <w:vAlign w:val="center"/>
                </w:tcPr>
                <w:p w14:paraId="7B4BA4D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水泵低压软起动柜</w:t>
                  </w:r>
                </w:p>
              </w:tc>
              <w:tc>
                <w:tcPr>
                  <w:tcW w:w="918" w:type="dxa"/>
                  <w:noWrap w:val="0"/>
                  <w:vAlign w:val="center"/>
                </w:tcPr>
                <w:p w14:paraId="25C5CDD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6E1F406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665DB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520DF2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noWrap w:val="0"/>
                  <w:vAlign w:val="center"/>
                </w:tcPr>
                <w:p w14:paraId="3C39E2D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低压母联柜</w:t>
                  </w:r>
                </w:p>
              </w:tc>
              <w:tc>
                <w:tcPr>
                  <w:tcW w:w="918" w:type="dxa"/>
                  <w:noWrap w:val="0"/>
                  <w:vAlign w:val="center"/>
                </w:tcPr>
                <w:p w14:paraId="3F39C1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688633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A1CB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261C0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205" w:type="dxa"/>
                  <w:noWrap w:val="0"/>
                  <w:vAlign w:val="center"/>
                </w:tcPr>
                <w:p w14:paraId="2E0E6E9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变压器轴流排风机及风扇控制箱</w:t>
                  </w:r>
                </w:p>
              </w:tc>
              <w:tc>
                <w:tcPr>
                  <w:tcW w:w="918" w:type="dxa"/>
                  <w:noWrap w:val="0"/>
                  <w:vAlign w:val="center"/>
                </w:tcPr>
                <w:p w14:paraId="223E3D0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A4CCCC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0B48C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26CC8C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205" w:type="dxa"/>
                  <w:noWrap w:val="0"/>
                  <w:vAlign w:val="center"/>
                </w:tcPr>
                <w:p w14:paraId="6078A01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直流屏</w:t>
                  </w:r>
                </w:p>
              </w:tc>
              <w:tc>
                <w:tcPr>
                  <w:tcW w:w="918" w:type="dxa"/>
                  <w:noWrap w:val="0"/>
                  <w:vAlign w:val="center"/>
                </w:tcPr>
                <w:p w14:paraId="350A141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778A8B5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3A31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FBDF8C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4205" w:type="dxa"/>
                  <w:noWrap w:val="0"/>
                  <w:vAlign w:val="center"/>
                </w:tcPr>
                <w:p w14:paraId="12C72C2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密集型母线槽</w:t>
                  </w:r>
                </w:p>
              </w:tc>
              <w:tc>
                <w:tcPr>
                  <w:tcW w:w="918" w:type="dxa"/>
                  <w:noWrap w:val="0"/>
                  <w:vAlign w:val="center"/>
                </w:tcPr>
                <w:p w14:paraId="46731CE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44A74DF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0296F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CE694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4205" w:type="dxa"/>
                  <w:noWrap w:val="0"/>
                  <w:vAlign w:val="center"/>
                </w:tcPr>
                <w:p w14:paraId="09ACF4D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配电间安全用品及安全工具</w:t>
                  </w:r>
                </w:p>
              </w:tc>
              <w:tc>
                <w:tcPr>
                  <w:tcW w:w="918" w:type="dxa"/>
                  <w:noWrap w:val="0"/>
                  <w:vAlign w:val="center"/>
                </w:tcPr>
                <w:p w14:paraId="02EB88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409A1C2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4C80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75674D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4205" w:type="dxa"/>
                  <w:noWrap w:val="0"/>
                  <w:vAlign w:val="center"/>
                </w:tcPr>
                <w:p w14:paraId="194A3AA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捕鼠装置</w:t>
                  </w:r>
                </w:p>
              </w:tc>
              <w:tc>
                <w:tcPr>
                  <w:tcW w:w="918" w:type="dxa"/>
                  <w:noWrap w:val="0"/>
                  <w:vAlign w:val="center"/>
                </w:tcPr>
                <w:p w14:paraId="5912E6D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05F356A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7E6CB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8C09F9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4205" w:type="dxa"/>
                  <w:noWrap w:val="0"/>
                  <w:vAlign w:val="center"/>
                </w:tcPr>
                <w:p w14:paraId="3658CD0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电工模拟板</w:t>
                  </w:r>
                </w:p>
              </w:tc>
              <w:tc>
                <w:tcPr>
                  <w:tcW w:w="918" w:type="dxa"/>
                  <w:noWrap w:val="0"/>
                  <w:vAlign w:val="center"/>
                </w:tcPr>
                <w:p w14:paraId="271F294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026185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F4C1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E77512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4205" w:type="dxa"/>
                  <w:noWrap w:val="0"/>
                  <w:vAlign w:val="center"/>
                </w:tcPr>
                <w:p w14:paraId="3623986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水泵按钮箱</w:t>
                  </w:r>
                </w:p>
              </w:tc>
              <w:tc>
                <w:tcPr>
                  <w:tcW w:w="918" w:type="dxa"/>
                  <w:noWrap w:val="0"/>
                  <w:vAlign w:val="center"/>
                </w:tcPr>
                <w:p w14:paraId="49A33B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只</w:t>
                  </w:r>
                </w:p>
              </w:tc>
              <w:tc>
                <w:tcPr>
                  <w:tcW w:w="1590" w:type="dxa"/>
                  <w:noWrap w:val="0"/>
                  <w:vAlign w:val="center"/>
                </w:tcPr>
                <w:p w14:paraId="532B6A1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59BEE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87C0C4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4205" w:type="dxa"/>
                  <w:noWrap w:val="0"/>
                  <w:vAlign w:val="center"/>
                </w:tcPr>
                <w:p w14:paraId="1377E5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进水闸工作闸门启闭机控制柜</w:t>
                  </w:r>
                </w:p>
              </w:tc>
              <w:tc>
                <w:tcPr>
                  <w:tcW w:w="918" w:type="dxa"/>
                  <w:noWrap w:val="0"/>
                  <w:vAlign w:val="center"/>
                </w:tcPr>
                <w:p w14:paraId="3AC04A5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2909AE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CE22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61C1C2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4205" w:type="dxa"/>
                  <w:noWrap w:val="0"/>
                  <w:vAlign w:val="center"/>
                </w:tcPr>
                <w:p w14:paraId="5C32C11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防洪闸门启闭机控制箱</w:t>
                  </w:r>
                </w:p>
              </w:tc>
              <w:tc>
                <w:tcPr>
                  <w:tcW w:w="918" w:type="dxa"/>
                  <w:noWrap w:val="0"/>
                  <w:vAlign w:val="center"/>
                </w:tcPr>
                <w:p w14:paraId="6D0FD5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E30816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1BBC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4DB97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4205" w:type="dxa"/>
                  <w:noWrap w:val="0"/>
                  <w:vAlign w:val="center"/>
                </w:tcPr>
                <w:p w14:paraId="4F2C3F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清污机及皮带机控制柜</w:t>
                  </w:r>
                </w:p>
              </w:tc>
              <w:tc>
                <w:tcPr>
                  <w:tcW w:w="918" w:type="dxa"/>
                  <w:noWrap w:val="0"/>
                  <w:vAlign w:val="center"/>
                </w:tcPr>
                <w:p w14:paraId="46B15E3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0E6E407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D96E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16A72A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4205" w:type="dxa"/>
                  <w:noWrap w:val="0"/>
                  <w:vAlign w:val="center"/>
                </w:tcPr>
                <w:p w14:paraId="584BBBD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泵室照明配电箱</w:t>
                  </w:r>
                </w:p>
              </w:tc>
              <w:tc>
                <w:tcPr>
                  <w:tcW w:w="918" w:type="dxa"/>
                  <w:noWrap w:val="0"/>
                  <w:vAlign w:val="center"/>
                </w:tcPr>
                <w:p w14:paraId="76AA8E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312ADAB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994D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3851BA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4205" w:type="dxa"/>
                  <w:noWrap w:val="0"/>
                  <w:vAlign w:val="center"/>
                </w:tcPr>
                <w:p w14:paraId="6C08E5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泵室检修箱，起重机、检修闸门、检修排水泵、检修插座等用电</w:t>
                  </w:r>
                </w:p>
              </w:tc>
              <w:tc>
                <w:tcPr>
                  <w:tcW w:w="918" w:type="dxa"/>
                  <w:noWrap w:val="0"/>
                  <w:vAlign w:val="center"/>
                </w:tcPr>
                <w:p w14:paraId="7E48F51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71F1718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46FA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968E9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4205" w:type="dxa"/>
                  <w:noWrap w:val="0"/>
                  <w:vAlign w:val="center"/>
                </w:tcPr>
                <w:p w14:paraId="4FD2EE4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检修闸门起吊设备控制箱</w:t>
                  </w:r>
                </w:p>
              </w:tc>
              <w:tc>
                <w:tcPr>
                  <w:tcW w:w="918" w:type="dxa"/>
                  <w:noWrap w:val="0"/>
                  <w:vAlign w:val="center"/>
                </w:tcPr>
                <w:p w14:paraId="26D7624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24237E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05E7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9D0921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w:t>
                  </w:r>
                </w:p>
              </w:tc>
              <w:tc>
                <w:tcPr>
                  <w:tcW w:w="4205" w:type="dxa"/>
                  <w:noWrap w:val="0"/>
                  <w:vAlign w:val="center"/>
                </w:tcPr>
                <w:p w14:paraId="68B2656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检修排水泵自动控制箱（带自动水位开关）</w:t>
                  </w:r>
                </w:p>
              </w:tc>
              <w:tc>
                <w:tcPr>
                  <w:tcW w:w="918" w:type="dxa"/>
                  <w:noWrap w:val="0"/>
                  <w:vAlign w:val="center"/>
                </w:tcPr>
                <w:p w14:paraId="0802DEE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09B438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3575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A28ED4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w:t>
                  </w:r>
                </w:p>
              </w:tc>
              <w:tc>
                <w:tcPr>
                  <w:tcW w:w="4205" w:type="dxa"/>
                  <w:noWrap w:val="0"/>
                  <w:vAlign w:val="center"/>
                </w:tcPr>
                <w:p w14:paraId="7179A4D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配电室双切电源箱</w:t>
                  </w:r>
                </w:p>
              </w:tc>
              <w:tc>
                <w:tcPr>
                  <w:tcW w:w="918" w:type="dxa"/>
                  <w:noWrap w:val="0"/>
                  <w:vAlign w:val="center"/>
                </w:tcPr>
                <w:p w14:paraId="18D6C5E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40AF116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62F3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9764EA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w:t>
                  </w:r>
                </w:p>
              </w:tc>
              <w:tc>
                <w:tcPr>
                  <w:tcW w:w="4205" w:type="dxa"/>
                  <w:noWrap w:val="0"/>
                  <w:vAlign w:val="center"/>
                </w:tcPr>
                <w:p w14:paraId="4A9BBA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控制室双切电源箱</w:t>
                  </w:r>
                </w:p>
              </w:tc>
              <w:tc>
                <w:tcPr>
                  <w:tcW w:w="918" w:type="dxa"/>
                  <w:noWrap w:val="0"/>
                  <w:vAlign w:val="center"/>
                </w:tcPr>
                <w:p w14:paraId="1E5E81C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2F503C9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942F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556CDA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w:t>
                  </w:r>
                </w:p>
              </w:tc>
              <w:tc>
                <w:tcPr>
                  <w:tcW w:w="4205" w:type="dxa"/>
                  <w:noWrap w:val="0"/>
                  <w:vAlign w:val="center"/>
                </w:tcPr>
                <w:p w14:paraId="156606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泵室辅助水泵双切电源箱</w:t>
                  </w:r>
                </w:p>
              </w:tc>
              <w:tc>
                <w:tcPr>
                  <w:tcW w:w="918" w:type="dxa"/>
                  <w:noWrap w:val="0"/>
                  <w:vAlign w:val="center"/>
                </w:tcPr>
                <w:p w14:paraId="06C127A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1863B3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0148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B6D63D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4205" w:type="dxa"/>
                  <w:noWrap w:val="0"/>
                  <w:vAlign w:val="center"/>
                </w:tcPr>
                <w:p w14:paraId="3372E64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渗漏排水泵自动控制箱</w:t>
                  </w:r>
                </w:p>
              </w:tc>
              <w:tc>
                <w:tcPr>
                  <w:tcW w:w="918" w:type="dxa"/>
                  <w:noWrap w:val="0"/>
                  <w:vAlign w:val="center"/>
                </w:tcPr>
                <w:p w14:paraId="1B4EF56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1E6E4C8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E5EC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A651CE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4205" w:type="dxa"/>
                  <w:noWrap w:val="0"/>
                  <w:vAlign w:val="center"/>
                </w:tcPr>
                <w:p w14:paraId="341F99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技术供水泵自动控制箱</w:t>
                  </w:r>
                </w:p>
              </w:tc>
              <w:tc>
                <w:tcPr>
                  <w:tcW w:w="918" w:type="dxa"/>
                  <w:noWrap w:val="0"/>
                  <w:vAlign w:val="center"/>
                </w:tcPr>
                <w:p w14:paraId="144E692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noWrap w:val="0"/>
                  <w:vAlign w:val="center"/>
                </w:tcPr>
                <w:p w14:paraId="4CD5C4D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D071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9665F7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p>
              </w:tc>
              <w:tc>
                <w:tcPr>
                  <w:tcW w:w="4205" w:type="dxa"/>
                  <w:noWrap w:val="0"/>
                  <w:vAlign w:val="center"/>
                </w:tcPr>
                <w:p w14:paraId="0B97FE2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智能火灾自动报警系统</w:t>
                  </w:r>
                </w:p>
              </w:tc>
              <w:tc>
                <w:tcPr>
                  <w:tcW w:w="918" w:type="dxa"/>
                  <w:noWrap w:val="0"/>
                  <w:vAlign w:val="center"/>
                </w:tcPr>
                <w:p w14:paraId="7B1F64A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15C6F42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A616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B03B3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4205" w:type="dxa"/>
                  <w:noWrap w:val="0"/>
                  <w:vAlign w:val="center"/>
                </w:tcPr>
                <w:p w14:paraId="5DEBAC5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应急照明及疏散指示系统</w:t>
                  </w:r>
                </w:p>
              </w:tc>
              <w:tc>
                <w:tcPr>
                  <w:tcW w:w="918" w:type="dxa"/>
                  <w:noWrap w:val="0"/>
                  <w:vAlign w:val="center"/>
                </w:tcPr>
                <w:p w14:paraId="077A466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4EBDAD5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016DA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13E49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p>
              </w:tc>
              <w:tc>
                <w:tcPr>
                  <w:tcW w:w="4205" w:type="dxa"/>
                  <w:noWrap w:val="0"/>
                  <w:vAlign w:val="center"/>
                </w:tcPr>
                <w:p w14:paraId="35F7A33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10kV电力电缆YJV22-8.7/15kV-3×150</w:t>
                  </w:r>
                </w:p>
              </w:tc>
              <w:tc>
                <w:tcPr>
                  <w:tcW w:w="918" w:type="dxa"/>
                  <w:noWrap w:val="0"/>
                  <w:vAlign w:val="center"/>
                </w:tcPr>
                <w:p w14:paraId="2DCDE9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45DCF8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10EB3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98A24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4205" w:type="dxa"/>
                  <w:noWrap w:val="0"/>
                  <w:vAlign w:val="center"/>
                </w:tcPr>
                <w:p w14:paraId="1B28C17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10kV电力电缆YJV22-8.7/15kV-3×120</w:t>
                  </w:r>
                </w:p>
              </w:tc>
              <w:tc>
                <w:tcPr>
                  <w:tcW w:w="918" w:type="dxa"/>
                  <w:noWrap w:val="0"/>
                  <w:vAlign w:val="center"/>
                </w:tcPr>
                <w:p w14:paraId="19CDD08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33AF57A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786CE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F371AD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w:t>
                  </w:r>
                </w:p>
              </w:tc>
              <w:tc>
                <w:tcPr>
                  <w:tcW w:w="4205" w:type="dxa"/>
                  <w:noWrap w:val="0"/>
                  <w:vAlign w:val="center"/>
                </w:tcPr>
                <w:p w14:paraId="11031B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10kV电力电缆主变压器TD1、TD2、联络柜</w:t>
                  </w:r>
                </w:p>
              </w:tc>
              <w:tc>
                <w:tcPr>
                  <w:tcW w:w="918" w:type="dxa"/>
                  <w:noWrap w:val="0"/>
                  <w:vAlign w:val="center"/>
                </w:tcPr>
                <w:p w14:paraId="6BC0C1A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5F1E8B4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3EA51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392558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w:t>
                  </w:r>
                </w:p>
              </w:tc>
              <w:tc>
                <w:tcPr>
                  <w:tcW w:w="4205" w:type="dxa"/>
                  <w:noWrap w:val="0"/>
                  <w:vAlign w:val="center"/>
                </w:tcPr>
                <w:p w14:paraId="4284DC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1kV电力电缆2（YJV-0.6/1kV-3×120+1×70）</w:t>
                  </w:r>
                </w:p>
              </w:tc>
              <w:tc>
                <w:tcPr>
                  <w:tcW w:w="918" w:type="dxa"/>
                  <w:noWrap w:val="0"/>
                  <w:vAlign w:val="center"/>
                </w:tcPr>
                <w:p w14:paraId="2BD1237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46A7A1F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w:t>
                  </w:r>
                </w:p>
              </w:tc>
            </w:tr>
            <w:tr w14:paraId="54122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1F005C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w:t>
                  </w:r>
                </w:p>
              </w:tc>
              <w:tc>
                <w:tcPr>
                  <w:tcW w:w="4205" w:type="dxa"/>
                  <w:noWrap w:val="0"/>
                  <w:vAlign w:val="center"/>
                </w:tcPr>
                <w:p w14:paraId="2C5FF84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1kV电力电缆NH-YJV-0.6/1kV-5×10</w:t>
                  </w:r>
                </w:p>
              </w:tc>
              <w:tc>
                <w:tcPr>
                  <w:tcW w:w="918" w:type="dxa"/>
                  <w:noWrap w:val="0"/>
                  <w:vAlign w:val="center"/>
                </w:tcPr>
                <w:p w14:paraId="45B84B1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72D68B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75FE2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15D4D5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w:t>
                  </w:r>
                </w:p>
              </w:tc>
              <w:tc>
                <w:tcPr>
                  <w:tcW w:w="4205" w:type="dxa"/>
                  <w:noWrap w:val="0"/>
                  <w:vAlign w:val="center"/>
                </w:tcPr>
                <w:p w14:paraId="5282FE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1kV电力电缆ZR-YJV-0.6/1kV-5×10</w:t>
                  </w:r>
                </w:p>
              </w:tc>
              <w:tc>
                <w:tcPr>
                  <w:tcW w:w="918" w:type="dxa"/>
                  <w:noWrap w:val="0"/>
                  <w:vAlign w:val="center"/>
                </w:tcPr>
                <w:p w14:paraId="26D39A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0330984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4DB75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E1754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4205" w:type="dxa"/>
                  <w:noWrap w:val="0"/>
                  <w:vAlign w:val="center"/>
                </w:tcPr>
                <w:p w14:paraId="55306CA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1kV电力电缆ZRYJV-0.6/1kV-3×35+1×16</w:t>
                  </w:r>
                </w:p>
              </w:tc>
              <w:tc>
                <w:tcPr>
                  <w:tcW w:w="918" w:type="dxa"/>
                  <w:noWrap w:val="0"/>
                  <w:vAlign w:val="center"/>
                </w:tcPr>
                <w:p w14:paraId="2A76175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3AE0F97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15225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58129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w:t>
                  </w:r>
                </w:p>
              </w:tc>
              <w:tc>
                <w:tcPr>
                  <w:tcW w:w="4205" w:type="dxa"/>
                  <w:noWrap w:val="0"/>
                  <w:vAlign w:val="center"/>
                </w:tcPr>
                <w:p w14:paraId="0A2ECB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1kV电力电缆YJV22-0.6/1kV-4x16</w:t>
                  </w:r>
                </w:p>
              </w:tc>
              <w:tc>
                <w:tcPr>
                  <w:tcW w:w="918" w:type="dxa"/>
                  <w:noWrap w:val="0"/>
                  <w:vAlign w:val="center"/>
                </w:tcPr>
                <w:p w14:paraId="067B90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2A7F4B4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5DB51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7D4285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w:t>
                  </w:r>
                </w:p>
              </w:tc>
              <w:tc>
                <w:tcPr>
                  <w:tcW w:w="4205" w:type="dxa"/>
                  <w:noWrap w:val="0"/>
                  <w:vAlign w:val="center"/>
                </w:tcPr>
                <w:p w14:paraId="6F59E0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1kV电力电缆YJV22-0.6/1kV-4x10</w:t>
                  </w:r>
                </w:p>
              </w:tc>
              <w:tc>
                <w:tcPr>
                  <w:tcW w:w="918" w:type="dxa"/>
                  <w:noWrap w:val="0"/>
                  <w:vAlign w:val="center"/>
                </w:tcPr>
                <w:p w14:paraId="74B0C1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14C20AD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w:t>
                  </w:r>
                </w:p>
              </w:tc>
            </w:tr>
            <w:tr w14:paraId="15E46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C9BBA8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w:t>
                  </w:r>
                </w:p>
              </w:tc>
              <w:tc>
                <w:tcPr>
                  <w:tcW w:w="4205" w:type="dxa"/>
                  <w:noWrap w:val="0"/>
                  <w:vAlign w:val="center"/>
                </w:tcPr>
                <w:p w14:paraId="2802CED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1kV电力电缆ZR-YJV-0.6/1kV-5×6</w:t>
                  </w:r>
                </w:p>
              </w:tc>
              <w:tc>
                <w:tcPr>
                  <w:tcW w:w="918" w:type="dxa"/>
                  <w:noWrap w:val="0"/>
                  <w:vAlign w:val="center"/>
                </w:tcPr>
                <w:p w14:paraId="0B4291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49C3C85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w:t>
                  </w:r>
                </w:p>
              </w:tc>
            </w:tr>
            <w:tr w14:paraId="5C502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D5775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w:t>
                  </w:r>
                </w:p>
              </w:tc>
              <w:tc>
                <w:tcPr>
                  <w:tcW w:w="4205" w:type="dxa"/>
                  <w:noWrap w:val="0"/>
                  <w:vAlign w:val="center"/>
                </w:tcPr>
                <w:p w14:paraId="14EBC2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1kV电力电缆ZRNH-BV-3×2.5/3×4</w:t>
                  </w:r>
                </w:p>
              </w:tc>
              <w:tc>
                <w:tcPr>
                  <w:tcW w:w="918" w:type="dxa"/>
                  <w:noWrap w:val="0"/>
                  <w:vAlign w:val="center"/>
                </w:tcPr>
                <w:p w14:paraId="62DFF3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6A0D930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3D36C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B3F8A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w:t>
                  </w:r>
                </w:p>
              </w:tc>
              <w:tc>
                <w:tcPr>
                  <w:tcW w:w="4205" w:type="dxa"/>
                  <w:noWrap w:val="0"/>
                  <w:vAlign w:val="center"/>
                </w:tcPr>
                <w:p w14:paraId="758922E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控制电缆KVV-450/750V-7×1.5</w:t>
                  </w:r>
                </w:p>
              </w:tc>
              <w:tc>
                <w:tcPr>
                  <w:tcW w:w="918" w:type="dxa"/>
                  <w:noWrap w:val="0"/>
                  <w:vAlign w:val="center"/>
                </w:tcPr>
                <w:p w14:paraId="565D960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74865D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1C05E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B78169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c>
                <w:tcPr>
                  <w:tcW w:w="4205" w:type="dxa"/>
                  <w:noWrap w:val="0"/>
                  <w:vAlign w:val="center"/>
                </w:tcPr>
                <w:p w14:paraId="59AD720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控制电缆KVV-450/750V-10×1.5</w:t>
                  </w:r>
                </w:p>
              </w:tc>
              <w:tc>
                <w:tcPr>
                  <w:tcW w:w="918" w:type="dxa"/>
                  <w:noWrap w:val="0"/>
                  <w:vAlign w:val="center"/>
                </w:tcPr>
                <w:p w14:paraId="2403820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1D6343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585A6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D94124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p>
              </w:tc>
              <w:tc>
                <w:tcPr>
                  <w:tcW w:w="4205" w:type="dxa"/>
                  <w:noWrap w:val="0"/>
                  <w:vAlign w:val="center"/>
                </w:tcPr>
                <w:p w14:paraId="7A7FFD7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控制电缆KVV-450/750V-18×1.5</w:t>
                  </w:r>
                </w:p>
              </w:tc>
              <w:tc>
                <w:tcPr>
                  <w:tcW w:w="918" w:type="dxa"/>
                  <w:noWrap w:val="0"/>
                  <w:vAlign w:val="center"/>
                </w:tcPr>
                <w:p w14:paraId="3D6A128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1941C52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0C17B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235F2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w:t>
                  </w:r>
                </w:p>
              </w:tc>
              <w:tc>
                <w:tcPr>
                  <w:tcW w:w="4205" w:type="dxa"/>
                  <w:noWrap w:val="0"/>
                  <w:vAlign w:val="center"/>
                </w:tcPr>
                <w:p w14:paraId="6091E2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砖砌电缆沟及电缆支架800*1000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noWrap w:val="0"/>
                  <w:vAlign w:val="center"/>
                </w:tcPr>
                <w:p w14:paraId="326E9AD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55038CD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14:paraId="3C2B4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4C68D1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4205" w:type="dxa"/>
                  <w:noWrap w:val="0"/>
                  <w:vAlign w:val="center"/>
                </w:tcPr>
                <w:p w14:paraId="6281C5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电缆槽盒300×150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noWrap w:val="0"/>
                  <w:vAlign w:val="center"/>
                </w:tcPr>
                <w:p w14:paraId="2409F4F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25E2D6C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0845D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8E5781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4205" w:type="dxa"/>
                  <w:noWrap w:val="0"/>
                  <w:vAlign w:val="center"/>
                </w:tcPr>
                <w:p w14:paraId="06A8CE2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电缆槽盒500×150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noWrap w:val="0"/>
                  <w:vAlign w:val="center"/>
                </w:tcPr>
                <w:p w14:paraId="525FD21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noWrap w:val="0"/>
                  <w:vAlign w:val="center"/>
                </w:tcPr>
                <w:p w14:paraId="0EDCE6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1C4CC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933F8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w:t>
                  </w:r>
                </w:p>
              </w:tc>
              <w:tc>
                <w:tcPr>
                  <w:tcW w:w="4205" w:type="dxa"/>
                  <w:noWrap w:val="0"/>
                  <w:vAlign w:val="center"/>
                </w:tcPr>
                <w:p w14:paraId="3FD3033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镀锌钢管SC32/40/50/80/100</w:t>
                  </w:r>
                </w:p>
              </w:tc>
              <w:tc>
                <w:tcPr>
                  <w:tcW w:w="918" w:type="dxa"/>
                  <w:noWrap w:val="0"/>
                  <w:vAlign w:val="center"/>
                </w:tcPr>
                <w:p w14:paraId="078DB52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77A52B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r>
            <w:tr w14:paraId="70B99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D23640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w:t>
                  </w:r>
                </w:p>
              </w:tc>
              <w:tc>
                <w:tcPr>
                  <w:tcW w:w="4205" w:type="dxa"/>
                  <w:noWrap w:val="0"/>
                  <w:vAlign w:val="center"/>
                </w:tcPr>
                <w:p w14:paraId="6D57764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塑料厚壁波纹管</w:t>
                  </w:r>
                </w:p>
              </w:tc>
              <w:tc>
                <w:tcPr>
                  <w:tcW w:w="918" w:type="dxa"/>
                  <w:noWrap w:val="0"/>
                  <w:vAlign w:val="center"/>
                </w:tcPr>
                <w:p w14:paraId="028A885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7839B9A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5F4E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EB901A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w:t>
                  </w:r>
                </w:p>
              </w:tc>
              <w:tc>
                <w:tcPr>
                  <w:tcW w:w="4205" w:type="dxa"/>
                  <w:noWrap w:val="0"/>
                  <w:vAlign w:val="center"/>
                </w:tcPr>
                <w:p w14:paraId="394434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型钢</w:t>
                  </w:r>
                </w:p>
              </w:tc>
              <w:tc>
                <w:tcPr>
                  <w:tcW w:w="918" w:type="dxa"/>
                  <w:noWrap w:val="0"/>
                  <w:vAlign w:val="center"/>
                </w:tcPr>
                <w:p w14:paraId="043C758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4F979E1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r>
            <w:tr w14:paraId="7ECDA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9741AA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w:t>
                  </w:r>
                </w:p>
              </w:tc>
              <w:tc>
                <w:tcPr>
                  <w:tcW w:w="4205" w:type="dxa"/>
                  <w:noWrap w:val="0"/>
                  <w:vAlign w:val="center"/>
                </w:tcPr>
                <w:p w14:paraId="25C7A20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电缆手孔井1000×1000×1000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noWrap w:val="0"/>
                  <w:vAlign w:val="center"/>
                </w:tcPr>
                <w:p w14:paraId="0F6DFC2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只</w:t>
                  </w:r>
                </w:p>
              </w:tc>
              <w:tc>
                <w:tcPr>
                  <w:tcW w:w="1590" w:type="dxa"/>
                  <w:noWrap w:val="0"/>
                  <w:vAlign w:val="center"/>
                </w:tcPr>
                <w:p w14:paraId="43C25EA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6B3C4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C222CD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w:t>
                  </w:r>
                </w:p>
              </w:tc>
              <w:tc>
                <w:tcPr>
                  <w:tcW w:w="4205" w:type="dxa"/>
                  <w:noWrap w:val="0"/>
                  <w:vAlign w:val="center"/>
                </w:tcPr>
                <w:p w14:paraId="6CD2117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室外太阳能路灯</w:t>
                  </w:r>
                </w:p>
              </w:tc>
              <w:tc>
                <w:tcPr>
                  <w:tcW w:w="918" w:type="dxa"/>
                  <w:noWrap w:val="0"/>
                  <w:vAlign w:val="center"/>
                </w:tcPr>
                <w:p w14:paraId="77262A1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只</w:t>
                  </w:r>
                </w:p>
              </w:tc>
              <w:tc>
                <w:tcPr>
                  <w:tcW w:w="1590" w:type="dxa"/>
                  <w:noWrap w:val="0"/>
                  <w:vAlign w:val="center"/>
                </w:tcPr>
                <w:p w14:paraId="696A5D3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21F34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091E35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w:t>
                  </w:r>
                </w:p>
              </w:tc>
              <w:tc>
                <w:tcPr>
                  <w:tcW w:w="4205" w:type="dxa"/>
                  <w:noWrap w:val="0"/>
                  <w:vAlign w:val="center"/>
                </w:tcPr>
                <w:p w14:paraId="44142E7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设备安装辅材</w:t>
                  </w:r>
                </w:p>
              </w:tc>
              <w:tc>
                <w:tcPr>
                  <w:tcW w:w="918" w:type="dxa"/>
                  <w:noWrap w:val="0"/>
                  <w:vAlign w:val="center"/>
                </w:tcPr>
                <w:p w14:paraId="05E5F1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noWrap w:val="0"/>
                  <w:vAlign w:val="center"/>
                </w:tcPr>
                <w:p w14:paraId="281E56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E5CE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CE8C0A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noWrap w:val="0"/>
                  <w:vAlign w:val="center"/>
                </w:tcPr>
                <w:p w14:paraId="1D05136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第三部分 金属结构设备及安装工程</w:t>
                  </w:r>
                </w:p>
              </w:tc>
              <w:tc>
                <w:tcPr>
                  <w:tcW w:w="918" w:type="dxa"/>
                  <w:noWrap w:val="0"/>
                  <w:vAlign w:val="center"/>
                </w:tcPr>
                <w:p w14:paraId="58267D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03E87A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3505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FC6BDB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205" w:type="dxa"/>
                  <w:noWrap w:val="0"/>
                  <w:vAlign w:val="center"/>
                </w:tcPr>
                <w:p w14:paraId="1165D93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西部新城排涝泵站工程</w:t>
                  </w:r>
                </w:p>
              </w:tc>
              <w:tc>
                <w:tcPr>
                  <w:tcW w:w="918" w:type="dxa"/>
                  <w:noWrap w:val="0"/>
                  <w:vAlign w:val="center"/>
                </w:tcPr>
                <w:p w14:paraId="3AA2B42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383C461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8C78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E6F06F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3F2569B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noWrap w:val="0"/>
                  <w:vAlign w:val="center"/>
                </w:tcPr>
                <w:p w14:paraId="6E57BD5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716291C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518C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005BA7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noWrap w:val="0"/>
                  <w:vAlign w:val="center"/>
                </w:tcPr>
                <w:p w14:paraId="4EBA8BB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闸门设备及安装</w:t>
                  </w:r>
                </w:p>
              </w:tc>
              <w:tc>
                <w:tcPr>
                  <w:tcW w:w="918" w:type="dxa"/>
                  <w:noWrap w:val="0"/>
                  <w:vAlign w:val="center"/>
                </w:tcPr>
                <w:p w14:paraId="6FFA8BE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2174A97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D31C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15E5F6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4E7EAA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进水侧工作闸门 孔口尺寸3.0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（净宽×净高），主材Q355B，露顶式平面定轮钢闸门</w:t>
                  </w:r>
                </w:p>
              </w:tc>
              <w:tc>
                <w:tcPr>
                  <w:tcW w:w="918" w:type="dxa"/>
                  <w:noWrap w:val="0"/>
                  <w:vAlign w:val="center"/>
                </w:tcPr>
                <w:p w14:paraId="644D6F7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2B92D8D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r>
            <w:tr w14:paraId="30430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25E05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7BD4421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进水侧闸门埋件 Q355B组焊，止水座面贴焊不锈钢</w:t>
                  </w:r>
                </w:p>
              </w:tc>
              <w:tc>
                <w:tcPr>
                  <w:tcW w:w="918" w:type="dxa"/>
                  <w:noWrap w:val="0"/>
                  <w:vAlign w:val="center"/>
                </w:tcPr>
                <w:p w14:paraId="6CB4B21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5D2CCFD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w:t>
                  </w:r>
                </w:p>
              </w:tc>
            </w:tr>
            <w:tr w14:paraId="0766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FD1334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6FD3E1F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泵室进水口固定防护栅及埋件 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（净宽×净高），主材Q235B</w:t>
                  </w:r>
                </w:p>
              </w:tc>
              <w:tc>
                <w:tcPr>
                  <w:tcW w:w="918" w:type="dxa"/>
                  <w:noWrap w:val="0"/>
                  <w:vAlign w:val="center"/>
                </w:tcPr>
                <w:p w14:paraId="06477BC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714AE5B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w:t>
                  </w:r>
                </w:p>
              </w:tc>
            </w:tr>
            <w:tr w14:paraId="5CD3B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6B2020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700C4F6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泵室进水口检修闸门孔口尺寸3.5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（净宽×净高），主材Q355B，潜孔式平面定轮钢闸门</w:t>
                  </w:r>
                </w:p>
              </w:tc>
              <w:tc>
                <w:tcPr>
                  <w:tcW w:w="918" w:type="dxa"/>
                  <w:noWrap w:val="0"/>
                  <w:vAlign w:val="center"/>
                </w:tcPr>
                <w:p w14:paraId="448A612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7FC829B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r>
            <w:tr w14:paraId="60EA5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0E8990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6DDCF16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泵室进水口检修闸门埋件Q355B组焊，止水座面贴焊不锈钢</w:t>
                  </w:r>
                </w:p>
              </w:tc>
              <w:tc>
                <w:tcPr>
                  <w:tcW w:w="918" w:type="dxa"/>
                  <w:noWrap w:val="0"/>
                  <w:vAlign w:val="center"/>
                </w:tcPr>
                <w:p w14:paraId="45122C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22CE379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r>
            <w:tr w14:paraId="10EE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BE750E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noWrap w:val="0"/>
                  <w:vAlign w:val="center"/>
                </w:tcPr>
                <w:p w14:paraId="1CD2E4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锁定钢梁工字钢临时锁定</w:t>
                  </w:r>
                </w:p>
              </w:tc>
              <w:tc>
                <w:tcPr>
                  <w:tcW w:w="918" w:type="dxa"/>
                  <w:noWrap w:val="0"/>
                  <w:vAlign w:val="center"/>
                </w:tcPr>
                <w:p w14:paraId="2992D31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10C12E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2AD70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07ED55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noWrap w:val="0"/>
                  <w:vAlign w:val="center"/>
                </w:tcPr>
                <w:p w14:paraId="29F73B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外河侧防洪事闸门 孔口尺寸3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（宽×高），主材Q355B，潜孔平面定轮门</w:t>
                  </w:r>
                </w:p>
              </w:tc>
              <w:tc>
                <w:tcPr>
                  <w:tcW w:w="918" w:type="dxa"/>
                  <w:noWrap w:val="0"/>
                  <w:vAlign w:val="center"/>
                </w:tcPr>
                <w:p w14:paraId="2B7D6E3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68C45EB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6.4</w:t>
                  </w:r>
                </w:p>
              </w:tc>
            </w:tr>
            <w:tr w14:paraId="6C7A1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76D6989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noWrap w:val="0"/>
                  <w:vAlign w:val="center"/>
                </w:tcPr>
                <w:p w14:paraId="53BF36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外河侧防洪闸门埋件 Q355B组焊，止水座面贴焊不锈钢</w:t>
                  </w:r>
                </w:p>
              </w:tc>
              <w:tc>
                <w:tcPr>
                  <w:tcW w:w="918" w:type="dxa"/>
                  <w:noWrap w:val="0"/>
                  <w:vAlign w:val="center"/>
                </w:tcPr>
                <w:p w14:paraId="196A5D1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18BAC83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47661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A2A23F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noWrap w:val="0"/>
                  <w:vAlign w:val="center"/>
                </w:tcPr>
                <w:p w14:paraId="3A911A2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启闭设备及安装工程</w:t>
                  </w:r>
                </w:p>
              </w:tc>
              <w:tc>
                <w:tcPr>
                  <w:tcW w:w="918" w:type="dxa"/>
                  <w:noWrap w:val="0"/>
                  <w:vAlign w:val="center"/>
                </w:tcPr>
                <w:p w14:paraId="18230E8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7E24A89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475C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B64078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2AABA9B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进水侧启闭机QP-125kN-6</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闭式卷扬启闭机，Q2级别，不锈钢钢丝绳，含行程检测、行程保护、荷载保护装置</w:t>
                  </w:r>
                </w:p>
              </w:tc>
              <w:tc>
                <w:tcPr>
                  <w:tcW w:w="918" w:type="dxa"/>
                  <w:noWrap w:val="0"/>
                  <w:vAlign w:val="center"/>
                </w:tcPr>
                <w:p w14:paraId="5BD75CE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2B0B60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6770D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839AB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7CA18C2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外河侧防洪闸门启闭机QL-125kN(启）/63kN(闭）-3.1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-SD手电两用螺杆启闭机，减速电机直联型式，自带行程、荷载保护</w:t>
                  </w:r>
                </w:p>
              </w:tc>
              <w:tc>
                <w:tcPr>
                  <w:tcW w:w="918" w:type="dxa"/>
                  <w:noWrap w:val="0"/>
                  <w:vAlign w:val="center"/>
                </w:tcPr>
                <w:p w14:paraId="2DAA120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6778BD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983A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B2AF93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205" w:type="dxa"/>
                  <w:noWrap w:val="0"/>
                  <w:vAlign w:val="center"/>
                </w:tcPr>
                <w:p w14:paraId="6093AE2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拦污清污设备及安装工程</w:t>
                  </w:r>
                </w:p>
              </w:tc>
              <w:tc>
                <w:tcPr>
                  <w:tcW w:w="918" w:type="dxa"/>
                  <w:noWrap w:val="0"/>
                  <w:vAlign w:val="center"/>
                </w:tcPr>
                <w:p w14:paraId="1C27D56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2607A7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5444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5B881EB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5A477B5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回转式清污机HG-3.0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×5.6</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（宽×高），结构件、运转件均为不锈钢，减速器进口件</w:t>
                  </w:r>
                </w:p>
              </w:tc>
              <w:tc>
                <w:tcPr>
                  <w:tcW w:w="918" w:type="dxa"/>
                  <w:noWrap w:val="0"/>
                  <w:vAlign w:val="center"/>
                </w:tcPr>
                <w:p w14:paraId="001047F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1653E33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36A8A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BDEFB3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6AEC7A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皮带输送机，宽0.8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，长约15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noWrap w:val="0"/>
                  <w:vAlign w:val="center"/>
                </w:tcPr>
                <w:p w14:paraId="2811E47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06476C8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E655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94A1FA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205" w:type="dxa"/>
                  <w:noWrap w:val="0"/>
                  <w:vAlign w:val="center"/>
                </w:tcPr>
                <w:p w14:paraId="486B654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其他设备及安装工程</w:t>
                  </w:r>
                </w:p>
              </w:tc>
              <w:tc>
                <w:tcPr>
                  <w:tcW w:w="918" w:type="dxa"/>
                  <w:noWrap w:val="0"/>
                  <w:vAlign w:val="center"/>
                </w:tcPr>
                <w:p w14:paraId="182A42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noWrap w:val="0"/>
                  <w:vAlign w:val="center"/>
                </w:tcPr>
                <w:p w14:paraId="61961DF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B5D8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EC659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noWrap w:val="0"/>
                  <w:vAlign w:val="center"/>
                </w:tcPr>
                <w:p w14:paraId="1F5FE5D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起吊设备2×50kN-8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移动式卷扬启闭机，轨道长度约24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，含机械式自动挂脱梁</w:t>
                  </w:r>
                </w:p>
              </w:tc>
              <w:tc>
                <w:tcPr>
                  <w:tcW w:w="918" w:type="dxa"/>
                  <w:noWrap w:val="0"/>
                  <w:vAlign w:val="center"/>
                </w:tcPr>
                <w:p w14:paraId="6224B83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209152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70AA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EE5C08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noWrap w:val="0"/>
                  <w:vAlign w:val="center"/>
                </w:tcPr>
                <w:p w14:paraId="0843258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电动蝶阀DN1000，1.0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pa，含安装附件</w:t>
                  </w:r>
                </w:p>
              </w:tc>
              <w:tc>
                <w:tcPr>
                  <w:tcW w:w="918" w:type="dxa"/>
                  <w:noWrap w:val="0"/>
                  <w:vAlign w:val="center"/>
                </w:tcPr>
                <w:p w14:paraId="5CFD0EC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noWrap w:val="0"/>
                  <w:vAlign w:val="center"/>
                </w:tcPr>
                <w:p w14:paraId="7D8B28E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131AF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7BBCF5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noWrap w:val="0"/>
                  <w:vAlign w:val="center"/>
                </w:tcPr>
                <w:p w14:paraId="554DFB9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伸缩节C2F-1，DN1000，1.0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pa，含安装附件</w:t>
                  </w:r>
                </w:p>
              </w:tc>
              <w:tc>
                <w:tcPr>
                  <w:tcW w:w="918" w:type="dxa"/>
                  <w:noWrap w:val="0"/>
                  <w:vAlign w:val="center"/>
                </w:tcPr>
                <w:p w14:paraId="3DEB9AB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noWrap w:val="0"/>
                  <w:vAlign w:val="center"/>
                </w:tcPr>
                <w:p w14:paraId="13368DD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77C11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6A83053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noWrap w:val="0"/>
                  <w:vAlign w:val="center"/>
                </w:tcPr>
                <w:p w14:paraId="01E9785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刚性防水翼环适用</w:t>
                  </w:r>
                </w:p>
              </w:tc>
              <w:tc>
                <w:tcPr>
                  <w:tcW w:w="918" w:type="dxa"/>
                  <w:noWrap w:val="0"/>
                  <w:vAlign w:val="center"/>
                </w:tcPr>
                <w:p w14:paraId="0953D2D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noWrap w:val="0"/>
                  <w:vAlign w:val="center"/>
                </w:tcPr>
                <w:p w14:paraId="226916D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32F63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102595C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noWrap w:val="0"/>
                  <w:vAlign w:val="center"/>
                </w:tcPr>
                <w:p w14:paraId="4295D37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侧翻式圆形钢拍门DN1400</w:t>
                  </w:r>
                </w:p>
              </w:tc>
              <w:tc>
                <w:tcPr>
                  <w:tcW w:w="918" w:type="dxa"/>
                  <w:noWrap w:val="0"/>
                  <w:vAlign w:val="center"/>
                </w:tcPr>
                <w:p w14:paraId="3000481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扇</w:t>
                  </w:r>
                </w:p>
              </w:tc>
              <w:tc>
                <w:tcPr>
                  <w:tcW w:w="1590" w:type="dxa"/>
                  <w:noWrap w:val="0"/>
                  <w:vAlign w:val="center"/>
                </w:tcPr>
                <w:p w14:paraId="1FD5703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70800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47FB81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noWrap w:val="0"/>
                  <w:vAlign w:val="center"/>
                </w:tcPr>
                <w:p w14:paraId="38C6C4B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镀锌钢管DN200，δ=6</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noWrap w:val="0"/>
                  <w:vAlign w:val="center"/>
                </w:tcPr>
                <w:p w14:paraId="1A65E95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39ECC1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r>
            <w:tr w14:paraId="28D43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5A249A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noWrap w:val="0"/>
                  <w:vAlign w:val="center"/>
                </w:tcPr>
                <w:p w14:paraId="2C4FA38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焊接钢管DN1000，δ=10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，含法兰、法兰垫片和螺栓</w:t>
                  </w:r>
                </w:p>
              </w:tc>
              <w:tc>
                <w:tcPr>
                  <w:tcW w:w="918" w:type="dxa"/>
                  <w:noWrap w:val="0"/>
                  <w:vAlign w:val="center"/>
                </w:tcPr>
                <w:p w14:paraId="3565123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21E18A1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77846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2CC841E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noWrap w:val="0"/>
                  <w:vAlign w:val="center"/>
                </w:tcPr>
                <w:p w14:paraId="49B158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渐扩钢管DN1000×DN1400，δ=14</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，L=2.1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，含法兰、法兰垫片和螺栓</w:t>
                  </w:r>
                </w:p>
              </w:tc>
              <w:tc>
                <w:tcPr>
                  <w:tcW w:w="918" w:type="dxa"/>
                  <w:noWrap w:val="0"/>
                  <w:vAlign w:val="center"/>
                </w:tcPr>
                <w:p w14:paraId="7C0D9C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noWrap w:val="0"/>
                  <w:vAlign w:val="center"/>
                </w:tcPr>
                <w:p w14:paraId="1C4A6E1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6BAC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4CD740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noWrap w:val="0"/>
                  <w:vAlign w:val="center"/>
                </w:tcPr>
                <w:p w14:paraId="55B73BF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检修人孔钢盖板</w:t>
                  </w:r>
                </w:p>
              </w:tc>
              <w:tc>
                <w:tcPr>
                  <w:tcW w:w="918" w:type="dxa"/>
                  <w:noWrap w:val="0"/>
                  <w:vAlign w:val="center"/>
                </w:tcPr>
                <w:p w14:paraId="1A7173B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0A5C4F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7B40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4A4213E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205" w:type="dxa"/>
                  <w:noWrap w:val="0"/>
                  <w:vAlign w:val="center"/>
                </w:tcPr>
                <w:p w14:paraId="6DC45F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柔性防水套管，DN1400</w:t>
                  </w:r>
                </w:p>
              </w:tc>
              <w:tc>
                <w:tcPr>
                  <w:tcW w:w="918" w:type="dxa"/>
                  <w:noWrap w:val="0"/>
                  <w:vAlign w:val="center"/>
                </w:tcPr>
                <w:p w14:paraId="384AA50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noWrap w:val="0"/>
                  <w:vAlign w:val="center"/>
                </w:tcPr>
                <w:p w14:paraId="4B68C1D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0B9BE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072D3C7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noWrap w:val="0"/>
                  <w:vAlign w:val="center"/>
                </w:tcPr>
                <w:p w14:paraId="5E53E1A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不锈钢钢制水箱</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3/s，2（长）×1.5（宽）×2（高）</w:t>
                  </w:r>
                </w:p>
              </w:tc>
              <w:tc>
                <w:tcPr>
                  <w:tcW w:w="918" w:type="dxa"/>
                  <w:noWrap w:val="0"/>
                  <w:vAlign w:val="center"/>
                </w:tcPr>
                <w:p w14:paraId="384194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noWrap w:val="0"/>
                  <w:vAlign w:val="center"/>
                </w:tcPr>
                <w:p w14:paraId="4F5C5CD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C367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noWrap w:val="0"/>
                  <w:vAlign w:val="center"/>
                </w:tcPr>
                <w:p w14:paraId="371573C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noWrap w:val="0"/>
                  <w:vAlign w:val="center"/>
                </w:tcPr>
                <w:p w14:paraId="548A48C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支、吊钢架</w:t>
                  </w:r>
                </w:p>
              </w:tc>
              <w:tc>
                <w:tcPr>
                  <w:tcW w:w="918" w:type="dxa"/>
                  <w:noWrap w:val="0"/>
                  <w:vAlign w:val="center"/>
                </w:tcPr>
                <w:p w14:paraId="4026127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noWrap w:val="0"/>
                  <w:vAlign w:val="center"/>
                </w:tcPr>
                <w:p w14:paraId="5F0971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bl>
          <w:p w14:paraId="7FF66701">
            <w:pPr>
              <w:keepNext w:val="0"/>
              <w:keepLines w:val="0"/>
              <w:pageBreakBefore w:val="0"/>
              <w:widowControl/>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表2-23  戴家河片排涝能力提升工程主要工程量</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4463"/>
              <w:gridCol w:w="1154"/>
              <w:gridCol w:w="1278"/>
            </w:tblGrid>
            <w:tr w14:paraId="6D1D4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1F7923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bookmarkStart w:id="20" w:name="5.6.2城区排涝通道整治工程主要工程量"/>
                  <w:bookmarkEnd w:id="20"/>
                  <w:bookmarkStart w:id="21" w:name="5.6.2城区排涝通道整治工程主要工程量"/>
                  <w:bookmarkEnd w:id="21"/>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4463" w:type="dxa"/>
                  <w:noWrap w:val="0"/>
                  <w:vAlign w:val="center"/>
                </w:tcPr>
                <w:p w14:paraId="238808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工程或费用名称</w:t>
                  </w:r>
                </w:p>
              </w:tc>
              <w:tc>
                <w:tcPr>
                  <w:tcW w:w="1154" w:type="dxa"/>
                  <w:noWrap w:val="0"/>
                  <w:vAlign w:val="center"/>
                </w:tcPr>
                <w:p w14:paraId="13505A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278" w:type="dxa"/>
                  <w:noWrap w:val="0"/>
                  <w:vAlign w:val="center"/>
                </w:tcPr>
                <w:p w14:paraId="0AD0DA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74C50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6C92836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463" w:type="dxa"/>
                  <w:noWrap w:val="0"/>
                  <w:vAlign w:val="center"/>
                </w:tcPr>
                <w:p w14:paraId="3F1B07F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 建筑工程</w:t>
                  </w:r>
                </w:p>
              </w:tc>
              <w:tc>
                <w:tcPr>
                  <w:tcW w:w="1154" w:type="dxa"/>
                  <w:noWrap w:val="0"/>
                  <w:vAlign w:val="center"/>
                </w:tcPr>
                <w:p w14:paraId="3BFABA5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7AA1D9B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7EE8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1129BF8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463" w:type="dxa"/>
                  <w:noWrap w:val="0"/>
                  <w:vAlign w:val="center"/>
                </w:tcPr>
                <w:p w14:paraId="3A67D1C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排涝沟整治</w:t>
                  </w:r>
                </w:p>
              </w:tc>
              <w:tc>
                <w:tcPr>
                  <w:tcW w:w="1154" w:type="dxa"/>
                  <w:noWrap w:val="0"/>
                  <w:vAlign w:val="center"/>
                </w:tcPr>
                <w:p w14:paraId="087D9A5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249BDA8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FE67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5E99CBD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w:t>
                  </w:r>
                </w:p>
              </w:tc>
              <w:tc>
                <w:tcPr>
                  <w:tcW w:w="4463" w:type="dxa"/>
                  <w:noWrap w:val="0"/>
                  <w:vAlign w:val="center"/>
                </w:tcPr>
                <w:p w14:paraId="7E8C2D1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排涝沟整治</w:t>
                  </w:r>
                </w:p>
              </w:tc>
              <w:tc>
                <w:tcPr>
                  <w:tcW w:w="1154" w:type="dxa"/>
                  <w:noWrap w:val="0"/>
                  <w:vAlign w:val="center"/>
                </w:tcPr>
                <w:p w14:paraId="0B98AD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7685829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850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6781270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1.1.1.1</w:t>
                  </w:r>
                </w:p>
              </w:tc>
              <w:tc>
                <w:tcPr>
                  <w:tcW w:w="4463" w:type="dxa"/>
                  <w:noWrap w:val="0"/>
                  <w:vAlign w:val="center"/>
                </w:tcPr>
                <w:p w14:paraId="7D73139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154" w:type="dxa"/>
                  <w:noWrap w:val="0"/>
                  <w:vAlign w:val="center"/>
                </w:tcPr>
                <w:p w14:paraId="154FD71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12DDB15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922A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CEA344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11415AB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154" w:type="dxa"/>
                  <w:noWrap w:val="0"/>
                  <w:vAlign w:val="center"/>
                </w:tcPr>
                <w:p w14:paraId="367DC0F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16F2FC5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9739.72</w:t>
                  </w:r>
                </w:p>
              </w:tc>
            </w:tr>
            <w:tr w14:paraId="775A2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1ADCFB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noWrap w:val="0"/>
                  <w:vAlign w:val="center"/>
                </w:tcPr>
                <w:p w14:paraId="337B806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154" w:type="dxa"/>
                  <w:noWrap w:val="0"/>
                  <w:vAlign w:val="center"/>
                </w:tcPr>
                <w:p w14:paraId="6494BB9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71E697F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10666.412</w:t>
                  </w:r>
                </w:p>
              </w:tc>
            </w:tr>
            <w:tr w14:paraId="0EC97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BFB670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noWrap w:val="0"/>
                  <w:vAlign w:val="center"/>
                </w:tcPr>
                <w:p w14:paraId="24505FE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154" w:type="dxa"/>
                  <w:noWrap w:val="0"/>
                  <w:vAlign w:val="center"/>
                </w:tcPr>
                <w:p w14:paraId="21B6E0A4">
                  <w:pPr>
                    <w:keepNext w:val="0"/>
                    <w:keepLines w:val="0"/>
                    <w:pageBreakBefore w:val="0"/>
                    <w:widowControl w:val="0"/>
                    <w:suppressLineNumbers w:val="0"/>
                    <w:spacing w:before="0" w:beforeAutospacing="0" w:after="0" w:afterAutospacing="0" w:line="240" w:lineRule="atLeast"/>
                    <w:ind w:left="0" w:right="0" w:firstLine="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16F5C9B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10666.412</w:t>
                  </w:r>
                </w:p>
              </w:tc>
            </w:tr>
            <w:tr w14:paraId="08A7E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5440D2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noWrap w:val="0"/>
                  <w:vAlign w:val="center"/>
                </w:tcPr>
                <w:p w14:paraId="1B8E72E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154" w:type="dxa"/>
                  <w:noWrap w:val="0"/>
                  <w:vAlign w:val="center"/>
                </w:tcPr>
                <w:p w14:paraId="3E3662A7">
                  <w:pPr>
                    <w:keepNext w:val="0"/>
                    <w:keepLines w:val="0"/>
                    <w:pageBreakBefore w:val="0"/>
                    <w:widowControl w:val="0"/>
                    <w:suppressLineNumbers w:val="0"/>
                    <w:spacing w:before="0" w:beforeAutospacing="0" w:after="0" w:afterAutospacing="0" w:line="240" w:lineRule="atLeast"/>
                    <w:ind w:left="0" w:right="0" w:firstLine="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51ED76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9066.45</w:t>
                  </w:r>
                </w:p>
              </w:tc>
            </w:tr>
            <w:tr w14:paraId="16626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8EEF72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1.1.1.2</w:t>
                  </w:r>
                </w:p>
              </w:tc>
              <w:tc>
                <w:tcPr>
                  <w:tcW w:w="4463" w:type="dxa"/>
                  <w:noWrap w:val="0"/>
                  <w:vAlign w:val="center"/>
                </w:tcPr>
                <w:p w14:paraId="5203E84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154" w:type="dxa"/>
                  <w:noWrap w:val="0"/>
                  <w:vAlign w:val="center"/>
                </w:tcPr>
                <w:p w14:paraId="2ECC86B3">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27940D7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9176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3B196DB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64A352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154" w:type="dxa"/>
                  <w:noWrap w:val="0"/>
                  <w:vAlign w:val="center"/>
                </w:tcPr>
                <w:p w14:paraId="326A1359">
                  <w:pPr>
                    <w:keepNext w:val="0"/>
                    <w:keepLines w:val="0"/>
                    <w:pageBreakBefore w:val="0"/>
                    <w:widowControl w:val="0"/>
                    <w:suppressLineNumbers w:val="0"/>
                    <w:spacing w:before="0" w:beforeAutospacing="0" w:after="0" w:afterAutospacing="0" w:line="240" w:lineRule="atLeast"/>
                    <w:ind w:left="0" w:right="0" w:firstLine="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040E239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122.66</w:t>
                  </w:r>
                </w:p>
              </w:tc>
            </w:tr>
            <w:tr w14:paraId="4D5D1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4C9575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1.1.1.3</w:t>
                  </w:r>
                </w:p>
              </w:tc>
              <w:tc>
                <w:tcPr>
                  <w:tcW w:w="4463" w:type="dxa"/>
                  <w:noWrap w:val="0"/>
                  <w:vAlign w:val="center"/>
                </w:tcPr>
                <w:p w14:paraId="508103B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154" w:type="dxa"/>
                  <w:noWrap w:val="0"/>
                  <w:vAlign w:val="center"/>
                </w:tcPr>
                <w:p w14:paraId="3FF633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1388EBB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B1B2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8B86BD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670883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noWrap w:val="0"/>
                  <w:vAlign w:val="center"/>
                </w:tcPr>
                <w:p w14:paraId="2F70EB1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5E12B4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2453.25</w:t>
                  </w:r>
                </w:p>
              </w:tc>
            </w:tr>
            <w:tr w14:paraId="55C85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6DCB34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noWrap w:val="0"/>
                  <w:vAlign w:val="center"/>
                </w:tcPr>
                <w:p w14:paraId="54721D3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154" w:type="dxa"/>
                  <w:noWrap w:val="0"/>
                  <w:vAlign w:val="center"/>
                </w:tcPr>
                <w:p w14:paraId="34ACFD97">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4D6CB87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239.59</w:t>
                  </w:r>
                </w:p>
              </w:tc>
            </w:tr>
            <w:tr w14:paraId="6B1FF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061007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noWrap w:val="0"/>
                  <w:vAlign w:val="center"/>
                </w:tcPr>
                <w:p w14:paraId="4695335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154" w:type="dxa"/>
                  <w:noWrap w:val="0"/>
                  <w:vAlign w:val="center"/>
                </w:tcPr>
                <w:p w14:paraId="473B748D">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049768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326.59</w:t>
                  </w:r>
                </w:p>
              </w:tc>
            </w:tr>
            <w:tr w14:paraId="6E3BD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4CCD56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noWrap w:val="0"/>
                  <w:vAlign w:val="center"/>
                </w:tcPr>
                <w:p w14:paraId="03A2E50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154" w:type="dxa"/>
                  <w:noWrap w:val="0"/>
                  <w:vAlign w:val="center"/>
                </w:tcPr>
                <w:p w14:paraId="422A660E">
                  <w:pPr>
                    <w:keepNext w:val="0"/>
                    <w:keepLines w:val="0"/>
                    <w:pageBreakBefore w:val="0"/>
                    <w:widowControl w:val="0"/>
                    <w:suppressLineNumbers w:val="0"/>
                    <w:spacing w:before="0" w:beforeAutospacing="0" w:after="0" w:afterAutospacing="0" w:line="240" w:lineRule="atLeast"/>
                    <w:ind w:left="0" w:right="0" w:firstLine="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7123CF1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667.27</w:t>
                  </w:r>
                </w:p>
              </w:tc>
            </w:tr>
            <w:tr w14:paraId="2DE49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A6214E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noWrap w:val="0"/>
                  <w:vAlign w:val="center"/>
                </w:tcPr>
                <w:p w14:paraId="1306F75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154" w:type="dxa"/>
                  <w:noWrap w:val="0"/>
                  <w:vAlign w:val="center"/>
                </w:tcPr>
                <w:p w14:paraId="07EB2063">
                  <w:pPr>
                    <w:keepNext w:val="0"/>
                    <w:keepLines w:val="0"/>
                    <w:pageBreakBefore w:val="0"/>
                    <w:widowControl w:val="0"/>
                    <w:suppressLineNumbers w:val="0"/>
                    <w:spacing w:before="0" w:beforeAutospacing="0" w:after="0" w:afterAutospacing="0" w:line="240" w:lineRule="atLeast"/>
                    <w:ind w:left="0" w:right="0" w:firstLine="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1D66D63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901.04</w:t>
                  </w:r>
                </w:p>
              </w:tc>
            </w:tr>
            <w:tr w14:paraId="7A43E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64871C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463" w:type="dxa"/>
                  <w:noWrap w:val="0"/>
                  <w:vAlign w:val="center"/>
                </w:tcPr>
                <w:p w14:paraId="07F5ED7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154" w:type="dxa"/>
                  <w:noWrap w:val="0"/>
                  <w:vAlign w:val="center"/>
                </w:tcPr>
                <w:p w14:paraId="53F28D1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278" w:type="dxa"/>
                  <w:noWrap w:val="0"/>
                  <w:vAlign w:val="center"/>
                </w:tcPr>
                <w:p w14:paraId="1440CC8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156.83</w:t>
                  </w:r>
                </w:p>
              </w:tc>
            </w:tr>
            <w:tr w14:paraId="5295A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214E9F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463" w:type="dxa"/>
                  <w:noWrap w:val="0"/>
                  <w:vAlign w:val="center"/>
                </w:tcPr>
                <w:p w14:paraId="5C7EF82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154" w:type="dxa"/>
                  <w:noWrap w:val="0"/>
                  <w:vAlign w:val="center"/>
                </w:tcPr>
                <w:p w14:paraId="676599C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p>
              </w:tc>
              <w:tc>
                <w:tcPr>
                  <w:tcW w:w="1278" w:type="dxa"/>
                  <w:noWrap w:val="0"/>
                  <w:vAlign w:val="center"/>
                </w:tcPr>
                <w:p w14:paraId="3D6242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5003.34</w:t>
                  </w:r>
                </w:p>
              </w:tc>
            </w:tr>
            <w:tr w14:paraId="531C9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3D5F6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463" w:type="dxa"/>
                  <w:noWrap w:val="0"/>
                  <w:vAlign w:val="center"/>
                </w:tcPr>
                <w:p w14:paraId="611F6D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154" w:type="dxa"/>
                  <w:noWrap w:val="0"/>
                  <w:vAlign w:val="center"/>
                </w:tcPr>
                <w:p w14:paraId="4EDFA2A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607F256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1894.9</w:t>
                  </w:r>
                </w:p>
              </w:tc>
            </w:tr>
            <w:tr w14:paraId="2FB7F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48123E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1.1.1.4</w:t>
                  </w:r>
                </w:p>
              </w:tc>
              <w:tc>
                <w:tcPr>
                  <w:tcW w:w="4463" w:type="dxa"/>
                  <w:noWrap w:val="0"/>
                  <w:vAlign w:val="center"/>
                </w:tcPr>
                <w:p w14:paraId="5DB718A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154" w:type="dxa"/>
                  <w:noWrap w:val="0"/>
                  <w:vAlign w:val="center"/>
                </w:tcPr>
                <w:p w14:paraId="56F9088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58F88EB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866E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721C171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5790ACC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154" w:type="dxa"/>
                  <w:noWrap w:val="0"/>
                  <w:vAlign w:val="center"/>
                </w:tcPr>
                <w:p w14:paraId="4951CC2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67FF59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1550.56</w:t>
                  </w:r>
                </w:p>
              </w:tc>
            </w:tr>
            <w:tr w14:paraId="64B2F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256461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w:t>
                  </w:r>
                </w:p>
              </w:tc>
              <w:tc>
                <w:tcPr>
                  <w:tcW w:w="4463" w:type="dxa"/>
                  <w:noWrap w:val="0"/>
                  <w:vAlign w:val="center"/>
                </w:tcPr>
                <w:p w14:paraId="6D662DA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154" w:type="dxa"/>
                  <w:noWrap w:val="0"/>
                  <w:vAlign w:val="center"/>
                </w:tcPr>
                <w:p w14:paraId="643E9C1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617DBCD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8DB8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6DADEC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4785EFF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154" w:type="dxa"/>
                  <w:noWrap w:val="0"/>
                  <w:vAlign w:val="center"/>
                </w:tcPr>
                <w:p w14:paraId="4906555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278" w:type="dxa"/>
                  <w:noWrap w:val="0"/>
                  <w:vAlign w:val="center"/>
                </w:tcPr>
                <w:p w14:paraId="6CF33FE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AD9D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5DB4274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463" w:type="dxa"/>
                  <w:noWrap w:val="0"/>
                  <w:vAlign w:val="center"/>
                </w:tcPr>
                <w:p w14:paraId="25B6B69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w:t>
                  </w:r>
                </w:p>
              </w:tc>
              <w:tc>
                <w:tcPr>
                  <w:tcW w:w="1154" w:type="dxa"/>
                  <w:noWrap w:val="0"/>
                  <w:vAlign w:val="center"/>
                </w:tcPr>
                <w:p w14:paraId="7655C9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5C4C30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58AA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01EBE1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4463" w:type="dxa"/>
                  <w:noWrap w:val="0"/>
                  <w:vAlign w:val="center"/>
                </w:tcPr>
                <w:p w14:paraId="6491EA2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S332穿路涵</w:t>
                  </w:r>
                </w:p>
              </w:tc>
              <w:tc>
                <w:tcPr>
                  <w:tcW w:w="1154" w:type="dxa"/>
                  <w:noWrap w:val="0"/>
                  <w:vAlign w:val="center"/>
                </w:tcPr>
                <w:p w14:paraId="38E683F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2624A3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253D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60231CF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1.2.1.1</w:t>
                  </w:r>
                </w:p>
              </w:tc>
              <w:tc>
                <w:tcPr>
                  <w:tcW w:w="4463" w:type="dxa"/>
                  <w:noWrap w:val="0"/>
                  <w:vAlign w:val="center"/>
                </w:tcPr>
                <w:p w14:paraId="1AD6007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154" w:type="dxa"/>
                  <w:noWrap w:val="0"/>
                  <w:vAlign w:val="center"/>
                </w:tcPr>
                <w:p w14:paraId="74EE774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79FA199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80DA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0254B7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589465B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154" w:type="dxa"/>
                  <w:noWrap w:val="0"/>
                  <w:vAlign w:val="center"/>
                </w:tcPr>
                <w:p w14:paraId="51411659">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0D26B34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404.269</w:t>
                  </w:r>
                </w:p>
              </w:tc>
            </w:tr>
            <w:tr w14:paraId="24FE8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675A96B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noWrap w:val="0"/>
                  <w:vAlign w:val="center"/>
                </w:tcPr>
                <w:p w14:paraId="4308F3F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154" w:type="dxa"/>
                  <w:noWrap w:val="0"/>
                  <w:vAlign w:val="center"/>
                </w:tcPr>
                <w:p w14:paraId="1DDD2523">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04533EA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3638.421</w:t>
                  </w:r>
                </w:p>
              </w:tc>
            </w:tr>
            <w:tr w14:paraId="50DBD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B495BA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noWrap w:val="0"/>
                  <w:vAlign w:val="center"/>
                </w:tcPr>
                <w:p w14:paraId="43064AD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154" w:type="dxa"/>
                  <w:noWrap w:val="0"/>
                  <w:vAlign w:val="center"/>
                </w:tcPr>
                <w:p w14:paraId="12DCFF05">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52BA6E1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3638.421</w:t>
                  </w:r>
                </w:p>
              </w:tc>
            </w:tr>
            <w:tr w14:paraId="5FC0F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722DB5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noWrap w:val="0"/>
                  <w:vAlign w:val="center"/>
                </w:tcPr>
                <w:p w14:paraId="1499C51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154" w:type="dxa"/>
                  <w:noWrap w:val="0"/>
                  <w:vAlign w:val="center"/>
                </w:tcPr>
                <w:p w14:paraId="1DB7157E">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5F04CFB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2405.396</w:t>
                  </w:r>
                </w:p>
              </w:tc>
            </w:tr>
            <w:tr w14:paraId="1C57A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2D9FBD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noWrap w:val="0"/>
                  <w:vAlign w:val="center"/>
                </w:tcPr>
                <w:p w14:paraId="72B7A6C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154" w:type="dxa"/>
                  <w:noWrap w:val="0"/>
                  <w:vAlign w:val="center"/>
                </w:tcPr>
                <w:p w14:paraId="0389C4E9">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1D8A506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1030.884</w:t>
                  </w:r>
                </w:p>
              </w:tc>
            </w:tr>
            <w:tr w14:paraId="2386E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9EC52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1.2.1.2</w:t>
                  </w:r>
                </w:p>
              </w:tc>
              <w:tc>
                <w:tcPr>
                  <w:tcW w:w="4463" w:type="dxa"/>
                  <w:noWrap w:val="0"/>
                  <w:vAlign w:val="center"/>
                </w:tcPr>
                <w:p w14:paraId="0EF76C7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154" w:type="dxa"/>
                  <w:noWrap w:val="0"/>
                  <w:vAlign w:val="center"/>
                </w:tcPr>
                <w:p w14:paraId="0E0A111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492E6A9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73F9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1D1D502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3F0436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154" w:type="dxa"/>
                  <w:noWrap w:val="0"/>
                  <w:vAlign w:val="center"/>
                </w:tcPr>
                <w:p w14:paraId="77F1529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44BE48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3.76</w:t>
                  </w:r>
                </w:p>
              </w:tc>
            </w:tr>
            <w:tr w14:paraId="0C2DA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674B2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1.2.1.3</w:t>
                  </w:r>
                </w:p>
              </w:tc>
              <w:tc>
                <w:tcPr>
                  <w:tcW w:w="4463" w:type="dxa"/>
                  <w:noWrap w:val="0"/>
                  <w:vAlign w:val="center"/>
                </w:tcPr>
                <w:p w14:paraId="090277D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154" w:type="dxa"/>
                  <w:noWrap w:val="0"/>
                  <w:vAlign w:val="center"/>
                </w:tcPr>
                <w:p w14:paraId="416E43E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35CEB38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C918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97D929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18CD3CD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C25六角实心块护坡</w:t>
                  </w:r>
                </w:p>
              </w:tc>
              <w:tc>
                <w:tcPr>
                  <w:tcW w:w="1154" w:type="dxa"/>
                  <w:noWrap w:val="0"/>
                  <w:vAlign w:val="center"/>
                </w:tcPr>
                <w:p w14:paraId="49C96B73">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4201BB9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8.922</w:t>
                  </w:r>
                </w:p>
              </w:tc>
            </w:tr>
            <w:tr w14:paraId="68732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7742ECD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noWrap w:val="0"/>
                  <w:vAlign w:val="center"/>
                </w:tcPr>
                <w:p w14:paraId="10F2ED1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154" w:type="dxa"/>
                  <w:noWrap w:val="0"/>
                  <w:vAlign w:val="center"/>
                </w:tcPr>
                <w:p w14:paraId="090A9A18">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26655D2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13.98</w:t>
                  </w:r>
                </w:p>
              </w:tc>
            </w:tr>
            <w:tr w14:paraId="1197D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33B7EB0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noWrap w:val="0"/>
                  <w:vAlign w:val="center"/>
                </w:tcPr>
                <w:p w14:paraId="2A041F3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C25砼垫层</w:t>
                  </w:r>
                </w:p>
              </w:tc>
              <w:tc>
                <w:tcPr>
                  <w:tcW w:w="1154" w:type="dxa"/>
                  <w:noWrap w:val="0"/>
                  <w:vAlign w:val="center"/>
                </w:tcPr>
                <w:p w14:paraId="0AA9E3AE">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1B8A49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27.54</w:t>
                  </w:r>
                </w:p>
              </w:tc>
            </w:tr>
            <w:tr w14:paraId="47795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5374712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noWrap w:val="0"/>
                  <w:vAlign w:val="center"/>
                </w:tcPr>
                <w:p w14:paraId="300EC48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C30砼底板</w:t>
                  </w:r>
                </w:p>
              </w:tc>
              <w:tc>
                <w:tcPr>
                  <w:tcW w:w="1154" w:type="dxa"/>
                  <w:noWrap w:val="0"/>
                  <w:vAlign w:val="center"/>
                </w:tcPr>
                <w:p w14:paraId="0195C332">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51BAA19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w:t>
                  </w:r>
                </w:p>
              </w:tc>
            </w:tr>
            <w:tr w14:paraId="38C5F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6C0E04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noWrap w:val="0"/>
                  <w:vAlign w:val="center"/>
                </w:tcPr>
                <w:p w14:paraId="6A19CED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C30砼侧墙</w:t>
                  </w:r>
                </w:p>
              </w:tc>
              <w:tc>
                <w:tcPr>
                  <w:tcW w:w="1154" w:type="dxa"/>
                  <w:noWrap w:val="0"/>
                  <w:vAlign w:val="center"/>
                </w:tcPr>
                <w:p w14:paraId="1D120FC1">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62D3785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7BE64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C0407A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463" w:type="dxa"/>
                  <w:noWrap w:val="0"/>
                  <w:vAlign w:val="center"/>
                </w:tcPr>
                <w:p w14:paraId="0FD9E18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C30箱式涵洞</w:t>
                  </w:r>
                </w:p>
              </w:tc>
              <w:tc>
                <w:tcPr>
                  <w:tcW w:w="1154" w:type="dxa"/>
                  <w:noWrap w:val="0"/>
                  <w:vAlign w:val="center"/>
                </w:tcPr>
                <w:p w14:paraId="04716D4F">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3EDAE48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55.33</w:t>
                  </w:r>
                </w:p>
              </w:tc>
            </w:tr>
            <w:tr w14:paraId="4D7AB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E715B0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463" w:type="dxa"/>
                  <w:noWrap w:val="0"/>
                  <w:vAlign w:val="center"/>
                </w:tcPr>
                <w:p w14:paraId="07B7466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C40预制砼箱涵</w:t>
                  </w:r>
                </w:p>
              </w:tc>
              <w:tc>
                <w:tcPr>
                  <w:tcW w:w="1154" w:type="dxa"/>
                  <w:noWrap w:val="0"/>
                  <w:vAlign w:val="center"/>
                </w:tcPr>
                <w:p w14:paraId="43448E0A">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36C32DA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78.02</w:t>
                  </w:r>
                </w:p>
              </w:tc>
            </w:tr>
            <w:tr w14:paraId="7B137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E31C8A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463" w:type="dxa"/>
                  <w:noWrap w:val="0"/>
                  <w:vAlign w:val="center"/>
                </w:tcPr>
                <w:p w14:paraId="253AA5E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154" w:type="dxa"/>
                  <w:noWrap w:val="0"/>
                  <w:vAlign w:val="center"/>
                </w:tcPr>
                <w:p w14:paraId="1688E25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278" w:type="dxa"/>
                  <w:noWrap w:val="0"/>
                  <w:vAlign w:val="center"/>
                </w:tcPr>
                <w:p w14:paraId="1FB91E2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15.97</w:t>
                  </w:r>
                </w:p>
              </w:tc>
            </w:tr>
            <w:tr w14:paraId="2E796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7B0E60F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463" w:type="dxa"/>
                  <w:noWrap w:val="0"/>
                  <w:vAlign w:val="center"/>
                </w:tcPr>
                <w:p w14:paraId="3C51F14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154" w:type="dxa"/>
                  <w:noWrap w:val="0"/>
                  <w:vAlign w:val="center"/>
                </w:tcPr>
                <w:p w14:paraId="4A224AC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054C611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283.79</w:t>
                  </w:r>
                </w:p>
              </w:tc>
            </w:tr>
            <w:tr w14:paraId="5D1AE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33F9FEF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463" w:type="dxa"/>
                  <w:noWrap w:val="0"/>
                  <w:vAlign w:val="center"/>
                </w:tcPr>
                <w:p w14:paraId="6238E10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154" w:type="dxa"/>
                  <w:noWrap w:val="0"/>
                  <w:vAlign w:val="center"/>
                </w:tcPr>
                <w:p w14:paraId="705D7BF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noWrap w:val="0"/>
                  <w:vAlign w:val="center"/>
                </w:tcPr>
                <w:p w14:paraId="0B84FBB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148.04</w:t>
                  </w:r>
                </w:p>
              </w:tc>
            </w:tr>
            <w:tr w14:paraId="6D4E9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68E9684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1.2.1.4</w:t>
                  </w:r>
                </w:p>
              </w:tc>
              <w:tc>
                <w:tcPr>
                  <w:tcW w:w="4463" w:type="dxa"/>
                  <w:noWrap w:val="0"/>
                  <w:vAlign w:val="center"/>
                </w:tcPr>
                <w:p w14:paraId="40157F9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154" w:type="dxa"/>
                  <w:noWrap w:val="0"/>
                  <w:vAlign w:val="center"/>
                </w:tcPr>
                <w:p w14:paraId="7170A8E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00616EF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58D3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52ACBEC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noWrap w:val="0"/>
                  <w:vAlign w:val="center"/>
                </w:tcPr>
                <w:p w14:paraId="6B34030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顶部道路恢复结构</w:t>
                  </w:r>
                </w:p>
              </w:tc>
              <w:tc>
                <w:tcPr>
                  <w:tcW w:w="1154" w:type="dxa"/>
                  <w:noWrap w:val="0"/>
                  <w:vAlign w:val="center"/>
                </w:tcPr>
                <w:p w14:paraId="1BC081F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noWrap w:val="0"/>
                  <w:vAlign w:val="center"/>
                </w:tcPr>
                <w:p w14:paraId="45CB5DC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4832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55654E4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noWrap w:val="0"/>
                  <w:vAlign w:val="center"/>
                </w:tcPr>
                <w:p w14:paraId="7917D99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细粒式沥青砼厚40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noWrap w:val="0"/>
                  <w:vAlign w:val="center"/>
                </w:tcPr>
                <w:p w14:paraId="1DDA543B">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503FC8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r>
            <w:tr w14:paraId="74722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2DB406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noWrap w:val="0"/>
                  <w:vAlign w:val="center"/>
                </w:tcPr>
                <w:p w14:paraId="15C22FA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noWrap w:val="0"/>
                  <w:vAlign w:val="center"/>
                </w:tcPr>
                <w:p w14:paraId="7055491D">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7958B7F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r>
            <w:tr w14:paraId="396E1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435968E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noWrap w:val="0"/>
                  <w:vAlign w:val="center"/>
                </w:tcPr>
                <w:p w14:paraId="585C433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154" w:type="dxa"/>
                  <w:noWrap w:val="0"/>
                  <w:vAlign w:val="center"/>
                </w:tcPr>
                <w:p w14:paraId="0649C74F">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15714B0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r>
            <w:tr w14:paraId="1810B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FEA273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noWrap w:val="0"/>
                  <w:vAlign w:val="center"/>
                </w:tcPr>
                <w:p w14:paraId="7E33583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noWrap w:val="0"/>
                  <w:vAlign w:val="center"/>
                </w:tcPr>
                <w:p w14:paraId="6E3D64F5">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590A2B0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366.12</w:t>
                  </w:r>
                </w:p>
              </w:tc>
            </w:tr>
            <w:tr w14:paraId="009CA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5DB547A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noWrap w:val="0"/>
                  <w:vAlign w:val="center"/>
                </w:tcPr>
                <w:p w14:paraId="1731D560">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水泥稳定土厚200</w:t>
                  </w:r>
                </w:p>
              </w:tc>
              <w:tc>
                <w:tcPr>
                  <w:tcW w:w="1154" w:type="dxa"/>
                  <w:noWrap w:val="0"/>
                  <w:vAlign w:val="center"/>
                </w:tcPr>
                <w:p w14:paraId="360C75BC">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5D2949B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413.64</w:t>
                  </w:r>
                </w:p>
              </w:tc>
            </w:tr>
            <w:tr w14:paraId="0AA49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7A37DBB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463" w:type="dxa"/>
                  <w:noWrap w:val="0"/>
                  <w:vAlign w:val="center"/>
                </w:tcPr>
                <w:p w14:paraId="1273D51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预制C25素砼路缘石750X250X120</w:t>
                  </w:r>
                </w:p>
              </w:tc>
              <w:tc>
                <w:tcPr>
                  <w:tcW w:w="1154" w:type="dxa"/>
                  <w:noWrap w:val="0"/>
                  <w:vAlign w:val="center"/>
                </w:tcPr>
                <w:p w14:paraId="2B1BA9A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278" w:type="dxa"/>
                  <w:noWrap w:val="0"/>
                  <w:vAlign w:val="center"/>
                </w:tcPr>
                <w:p w14:paraId="434779B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6C3AF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64AAC618">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noWrap w:val="0"/>
                  <w:vAlign w:val="center"/>
                </w:tcPr>
                <w:p w14:paraId="652792B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波形栏杆</w:t>
                  </w:r>
                </w:p>
              </w:tc>
              <w:tc>
                <w:tcPr>
                  <w:tcW w:w="1154" w:type="dxa"/>
                  <w:noWrap w:val="0"/>
                  <w:vAlign w:val="center"/>
                </w:tcPr>
                <w:p w14:paraId="6109E34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278" w:type="dxa"/>
                  <w:noWrap w:val="0"/>
                  <w:vAlign w:val="center"/>
                </w:tcPr>
                <w:p w14:paraId="215D6FD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77373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F07AF1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noWrap w:val="0"/>
                  <w:vAlign w:val="center"/>
                </w:tcPr>
                <w:p w14:paraId="34E8353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154" w:type="dxa"/>
                  <w:noWrap w:val="0"/>
                  <w:vAlign w:val="center"/>
                </w:tcPr>
                <w:p w14:paraId="22BBA506">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5251BD42">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89.22</w:t>
                  </w:r>
                </w:p>
              </w:tc>
            </w:tr>
            <w:tr w14:paraId="2213C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2DA088A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noWrap w:val="0"/>
                  <w:vAlign w:val="center"/>
                </w:tcPr>
                <w:p w14:paraId="30FAFB6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素砼踏步</w:t>
                  </w:r>
                </w:p>
              </w:tc>
              <w:tc>
                <w:tcPr>
                  <w:tcW w:w="1154" w:type="dxa"/>
                  <w:noWrap w:val="0"/>
                  <w:vAlign w:val="center"/>
                </w:tcPr>
                <w:p w14:paraId="1CDC03CA">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69BF3EC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14.8</w:t>
                  </w:r>
                </w:p>
              </w:tc>
            </w:tr>
            <w:tr w14:paraId="42089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35E4D937">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noWrap w:val="0"/>
                  <w:vAlign w:val="center"/>
                </w:tcPr>
                <w:p w14:paraId="7E3E875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154" w:type="dxa"/>
                  <w:noWrap w:val="0"/>
                  <w:vAlign w:val="center"/>
                </w:tcPr>
                <w:p w14:paraId="0D7AFDD7">
                  <w:pPr>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noWrap w:val="0"/>
                  <w:vAlign w:val="center"/>
                </w:tcPr>
                <w:p w14:paraId="0A17A86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151.19</w:t>
                  </w:r>
                </w:p>
              </w:tc>
            </w:tr>
            <w:tr w14:paraId="5CBD7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3370C593">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w:t>
                  </w:r>
                </w:p>
              </w:tc>
              <w:tc>
                <w:tcPr>
                  <w:tcW w:w="4463" w:type="dxa"/>
                  <w:noWrap w:val="0"/>
                  <w:vAlign w:val="center"/>
                </w:tcPr>
                <w:p w14:paraId="129E102D">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1#、2#、3#穿路涵</w:t>
                  </w:r>
                </w:p>
              </w:tc>
              <w:tc>
                <w:tcPr>
                  <w:tcW w:w="1154" w:type="dxa"/>
                  <w:noWrap w:val="0"/>
                  <w:vAlign w:val="center"/>
                </w:tcPr>
                <w:p w14:paraId="7C22214A">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278" w:type="dxa"/>
                  <w:noWrap w:val="0"/>
                  <w:vAlign w:val="center"/>
                </w:tcPr>
                <w:p w14:paraId="6AB17306">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63C57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0723D05">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w:t>
                  </w:r>
                </w:p>
              </w:tc>
              <w:tc>
                <w:tcPr>
                  <w:tcW w:w="4463" w:type="dxa"/>
                  <w:noWrap w:val="0"/>
                  <w:vAlign w:val="center"/>
                </w:tcPr>
                <w:p w14:paraId="1417C82B">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4#穿路涵</w:t>
                  </w:r>
                </w:p>
              </w:tc>
              <w:tc>
                <w:tcPr>
                  <w:tcW w:w="1154" w:type="dxa"/>
                  <w:noWrap w:val="0"/>
                  <w:vAlign w:val="center"/>
                </w:tcPr>
                <w:p w14:paraId="211C4784">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278" w:type="dxa"/>
                  <w:noWrap w:val="0"/>
                  <w:vAlign w:val="center"/>
                </w:tcPr>
                <w:p w14:paraId="6E523E3E">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D34A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noWrap w:val="0"/>
                  <w:vAlign w:val="center"/>
                </w:tcPr>
                <w:p w14:paraId="0E099B09">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w:t>
                  </w:r>
                </w:p>
              </w:tc>
              <w:tc>
                <w:tcPr>
                  <w:tcW w:w="4463" w:type="dxa"/>
                  <w:noWrap w:val="0"/>
                  <w:vAlign w:val="center"/>
                </w:tcPr>
                <w:p w14:paraId="5DE366BC">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拆建穿路管涵</w:t>
                  </w:r>
                </w:p>
              </w:tc>
              <w:tc>
                <w:tcPr>
                  <w:tcW w:w="1154" w:type="dxa"/>
                  <w:noWrap w:val="0"/>
                  <w:vAlign w:val="center"/>
                </w:tcPr>
                <w:p w14:paraId="52126B11">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278" w:type="dxa"/>
                  <w:noWrap w:val="0"/>
                  <w:vAlign w:val="center"/>
                </w:tcPr>
                <w:p w14:paraId="501948BF">
                  <w:pPr>
                    <w:pStyle w:val="202"/>
                    <w:keepNext w:val="0"/>
                    <w:keepLines w:val="0"/>
                    <w:pageBreakBefore w:val="0"/>
                    <w:widowControl w:val="0"/>
                    <w:suppressLineNumbers w:val="0"/>
                    <w:spacing w:before="0" w:beforeAutospacing="0" w:after="0" w:afterAutospacing="0" w:line="240" w:lineRule="atLeas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r>
          </w:tbl>
          <w:p w14:paraId="653434BB">
            <w:pPr>
              <w:keepNext w:val="0"/>
              <w:keepLines w:val="0"/>
              <w:pageBreakBefore w:val="0"/>
              <w:widowControl/>
              <w:suppressLineNumbers w:val="0"/>
              <w:spacing w:before="0" w:beforeAutospacing="0" w:after="0" w:afterAutospacing="0" w:line="240" w:lineRule="auto"/>
              <w:ind w:left="0" w:right="0" w:firstLine="48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城区排涝通道工程主要工程量见下表：</w:t>
            </w:r>
          </w:p>
          <w:p w14:paraId="596F5BC4">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表2-24  城区排涝通道工程主要工程量表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11"/>
              <w:gridCol w:w="11"/>
              <w:gridCol w:w="3617"/>
              <w:gridCol w:w="2"/>
              <w:gridCol w:w="2"/>
              <w:gridCol w:w="1026"/>
              <w:gridCol w:w="3"/>
              <w:gridCol w:w="8"/>
              <w:gridCol w:w="1968"/>
            </w:tblGrid>
            <w:tr w14:paraId="5E82E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E4FB2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序号</w:t>
                  </w:r>
                </w:p>
              </w:tc>
              <w:tc>
                <w:tcPr>
                  <w:tcW w:w="3641" w:type="dxa"/>
                  <w:gridSpan w:val="4"/>
                  <w:noWrap w:val="0"/>
                  <w:vAlign w:val="center"/>
                </w:tcPr>
                <w:p w14:paraId="2024E6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工程或费用名称</w:t>
                  </w:r>
                </w:p>
              </w:tc>
              <w:tc>
                <w:tcPr>
                  <w:tcW w:w="1028" w:type="dxa"/>
                  <w:gridSpan w:val="2"/>
                  <w:noWrap w:val="0"/>
                  <w:vAlign w:val="center"/>
                </w:tcPr>
                <w:p w14:paraId="79EE19D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单位</w:t>
                  </w:r>
                </w:p>
              </w:tc>
              <w:tc>
                <w:tcPr>
                  <w:tcW w:w="1979" w:type="dxa"/>
                  <w:gridSpan w:val="3"/>
                  <w:noWrap w:val="0"/>
                  <w:vAlign w:val="center"/>
                </w:tcPr>
                <w:p w14:paraId="5A173B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数量</w:t>
                  </w:r>
                </w:p>
              </w:tc>
            </w:tr>
            <w:tr w14:paraId="11A99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295B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641" w:type="dxa"/>
                  <w:gridSpan w:val="4"/>
                  <w:noWrap w:val="0"/>
                  <w:vAlign w:val="center"/>
                </w:tcPr>
                <w:p w14:paraId="73AF47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 建筑工程</w:t>
                  </w:r>
                </w:p>
              </w:tc>
              <w:tc>
                <w:tcPr>
                  <w:tcW w:w="1028" w:type="dxa"/>
                  <w:gridSpan w:val="2"/>
                  <w:noWrap w:val="0"/>
                  <w:vAlign w:val="center"/>
                </w:tcPr>
                <w:p w14:paraId="398D7D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8B00A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809D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A62A12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FC16E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幽芳河排涝通道整治</w:t>
                  </w:r>
                </w:p>
              </w:tc>
              <w:tc>
                <w:tcPr>
                  <w:tcW w:w="1028" w:type="dxa"/>
                  <w:gridSpan w:val="2"/>
                  <w:noWrap w:val="0"/>
                  <w:vAlign w:val="center"/>
                </w:tcPr>
                <w:p w14:paraId="3E5E0F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51488B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5BB9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1F87D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1FF8C8D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noWrap w:val="0"/>
                  <w:vAlign w:val="center"/>
                </w:tcPr>
                <w:p w14:paraId="2DA860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EA379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EBE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47C9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w:t>
                  </w:r>
                </w:p>
              </w:tc>
              <w:tc>
                <w:tcPr>
                  <w:tcW w:w="3641" w:type="dxa"/>
                  <w:gridSpan w:val="4"/>
                  <w:noWrap w:val="0"/>
                  <w:vAlign w:val="center"/>
                </w:tcPr>
                <w:p w14:paraId="31326F4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46452E3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E951B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37A9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3058A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6309C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noWrap w:val="0"/>
                  <w:vAlign w:val="center"/>
                </w:tcPr>
                <w:p w14:paraId="0F4ECA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0786B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130735.31</w:t>
                  </w:r>
                </w:p>
              </w:tc>
            </w:tr>
            <w:tr w14:paraId="0A425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7613C1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114CAF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noWrap w:val="0"/>
                  <w:vAlign w:val="center"/>
                </w:tcPr>
                <w:p w14:paraId="6CE031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69871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36818.791</w:t>
                  </w:r>
                </w:p>
              </w:tc>
            </w:tr>
            <w:tr w14:paraId="0A3D1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98A8A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7A9209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noWrap w:val="0"/>
                  <w:vAlign w:val="center"/>
                </w:tcPr>
                <w:p w14:paraId="60A221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35E636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77963.329</w:t>
                  </w:r>
                </w:p>
              </w:tc>
            </w:tr>
            <w:tr w14:paraId="694B2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77DB3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59B151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noWrap w:val="0"/>
                  <w:vAlign w:val="center"/>
                </w:tcPr>
                <w:p w14:paraId="0029C6F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44DD71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77963.329</w:t>
                  </w:r>
                </w:p>
              </w:tc>
            </w:tr>
            <w:tr w14:paraId="17FCC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11C99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6B5EBD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07F7D70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A809D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66268.83</w:t>
                  </w:r>
                </w:p>
              </w:tc>
            </w:tr>
            <w:tr w14:paraId="32666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0939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w:t>
                  </w:r>
                </w:p>
              </w:tc>
              <w:tc>
                <w:tcPr>
                  <w:tcW w:w="3641" w:type="dxa"/>
                  <w:gridSpan w:val="4"/>
                  <w:noWrap w:val="0"/>
                  <w:vAlign w:val="center"/>
                </w:tcPr>
                <w:p w14:paraId="4AEAFE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noWrap w:val="0"/>
                  <w:vAlign w:val="center"/>
                </w:tcPr>
                <w:p w14:paraId="0565E10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88EB96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7950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201F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965104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78F111D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22D2BD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5152.82</w:t>
                  </w:r>
                </w:p>
              </w:tc>
            </w:tr>
            <w:tr w14:paraId="04A9F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EB30A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2FE0D2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雷诺护垫护坡</w:t>
                  </w:r>
                </w:p>
              </w:tc>
              <w:tc>
                <w:tcPr>
                  <w:tcW w:w="1028" w:type="dxa"/>
                  <w:gridSpan w:val="2"/>
                  <w:noWrap w:val="0"/>
                  <w:vAlign w:val="center"/>
                </w:tcPr>
                <w:p w14:paraId="26C0C21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AB07F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61A7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B7182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EB13F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新建石笼挡墙</w:t>
                  </w:r>
                </w:p>
              </w:tc>
              <w:tc>
                <w:tcPr>
                  <w:tcW w:w="1028" w:type="dxa"/>
                  <w:gridSpan w:val="2"/>
                  <w:noWrap w:val="0"/>
                  <w:vAlign w:val="center"/>
                </w:tcPr>
                <w:p w14:paraId="1EAA886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37FBE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299B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C499BB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5CB97D9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4CB3DA6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09D63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5579.43</w:t>
                  </w:r>
                </w:p>
              </w:tc>
            </w:tr>
            <w:tr w14:paraId="6A92E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F9624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0637C8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15浆砌石挡墙</w:t>
                  </w:r>
                </w:p>
              </w:tc>
              <w:tc>
                <w:tcPr>
                  <w:tcW w:w="1028" w:type="dxa"/>
                  <w:gridSpan w:val="2"/>
                  <w:noWrap w:val="0"/>
                  <w:vAlign w:val="center"/>
                </w:tcPr>
                <w:p w14:paraId="212F7AF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0B136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FAE9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0EB14C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69C3F04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格宾石笼护脚</w:t>
                  </w:r>
                </w:p>
              </w:tc>
              <w:tc>
                <w:tcPr>
                  <w:tcW w:w="1028" w:type="dxa"/>
                  <w:gridSpan w:val="2"/>
                  <w:noWrap w:val="0"/>
                  <w:vAlign w:val="center"/>
                </w:tcPr>
                <w:p w14:paraId="098335F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2C5CA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7476.3</w:t>
                  </w:r>
                </w:p>
              </w:tc>
            </w:tr>
            <w:tr w14:paraId="3541A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9AB76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c>
                <w:tcPr>
                  <w:tcW w:w="3641" w:type="dxa"/>
                  <w:gridSpan w:val="4"/>
                  <w:noWrap w:val="0"/>
                  <w:vAlign w:val="center"/>
                </w:tcPr>
                <w:p w14:paraId="57655A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7B9BB2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7B9D0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4F8C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B94FB4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84CE8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677957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4C71A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3BF7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EC43B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A4A57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空心联锁块护坡厚100</w:t>
                  </w:r>
                </w:p>
              </w:tc>
              <w:tc>
                <w:tcPr>
                  <w:tcW w:w="1028" w:type="dxa"/>
                  <w:gridSpan w:val="2"/>
                  <w:noWrap w:val="0"/>
                  <w:vAlign w:val="center"/>
                </w:tcPr>
                <w:p w14:paraId="0F6D07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9512F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31500.14</w:t>
                  </w:r>
                </w:p>
              </w:tc>
            </w:tr>
            <w:tr w14:paraId="2EAAA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2F972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70BA8A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新建防洪墙</w:t>
                  </w:r>
                </w:p>
              </w:tc>
              <w:tc>
                <w:tcPr>
                  <w:tcW w:w="1028" w:type="dxa"/>
                  <w:gridSpan w:val="2"/>
                  <w:noWrap w:val="0"/>
                  <w:vAlign w:val="center"/>
                </w:tcPr>
                <w:p w14:paraId="2CD7C5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302E72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5D2E2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7D9C6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7F871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28" w:type="dxa"/>
                  <w:gridSpan w:val="2"/>
                  <w:noWrap w:val="0"/>
                  <w:vAlign w:val="center"/>
                </w:tcPr>
                <w:p w14:paraId="74EAF09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F54E8C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1538.59</w:t>
                  </w:r>
                </w:p>
              </w:tc>
            </w:tr>
            <w:tr w14:paraId="67B56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8DB7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5995D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noWrap w:val="0"/>
                  <w:vAlign w:val="center"/>
                </w:tcPr>
                <w:p w14:paraId="45E81B4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B85388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745.2</w:t>
                  </w:r>
                </w:p>
              </w:tc>
            </w:tr>
            <w:tr w14:paraId="3D4CD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4BB8A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756C4F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noWrap w:val="0"/>
                  <w:vAlign w:val="center"/>
                </w:tcPr>
                <w:p w14:paraId="01E1D01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25C7F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521.64</w:t>
                  </w:r>
                </w:p>
              </w:tc>
            </w:tr>
            <w:tr w14:paraId="76541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1B360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6C31BC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noWrap w:val="0"/>
                  <w:vAlign w:val="center"/>
                </w:tcPr>
                <w:p w14:paraId="040F73A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AFD4F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9182.37</w:t>
                  </w:r>
                </w:p>
              </w:tc>
            </w:tr>
            <w:tr w14:paraId="02FD2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F1D9B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58CAB5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noWrap w:val="0"/>
                  <w:vAlign w:val="center"/>
                </w:tcPr>
                <w:p w14:paraId="2FF484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noWrap w:val="0"/>
                  <w:vAlign w:val="center"/>
                </w:tcPr>
                <w:p w14:paraId="5E28DC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18738</w:t>
                  </w:r>
                </w:p>
              </w:tc>
            </w:tr>
            <w:tr w14:paraId="3B90A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77AB2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20400C6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noWrap w:val="0"/>
                  <w:vAlign w:val="center"/>
                </w:tcPr>
                <w:p w14:paraId="26D427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235B221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19632.56</w:t>
                  </w:r>
                </w:p>
              </w:tc>
            </w:tr>
            <w:tr w14:paraId="40BA7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22E0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5D99D7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6DBAFC9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1AFBF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11987.8</w:t>
                  </w:r>
                </w:p>
              </w:tc>
            </w:tr>
            <w:tr w14:paraId="21425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B6AA9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w:t>
                  </w:r>
                </w:p>
              </w:tc>
              <w:tc>
                <w:tcPr>
                  <w:tcW w:w="3641" w:type="dxa"/>
                  <w:gridSpan w:val="4"/>
                  <w:noWrap w:val="0"/>
                  <w:vAlign w:val="center"/>
                </w:tcPr>
                <w:p w14:paraId="03DC86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7C429C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5ECF6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1EE9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6C3D3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B8DB6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noWrap w:val="0"/>
                  <w:vAlign w:val="center"/>
                </w:tcPr>
                <w:p w14:paraId="30988F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6ECEF5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21716.68</w:t>
                  </w:r>
                </w:p>
              </w:tc>
            </w:tr>
            <w:tr w14:paraId="7EE1D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5D95A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80003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1A1788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C631C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19908.75</w:t>
                  </w:r>
                </w:p>
              </w:tc>
            </w:tr>
            <w:tr w14:paraId="7C41E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1E56A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41" w:type="dxa"/>
                  <w:gridSpan w:val="4"/>
                  <w:noWrap w:val="0"/>
                  <w:vAlign w:val="center"/>
                </w:tcPr>
                <w:p w14:paraId="293C62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拆建气盾坝1</w:t>
                  </w:r>
                </w:p>
              </w:tc>
              <w:tc>
                <w:tcPr>
                  <w:tcW w:w="1028" w:type="dxa"/>
                  <w:gridSpan w:val="2"/>
                  <w:noWrap w:val="0"/>
                  <w:vAlign w:val="center"/>
                </w:tcPr>
                <w:p w14:paraId="5DDFE7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762D4EF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863C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B25AA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3641" w:type="dxa"/>
                  <w:gridSpan w:val="4"/>
                  <w:noWrap w:val="0"/>
                  <w:vAlign w:val="center"/>
                </w:tcPr>
                <w:p w14:paraId="06F3B4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3BA694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9E1BE9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6F0D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89D3C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AB0E0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4A22CF4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D0C8F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530BA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23405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00FC7D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4BCC9A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80726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2094.822</w:t>
                  </w:r>
                </w:p>
              </w:tc>
            </w:tr>
            <w:tr w14:paraId="0CF78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627FC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5F4E17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7A4987E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E8694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592D8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21F0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5E9D8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3F81831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DC7A2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1384.908</w:t>
                  </w:r>
                </w:p>
              </w:tc>
            </w:tr>
            <w:tr w14:paraId="26211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EF86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D8685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7DAF9DD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74DAB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593.532</w:t>
                  </w:r>
                </w:p>
              </w:tc>
            </w:tr>
            <w:tr w14:paraId="7F7B7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2B5DF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w:t>
                  </w:r>
                </w:p>
              </w:tc>
              <w:tc>
                <w:tcPr>
                  <w:tcW w:w="3641" w:type="dxa"/>
                  <w:gridSpan w:val="4"/>
                  <w:noWrap w:val="0"/>
                  <w:vAlign w:val="center"/>
                </w:tcPr>
                <w:p w14:paraId="3FCC68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72FB43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5A8DBB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0AD6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9484D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0ACC4D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2D6E60C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29E63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24.62</w:t>
                  </w:r>
                </w:p>
              </w:tc>
            </w:tr>
            <w:tr w14:paraId="7C91F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A1BA1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1B147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71BE098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B6E12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106.11</w:t>
                  </w:r>
                </w:p>
              </w:tc>
            </w:tr>
            <w:tr w14:paraId="170D1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D220E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w:t>
                  </w:r>
                </w:p>
              </w:tc>
              <w:tc>
                <w:tcPr>
                  <w:tcW w:w="3641" w:type="dxa"/>
                  <w:gridSpan w:val="4"/>
                  <w:noWrap w:val="0"/>
                  <w:vAlign w:val="center"/>
                </w:tcPr>
                <w:p w14:paraId="4B98F9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noWrap w:val="0"/>
                  <w:vAlign w:val="center"/>
                </w:tcPr>
                <w:p w14:paraId="11C0CD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0BC7F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0C02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9F1031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BD8F8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noWrap w:val="0"/>
                  <w:vAlign w:val="center"/>
                </w:tcPr>
                <w:p w14:paraId="3622B6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1951B4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181.44</w:t>
                  </w:r>
                </w:p>
              </w:tc>
            </w:tr>
            <w:tr w14:paraId="45F2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BFD97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w:t>
                  </w:r>
                </w:p>
              </w:tc>
              <w:tc>
                <w:tcPr>
                  <w:tcW w:w="3641" w:type="dxa"/>
                  <w:gridSpan w:val="4"/>
                  <w:noWrap w:val="0"/>
                  <w:vAlign w:val="center"/>
                </w:tcPr>
                <w:p w14:paraId="5EF66E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089D82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595E3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BD83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0F8801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FB437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64033B3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D2D06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78B69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2885C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12C4C4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noWrap w:val="0"/>
                  <w:vAlign w:val="center"/>
                </w:tcPr>
                <w:p w14:paraId="66E7384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78B9FD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2F8C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F29C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1546F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18445C4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88DF8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B0AA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42CF6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332BAD4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01C8860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89476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F425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5E19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55ADB08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455C890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4D6B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89.41</w:t>
                  </w:r>
                </w:p>
              </w:tc>
            </w:tr>
            <w:tr w14:paraId="17D8C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539E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369857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611E53D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DAF45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846.17</w:t>
                  </w:r>
                </w:p>
              </w:tc>
            </w:tr>
            <w:tr w14:paraId="327F1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3000A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3ECB31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39FB085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2BF9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110.91</w:t>
                  </w:r>
                </w:p>
              </w:tc>
            </w:tr>
            <w:tr w14:paraId="6069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4801C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767875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7F9F553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5F131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w:t>
                  </w:r>
                </w:p>
              </w:tc>
            </w:tr>
            <w:tr w14:paraId="57385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6A7BE8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293AAB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6026FE8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073E29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95.71</w:t>
                  </w:r>
                </w:p>
              </w:tc>
            </w:tr>
            <w:tr w14:paraId="2FBAB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28AD42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430C04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66C513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72811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1316.3</w:t>
                  </w:r>
                </w:p>
              </w:tc>
            </w:tr>
            <w:tr w14:paraId="0DCB5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76161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7834EC2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71BCD0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6171F1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1152.77</w:t>
                  </w:r>
                </w:p>
              </w:tc>
            </w:tr>
            <w:tr w14:paraId="156B5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85A86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w:t>
                  </w:r>
                </w:p>
              </w:tc>
              <w:tc>
                <w:tcPr>
                  <w:tcW w:w="3641" w:type="dxa"/>
                  <w:gridSpan w:val="4"/>
                  <w:noWrap w:val="0"/>
                  <w:vAlign w:val="center"/>
                </w:tcPr>
                <w:p w14:paraId="7D07CB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7DB9C5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62B1F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61B7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23712C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B3273F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不锈钢栏杆</w:t>
                  </w:r>
                </w:p>
              </w:tc>
              <w:tc>
                <w:tcPr>
                  <w:tcW w:w="1028" w:type="dxa"/>
                  <w:gridSpan w:val="2"/>
                  <w:noWrap w:val="0"/>
                  <w:vAlign w:val="center"/>
                </w:tcPr>
                <w:p w14:paraId="1AD2FD8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042130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74.39</w:t>
                  </w:r>
                </w:p>
              </w:tc>
            </w:tr>
            <w:tr w14:paraId="1B2FB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3F2AD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3DAD7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noWrap w:val="0"/>
                  <w:vAlign w:val="center"/>
                </w:tcPr>
                <w:p w14:paraId="1A4AEB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noWrap w:val="0"/>
                  <w:vAlign w:val="center"/>
                </w:tcPr>
                <w:p w14:paraId="386F27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1AAA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ACEC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41" w:type="dxa"/>
                  <w:gridSpan w:val="4"/>
                  <w:noWrap w:val="0"/>
                  <w:vAlign w:val="center"/>
                </w:tcPr>
                <w:p w14:paraId="09E7C3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新建气盾坝1</w:t>
                  </w:r>
                </w:p>
              </w:tc>
              <w:tc>
                <w:tcPr>
                  <w:tcW w:w="1028" w:type="dxa"/>
                  <w:gridSpan w:val="2"/>
                  <w:noWrap w:val="0"/>
                  <w:vAlign w:val="center"/>
                </w:tcPr>
                <w:p w14:paraId="1D2B80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34C4D1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96E6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2C202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w:t>
                  </w:r>
                </w:p>
              </w:tc>
              <w:tc>
                <w:tcPr>
                  <w:tcW w:w="3641" w:type="dxa"/>
                  <w:gridSpan w:val="4"/>
                  <w:noWrap w:val="0"/>
                  <w:vAlign w:val="center"/>
                </w:tcPr>
                <w:p w14:paraId="29CA56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57BEBF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B0D43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E6E0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BA40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C48B8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2BB8D80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C9585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3C14F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5CDCB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569C5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1113BC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D7D4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2094.822</w:t>
                  </w:r>
                </w:p>
              </w:tc>
            </w:tr>
            <w:tr w14:paraId="78998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8D31A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0C5F1D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EADD78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91C84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5809B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A2B4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6EE144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059A010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73518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1384.908</w:t>
                  </w:r>
                </w:p>
              </w:tc>
            </w:tr>
            <w:tr w14:paraId="54644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605D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6C26A6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0F485D9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BBFD3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593.532</w:t>
                  </w:r>
                </w:p>
              </w:tc>
            </w:tr>
            <w:tr w14:paraId="6DB16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F700E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w:t>
                  </w:r>
                </w:p>
              </w:tc>
              <w:tc>
                <w:tcPr>
                  <w:tcW w:w="3641" w:type="dxa"/>
                  <w:gridSpan w:val="4"/>
                  <w:noWrap w:val="0"/>
                  <w:vAlign w:val="center"/>
                </w:tcPr>
                <w:p w14:paraId="61D0AA2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1E7A3CB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BB033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6D67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0CFA7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B19D5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01F359A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232A4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24.62</w:t>
                  </w:r>
                </w:p>
              </w:tc>
            </w:tr>
            <w:tr w14:paraId="746D5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083C3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F5DB0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2E80A4C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A73FD1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106.11</w:t>
                  </w:r>
                </w:p>
              </w:tc>
            </w:tr>
            <w:tr w14:paraId="77496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0D4A7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1.3.3</w:t>
                  </w:r>
                </w:p>
              </w:tc>
              <w:tc>
                <w:tcPr>
                  <w:tcW w:w="3641" w:type="dxa"/>
                  <w:gridSpan w:val="4"/>
                  <w:noWrap w:val="0"/>
                  <w:vAlign w:val="center"/>
                </w:tcPr>
                <w:p w14:paraId="7F4B9D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noWrap w:val="0"/>
                  <w:vAlign w:val="center"/>
                </w:tcPr>
                <w:p w14:paraId="43B28A6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F0F10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150A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F5D6E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F814C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noWrap w:val="0"/>
                  <w:vAlign w:val="center"/>
                </w:tcPr>
                <w:p w14:paraId="1BA609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468C9F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181.44</w:t>
                  </w:r>
                </w:p>
              </w:tc>
            </w:tr>
            <w:tr w14:paraId="4F4F2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E9012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1.3.4</w:t>
                  </w:r>
                </w:p>
              </w:tc>
              <w:tc>
                <w:tcPr>
                  <w:tcW w:w="3641" w:type="dxa"/>
                  <w:gridSpan w:val="4"/>
                  <w:noWrap w:val="0"/>
                  <w:vAlign w:val="center"/>
                </w:tcPr>
                <w:p w14:paraId="6E8E70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6A4869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6DE9D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9835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BCB431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BE8D54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7CB8474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C82F8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0ACF9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EEAF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5A7206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noWrap w:val="0"/>
                  <w:vAlign w:val="center"/>
                </w:tcPr>
                <w:p w14:paraId="54E0DE5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FB838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45B8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9EDCE1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75918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4815FC5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179AC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FD37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EAD81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75ADB5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62B2315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D6B3E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B708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E1F004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0398AC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6A87620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3B9A5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89.41</w:t>
                  </w:r>
                </w:p>
              </w:tc>
            </w:tr>
            <w:tr w14:paraId="335E8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4B25E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53F8A1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6867DFA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6CEF59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846.17</w:t>
                  </w:r>
                </w:p>
              </w:tc>
            </w:tr>
            <w:tr w14:paraId="4BA6A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70374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593232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44EA202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2519B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110.91</w:t>
                  </w:r>
                </w:p>
              </w:tc>
            </w:tr>
            <w:tr w14:paraId="1625B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D34FD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06C940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36E3CED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390D56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w:t>
                  </w:r>
                </w:p>
              </w:tc>
            </w:tr>
            <w:tr w14:paraId="262E3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877FB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1F5C4E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05C4746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2438E7A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95.71</w:t>
                  </w:r>
                </w:p>
              </w:tc>
            </w:tr>
            <w:tr w14:paraId="2921C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1A712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25771FA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4AE15D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8C084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1316.3</w:t>
                  </w:r>
                </w:p>
              </w:tc>
            </w:tr>
            <w:tr w14:paraId="73555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ACCC19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0AC09F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6537EA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48F798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1152.77</w:t>
                  </w:r>
                </w:p>
              </w:tc>
            </w:tr>
            <w:tr w14:paraId="36145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093E1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1.3.5</w:t>
                  </w:r>
                </w:p>
              </w:tc>
              <w:tc>
                <w:tcPr>
                  <w:tcW w:w="3641" w:type="dxa"/>
                  <w:gridSpan w:val="4"/>
                  <w:noWrap w:val="0"/>
                  <w:vAlign w:val="center"/>
                </w:tcPr>
                <w:p w14:paraId="6C01B9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5C3F099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490D3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7ED3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53C17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AD170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不锈钢栏杆</w:t>
                  </w:r>
                </w:p>
              </w:tc>
              <w:tc>
                <w:tcPr>
                  <w:tcW w:w="1028" w:type="dxa"/>
                  <w:gridSpan w:val="2"/>
                  <w:noWrap w:val="0"/>
                  <w:vAlign w:val="center"/>
                </w:tcPr>
                <w:p w14:paraId="188B71E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7D0E893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74.39</w:t>
                  </w:r>
                </w:p>
              </w:tc>
            </w:tr>
            <w:tr w14:paraId="7F255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C0B0A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41" w:type="dxa"/>
                  <w:gridSpan w:val="4"/>
                  <w:noWrap w:val="0"/>
                  <w:vAlign w:val="center"/>
                </w:tcPr>
                <w:p w14:paraId="5B678D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新建拦河坝1</w:t>
                  </w:r>
                </w:p>
              </w:tc>
              <w:tc>
                <w:tcPr>
                  <w:tcW w:w="1028" w:type="dxa"/>
                  <w:gridSpan w:val="2"/>
                  <w:noWrap w:val="0"/>
                  <w:vAlign w:val="center"/>
                </w:tcPr>
                <w:p w14:paraId="1FAE24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79441E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DFCA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CC23E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w:t>
                  </w:r>
                </w:p>
              </w:tc>
              <w:tc>
                <w:tcPr>
                  <w:tcW w:w="3641" w:type="dxa"/>
                  <w:gridSpan w:val="4"/>
                  <w:noWrap w:val="0"/>
                  <w:vAlign w:val="center"/>
                </w:tcPr>
                <w:p w14:paraId="247EDB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3A6E2B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A2720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ACA0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03B47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30B46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2F7DB5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2AD5B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170.51</w:t>
                  </w:r>
                </w:p>
              </w:tc>
            </w:tr>
            <w:tr w14:paraId="50EE0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DF8AF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070FCA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65E227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36B2A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1534.59</w:t>
                  </w:r>
                </w:p>
              </w:tc>
            </w:tr>
            <w:tr w14:paraId="0E4DA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26C7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35D1A4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0BD104A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00B20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1449.34</w:t>
                  </w:r>
                </w:p>
              </w:tc>
            </w:tr>
            <w:tr w14:paraId="6E5B8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9A14E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B7EB0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1C64755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2FECE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1014.538</w:t>
                  </w:r>
                </w:p>
              </w:tc>
            </w:tr>
            <w:tr w14:paraId="3FC9A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61E8E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15B49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30966B3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C32945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434.802</w:t>
                  </w:r>
                </w:p>
              </w:tc>
            </w:tr>
            <w:tr w14:paraId="74176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6CBB5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w:t>
                  </w:r>
                </w:p>
              </w:tc>
              <w:tc>
                <w:tcPr>
                  <w:tcW w:w="3641" w:type="dxa"/>
                  <w:gridSpan w:val="4"/>
                  <w:noWrap w:val="0"/>
                  <w:vAlign w:val="center"/>
                </w:tcPr>
                <w:p w14:paraId="4498CA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010C4A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06FA9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5A58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60299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78B8E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76B2436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48FEB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24.62</w:t>
                  </w:r>
                </w:p>
              </w:tc>
            </w:tr>
            <w:tr w14:paraId="2A60A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A97AF6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BCE71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59E9887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130E6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90.91</w:t>
                  </w:r>
                </w:p>
              </w:tc>
            </w:tr>
            <w:tr w14:paraId="5854A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DDB9C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1.4.3</w:t>
                  </w:r>
                </w:p>
              </w:tc>
              <w:tc>
                <w:tcPr>
                  <w:tcW w:w="3641" w:type="dxa"/>
                  <w:gridSpan w:val="4"/>
                  <w:noWrap w:val="0"/>
                  <w:vAlign w:val="center"/>
                </w:tcPr>
                <w:p w14:paraId="391F15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noWrap w:val="0"/>
                  <w:vAlign w:val="center"/>
                </w:tcPr>
                <w:p w14:paraId="38F04D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4E3AE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13FB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57728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2C82A6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noWrap w:val="0"/>
                  <w:vAlign w:val="center"/>
                </w:tcPr>
                <w:p w14:paraId="3FA00A6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7E9C70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168.48</w:t>
                  </w:r>
                </w:p>
              </w:tc>
            </w:tr>
            <w:tr w14:paraId="7B23F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94B54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1.4.4</w:t>
                  </w:r>
                </w:p>
              </w:tc>
              <w:tc>
                <w:tcPr>
                  <w:tcW w:w="3641" w:type="dxa"/>
                  <w:gridSpan w:val="4"/>
                  <w:noWrap w:val="0"/>
                  <w:vAlign w:val="center"/>
                </w:tcPr>
                <w:p w14:paraId="50F04D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456890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33655C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2B08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162A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CF93C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24D65ED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48BEB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0EFD8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1833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C88C9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noWrap w:val="0"/>
                  <w:vAlign w:val="center"/>
                </w:tcPr>
                <w:p w14:paraId="2FA3777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E3F68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D53C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A9A192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7CA8D7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1F49538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7EEFE4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E429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8BFEE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776248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5B16886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C6BB4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8ECA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14D6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466052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4889804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69709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86.22</w:t>
                  </w:r>
                </w:p>
              </w:tc>
            </w:tr>
            <w:tr w14:paraId="075EA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2BFC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5A2BC5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7E32ACD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1E98E3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872.25</w:t>
                  </w:r>
                </w:p>
              </w:tc>
            </w:tr>
            <w:tr w14:paraId="13EF5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78FA3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2CF092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4CE738D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A23AD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80.43</w:t>
                  </w:r>
                </w:p>
              </w:tc>
            </w:tr>
            <w:tr w14:paraId="6E952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F2915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09BAF1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07A03D8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17FFB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w:t>
                  </w:r>
                </w:p>
              </w:tc>
            </w:tr>
            <w:tr w14:paraId="48D0D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79F35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11288D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44E897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6EAD216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95.27</w:t>
                  </w:r>
                </w:p>
              </w:tc>
            </w:tr>
            <w:tr w14:paraId="6E5E0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4D207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571F46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7C6020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8B3FD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1250.94</w:t>
                  </w:r>
                </w:p>
              </w:tc>
            </w:tr>
            <w:tr w14:paraId="7E21C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1BC40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5F4618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4F9F439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DA6E4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1145.18</w:t>
                  </w:r>
                </w:p>
              </w:tc>
            </w:tr>
            <w:tr w14:paraId="12FC4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C89FA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3641" w:type="dxa"/>
                  <w:gridSpan w:val="4"/>
                  <w:noWrap w:val="0"/>
                  <w:vAlign w:val="center"/>
                </w:tcPr>
                <w:p w14:paraId="3B40CA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新建拦河坝2</w:t>
                  </w:r>
                </w:p>
              </w:tc>
              <w:tc>
                <w:tcPr>
                  <w:tcW w:w="1028" w:type="dxa"/>
                  <w:gridSpan w:val="2"/>
                  <w:noWrap w:val="0"/>
                  <w:vAlign w:val="center"/>
                </w:tcPr>
                <w:p w14:paraId="34F15E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5EC32D7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44AB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E84C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w:t>
                  </w:r>
                </w:p>
              </w:tc>
              <w:tc>
                <w:tcPr>
                  <w:tcW w:w="3641" w:type="dxa"/>
                  <w:gridSpan w:val="4"/>
                  <w:noWrap w:val="0"/>
                  <w:vAlign w:val="center"/>
                </w:tcPr>
                <w:p w14:paraId="6C1D77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371CC2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C3713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B627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4E8D9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484CB6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081A518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AF2E2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135.232</w:t>
                  </w:r>
                </w:p>
              </w:tc>
            </w:tr>
            <w:tr w14:paraId="206CD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D7CF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01CA57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304126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E84536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1217.089</w:t>
                  </w:r>
                </w:p>
              </w:tc>
            </w:tr>
            <w:tr w14:paraId="597C9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651056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25681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B26BBD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5F07F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1149.477</w:t>
                  </w:r>
                </w:p>
              </w:tc>
            </w:tr>
            <w:tr w14:paraId="14DE9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100C5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9CD8C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0E51F18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D8477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804.634</w:t>
                  </w:r>
                </w:p>
              </w:tc>
            </w:tr>
            <w:tr w14:paraId="44071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9BB2B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27D2C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21E4FB8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4E7B6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344.843</w:t>
                  </w:r>
                </w:p>
              </w:tc>
            </w:tr>
            <w:tr w14:paraId="075A4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4CD52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1.5.2</w:t>
                  </w:r>
                </w:p>
              </w:tc>
              <w:tc>
                <w:tcPr>
                  <w:tcW w:w="3641" w:type="dxa"/>
                  <w:gridSpan w:val="4"/>
                  <w:noWrap w:val="0"/>
                  <w:vAlign w:val="center"/>
                </w:tcPr>
                <w:p w14:paraId="314563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0C6EA9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12CDC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95AD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D04AF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902BD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2C8A8FB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34DEE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19.526</w:t>
                  </w:r>
                </w:p>
              </w:tc>
            </w:tr>
            <w:tr w14:paraId="548D2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5774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05B725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5D67924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72ED7E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72.101</w:t>
                  </w:r>
                </w:p>
              </w:tc>
            </w:tr>
            <w:tr w14:paraId="28558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1F39D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w:t>
                  </w:r>
                </w:p>
              </w:tc>
              <w:tc>
                <w:tcPr>
                  <w:tcW w:w="3641" w:type="dxa"/>
                  <w:gridSpan w:val="4"/>
                  <w:noWrap w:val="0"/>
                  <w:vAlign w:val="center"/>
                </w:tcPr>
                <w:p w14:paraId="4C6E97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noWrap w:val="0"/>
                  <w:vAlign w:val="center"/>
                </w:tcPr>
                <w:p w14:paraId="1EAED4E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055F5D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61FC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F2CA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93F3A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noWrap w:val="0"/>
                  <w:vAlign w:val="center"/>
                </w:tcPr>
                <w:p w14:paraId="4FB426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60475C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168.48</w:t>
                  </w:r>
                </w:p>
              </w:tc>
            </w:tr>
            <w:tr w14:paraId="03159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A7B32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1.5.4</w:t>
                  </w:r>
                </w:p>
              </w:tc>
              <w:tc>
                <w:tcPr>
                  <w:tcW w:w="3641" w:type="dxa"/>
                  <w:gridSpan w:val="4"/>
                  <w:noWrap w:val="0"/>
                  <w:vAlign w:val="center"/>
                </w:tcPr>
                <w:p w14:paraId="0FE8B3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2EA2BC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4EEC9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E0AB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6AC642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79E31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7F26299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3A769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6.17</w:t>
                  </w:r>
                </w:p>
              </w:tc>
            </w:tr>
            <w:tr w14:paraId="35D05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2BBC9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BF2D3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noWrap w:val="0"/>
                  <w:vAlign w:val="center"/>
                </w:tcPr>
                <w:p w14:paraId="4C1F475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C0601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24D9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B672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7C1AA8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64BDBBE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72717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306F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F6ACD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463238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1ACC0C7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CAB9B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034E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65A76E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39967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6420DE2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EC9EC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68.381</w:t>
                  </w:r>
                </w:p>
              </w:tc>
            </w:tr>
            <w:tr w14:paraId="0FF3E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80014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25541F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53CC12D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62B8D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691.784</w:t>
                  </w:r>
                </w:p>
              </w:tc>
            </w:tr>
            <w:tr w14:paraId="512A8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B2BFB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4799F86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535B523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0DED8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63.789</w:t>
                  </w:r>
                </w:p>
              </w:tc>
            </w:tr>
            <w:tr w14:paraId="30E39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07921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559357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122AAC9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3A645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78.121</w:t>
                  </w:r>
                </w:p>
              </w:tc>
            </w:tr>
            <w:tr w14:paraId="0CF82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302D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749E09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0A1E5DC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684755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75.559</w:t>
                  </w:r>
                </w:p>
              </w:tc>
            </w:tr>
            <w:tr w14:paraId="469F6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B4DE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34A24C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67C187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p>
              </w:tc>
              <w:tc>
                <w:tcPr>
                  <w:tcW w:w="1979" w:type="dxa"/>
                  <w:gridSpan w:val="3"/>
                  <w:noWrap w:val="0"/>
                  <w:vAlign w:val="center"/>
                </w:tcPr>
                <w:p w14:paraId="4CAB092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992.12</w:t>
                  </w:r>
                </w:p>
              </w:tc>
            </w:tr>
            <w:tr w14:paraId="12863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B6D0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5508A4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1B3AAF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380D0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908.25</w:t>
                  </w:r>
                </w:p>
              </w:tc>
            </w:tr>
            <w:tr w14:paraId="229FE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1DAF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3641" w:type="dxa"/>
                  <w:gridSpan w:val="4"/>
                  <w:noWrap w:val="0"/>
                  <w:vAlign w:val="center"/>
                </w:tcPr>
                <w:p w14:paraId="5FC579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拆建拦河坝1</w:t>
                  </w:r>
                </w:p>
              </w:tc>
              <w:tc>
                <w:tcPr>
                  <w:tcW w:w="1028" w:type="dxa"/>
                  <w:gridSpan w:val="2"/>
                  <w:noWrap w:val="0"/>
                  <w:vAlign w:val="center"/>
                </w:tcPr>
                <w:p w14:paraId="1074DC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37C434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4D72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52486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1.6.1</w:t>
                  </w:r>
                </w:p>
              </w:tc>
              <w:tc>
                <w:tcPr>
                  <w:tcW w:w="3641" w:type="dxa"/>
                  <w:gridSpan w:val="4"/>
                  <w:noWrap w:val="0"/>
                  <w:vAlign w:val="center"/>
                </w:tcPr>
                <w:p w14:paraId="74705A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7A0FCE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D1D576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7309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4854F7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D883A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5CDF5FB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93981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91.135</w:t>
                  </w:r>
                </w:p>
              </w:tc>
            </w:tr>
            <w:tr w14:paraId="200F3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7DD4B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1A000F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7BC0E30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D90CE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820.212</w:t>
                  </w:r>
                </w:p>
              </w:tc>
            </w:tr>
            <w:tr w14:paraId="3FF33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F7BEE1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3A5A6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582C1A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40F234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774.647</w:t>
                  </w:r>
                </w:p>
              </w:tc>
            </w:tr>
            <w:tr w14:paraId="52A23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32D56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1C14D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700B87A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C3EEE8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542.253</w:t>
                  </w:r>
                </w:p>
              </w:tc>
            </w:tr>
            <w:tr w14:paraId="65DE8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EA017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154473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7806231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B60C1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232.394</w:t>
                  </w:r>
                </w:p>
              </w:tc>
            </w:tr>
            <w:tr w14:paraId="241E0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550BF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1.6.2</w:t>
                  </w:r>
                </w:p>
              </w:tc>
              <w:tc>
                <w:tcPr>
                  <w:tcW w:w="3641" w:type="dxa"/>
                  <w:gridSpan w:val="4"/>
                  <w:noWrap w:val="0"/>
                  <w:vAlign w:val="center"/>
                </w:tcPr>
                <w:p w14:paraId="6B0CF0E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45C766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E41BA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D3E4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9C4A6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2C735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2C0D7B0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42A89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13.159</w:t>
                  </w:r>
                </w:p>
              </w:tc>
            </w:tr>
            <w:tr w14:paraId="0A53E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53EF2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FBF1A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2C7BB84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C2B7B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48.59</w:t>
                  </w:r>
                </w:p>
              </w:tc>
            </w:tr>
            <w:tr w14:paraId="65441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82DDF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1.6.3</w:t>
                  </w:r>
                </w:p>
              </w:tc>
              <w:tc>
                <w:tcPr>
                  <w:tcW w:w="3641" w:type="dxa"/>
                  <w:gridSpan w:val="4"/>
                  <w:noWrap w:val="0"/>
                  <w:vAlign w:val="center"/>
                </w:tcPr>
                <w:p w14:paraId="121239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559A4F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42910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4F20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5D3C35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BC7807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3A5C9B1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04912C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4.158</w:t>
                  </w:r>
                </w:p>
              </w:tc>
            </w:tr>
            <w:tr w14:paraId="1383B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E1847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12B55D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noWrap w:val="0"/>
                  <w:vAlign w:val="center"/>
                </w:tcPr>
                <w:p w14:paraId="1FA63D4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97193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79BB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869E0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72966BC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769A064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08BD3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9B3C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07F7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7C2B21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2B4714E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56334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828C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A1522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55D3D3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6D4A1C4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3BBF5C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46.083</w:t>
                  </w:r>
                </w:p>
              </w:tc>
            </w:tr>
            <w:tr w14:paraId="34D96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F20B2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12C2DF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3682B20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E5DAE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466.203</w:t>
                  </w:r>
                </w:p>
              </w:tc>
            </w:tr>
            <w:tr w14:paraId="79CC2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3C92D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7AAE5C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3F05229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364A6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42.988</w:t>
                  </w:r>
                </w:p>
              </w:tc>
            </w:tr>
            <w:tr w14:paraId="5643C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2541C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5253DB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5171810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44918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52.647</w:t>
                  </w:r>
                </w:p>
              </w:tc>
            </w:tr>
            <w:tr w14:paraId="50A3E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30245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640D13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6CD9C9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58B4EB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50.92</w:t>
                  </w:r>
                </w:p>
              </w:tc>
            </w:tr>
            <w:tr w14:paraId="316D0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090110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0D752A7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05B3DD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4083611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668.61</w:t>
                  </w:r>
                </w:p>
              </w:tc>
            </w:tr>
            <w:tr w14:paraId="0F7C4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5F066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2A9241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025246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4F0C6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612.08</w:t>
                  </w:r>
                </w:p>
              </w:tc>
            </w:tr>
            <w:tr w14:paraId="0F0A1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869F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1.6.4</w:t>
                  </w:r>
                </w:p>
              </w:tc>
              <w:tc>
                <w:tcPr>
                  <w:tcW w:w="3641" w:type="dxa"/>
                  <w:gridSpan w:val="4"/>
                  <w:noWrap w:val="0"/>
                  <w:vAlign w:val="center"/>
                </w:tcPr>
                <w:p w14:paraId="159190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0738BC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09EE6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BDD5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0C7C0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FE801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noWrap w:val="0"/>
                  <w:vAlign w:val="center"/>
                </w:tcPr>
                <w:p w14:paraId="5CE469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noWrap w:val="0"/>
                  <w:vAlign w:val="center"/>
                </w:tcPr>
                <w:p w14:paraId="15AE01B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0E9A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F172A2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3641" w:type="dxa"/>
                  <w:gridSpan w:val="4"/>
                  <w:noWrap w:val="0"/>
                  <w:vAlign w:val="center"/>
                </w:tcPr>
                <w:p w14:paraId="526A72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4号拦河坝改造</w:t>
                  </w:r>
                </w:p>
              </w:tc>
              <w:tc>
                <w:tcPr>
                  <w:tcW w:w="1028" w:type="dxa"/>
                  <w:gridSpan w:val="2"/>
                  <w:noWrap w:val="0"/>
                  <w:vAlign w:val="center"/>
                </w:tcPr>
                <w:p w14:paraId="2109C3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1FE9FC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DC6D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8686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3641" w:type="dxa"/>
                  <w:gridSpan w:val="4"/>
                  <w:noWrap w:val="0"/>
                  <w:vAlign w:val="center"/>
                </w:tcPr>
                <w:p w14:paraId="10FE56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6号拦河坝改造</w:t>
                  </w:r>
                </w:p>
              </w:tc>
              <w:tc>
                <w:tcPr>
                  <w:tcW w:w="1028" w:type="dxa"/>
                  <w:gridSpan w:val="2"/>
                  <w:noWrap w:val="0"/>
                  <w:vAlign w:val="center"/>
                </w:tcPr>
                <w:p w14:paraId="24C1BE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433B13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2D45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6654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w:t>
                  </w:r>
                </w:p>
              </w:tc>
              <w:tc>
                <w:tcPr>
                  <w:tcW w:w="3641" w:type="dxa"/>
                  <w:gridSpan w:val="4"/>
                  <w:noWrap w:val="0"/>
                  <w:vAlign w:val="center"/>
                </w:tcPr>
                <w:p w14:paraId="38221AE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27FE5E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1BDEA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691E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0B816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4DE70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72BF00A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AB45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81.831</w:t>
                  </w:r>
                </w:p>
              </w:tc>
            </w:tr>
            <w:tr w14:paraId="522F8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645B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EB698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553CAD4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AE067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736.479</w:t>
                  </w:r>
                </w:p>
              </w:tc>
            </w:tr>
            <w:tr w14:paraId="01666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D14BA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B60E1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D9A1A6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E6A65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818.31</w:t>
                  </w:r>
                </w:p>
              </w:tc>
            </w:tr>
            <w:tr w14:paraId="73C8D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0AD3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20A450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01E90E3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5F988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486.892</w:t>
                  </w:r>
                </w:p>
              </w:tc>
            </w:tr>
            <w:tr w14:paraId="79951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27918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364CE1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3B118B4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5FA9C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208.668</w:t>
                  </w:r>
                </w:p>
              </w:tc>
            </w:tr>
            <w:tr w14:paraId="09CBE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B6B1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1.8.2</w:t>
                  </w:r>
                </w:p>
              </w:tc>
              <w:tc>
                <w:tcPr>
                  <w:tcW w:w="3641" w:type="dxa"/>
                  <w:gridSpan w:val="4"/>
                  <w:noWrap w:val="0"/>
                  <w:vAlign w:val="center"/>
                </w:tcPr>
                <w:p w14:paraId="381881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7941FC7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1426BA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DD31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32EB8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272C7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5BEEC8D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60D26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w:t>
                  </w:r>
                </w:p>
              </w:tc>
            </w:tr>
            <w:tr w14:paraId="3295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9D89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1.8.3</w:t>
                  </w:r>
                </w:p>
              </w:tc>
              <w:tc>
                <w:tcPr>
                  <w:tcW w:w="3641" w:type="dxa"/>
                  <w:gridSpan w:val="4"/>
                  <w:noWrap w:val="0"/>
                  <w:vAlign w:val="center"/>
                </w:tcPr>
                <w:p w14:paraId="46078B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4F9C961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216FC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BA1A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CB06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1B45E0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16A6C1F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81EBC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20.84</w:t>
                  </w:r>
                </w:p>
              </w:tc>
            </w:tr>
            <w:tr w14:paraId="220A9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CABF3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8FEBC4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70C357D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77635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73.37</w:t>
                  </w:r>
                </w:p>
              </w:tc>
            </w:tr>
            <w:tr w14:paraId="02298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E25B7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A2A6C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196378E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82EDB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241.52</w:t>
                  </w:r>
                </w:p>
              </w:tc>
            </w:tr>
            <w:tr w14:paraId="176F8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2C08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54319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3339755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9E9E3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188.72</w:t>
                  </w:r>
                </w:p>
              </w:tc>
            </w:tr>
            <w:tr w14:paraId="4EC38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181A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4FEB99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1EC4AF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3B23C9A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26.27</w:t>
                  </w:r>
                </w:p>
              </w:tc>
            </w:tr>
            <w:tr w14:paraId="6E5AD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34C40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643C04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27D324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20CDD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534.44</w:t>
                  </w:r>
                </w:p>
              </w:tc>
            </w:tr>
            <w:tr w14:paraId="433D1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80160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10A8E3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28EDFF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D2B8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524.45</w:t>
                  </w:r>
                </w:p>
              </w:tc>
            </w:tr>
            <w:tr w14:paraId="24171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0836E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1.8.4</w:t>
                  </w:r>
                </w:p>
              </w:tc>
              <w:tc>
                <w:tcPr>
                  <w:tcW w:w="3641" w:type="dxa"/>
                  <w:gridSpan w:val="4"/>
                  <w:noWrap w:val="0"/>
                  <w:vAlign w:val="center"/>
                </w:tcPr>
                <w:p w14:paraId="23D6C1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65377B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95C06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9957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2F2EB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0F437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0E4D4B8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11481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96.41</w:t>
                  </w:r>
                </w:p>
              </w:tc>
            </w:tr>
            <w:tr w14:paraId="677AE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AB243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3641" w:type="dxa"/>
                  <w:gridSpan w:val="4"/>
                  <w:noWrap w:val="0"/>
                  <w:vAlign w:val="center"/>
                </w:tcPr>
                <w:p w14:paraId="430415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noWrap w:val="0"/>
                  <w:vAlign w:val="center"/>
                </w:tcPr>
                <w:p w14:paraId="3EA36B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8CAF2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9954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ADE52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w:t>
                  </w:r>
                </w:p>
              </w:tc>
              <w:tc>
                <w:tcPr>
                  <w:tcW w:w="3641" w:type="dxa"/>
                  <w:gridSpan w:val="4"/>
                  <w:noWrap w:val="0"/>
                  <w:vAlign w:val="center"/>
                </w:tcPr>
                <w:p w14:paraId="601DD4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noWrap w:val="0"/>
                  <w:vAlign w:val="center"/>
                </w:tcPr>
                <w:p w14:paraId="52A617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noWrap w:val="0"/>
                  <w:vAlign w:val="center"/>
                </w:tcPr>
                <w:p w14:paraId="07E948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6FC6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1D697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1.9.2</w:t>
                  </w:r>
                </w:p>
              </w:tc>
              <w:tc>
                <w:tcPr>
                  <w:tcW w:w="3641" w:type="dxa"/>
                  <w:gridSpan w:val="4"/>
                  <w:noWrap w:val="0"/>
                  <w:vAlign w:val="center"/>
                </w:tcPr>
                <w:p w14:paraId="2DF5DE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更换栏杆</w:t>
                  </w:r>
                </w:p>
              </w:tc>
              <w:tc>
                <w:tcPr>
                  <w:tcW w:w="1028" w:type="dxa"/>
                  <w:gridSpan w:val="2"/>
                  <w:noWrap w:val="0"/>
                  <w:vAlign w:val="center"/>
                </w:tcPr>
                <w:p w14:paraId="01899E2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0477C33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1325</w:t>
                  </w:r>
                </w:p>
              </w:tc>
            </w:tr>
            <w:tr w14:paraId="08BE4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5013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1.9.3</w:t>
                  </w:r>
                </w:p>
              </w:tc>
              <w:tc>
                <w:tcPr>
                  <w:tcW w:w="3641" w:type="dxa"/>
                  <w:gridSpan w:val="4"/>
                  <w:noWrap w:val="0"/>
                  <w:vAlign w:val="center"/>
                </w:tcPr>
                <w:p w14:paraId="70011F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沥青巡查便道</w:t>
                  </w:r>
                </w:p>
              </w:tc>
              <w:tc>
                <w:tcPr>
                  <w:tcW w:w="1028" w:type="dxa"/>
                  <w:gridSpan w:val="2"/>
                  <w:noWrap w:val="0"/>
                  <w:vAlign w:val="center"/>
                </w:tcPr>
                <w:p w14:paraId="6BBE09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B2E46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2D32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04B6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BA327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铣刨机铣刨沥青路面</w:t>
                  </w:r>
                </w:p>
              </w:tc>
              <w:tc>
                <w:tcPr>
                  <w:tcW w:w="1028" w:type="dxa"/>
                  <w:gridSpan w:val="2"/>
                  <w:noWrap w:val="0"/>
                  <w:vAlign w:val="center"/>
                </w:tcPr>
                <w:p w14:paraId="077664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1B406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599EC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BF86D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9428A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7263B6E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88F3A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262FA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C6A9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29FA6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514A50A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23DAAE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4C0FC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86C89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16B624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28" w:type="dxa"/>
                  <w:gridSpan w:val="2"/>
                  <w:noWrap w:val="0"/>
                  <w:vAlign w:val="center"/>
                </w:tcPr>
                <w:p w14:paraId="1272A71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0A348C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68541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3ADC6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1.9.4</w:t>
                  </w:r>
                </w:p>
              </w:tc>
              <w:tc>
                <w:tcPr>
                  <w:tcW w:w="3641" w:type="dxa"/>
                  <w:gridSpan w:val="4"/>
                  <w:noWrap w:val="0"/>
                  <w:vAlign w:val="center"/>
                </w:tcPr>
                <w:p w14:paraId="05D317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人行步道</w:t>
                  </w:r>
                </w:p>
              </w:tc>
              <w:tc>
                <w:tcPr>
                  <w:tcW w:w="1028" w:type="dxa"/>
                  <w:gridSpan w:val="2"/>
                  <w:noWrap w:val="0"/>
                  <w:vAlign w:val="center"/>
                </w:tcPr>
                <w:p w14:paraId="203611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D9100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B00C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793B9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9FB4F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80厚C20砌块砖</w:t>
                  </w:r>
                </w:p>
              </w:tc>
              <w:tc>
                <w:tcPr>
                  <w:tcW w:w="1028" w:type="dxa"/>
                  <w:gridSpan w:val="2"/>
                  <w:noWrap w:val="0"/>
                  <w:vAlign w:val="center"/>
                </w:tcPr>
                <w:p w14:paraId="428B6EC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FA5D7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5974.56</w:t>
                  </w:r>
                </w:p>
              </w:tc>
            </w:tr>
            <w:tr w14:paraId="0793F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AE8C7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0893E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120厚C25透水混凝土</w:t>
                  </w:r>
                </w:p>
              </w:tc>
              <w:tc>
                <w:tcPr>
                  <w:tcW w:w="1028" w:type="dxa"/>
                  <w:gridSpan w:val="2"/>
                  <w:noWrap w:val="0"/>
                  <w:vAlign w:val="center"/>
                </w:tcPr>
                <w:p w14:paraId="71FE495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0BF494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5974.56</w:t>
                  </w:r>
                </w:p>
              </w:tc>
            </w:tr>
            <w:tr w14:paraId="03E3F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C0E7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10D185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150厚碎石垫层</w:t>
                  </w:r>
                </w:p>
              </w:tc>
              <w:tc>
                <w:tcPr>
                  <w:tcW w:w="1028" w:type="dxa"/>
                  <w:gridSpan w:val="2"/>
                  <w:noWrap w:val="0"/>
                  <w:vAlign w:val="center"/>
                </w:tcPr>
                <w:p w14:paraId="3EB6990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06E45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6970.32</w:t>
                  </w:r>
                </w:p>
              </w:tc>
            </w:tr>
            <w:tr w14:paraId="47FB9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EB60F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546CA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高庙河排涝通道整治</w:t>
                  </w:r>
                </w:p>
              </w:tc>
              <w:tc>
                <w:tcPr>
                  <w:tcW w:w="1028" w:type="dxa"/>
                  <w:gridSpan w:val="2"/>
                  <w:noWrap w:val="0"/>
                  <w:vAlign w:val="center"/>
                </w:tcPr>
                <w:p w14:paraId="15FA12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D3792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6A89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136FC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3641" w:type="dxa"/>
                  <w:gridSpan w:val="4"/>
                  <w:noWrap w:val="0"/>
                  <w:vAlign w:val="center"/>
                </w:tcPr>
                <w:p w14:paraId="62D7BD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noWrap w:val="0"/>
                  <w:vAlign w:val="center"/>
                </w:tcPr>
                <w:p w14:paraId="2B0F58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BBC2F4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EAF1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5AECE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w:t>
                  </w:r>
                </w:p>
              </w:tc>
              <w:tc>
                <w:tcPr>
                  <w:tcW w:w="3641" w:type="dxa"/>
                  <w:gridSpan w:val="4"/>
                  <w:noWrap w:val="0"/>
                  <w:vAlign w:val="center"/>
                </w:tcPr>
                <w:p w14:paraId="4E5A60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5BD1368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6F4FE9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D84B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6A904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8E436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noWrap w:val="0"/>
                  <w:vAlign w:val="center"/>
                </w:tcPr>
                <w:p w14:paraId="31404C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DCCB0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178606.08</w:t>
                  </w:r>
                </w:p>
              </w:tc>
            </w:tr>
            <w:tr w14:paraId="7FCBE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0B07A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B7832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noWrap w:val="0"/>
                  <w:vAlign w:val="center"/>
                </w:tcPr>
                <w:p w14:paraId="4BB721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29FB6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60309.326</w:t>
                  </w:r>
                </w:p>
              </w:tc>
            </w:tr>
            <w:tr w14:paraId="12363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71CBD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B5F97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noWrap w:val="0"/>
                  <w:vAlign w:val="center"/>
                </w:tcPr>
                <w:p w14:paraId="648FCF5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19CAF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67100.024</w:t>
                  </w:r>
                </w:p>
              </w:tc>
            </w:tr>
            <w:tr w14:paraId="1C817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D961BF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76985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noWrap w:val="0"/>
                  <w:vAlign w:val="center"/>
                </w:tcPr>
                <w:p w14:paraId="18F5CD6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CD8D0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67100.024</w:t>
                  </w:r>
                </w:p>
              </w:tc>
            </w:tr>
            <w:tr w14:paraId="03660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E0B46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6A1C40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3C22F53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D3241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57035.02</w:t>
                  </w:r>
                </w:p>
              </w:tc>
            </w:tr>
            <w:tr w14:paraId="1D8C5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BDF3C4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2.1.2</w:t>
                  </w:r>
                </w:p>
              </w:tc>
              <w:tc>
                <w:tcPr>
                  <w:tcW w:w="3641" w:type="dxa"/>
                  <w:gridSpan w:val="4"/>
                  <w:noWrap w:val="0"/>
                  <w:vAlign w:val="center"/>
                </w:tcPr>
                <w:p w14:paraId="7B7B33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noWrap w:val="0"/>
                  <w:vAlign w:val="center"/>
                </w:tcPr>
                <w:p w14:paraId="7D724B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74252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BD81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A0D7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E3F75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58C5C5C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AA243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6719.89</w:t>
                  </w:r>
                </w:p>
              </w:tc>
            </w:tr>
            <w:tr w14:paraId="33C68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343EE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BE1D76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雷诺护垫护坡</w:t>
                  </w:r>
                </w:p>
              </w:tc>
              <w:tc>
                <w:tcPr>
                  <w:tcW w:w="1028" w:type="dxa"/>
                  <w:gridSpan w:val="2"/>
                  <w:noWrap w:val="0"/>
                  <w:vAlign w:val="center"/>
                </w:tcPr>
                <w:p w14:paraId="12D0B09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F21774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795.52</w:t>
                  </w:r>
                </w:p>
              </w:tc>
            </w:tr>
            <w:tr w14:paraId="09453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12D2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72A0931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新建石笼挡墙</w:t>
                  </w:r>
                </w:p>
              </w:tc>
              <w:tc>
                <w:tcPr>
                  <w:tcW w:w="1028" w:type="dxa"/>
                  <w:gridSpan w:val="2"/>
                  <w:noWrap w:val="0"/>
                  <w:vAlign w:val="center"/>
                </w:tcPr>
                <w:p w14:paraId="6B56D91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BE54A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1600.59</w:t>
                  </w:r>
                </w:p>
              </w:tc>
            </w:tr>
            <w:tr w14:paraId="00302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71960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6B6AA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2A97B8F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FD9E2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099C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53A0E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7A3EE3A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15浆砌石挡墙</w:t>
                  </w:r>
                </w:p>
              </w:tc>
              <w:tc>
                <w:tcPr>
                  <w:tcW w:w="1028" w:type="dxa"/>
                  <w:gridSpan w:val="2"/>
                  <w:noWrap w:val="0"/>
                  <w:vAlign w:val="center"/>
                </w:tcPr>
                <w:p w14:paraId="4F28596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D39CAE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5120.02</w:t>
                  </w:r>
                </w:p>
              </w:tc>
            </w:tr>
            <w:tr w14:paraId="65F3C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B5CBB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2298FF9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格宾石笼护脚</w:t>
                  </w:r>
                </w:p>
              </w:tc>
              <w:tc>
                <w:tcPr>
                  <w:tcW w:w="1028" w:type="dxa"/>
                  <w:gridSpan w:val="2"/>
                  <w:noWrap w:val="0"/>
                  <w:vAlign w:val="center"/>
                </w:tcPr>
                <w:p w14:paraId="062BE23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A01CC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3404.16</w:t>
                  </w:r>
                </w:p>
              </w:tc>
            </w:tr>
            <w:tr w14:paraId="701F5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68613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2.1.3</w:t>
                  </w:r>
                </w:p>
              </w:tc>
              <w:tc>
                <w:tcPr>
                  <w:tcW w:w="3641" w:type="dxa"/>
                  <w:gridSpan w:val="4"/>
                  <w:noWrap w:val="0"/>
                  <w:vAlign w:val="center"/>
                </w:tcPr>
                <w:p w14:paraId="4465A6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noWrap w:val="0"/>
                  <w:vAlign w:val="center"/>
                </w:tcPr>
                <w:p w14:paraId="4BC3B5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87080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C73A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E5BD8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A99A5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D400混凝土预制方桩</w:t>
                  </w:r>
                </w:p>
              </w:tc>
              <w:tc>
                <w:tcPr>
                  <w:tcW w:w="1028" w:type="dxa"/>
                  <w:gridSpan w:val="2"/>
                  <w:noWrap w:val="0"/>
                  <w:vAlign w:val="center"/>
                </w:tcPr>
                <w:p w14:paraId="4BCFAAF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326013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3240</w:t>
                  </w:r>
                </w:p>
              </w:tc>
            </w:tr>
            <w:tr w14:paraId="051EC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D864A0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w:t>
                  </w:r>
                </w:p>
              </w:tc>
              <w:tc>
                <w:tcPr>
                  <w:tcW w:w="3641" w:type="dxa"/>
                  <w:gridSpan w:val="4"/>
                  <w:noWrap w:val="0"/>
                  <w:vAlign w:val="center"/>
                </w:tcPr>
                <w:p w14:paraId="5BD3BF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7EB27C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0AECD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9C50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129C6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E29814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 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597831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D8A73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1181.14</w:t>
                  </w:r>
                </w:p>
              </w:tc>
            </w:tr>
            <w:tr w14:paraId="20C0B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99C4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AB57D2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新建防洪墙</w:t>
                  </w:r>
                </w:p>
              </w:tc>
              <w:tc>
                <w:tcPr>
                  <w:tcW w:w="1028" w:type="dxa"/>
                  <w:gridSpan w:val="2"/>
                  <w:noWrap w:val="0"/>
                  <w:vAlign w:val="center"/>
                </w:tcPr>
                <w:p w14:paraId="5C85AC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03D2A7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600</w:t>
                  </w:r>
                </w:p>
              </w:tc>
            </w:tr>
            <w:tr w14:paraId="79A45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1E35C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0E7B1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28" w:type="dxa"/>
                  <w:gridSpan w:val="2"/>
                  <w:noWrap w:val="0"/>
                  <w:vAlign w:val="center"/>
                </w:tcPr>
                <w:p w14:paraId="4957EFD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6ED621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5B4B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6BC1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3BD7A2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noWrap w:val="0"/>
                  <w:vAlign w:val="center"/>
                </w:tcPr>
                <w:p w14:paraId="6BC4ABA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CEAC8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11040.92</w:t>
                  </w:r>
                </w:p>
              </w:tc>
            </w:tr>
            <w:tr w14:paraId="4135A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B2E4FD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44087A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noWrap w:val="0"/>
                  <w:vAlign w:val="center"/>
                </w:tcPr>
                <w:p w14:paraId="01F11F0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426A2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3865.01</w:t>
                  </w:r>
                </w:p>
              </w:tc>
            </w:tr>
            <w:tr w14:paraId="062F5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01CF5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36D260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noWrap w:val="0"/>
                  <w:vAlign w:val="center"/>
                </w:tcPr>
                <w:p w14:paraId="3D6BDE3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87E2A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5882.54</w:t>
                  </w:r>
                </w:p>
              </w:tc>
            </w:tr>
            <w:tr w14:paraId="14D2E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09D4B3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786DA1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noWrap w:val="0"/>
                  <w:vAlign w:val="center"/>
                </w:tcPr>
                <w:p w14:paraId="4C9CBC4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noWrap w:val="0"/>
                  <w:vAlign w:val="center"/>
                </w:tcPr>
                <w:p w14:paraId="2A04681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12005</w:t>
                  </w:r>
                </w:p>
              </w:tc>
            </w:tr>
            <w:tr w14:paraId="5A9E7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41B1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6A9C125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noWrap w:val="0"/>
                  <w:vAlign w:val="center"/>
                </w:tcPr>
                <w:p w14:paraId="7D2B2F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E6927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42870.31</w:t>
                  </w:r>
                </w:p>
              </w:tc>
            </w:tr>
            <w:tr w14:paraId="794E4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DD2E94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655FA86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2132FE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0F995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20788.47</w:t>
                  </w:r>
                </w:p>
              </w:tc>
            </w:tr>
            <w:tr w14:paraId="5B0CC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691F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3641" w:type="dxa"/>
                  <w:gridSpan w:val="4"/>
                  <w:noWrap w:val="0"/>
                  <w:vAlign w:val="center"/>
                </w:tcPr>
                <w:p w14:paraId="564F8E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347A812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E0219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28CB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AB200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38A7A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noWrap w:val="0"/>
                  <w:vAlign w:val="center"/>
                </w:tcPr>
                <w:p w14:paraId="740768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24B2CA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31704.06</w:t>
                  </w:r>
                </w:p>
              </w:tc>
            </w:tr>
            <w:tr w14:paraId="3C52E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3E7AE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FFC07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788DDA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4A9F91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14145.79</w:t>
                  </w:r>
                </w:p>
              </w:tc>
            </w:tr>
            <w:tr w14:paraId="66FE4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B0A15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3641" w:type="dxa"/>
                  <w:gridSpan w:val="4"/>
                  <w:noWrap w:val="0"/>
                  <w:vAlign w:val="center"/>
                </w:tcPr>
                <w:p w14:paraId="16572E6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拆建7号拦河坝</w:t>
                  </w:r>
                </w:p>
              </w:tc>
              <w:tc>
                <w:tcPr>
                  <w:tcW w:w="1028" w:type="dxa"/>
                  <w:gridSpan w:val="2"/>
                  <w:noWrap w:val="0"/>
                  <w:vAlign w:val="center"/>
                </w:tcPr>
                <w:p w14:paraId="10499F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485B74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E3B6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E1D7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2.2.1</w:t>
                  </w:r>
                </w:p>
              </w:tc>
              <w:tc>
                <w:tcPr>
                  <w:tcW w:w="3641" w:type="dxa"/>
                  <w:gridSpan w:val="4"/>
                  <w:noWrap w:val="0"/>
                  <w:vAlign w:val="center"/>
                </w:tcPr>
                <w:p w14:paraId="70EBA7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7F7AC0A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4391B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AEC2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9365D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741372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5BDECD3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A4E6A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321.028</w:t>
                  </w:r>
                </w:p>
              </w:tc>
            </w:tr>
            <w:tr w14:paraId="50D48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8A08F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38024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C35A4E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15311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2889.252</w:t>
                  </w:r>
                </w:p>
              </w:tc>
            </w:tr>
            <w:tr w14:paraId="6E099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38E8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1D3FF6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004F397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C0FCE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2728.74</w:t>
                  </w:r>
                </w:p>
              </w:tc>
            </w:tr>
            <w:tr w14:paraId="0B3D0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DE916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225DC9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5FD7C79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D3632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1910.118</w:t>
                  </w:r>
                </w:p>
              </w:tc>
            </w:tr>
            <w:tr w14:paraId="65CED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0EA8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475773D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6854905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28FE2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818.622</w:t>
                  </w:r>
                </w:p>
              </w:tc>
            </w:tr>
            <w:tr w14:paraId="52885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6901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2.2.2</w:t>
                  </w:r>
                </w:p>
              </w:tc>
              <w:tc>
                <w:tcPr>
                  <w:tcW w:w="3641" w:type="dxa"/>
                  <w:gridSpan w:val="4"/>
                  <w:noWrap w:val="0"/>
                  <w:vAlign w:val="center"/>
                </w:tcPr>
                <w:p w14:paraId="0C81D1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5CE037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0EAE4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632F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6CB28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01C24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0EC5C4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1117C0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37.65</w:t>
                  </w:r>
                </w:p>
              </w:tc>
            </w:tr>
            <w:tr w14:paraId="1299C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77637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w:t>
                  </w:r>
                </w:p>
              </w:tc>
              <w:tc>
                <w:tcPr>
                  <w:tcW w:w="3641" w:type="dxa"/>
                  <w:gridSpan w:val="4"/>
                  <w:noWrap w:val="0"/>
                  <w:vAlign w:val="center"/>
                </w:tcPr>
                <w:p w14:paraId="271DD14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137ADF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B53011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2A52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A7308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078AD4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4D3AD52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2F4ED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6.74</w:t>
                  </w:r>
                </w:p>
              </w:tc>
            </w:tr>
            <w:tr w14:paraId="1EB54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55DBB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4A64E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noWrap w:val="0"/>
                  <w:vAlign w:val="center"/>
                </w:tcPr>
                <w:p w14:paraId="0E91136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EFF762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F682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E47B0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A1FBF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1E5304F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90EF9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257E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1264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19B079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4DD4DE0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004BF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0A2D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3A3739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0BD08B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14031DF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8A6BF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53.95</w:t>
                  </w:r>
                </w:p>
              </w:tc>
            </w:tr>
            <w:tr w14:paraId="6135C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37631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7C1562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2DF6D7E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87939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536.55</w:t>
                  </w:r>
                </w:p>
              </w:tc>
            </w:tr>
            <w:tr w14:paraId="65701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5739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2F0E37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07389D8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D97BB6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7FC1C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FD751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1C37D1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5EC8FF4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0FD6C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36.74</w:t>
                  </w:r>
                </w:p>
              </w:tc>
            </w:tr>
            <w:tr w14:paraId="2DCFE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E52D6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6070E2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217B34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1FD0792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58.94</w:t>
                  </w:r>
                </w:p>
              </w:tc>
            </w:tr>
            <w:tr w14:paraId="1E098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79C50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45F802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2238594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60CAB5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765.42</w:t>
                  </w:r>
                </w:p>
              </w:tc>
            </w:tr>
            <w:tr w14:paraId="1C93E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0D40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35A5FB7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493555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0D9CB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686.79</w:t>
                  </w:r>
                </w:p>
              </w:tc>
            </w:tr>
            <w:tr w14:paraId="060BF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2725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2.2.4</w:t>
                  </w:r>
                </w:p>
              </w:tc>
              <w:tc>
                <w:tcPr>
                  <w:tcW w:w="3641" w:type="dxa"/>
                  <w:gridSpan w:val="4"/>
                  <w:noWrap w:val="0"/>
                  <w:vAlign w:val="center"/>
                </w:tcPr>
                <w:p w14:paraId="53E6AC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2DFA063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D1998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7AA6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CD42F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505B4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noWrap w:val="0"/>
                  <w:vAlign w:val="center"/>
                </w:tcPr>
                <w:p w14:paraId="0E45A4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noWrap w:val="0"/>
                  <w:vAlign w:val="center"/>
                </w:tcPr>
                <w:p w14:paraId="7D7A54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E57E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FAC76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3641" w:type="dxa"/>
                  <w:gridSpan w:val="4"/>
                  <w:noWrap w:val="0"/>
                  <w:vAlign w:val="center"/>
                </w:tcPr>
                <w:p w14:paraId="61AB464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拆建9号拦河坝</w:t>
                  </w:r>
                </w:p>
              </w:tc>
              <w:tc>
                <w:tcPr>
                  <w:tcW w:w="1028" w:type="dxa"/>
                  <w:gridSpan w:val="2"/>
                  <w:noWrap w:val="0"/>
                  <w:vAlign w:val="center"/>
                </w:tcPr>
                <w:p w14:paraId="1DA2DC4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63BC55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ED99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70BF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2.3.1</w:t>
                  </w:r>
                </w:p>
              </w:tc>
              <w:tc>
                <w:tcPr>
                  <w:tcW w:w="3641" w:type="dxa"/>
                  <w:gridSpan w:val="4"/>
                  <w:noWrap w:val="0"/>
                  <w:vAlign w:val="center"/>
                </w:tcPr>
                <w:p w14:paraId="66CFE7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419A4C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9F496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3645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37397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04412E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0A214D8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A13BE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16A2C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ED2E72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0FE62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23CE8D3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69533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2425.239</w:t>
                  </w:r>
                </w:p>
              </w:tc>
            </w:tr>
            <w:tr w14:paraId="1DF6A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27B39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3CF330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72375DC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1B65D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63E49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EFDFB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C555A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1724047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7B0D6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1603.35</w:t>
                  </w:r>
                </w:p>
              </w:tc>
            </w:tr>
            <w:tr w14:paraId="4CBCC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20550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C8435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0A54855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F1317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687.15</w:t>
                  </w:r>
                </w:p>
              </w:tc>
            </w:tr>
            <w:tr w14:paraId="7B80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75581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w:t>
                  </w:r>
                </w:p>
              </w:tc>
              <w:tc>
                <w:tcPr>
                  <w:tcW w:w="3641" w:type="dxa"/>
                  <w:gridSpan w:val="4"/>
                  <w:noWrap w:val="0"/>
                  <w:vAlign w:val="center"/>
                </w:tcPr>
                <w:p w14:paraId="2A8E844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148438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B058F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42CF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AE11E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C7380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4E8297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0DA7B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29.28</w:t>
                  </w:r>
                </w:p>
              </w:tc>
            </w:tr>
            <w:tr w14:paraId="5C041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F27AC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2.3.3</w:t>
                  </w:r>
                </w:p>
              </w:tc>
              <w:tc>
                <w:tcPr>
                  <w:tcW w:w="3641" w:type="dxa"/>
                  <w:gridSpan w:val="4"/>
                  <w:noWrap w:val="0"/>
                  <w:vAlign w:val="center"/>
                </w:tcPr>
                <w:p w14:paraId="7E02FD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1E3A0D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F9B9D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C29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43DF3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3C497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3D445AA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318FA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5.18</w:t>
                  </w:r>
                </w:p>
              </w:tc>
            </w:tr>
            <w:tr w14:paraId="36B02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7A7D9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6A1791D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noWrap w:val="0"/>
                  <w:vAlign w:val="center"/>
                </w:tcPr>
                <w:p w14:paraId="2F2F276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D3C23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1D80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5E0A2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8A03B3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3B1D04D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739F2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79C7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9555C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37252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001AF0A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DFF89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802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F0A64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6180CC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21AEF85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33F50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w:t>
                  </w:r>
                </w:p>
              </w:tc>
            </w:tr>
            <w:tr w14:paraId="224DC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0931E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257A0D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3E42B9F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212154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417.32</w:t>
                  </w:r>
                </w:p>
              </w:tc>
            </w:tr>
            <w:tr w14:paraId="4A889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78C58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31170D3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511EF1A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95605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37FB9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F154D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7F9FB9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0A0F6F1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CE4EC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28.58</w:t>
                  </w:r>
                </w:p>
              </w:tc>
            </w:tr>
            <w:tr w14:paraId="3F81B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A74A9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5752E6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55812B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1CD5181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47.01</w:t>
                  </w:r>
                </w:p>
              </w:tc>
            </w:tr>
            <w:tr w14:paraId="4DF08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24B5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5AE4C2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3EECF6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72A08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630.23</w:t>
                  </w:r>
                </w:p>
              </w:tc>
            </w:tr>
            <w:tr w14:paraId="01CA8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15D7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6A39F0A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69A611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BE1FD6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545.86</w:t>
                  </w:r>
                </w:p>
              </w:tc>
            </w:tr>
            <w:tr w14:paraId="1DEAC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F8F91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2.3.4</w:t>
                  </w:r>
                </w:p>
              </w:tc>
              <w:tc>
                <w:tcPr>
                  <w:tcW w:w="3641" w:type="dxa"/>
                  <w:gridSpan w:val="4"/>
                  <w:noWrap w:val="0"/>
                  <w:vAlign w:val="center"/>
                </w:tcPr>
                <w:p w14:paraId="1848CC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150EF63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587227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EE43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BA7F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C3EFD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noWrap w:val="0"/>
                  <w:vAlign w:val="center"/>
                </w:tcPr>
                <w:p w14:paraId="5E5D61D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noWrap w:val="0"/>
                  <w:vAlign w:val="center"/>
                </w:tcPr>
                <w:p w14:paraId="4F3FFF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6A2C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341A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3641" w:type="dxa"/>
                  <w:gridSpan w:val="4"/>
                  <w:noWrap w:val="0"/>
                  <w:vAlign w:val="center"/>
                </w:tcPr>
                <w:p w14:paraId="1E9C2F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新建11-1号拦河坝</w:t>
                  </w:r>
                </w:p>
              </w:tc>
              <w:tc>
                <w:tcPr>
                  <w:tcW w:w="1028" w:type="dxa"/>
                  <w:gridSpan w:val="2"/>
                  <w:noWrap w:val="0"/>
                  <w:vAlign w:val="center"/>
                </w:tcPr>
                <w:p w14:paraId="5E8287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48E6A5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1339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69C4C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2.4.1</w:t>
                  </w:r>
                </w:p>
              </w:tc>
              <w:tc>
                <w:tcPr>
                  <w:tcW w:w="3641" w:type="dxa"/>
                  <w:gridSpan w:val="4"/>
                  <w:noWrap w:val="0"/>
                  <w:vAlign w:val="center"/>
                </w:tcPr>
                <w:p w14:paraId="4454E6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7F1EDA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BDF6B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6AE2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69DFB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663AE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4D248F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5A06B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04869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070ED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9B773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5696E5A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61760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2425.239</w:t>
                  </w:r>
                </w:p>
              </w:tc>
            </w:tr>
            <w:tr w14:paraId="2196C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408CC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118BE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229301F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CF0152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24DE3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8D38A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7358C5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20F498F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83282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1603.35</w:t>
                  </w:r>
                </w:p>
              </w:tc>
            </w:tr>
            <w:tr w14:paraId="02E00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E052C1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1B3696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03366BD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D9743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687.15</w:t>
                  </w:r>
                </w:p>
              </w:tc>
            </w:tr>
            <w:tr w14:paraId="23A1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6494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w:t>
                  </w:r>
                </w:p>
              </w:tc>
              <w:tc>
                <w:tcPr>
                  <w:tcW w:w="3641" w:type="dxa"/>
                  <w:gridSpan w:val="4"/>
                  <w:noWrap w:val="0"/>
                  <w:vAlign w:val="center"/>
                </w:tcPr>
                <w:p w14:paraId="268B32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7DE819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1AD3E0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AEDB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405A3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7F2C1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1C1DA57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730F2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28.89</w:t>
                  </w:r>
                </w:p>
              </w:tc>
            </w:tr>
            <w:tr w14:paraId="25D5A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DD2C6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E2AE3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11943EF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C03F7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29.34</w:t>
                  </w:r>
                </w:p>
              </w:tc>
            </w:tr>
            <w:tr w14:paraId="230AA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2D038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2.4.3</w:t>
                  </w:r>
                </w:p>
              </w:tc>
              <w:tc>
                <w:tcPr>
                  <w:tcW w:w="3641" w:type="dxa"/>
                  <w:gridSpan w:val="4"/>
                  <w:noWrap w:val="0"/>
                  <w:vAlign w:val="center"/>
                </w:tcPr>
                <w:p w14:paraId="3B656C4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527FE3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63E59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257A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250CC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78911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63106E5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4039E2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5.18</w:t>
                  </w:r>
                </w:p>
              </w:tc>
            </w:tr>
            <w:tr w14:paraId="63103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20767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61777F7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5F19F72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935D7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27.51</w:t>
                  </w:r>
                </w:p>
              </w:tc>
            </w:tr>
            <w:tr w14:paraId="17843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30FD1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960D7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noWrap w:val="0"/>
                  <w:vAlign w:val="center"/>
                </w:tcPr>
                <w:p w14:paraId="1EAF94E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57B19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5B0B3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0A60C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5B178A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noWrap w:val="0"/>
                  <w:vAlign w:val="center"/>
                </w:tcPr>
                <w:p w14:paraId="250A67D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DC582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15.81</w:t>
                  </w:r>
                </w:p>
              </w:tc>
            </w:tr>
            <w:tr w14:paraId="27E93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F2C27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75B8FB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noWrap w:val="0"/>
                  <w:vAlign w:val="center"/>
                </w:tcPr>
                <w:p w14:paraId="19A424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61FD06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11.13</w:t>
                  </w:r>
                </w:p>
              </w:tc>
            </w:tr>
            <w:tr w14:paraId="06129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720A6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0A5E02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noWrap w:val="0"/>
                  <w:vAlign w:val="center"/>
                </w:tcPr>
                <w:p w14:paraId="5F0C25D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9E457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w:t>
                  </w:r>
                </w:p>
              </w:tc>
            </w:tr>
            <w:tr w14:paraId="73E5B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AE95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4144C3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1A19317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D8818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w:t>
                  </w:r>
                </w:p>
              </w:tc>
            </w:tr>
            <w:tr w14:paraId="43C0B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6324C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4F9DC5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67AEACC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B042F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417.32</w:t>
                  </w:r>
                </w:p>
              </w:tc>
            </w:tr>
            <w:tr w14:paraId="1CFEF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3DD1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11870F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1E316BA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4C78C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10282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8104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300AC7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08AEEA8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60E8A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28.58</w:t>
                  </w:r>
                </w:p>
              </w:tc>
            </w:tr>
            <w:tr w14:paraId="2BE54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1AEE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00B4ED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198976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0EB302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47.01</w:t>
                  </w:r>
                </w:p>
              </w:tc>
            </w:tr>
            <w:tr w14:paraId="6728F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21F73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41" w:type="dxa"/>
                  <w:gridSpan w:val="4"/>
                  <w:noWrap w:val="0"/>
                  <w:vAlign w:val="center"/>
                </w:tcPr>
                <w:p w14:paraId="10F85A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39F4CE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034321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686.48</w:t>
                  </w:r>
                </w:p>
              </w:tc>
            </w:tr>
            <w:tr w14:paraId="7B931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6F2F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41" w:type="dxa"/>
                  <w:gridSpan w:val="4"/>
                  <w:noWrap w:val="0"/>
                  <w:vAlign w:val="center"/>
                </w:tcPr>
                <w:p w14:paraId="6C1C17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111759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D2ECB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545.86</w:t>
                  </w:r>
                </w:p>
              </w:tc>
            </w:tr>
            <w:tr w14:paraId="4FC67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79C3E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3641" w:type="dxa"/>
                  <w:gridSpan w:val="4"/>
                  <w:noWrap w:val="0"/>
                  <w:vAlign w:val="center"/>
                </w:tcPr>
                <w:p w14:paraId="1C14BF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拆建13-1号拦河坝</w:t>
                  </w:r>
                </w:p>
              </w:tc>
              <w:tc>
                <w:tcPr>
                  <w:tcW w:w="1028" w:type="dxa"/>
                  <w:gridSpan w:val="2"/>
                  <w:noWrap w:val="0"/>
                  <w:vAlign w:val="center"/>
                </w:tcPr>
                <w:p w14:paraId="49C2CF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562866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1C72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3CD9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2.5.1</w:t>
                  </w:r>
                </w:p>
              </w:tc>
              <w:tc>
                <w:tcPr>
                  <w:tcW w:w="3641" w:type="dxa"/>
                  <w:gridSpan w:val="4"/>
                  <w:noWrap w:val="0"/>
                  <w:vAlign w:val="center"/>
                </w:tcPr>
                <w:p w14:paraId="242AB6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5D01AC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F9C4B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51E8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058FD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7C59F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42F4043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FC884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321.028</w:t>
                  </w:r>
                </w:p>
              </w:tc>
            </w:tr>
            <w:tr w14:paraId="1CF54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3845A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99AC3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505713C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F66925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2889.252</w:t>
                  </w:r>
                </w:p>
              </w:tc>
            </w:tr>
            <w:tr w14:paraId="3D211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5B73C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34C20C6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30D651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AF34D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3210.28</w:t>
                  </w:r>
                </w:p>
              </w:tc>
            </w:tr>
            <w:tr w14:paraId="3F057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14ACF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A16B9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614864A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CB3E5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1910.118</w:t>
                  </w:r>
                </w:p>
              </w:tc>
            </w:tr>
            <w:tr w14:paraId="61F8D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518E9B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1DA36B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0712D58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899F2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818.622</w:t>
                  </w:r>
                </w:p>
              </w:tc>
            </w:tr>
            <w:tr w14:paraId="64AC7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02684E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2.5.2</w:t>
                  </w:r>
                </w:p>
              </w:tc>
              <w:tc>
                <w:tcPr>
                  <w:tcW w:w="3641" w:type="dxa"/>
                  <w:gridSpan w:val="4"/>
                  <w:noWrap w:val="0"/>
                  <w:vAlign w:val="center"/>
                </w:tcPr>
                <w:p w14:paraId="52C235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6E6531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8A62E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52DA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360F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5FB14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3BA817B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99B82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4.16</w:t>
                  </w:r>
                </w:p>
              </w:tc>
            </w:tr>
            <w:tr w14:paraId="78595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74E66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BB8DB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4549E3A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992AE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47.81</w:t>
                  </w:r>
                </w:p>
              </w:tc>
            </w:tr>
            <w:tr w14:paraId="0F879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C8681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2.5.3</w:t>
                  </w:r>
                </w:p>
              </w:tc>
              <w:tc>
                <w:tcPr>
                  <w:tcW w:w="3641" w:type="dxa"/>
                  <w:gridSpan w:val="4"/>
                  <w:noWrap w:val="0"/>
                  <w:vAlign w:val="center"/>
                </w:tcPr>
                <w:p w14:paraId="7BD18B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2196D4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1BA02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21C0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16BB47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37426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230C4CD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C7876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r>
            <w:tr w14:paraId="0D5ED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E16F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E364F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5B7DB55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975A7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53.95</w:t>
                  </w:r>
                </w:p>
              </w:tc>
            </w:tr>
            <w:tr w14:paraId="27934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124F4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7ECA9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401B538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87322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536.55</w:t>
                  </w:r>
                </w:p>
              </w:tc>
            </w:tr>
            <w:tr w14:paraId="13BA5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C4913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40416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2F11FC2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8F0D1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3AE8E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3B0C6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18DC87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013E337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B7C05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36.74</w:t>
                  </w:r>
                </w:p>
              </w:tc>
            </w:tr>
            <w:tr w14:paraId="29C12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7BC5E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4B97F7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noWrap w:val="0"/>
                  <w:vAlign w:val="center"/>
                </w:tcPr>
                <w:p w14:paraId="75A5F42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D2960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21.17</w:t>
                  </w:r>
                </w:p>
              </w:tc>
            </w:tr>
            <w:tr w14:paraId="5D002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4CF6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4BAA676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noWrap w:val="0"/>
                  <w:vAlign w:val="center"/>
                </w:tcPr>
                <w:p w14:paraId="0ED0C6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noWrap w:val="0"/>
                  <w:vAlign w:val="center"/>
                </w:tcPr>
                <w:p w14:paraId="76AA34C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r>
            <w:tr w14:paraId="21885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8E3868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05914B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23F246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4E5F7F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58.94</w:t>
                  </w:r>
                </w:p>
              </w:tc>
            </w:tr>
            <w:tr w14:paraId="254F1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E61490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72C707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452D8E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40F24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766.72</w:t>
                  </w:r>
                </w:p>
              </w:tc>
            </w:tr>
            <w:tr w14:paraId="4E733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17138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2F187B6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24593F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BAC68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687.05</w:t>
                  </w:r>
                </w:p>
              </w:tc>
            </w:tr>
            <w:tr w14:paraId="4A955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5B6D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2.5.4</w:t>
                  </w:r>
                </w:p>
              </w:tc>
              <w:tc>
                <w:tcPr>
                  <w:tcW w:w="3641" w:type="dxa"/>
                  <w:gridSpan w:val="4"/>
                  <w:noWrap w:val="0"/>
                  <w:vAlign w:val="center"/>
                </w:tcPr>
                <w:p w14:paraId="156310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44D541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EC066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EBB8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92343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FCA40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5D247E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A62F9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33.85</w:t>
                  </w:r>
                </w:p>
              </w:tc>
            </w:tr>
            <w:tr w14:paraId="2EEAD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7008F8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61002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noWrap w:val="0"/>
                  <w:vAlign w:val="center"/>
                </w:tcPr>
                <w:p w14:paraId="7DF1B1C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noWrap w:val="0"/>
                  <w:vAlign w:val="center"/>
                </w:tcPr>
                <w:p w14:paraId="6CA387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B489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15434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w:t>
                  </w:r>
                </w:p>
              </w:tc>
              <w:tc>
                <w:tcPr>
                  <w:tcW w:w="3641" w:type="dxa"/>
                  <w:gridSpan w:val="4"/>
                  <w:noWrap w:val="0"/>
                  <w:vAlign w:val="center"/>
                </w:tcPr>
                <w:p w14:paraId="6D020F2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noWrap w:val="0"/>
                  <w:vAlign w:val="center"/>
                </w:tcPr>
                <w:p w14:paraId="7341AB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AC620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40BA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91C723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2.6.1</w:t>
                  </w:r>
                </w:p>
              </w:tc>
              <w:tc>
                <w:tcPr>
                  <w:tcW w:w="3641" w:type="dxa"/>
                  <w:gridSpan w:val="4"/>
                  <w:noWrap w:val="0"/>
                  <w:vAlign w:val="center"/>
                </w:tcPr>
                <w:p w14:paraId="3DB377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noWrap w:val="0"/>
                  <w:vAlign w:val="center"/>
                </w:tcPr>
                <w:p w14:paraId="28C6F0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noWrap w:val="0"/>
                  <w:vAlign w:val="center"/>
                </w:tcPr>
                <w:p w14:paraId="66A43EC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53B5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1DD00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2.6.2</w:t>
                  </w:r>
                </w:p>
              </w:tc>
              <w:tc>
                <w:tcPr>
                  <w:tcW w:w="3641" w:type="dxa"/>
                  <w:gridSpan w:val="4"/>
                  <w:noWrap w:val="0"/>
                  <w:vAlign w:val="center"/>
                </w:tcPr>
                <w:p w14:paraId="538014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更换栏杆</w:t>
                  </w:r>
                </w:p>
              </w:tc>
              <w:tc>
                <w:tcPr>
                  <w:tcW w:w="1028" w:type="dxa"/>
                  <w:gridSpan w:val="2"/>
                  <w:noWrap w:val="0"/>
                  <w:vAlign w:val="center"/>
                </w:tcPr>
                <w:p w14:paraId="3236EC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56E7B2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1325</w:t>
                  </w:r>
                </w:p>
              </w:tc>
            </w:tr>
            <w:tr w14:paraId="6C081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57A5B2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2.6.3</w:t>
                  </w:r>
                </w:p>
              </w:tc>
              <w:tc>
                <w:tcPr>
                  <w:tcW w:w="3641" w:type="dxa"/>
                  <w:gridSpan w:val="4"/>
                  <w:noWrap w:val="0"/>
                  <w:vAlign w:val="center"/>
                </w:tcPr>
                <w:p w14:paraId="69F6D5C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沥青巡查便道</w:t>
                  </w:r>
                </w:p>
              </w:tc>
              <w:tc>
                <w:tcPr>
                  <w:tcW w:w="1028" w:type="dxa"/>
                  <w:gridSpan w:val="2"/>
                  <w:noWrap w:val="0"/>
                  <w:vAlign w:val="center"/>
                </w:tcPr>
                <w:p w14:paraId="56E852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EF0B7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4854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F401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3D434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0B43AE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2A29E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32A31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A6E81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C82D3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2D7693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128322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4A505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76E3F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792F6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28" w:type="dxa"/>
                  <w:gridSpan w:val="2"/>
                  <w:noWrap w:val="0"/>
                  <w:vAlign w:val="center"/>
                </w:tcPr>
                <w:p w14:paraId="5E3957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60FE74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2BE4F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18135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560D54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2316D5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D3AFFA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62E2E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9DBFD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433879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7ECA0C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DC9AA6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46F2C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AAFE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6B8FE9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柳林河排涝通道整治</w:t>
                  </w:r>
                </w:p>
              </w:tc>
              <w:tc>
                <w:tcPr>
                  <w:tcW w:w="1028" w:type="dxa"/>
                  <w:gridSpan w:val="2"/>
                  <w:noWrap w:val="0"/>
                  <w:vAlign w:val="center"/>
                </w:tcPr>
                <w:p w14:paraId="0C63F1F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96E92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D03F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360AD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3641" w:type="dxa"/>
                  <w:gridSpan w:val="4"/>
                  <w:noWrap w:val="0"/>
                  <w:vAlign w:val="center"/>
                </w:tcPr>
                <w:p w14:paraId="58BE24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noWrap w:val="0"/>
                  <w:vAlign w:val="center"/>
                </w:tcPr>
                <w:p w14:paraId="33A1931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C76D8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E801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5B94C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3.1.1</w:t>
                  </w:r>
                </w:p>
              </w:tc>
              <w:tc>
                <w:tcPr>
                  <w:tcW w:w="3641" w:type="dxa"/>
                  <w:gridSpan w:val="4"/>
                  <w:noWrap w:val="0"/>
                  <w:vAlign w:val="center"/>
                </w:tcPr>
                <w:p w14:paraId="489962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039136C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344B4C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12F7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90B68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9883A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noWrap w:val="0"/>
                  <w:vAlign w:val="center"/>
                </w:tcPr>
                <w:p w14:paraId="1B27CC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46E240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231381.89</w:t>
                  </w:r>
                </w:p>
              </w:tc>
            </w:tr>
            <w:tr w14:paraId="3AF76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4A6E1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6316033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noWrap w:val="0"/>
                  <w:vAlign w:val="center"/>
                </w:tcPr>
                <w:p w14:paraId="76BA86C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A8E57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97077.424</w:t>
                  </w:r>
                </w:p>
              </w:tc>
            </w:tr>
            <w:tr w14:paraId="4DB61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DB425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8C959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noWrap w:val="0"/>
                  <w:vAlign w:val="center"/>
                </w:tcPr>
                <w:p w14:paraId="54D571D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66C2E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39506.506</w:t>
                  </w:r>
                </w:p>
              </w:tc>
            </w:tr>
            <w:tr w14:paraId="17FB1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09AD5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76100D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noWrap w:val="0"/>
                  <w:vAlign w:val="center"/>
                </w:tcPr>
                <w:p w14:paraId="5B2D43C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0995B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39506.506</w:t>
                  </w:r>
                </w:p>
              </w:tc>
            </w:tr>
            <w:tr w14:paraId="35495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8F47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467BBB1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2F31893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DB242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33580.53</w:t>
                  </w:r>
                </w:p>
              </w:tc>
            </w:tr>
            <w:tr w14:paraId="158C8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AA998F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3.1.2</w:t>
                  </w:r>
                </w:p>
              </w:tc>
              <w:tc>
                <w:tcPr>
                  <w:tcW w:w="3641" w:type="dxa"/>
                  <w:gridSpan w:val="4"/>
                  <w:noWrap w:val="0"/>
                  <w:vAlign w:val="center"/>
                </w:tcPr>
                <w:p w14:paraId="18B2FF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noWrap w:val="0"/>
                  <w:vAlign w:val="center"/>
                </w:tcPr>
                <w:p w14:paraId="70B8B7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1AB55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0520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81C9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0BF29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7CEA2EA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BA890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4801.15</w:t>
                  </w:r>
                </w:p>
              </w:tc>
            </w:tr>
            <w:tr w14:paraId="67827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F3C0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27E0D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格宾石笼护脚</w:t>
                  </w:r>
                </w:p>
              </w:tc>
              <w:tc>
                <w:tcPr>
                  <w:tcW w:w="1028" w:type="dxa"/>
                  <w:gridSpan w:val="2"/>
                  <w:noWrap w:val="0"/>
                  <w:vAlign w:val="center"/>
                </w:tcPr>
                <w:p w14:paraId="47F605B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66B53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18676.44</w:t>
                  </w:r>
                </w:p>
              </w:tc>
            </w:tr>
            <w:tr w14:paraId="277B7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D1607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3F46EB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422D7D3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AD8D7C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1046.75</w:t>
                  </w:r>
                </w:p>
              </w:tc>
            </w:tr>
            <w:tr w14:paraId="62182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57B8A6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3.1.3</w:t>
                  </w:r>
                </w:p>
              </w:tc>
              <w:tc>
                <w:tcPr>
                  <w:tcW w:w="3641" w:type="dxa"/>
                  <w:gridSpan w:val="4"/>
                  <w:noWrap w:val="0"/>
                  <w:vAlign w:val="center"/>
                </w:tcPr>
                <w:p w14:paraId="2879024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noWrap w:val="0"/>
                  <w:vAlign w:val="center"/>
                </w:tcPr>
                <w:p w14:paraId="628113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DD664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482B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AD11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39AAD9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高压旋喷桩</w:t>
                  </w:r>
                </w:p>
              </w:tc>
              <w:tc>
                <w:tcPr>
                  <w:tcW w:w="1028" w:type="dxa"/>
                  <w:gridSpan w:val="2"/>
                  <w:noWrap w:val="0"/>
                  <w:vAlign w:val="center"/>
                </w:tcPr>
                <w:p w14:paraId="1A4D1C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27A390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11228.6</w:t>
                  </w:r>
                </w:p>
              </w:tc>
            </w:tr>
            <w:tr w14:paraId="7570A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606F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3.1.4</w:t>
                  </w:r>
                </w:p>
              </w:tc>
              <w:tc>
                <w:tcPr>
                  <w:tcW w:w="3641" w:type="dxa"/>
                  <w:gridSpan w:val="4"/>
                  <w:noWrap w:val="0"/>
                  <w:vAlign w:val="center"/>
                </w:tcPr>
                <w:p w14:paraId="642446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2340B7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51674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A239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65491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D8AAA4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24DCA3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67FC9E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37263.86</w:t>
                  </w:r>
                </w:p>
              </w:tc>
            </w:tr>
            <w:tr w14:paraId="58733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1AE7D2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1E952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C25毛石砼重力式挡墙</w:t>
                  </w:r>
                </w:p>
              </w:tc>
              <w:tc>
                <w:tcPr>
                  <w:tcW w:w="1028" w:type="dxa"/>
                  <w:gridSpan w:val="2"/>
                  <w:noWrap w:val="0"/>
                  <w:vAlign w:val="center"/>
                </w:tcPr>
                <w:p w14:paraId="4BFA02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4A5D6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565.85</w:t>
                  </w:r>
                </w:p>
              </w:tc>
            </w:tr>
            <w:tr w14:paraId="01110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8DF21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475E5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noWrap w:val="0"/>
                  <w:vAlign w:val="center"/>
                </w:tcPr>
                <w:p w14:paraId="3541602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6A06A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9129.08</w:t>
                  </w:r>
                </w:p>
              </w:tc>
            </w:tr>
            <w:tr w14:paraId="75F9E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9D854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3D351E4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noWrap w:val="0"/>
                  <w:vAlign w:val="center"/>
                </w:tcPr>
                <w:p w14:paraId="33F3727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A4A9C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1932.79</w:t>
                  </w:r>
                </w:p>
              </w:tc>
            </w:tr>
            <w:tr w14:paraId="3D30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BEC6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0BB577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noWrap w:val="0"/>
                  <w:vAlign w:val="center"/>
                </w:tcPr>
                <w:p w14:paraId="1E64196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582C1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1722.69</w:t>
                  </w:r>
                </w:p>
              </w:tc>
            </w:tr>
            <w:tr w14:paraId="1435C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575D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3445E4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noWrap w:val="0"/>
                  <w:vAlign w:val="center"/>
                </w:tcPr>
                <w:p w14:paraId="121DDD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noWrap w:val="0"/>
                  <w:vAlign w:val="center"/>
                </w:tcPr>
                <w:p w14:paraId="2B23D4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3516</w:t>
                  </w:r>
                </w:p>
              </w:tc>
            </w:tr>
            <w:tr w14:paraId="64F42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E4D2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77A4EB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noWrap w:val="0"/>
                  <w:vAlign w:val="center"/>
                </w:tcPr>
                <w:p w14:paraId="65B93A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42AFE4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32740.27</w:t>
                  </w:r>
                </w:p>
              </w:tc>
            </w:tr>
            <w:tr w14:paraId="6543C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9313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244AA1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3978D80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A6DB8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12784.56</w:t>
                  </w:r>
                </w:p>
              </w:tc>
            </w:tr>
            <w:tr w14:paraId="704CA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CD4F2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3.1.5</w:t>
                  </w:r>
                </w:p>
              </w:tc>
              <w:tc>
                <w:tcPr>
                  <w:tcW w:w="3641" w:type="dxa"/>
                  <w:gridSpan w:val="4"/>
                  <w:noWrap w:val="0"/>
                  <w:vAlign w:val="center"/>
                </w:tcPr>
                <w:p w14:paraId="0E6828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67F914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0CF73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DBAF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8933A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4FDB1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noWrap w:val="0"/>
                  <w:vAlign w:val="center"/>
                </w:tcPr>
                <w:p w14:paraId="0183DA1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667B16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10387.45</w:t>
                  </w:r>
                </w:p>
              </w:tc>
            </w:tr>
            <w:tr w14:paraId="78483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808E5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83708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1B579F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FB292E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3735.04</w:t>
                  </w:r>
                </w:p>
              </w:tc>
            </w:tr>
            <w:tr w14:paraId="62D72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96CA7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p>
              </w:tc>
              <w:tc>
                <w:tcPr>
                  <w:tcW w:w="3641" w:type="dxa"/>
                  <w:gridSpan w:val="4"/>
                  <w:noWrap w:val="0"/>
                  <w:vAlign w:val="center"/>
                </w:tcPr>
                <w:p w14:paraId="437A9E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小黄沟涵闸</w:t>
                  </w:r>
                </w:p>
              </w:tc>
              <w:tc>
                <w:tcPr>
                  <w:tcW w:w="1028" w:type="dxa"/>
                  <w:gridSpan w:val="2"/>
                  <w:noWrap w:val="0"/>
                  <w:vAlign w:val="center"/>
                </w:tcPr>
                <w:p w14:paraId="325442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155285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7D09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E3FB6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w:t>
                  </w:r>
                </w:p>
              </w:tc>
              <w:tc>
                <w:tcPr>
                  <w:tcW w:w="3641" w:type="dxa"/>
                  <w:gridSpan w:val="4"/>
                  <w:noWrap w:val="0"/>
                  <w:vAlign w:val="center"/>
                </w:tcPr>
                <w:p w14:paraId="3F0F1B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432F01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B7527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94BB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7D2C2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933E1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C7DC1A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E9CFD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32.832</w:t>
                  </w:r>
                </w:p>
              </w:tc>
            </w:tr>
            <w:tr w14:paraId="43BF6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DCE244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04F44E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707BCED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81CFB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295.488</w:t>
                  </w:r>
                </w:p>
              </w:tc>
            </w:tr>
            <w:tr w14:paraId="442EE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0B5D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5F3853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2D6F5E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02FC8E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328.32</w:t>
                  </w:r>
                </w:p>
              </w:tc>
            </w:tr>
            <w:tr w14:paraId="4FFDC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AE6B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20FEAC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6E706DD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31BDE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195.349</w:t>
                  </w:r>
                </w:p>
              </w:tc>
            </w:tr>
            <w:tr w14:paraId="37468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3777BC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0430B2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05DA772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5106D6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83.721</w:t>
                  </w:r>
                </w:p>
              </w:tc>
            </w:tr>
            <w:tr w14:paraId="1FAA4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01A1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3.2.2</w:t>
                  </w:r>
                </w:p>
              </w:tc>
              <w:tc>
                <w:tcPr>
                  <w:tcW w:w="3641" w:type="dxa"/>
                  <w:gridSpan w:val="4"/>
                  <w:noWrap w:val="0"/>
                  <w:vAlign w:val="center"/>
                </w:tcPr>
                <w:p w14:paraId="0B850A8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387799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7308B7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435F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08244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23491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57ED1C9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CA30A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1.26</w:t>
                  </w:r>
                </w:p>
              </w:tc>
            </w:tr>
            <w:tr w14:paraId="4D3BA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73051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67F3FF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抛石</w:t>
                  </w:r>
                </w:p>
              </w:tc>
              <w:tc>
                <w:tcPr>
                  <w:tcW w:w="1028" w:type="dxa"/>
                  <w:gridSpan w:val="2"/>
                  <w:noWrap w:val="0"/>
                  <w:vAlign w:val="center"/>
                </w:tcPr>
                <w:p w14:paraId="37093E3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5A5AB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51.84</w:t>
                  </w:r>
                </w:p>
              </w:tc>
            </w:tr>
            <w:tr w14:paraId="3671D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CF603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3.2.3</w:t>
                  </w:r>
                </w:p>
              </w:tc>
              <w:tc>
                <w:tcPr>
                  <w:tcW w:w="3641" w:type="dxa"/>
                  <w:gridSpan w:val="4"/>
                  <w:noWrap w:val="0"/>
                  <w:vAlign w:val="center"/>
                </w:tcPr>
                <w:p w14:paraId="34BF4E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7545E35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94DA8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FD6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A88DC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4275D9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4B848BF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64AF0E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15.11</w:t>
                  </w:r>
                </w:p>
              </w:tc>
            </w:tr>
            <w:tr w14:paraId="6C34D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D8B9C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21DAF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28" w:type="dxa"/>
                  <w:gridSpan w:val="2"/>
                  <w:noWrap w:val="0"/>
                  <w:vAlign w:val="center"/>
                </w:tcPr>
                <w:p w14:paraId="3C22C96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C5B98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w:t>
                  </w:r>
                </w:p>
              </w:tc>
            </w:tr>
            <w:tr w14:paraId="708F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7C1F8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542D06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noWrap w:val="0"/>
                  <w:vAlign w:val="center"/>
                </w:tcPr>
                <w:p w14:paraId="2CE0E3C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D9EE4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3.77</w:t>
                  </w:r>
                </w:p>
              </w:tc>
            </w:tr>
            <w:tr w14:paraId="16209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8EC1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469888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C25砼挡墙侧墙</w:t>
                  </w:r>
                </w:p>
              </w:tc>
              <w:tc>
                <w:tcPr>
                  <w:tcW w:w="1028" w:type="dxa"/>
                  <w:gridSpan w:val="2"/>
                  <w:noWrap w:val="0"/>
                  <w:vAlign w:val="center"/>
                </w:tcPr>
                <w:p w14:paraId="1BC1997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8BB85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119.28</w:t>
                  </w:r>
                </w:p>
              </w:tc>
            </w:tr>
            <w:tr w14:paraId="1D83F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191E8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3F8D817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C25砼挡墙底板</w:t>
                  </w:r>
                </w:p>
              </w:tc>
              <w:tc>
                <w:tcPr>
                  <w:tcW w:w="1028" w:type="dxa"/>
                  <w:gridSpan w:val="2"/>
                  <w:noWrap w:val="0"/>
                  <w:vAlign w:val="center"/>
                </w:tcPr>
                <w:p w14:paraId="1A56D39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38B91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47.95</w:t>
                  </w:r>
                </w:p>
              </w:tc>
            </w:tr>
            <w:tr w14:paraId="29646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CEC6E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43B03A5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1506B1B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08449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24.38</w:t>
                  </w:r>
                </w:p>
              </w:tc>
            </w:tr>
            <w:tr w14:paraId="3F4B8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3C2F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2131CB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noWrap w:val="0"/>
                  <w:vAlign w:val="center"/>
                </w:tcPr>
                <w:p w14:paraId="7066CBA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ADDB2C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23.01</w:t>
                  </w:r>
                </w:p>
              </w:tc>
            </w:tr>
            <w:tr w14:paraId="2AEC3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FC3A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12AE70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C30砼顶板</w:t>
                  </w:r>
                </w:p>
              </w:tc>
              <w:tc>
                <w:tcPr>
                  <w:tcW w:w="1028" w:type="dxa"/>
                  <w:gridSpan w:val="2"/>
                  <w:noWrap w:val="0"/>
                  <w:vAlign w:val="center"/>
                </w:tcPr>
                <w:p w14:paraId="2AF7510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B1B5A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17.56</w:t>
                  </w:r>
                </w:p>
              </w:tc>
            </w:tr>
            <w:tr w14:paraId="1EF73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31B06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66BB7D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0761FC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6A7C3A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r>
            <w:tr w14:paraId="0B79E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3BFE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719122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6E272E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2D1B590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512.75</w:t>
                  </w:r>
                </w:p>
              </w:tc>
            </w:tr>
            <w:tr w14:paraId="60D20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B82A5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75F95B1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102A97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B534A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252.07</w:t>
                  </w:r>
                </w:p>
              </w:tc>
            </w:tr>
            <w:tr w14:paraId="6450C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A949C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c>
                <w:tcPr>
                  <w:tcW w:w="3641" w:type="dxa"/>
                  <w:gridSpan w:val="4"/>
                  <w:noWrap w:val="0"/>
                  <w:vAlign w:val="center"/>
                </w:tcPr>
                <w:p w14:paraId="34C9E3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0ABEAE5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19FF1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27D2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6F618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3.2.4.1</w:t>
                  </w:r>
                </w:p>
              </w:tc>
              <w:tc>
                <w:tcPr>
                  <w:tcW w:w="3641" w:type="dxa"/>
                  <w:gridSpan w:val="4"/>
                  <w:noWrap w:val="0"/>
                  <w:vAlign w:val="center"/>
                </w:tcPr>
                <w:p w14:paraId="761A60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道路恢复</w:t>
                  </w:r>
                </w:p>
              </w:tc>
              <w:tc>
                <w:tcPr>
                  <w:tcW w:w="1028" w:type="dxa"/>
                  <w:gridSpan w:val="2"/>
                  <w:noWrap w:val="0"/>
                  <w:vAlign w:val="center"/>
                </w:tcPr>
                <w:p w14:paraId="03ECED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24260F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F71B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0C063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F3A81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16524CA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17538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129.6</w:t>
                  </w:r>
                </w:p>
              </w:tc>
            </w:tr>
            <w:tr w14:paraId="7380A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6F0A2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1EAC1BB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7E59DFF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235D9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129.6</w:t>
                  </w:r>
                </w:p>
              </w:tc>
            </w:tr>
            <w:tr w14:paraId="01696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64F06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0F12B2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noWrap w:val="0"/>
                  <w:vAlign w:val="center"/>
                </w:tcPr>
                <w:p w14:paraId="6C93392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058881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142.56</w:t>
                  </w:r>
                </w:p>
              </w:tc>
            </w:tr>
            <w:tr w14:paraId="468EB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DCAE1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3A5B32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p>
              </w:tc>
              <w:tc>
                <w:tcPr>
                  <w:tcW w:w="1028" w:type="dxa"/>
                  <w:gridSpan w:val="2"/>
                  <w:noWrap w:val="0"/>
                  <w:vAlign w:val="center"/>
                </w:tcPr>
                <w:p w14:paraId="5FC5A88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469F5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163.3</w:t>
                  </w:r>
                </w:p>
              </w:tc>
            </w:tr>
            <w:tr w14:paraId="23287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829DF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395823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撒草籽</w:t>
                  </w:r>
                </w:p>
              </w:tc>
              <w:tc>
                <w:tcPr>
                  <w:tcW w:w="1028" w:type="dxa"/>
                  <w:gridSpan w:val="2"/>
                  <w:noWrap w:val="0"/>
                  <w:vAlign w:val="center"/>
                </w:tcPr>
                <w:p w14:paraId="209C39C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E0571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r>
            <w:tr w14:paraId="693EA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378B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3.2.4.2</w:t>
                  </w:r>
                </w:p>
              </w:tc>
              <w:tc>
                <w:tcPr>
                  <w:tcW w:w="3641" w:type="dxa"/>
                  <w:gridSpan w:val="4"/>
                  <w:noWrap w:val="0"/>
                  <w:vAlign w:val="center"/>
                </w:tcPr>
                <w:p w14:paraId="309395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栏杆</w:t>
                  </w:r>
                </w:p>
              </w:tc>
              <w:tc>
                <w:tcPr>
                  <w:tcW w:w="1028" w:type="dxa"/>
                  <w:gridSpan w:val="2"/>
                  <w:noWrap w:val="0"/>
                  <w:vAlign w:val="center"/>
                </w:tcPr>
                <w:p w14:paraId="1B93BD2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382AE5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r>
            <w:tr w14:paraId="2E9F2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7D2FE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3.2.4.3</w:t>
                  </w:r>
                </w:p>
              </w:tc>
              <w:tc>
                <w:tcPr>
                  <w:tcW w:w="3641" w:type="dxa"/>
                  <w:gridSpan w:val="4"/>
                  <w:noWrap w:val="0"/>
                  <w:vAlign w:val="center"/>
                </w:tcPr>
                <w:p w14:paraId="238739A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noWrap w:val="0"/>
                  <w:vAlign w:val="center"/>
                </w:tcPr>
                <w:p w14:paraId="00A406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02DFDF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30.24</w:t>
                  </w:r>
                </w:p>
              </w:tc>
            </w:tr>
            <w:tr w14:paraId="08583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8CF8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3.2.4.4</w:t>
                  </w:r>
                </w:p>
              </w:tc>
              <w:tc>
                <w:tcPr>
                  <w:tcW w:w="3641" w:type="dxa"/>
                  <w:gridSpan w:val="4"/>
                  <w:noWrap w:val="0"/>
                  <w:vAlign w:val="center"/>
                </w:tcPr>
                <w:p w14:paraId="3C49C1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noWrap w:val="0"/>
                  <w:vAlign w:val="center"/>
                </w:tcPr>
                <w:p w14:paraId="6A52BA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noWrap w:val="0"/>
                  <w:vAlign w:val="center"/>
                </w:tcPr>
                <w:p w14:paraId="22ECEA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E04E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32E75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3641" w:type="dxa"/>
                  <w:gridSpan w:val="4"/>
                  <w:noWrap w:val="0"/>
                  <w:vAlign w:val="center"/>
                </w:tcPr>
                <w:p w14:paraId="1A7968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拦河坝加固</w:t>
                  </w:r>
                </w:p>
              </w:tc>
              <w:tc>
                <w:tcPr>
                  <w:tcW w:w="1028" w:type="dxa"/>
                  <w:gridSpan w:val="2"/>
                  <w:noWrap w:val="0"/>
                  <w:vAlign w:val="center"/>
                </w:tcPr>
                <w:p w14:paraId="14B5599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63D33A1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6FFF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0550C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p>
              </w:tc>
              <w:tc>
                <w:tcPr>
                  <w:tcW w:w="3641" w:type="dxa"/>
                  <w:gridSpan w:val="4"/>
                  <w:noWrap w:val="0"/>
                  <w:vAlign w:val="center"/>
                </w:tcPr>
                <w:p w14:paraId="612138C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水毁段加固</w:t>
                  </w:r>
                </w:p>
              </w:tc>
              <w:tc>
                <w:tcPr>
                  <w:tcW w:w="1028" w:type="dxa"/>
                  <w:gridSpan w:val="2"/>
                  <w:noWrap w:val="0"/>
                  <w:vAlign w:val="center"/>
                </w:tcPr>
                <w:p w14:paraId="703FCF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1979" w:type="dxa"/>
                  <w:gridSpan w:val="3"/>
                  <w:noWrap w:val="0"/>
                  <w:vAlign w:val="center"/>
                </w:tcPr>
                <w:p w14:paraId="1174FA4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r>
            <w:tr w14:paraId="692D7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3A355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3641" w:type="dxa"/>
                  <w:gridSpan w:val="4"/>
                  <w:noWrap w:val="0"/>
                  <w:vAlign w:val="center"/>
                </w:tcPr>
                <w:p w14:paraId="6428C9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noWrap w:val="0"/>
                  <w:vAlign w:val="center"/>
                </w:tcPr>
                <w:p w14:paraId="5E45FF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6D199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B581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F5B5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80085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noWrap w:val="0"/>
                  <w:vAlign w:val="center"/>
                </w:tcPr>
                <w:p w14:paraId="7AC247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noWrap w:val="0"/>
                  <w:vAlign w:val="center"/>
                </w:tcPr>
                <w:p w14:paraId="714B54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0135B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587AA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AC927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新店河排涝通道整治</w:t>
                  </w:r>
                </w:p>
              </w:tc>
              <w:tc>
                <w:tcPr>
                  <w:tcW w:w="1028" w:type="dxa"/>
                  <w:gridSpan w:val="2"/>
                  <w:noWrap w:val="0"/>
                  <w:vAlign w:val="center"/>
                </w:tcPr>
                <w:p w14:paraId="25A553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1AC51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CF48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9D6B1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w:t>
                  </w:r>
                </w:p>
              </w:tc>
              <w:tc>
                <w:tcPr>
                  <w:tcW w:w="3641" w:type="dxa"/>
                  <w:gridSpan w:val="4"/>
                  <w:noWrap w:val="0"/>
                  <w:vAlign w:val="center"/>
                </w:tcPr>
                <w:p w14:paraId="1BEBDD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noWrap w:val="0"/>
                  <w:vAlign w:val="center"/>
                </w:tcPr>
                <w:p w14:paraId="2B57DB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1D4A71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6D6F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15E72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4.1.1</w:t>
                  </w:r>
                </w:p>
              </w:tc>
              <w:tc>
                <w:tcPr>
                  <w:tcW w:w="3641" w:type="dxa"/>
                  <w:gridSpan w:val="4"/>
                  <w:noWrap w:val="0"/>
                  <w:vAlign w:val="center"/>
                </w:tcPr>
                <w:p w14:paraId="5B55E9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46ADBB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59E31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7549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2292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65A9C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noWrap w:val="0"/>
                  <w:vAlign w:val="center"/>
                </w:tcPr>
                <w:p w14:paraId="3490E1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608013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8138.52</w:t>
                  </w:r>
                </w:p>
              </w:tc>
            </w:tr>
            <w:tr w14:paraId="79579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68AE1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249FD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noWrap w:val="0"/>
                  <w:vAlign w:val="center"/>
                </w:tcPr>
                <w:p w14:paraId="11F3BF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38103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15573.669</w:t>
                  </w:r>
                </w:p>
              </w:tc>
            </w:tr>
            <w:tr w14:paraId="6273B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580E3D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574589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noWrap w:val="0"/>
                  <w:vAlign w:val="center"/>
                </w:tcPr>
                <w:p w14:paraId="071D164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664CF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14749.741</w:t>
                  </w:r>
                </w:p>
              </w:tc>
            </w:tr>
            <w:tr w14:paraId="3D145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006C0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76B6148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noWrap w:val="0"/>
                  <w:vAlign w:val="center"/>
                </w:tcPr>
                <w:p w14:paraId="2A4ECF2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513F2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14749.741</w:t>
                  </w:r>
                </w:p>
              </w:tc>
            </w:tr>
            <w:tr w14:paraId="25A4A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88331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12EEEC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6B28BE3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94885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12537.28</w:t>
                  </w:r>
                </w:p>
              </w:tc>
            </w:tr>
            <w:tr w14:paraId="2607C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5946C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4.1.2</w:t>
                  </w:r>
                </w:p>
              </w:tc>
              <w:tc>
                <w:tcPr>
                  <w:tcW w:w="3641" w:type="dxa"/>
                  <w:gridSpan w:val="4"/>
                  <w:noWrap w:val="0"/>
                  <w:vAlign w:val="center"/>
                </w:tcPr>
                <w:p w14:paraId="381B18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noWrap w:val="0"/>
                  <w:vAlign w:val="center"/>
                </w:tcPr>
                <w:p w14:paraId="47C92A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85166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2A8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FE179C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3B4819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3F1B6C8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C237F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579.1</w:t>
                  </w:r>
                </w:p>
              </w:tc>
            </w:tr>
            <w:tr w14:paraId="71233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F2094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4390B2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4ED4526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7B6EF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30.7</w:t>
                  </w:r>
                </w:p>
              </w:tc>
            </w:tr>
            <w:tr w14:paraId="205D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EE868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DD4B4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15浆砌石挡墙</w:t>
                  </w:r>
                </w:p>
              </w:tc>
              <w:tc>
                <w:tcPr>
                  <w:tcW w:w="1028" w:type="dxa"/>
                  <w:gridSpan w:val="2"/>
                  <w:noWrap w:val="0"/>
                  <w:vAlign w:val="center"/>
                </w:tcPr>
                <w:p w14:paraId="56997A0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A083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718.36</w:t>
                  </w:r>
                </w:p>
              </w:tc>
            </w:tr>
            <w:tr w14:paraId="0DCF6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1279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4F8B3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浆砌石挡墙表面灌浆勾缝</w:t>
                  </w:r>
                </w:p>
              </w:tc>
              <w:tc>
                <w:tcPr>
                  <w:tcW w:w="1028" w:type="dxa"/>
                  <w:gridSpan w:val="2"/>
                  <w:noWrap w:val="0"/>
                  <w:vAlign w:val="center"/>
                </w:tcPr>
                <w:p w14:paraId="71BB746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1AA59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146.83</w:t>
                  </w:r>
                </w:p>
              </w:tc>
            </w:tr>
            <w:tr w14:paraId="0926C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4824C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4.1.3</w:t>
                  </w:r>
                </w:p>
              </w:tc>
              <w:tc>
                <w:tcPr>
                  <w:tcW w:w="3641" w:type="dxa"/>
                  <w:gridSpan w:val="4"/>
                  <w:noWrap w:val="0"/>
                  <w:vAlign w:val="center"/>
                </w:tcPr>
                <w:p w14:paraId="106343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5C1CD0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DCDD2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3F8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EACFB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B7A32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新建防洪墙</w:t>
                  </w:r>
                </w:p>
              </w:tc>
              <w:tc>
                <w:tcPr>
                  <w:tcW w:w="1028" w:type="dxa"/>
                  <w:gridSpan w:val="2"/>
                  <w:noWrap w:val="0"/>
                  <w:vAlign w:val="center"/>
                </w:tcPr>
                <w:p w14:paraId="443DEF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4B492C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8558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54DE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138ED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C25砼压顶</w:t>
                  </w:r>
                </w:p>
              </w:tc>
              <w:tc>
                <w:tcPr>
                  <w:tcW w:w="1028" w:type="dxa"/>
                  <w:gridSpan w:val="2"/>
                  <w:noWrap w:val="0"/>
                  <w:vAlign w:val="center"/>
                </w:tcPr>
                <w:p w14:paraId="19034B5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40ED2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307.55</w:t>
                  </w:r>
                </w:p>
              </w:tc>
            </w:tr>
            <w:tr w14:paraId="613F2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3E354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39A9FE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noWrap w:val="0"/>
                  <w:vAlign w:val="center"/>
                </w:tcPr>
                <w:p w14:paraId="20ABBFB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09300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2895.19</w:t>
                  </w:r>
                </w:p>
              </w:tc>
            </w:tr>
            <w:tr w14:paraId="02A5C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4C73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2769C4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noWrap w:val="0"/>
                  <w:vAlign w:val="center"/>
                </w:tcPr>
                <w:p w14:paraId="0E34334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7C545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2786.19</w:t>
                  </w:r>
                </w:p>
              </w:tc>
            </w:tr>
            <w:tr w14:paraId="0999A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345CA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7027D2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noWrap w:val="0"/>
                  <w:vAlign w:val="center"/>
                </w:tcPr>
                <w:p w14:paraId="24A7B92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2160D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13009.51</w:t>
                  </w:r>
                </w:p>
              </w:tc>
            </w:tr>
            <w:tr w14:paraId="7CA9E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EBF78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6BD0BC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789797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1E0F1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5988.93</w:t>
                  </w:r>
                </w:p>
              </w:tc>
            </w:tr>
            <w:tr w14:paraId="7A5F4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0FD80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4.1.4</w:t>
                  </w:r>
                </w:p>
              </w:tc>
              <w:tc>
                <w:tcPr>
                  <w:tcW w:w="3641" w:type="dxa"/>
                  <w:gridSpan w:val="4"/>
                  <w:noWrap w:val="0"/>
                  <w:vAlign w:val="center"/>
                </w:tcPr>
                <w:p w14:paraId="4965E0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001858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6DF3C1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1133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1EFE9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4DCF60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noWrap w:val="0"/>
                  <w:vAlign w:val="center"/>
                </w:tcPr>
                <w:p w14:paraId="4350EE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1C2AE1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1716.86</w:t>
                  </w:r>
                </w:p>
              </w:tc>
            </w:tr>
            <w:tr w14:paraId="4900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DEC3D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07B4B6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noWrap w:val="0"/>
                  <w:vAlign w:val="center"/>
                </w:tcPr>
                <w:p w14:paraId="18307D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60F3F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8138.52</w:t>
                  </w:r>
                </w:p>
              </w:tc>
            </w:tr>
            <w:tr w14:paraId="3D6DD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83B30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78084D5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67DEE8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9C6E2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996.77</w:t>
                  </w:r>
                </w:p>
              </w:tc>
            </w:tr>
            <w:tr w14:paraId="1F83F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00DF2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w:t>
                  </w:r>
                </w:p>
              </w:tc>
              <w:tc>
                <w:tcPr>
                  <w:tcW w:w="3641" w:type="dxa"/>
                  <w:gridSpan w:val="4"/>
                  <w:noWrap w:val="0"/>
                  <w:vAlign w:val="center"/>
                </w:tcPr>
                <w:p w14:paraId="43010B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新建1号拦河坝</w:t>
                  </w:r>
                </w:p>
              </w:tc>
              <w:tc>
                <w:tcPr>
                  <w:tcW w:w="1028" w:type="dxa"/>
                  <w:gridSpan w:val="2"/>
                  <w:noWrap w:val="0"/>
                  <w:vAlign w:val="center"/>
                </w:tcPr>
                <w:p w14:paraId="734EBF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77C30B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454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FA9AE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4.2.1</w:t>
                  </w:r>
                </w:p>
              </w:tc>
              <w:tc>
                <w:tcPr>
                  <w:tcW w:w="3641" w:type="dxa"/>
                  <w:gridSpan w:val="4"/>
                  <w:noWrap w:val="0"/>
                  <w:vAlign w:val="center"/>
                </w:tcPr>
                <w:p w14:paraId="01D79B6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0E6D3F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1FC99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1975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B2AE1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5B796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F6081F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2A0EB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140.315</w:t>
                  </w:r>
                </w:p>
              </w:tc>
            </w:tr>
            <w:tr w14:paraId="1F3AF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F83D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C1995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849381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13E49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1262.835</w:t>
                  </w:r>
                </w:p>
              </w:tc>
            </w:tr>
            <w:tr w14:paraId="46834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F5D0E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9C6665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62AF30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8935CB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1192.68</w:t>
                  </w:r>
                </w:p>
              </w:tc>
            </w:tr>
            <w:tr w14:paraId="66E43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013E9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872AC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1109A46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92AA3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834.876</w:t>
                  </w:r>
                </w:p>
              </w:tc>
            </w:tr>
            <w:tr w14:paraId="645C1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537BA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06279A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274F950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01D00C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357.804</w:t>
                  </w:r>
                </w:p>
              </w:tc>
            </w:tr>
            <w:tr w14:paraId="6FB20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4E059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4.2.2</w:t>
                  </w:r>
                </w:p>
              </w:tc>
              <w:tc>
                <w:tcPr>
                  <w:tcW w:w="3641" w:type="dxa"/>
                  <w:gridSpan w:val="4"/>
                  <w:noWrap w:val="0"/>
                  <w:vAlign w:val="center"/>
                </w:tcPr>
                <w:p w14:paraId="42BA89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54AC31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30A35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BF42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63259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2D159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2705E8A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DAEA88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14.72</w:t>
                  </w:r>
                </w:p>
              </w:tc>
            </w:tr>
            <w:tr w14:paraId="32DD2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E67D9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25943A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noWrap w:val="0"/>
                  <w:vAlign w:val="center"/>
                </w:tcPr>
                <w:p w14:paraId="6B8BEF2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D51C8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w:t>
                  </w:r>
                </w:p>
              </w:tc>
            </w:tr>
            <w:tr w14:paraId="464C2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AC26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C6D00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noWrap w:val="0"/>
                  <w:vAlign w:val="center"/>
                </w:tcPr>
                <w:p w14:paraId="19776D5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BC8E1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31.34</w:t>
                  </w:r>
                </w:p>
              </w:tc>
            </w:tr>
            <w:tr w14:paraId="1BE2F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5D441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4.2.3</w:t>
                  </w:r>
                </w:p>
              </w:tc>
              <w:tc>
                <w:tcPr>
                  <w:tcW w:w="3641" w:type="dxa"/>
                  <w:gridSpan w:val="4"/>
                  <w:noWrap w:val="0"/>
                  <w:vAlign w:val="center"/>
                </w:tcPr>
                <w:p w14:paraId="4900745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5929D9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CDA88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85FD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5BABF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BE855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4669C83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CA9214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9.44</w:t>
                  </w:r>
                </w:p>
              </w:tc>
            </w:tr>
            <w:tr w14:paraId="6AEB8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B2FE5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7A910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1ABF004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E2017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19.96</w:t>
                  </w:r>
                </w:p>
              </w:tc>
            </w:tr>
            <w:tr w14:paraId="32D1E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E3A3D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901D8A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56C5A7A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5A028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77.22</w:t>
                  </w:r>
                </w:p>
              </w:tc>
            </w:tr>
            <w:tr w14:paraId="0DC3F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2AB0B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55FB64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66FCB5F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73B8F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85.15</w:t>
                  </w:r>
                </w:p>
              </w:tc>
            </w:tr>
            <w:tr w14:paraId="43532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D0B0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452F44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noWrap w:val="0"/>
                  <w:vAlign w:val="center"/>
                </w:tcPr>
                <w:p w14:paraId="793222F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55052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10.02</w:t>
                  </w:r>
                </w:p>
              </w:tc>
            </w:tr>
            <w:tr w14:paraId="5171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98246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11F32E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5362F6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3409D7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7.72</w:t>
                  </w:r>
                </w:p>
              </w:tc>
            </w:tr>
            <w:tr w14:paraId="4F394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FB30C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567E3B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61684E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6A26988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209.57</w:t>
                  </w:r>
                </w:p>
              </w:tc>
            </w:tr>
            <w:tr w14:paraId="63752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3C67D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3E407D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5FA499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D847E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191.77</w:t>
                  </w:r>
                </w:p>
              </w:tc>
            </w:tr>
            <w:tr w14:paraId="16103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6253A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4.2.4</w:t>
                  </w:r>
                </w:p>
              </w:tc>
              <w:tc>
                <w:tcPr>
                  <w:tcW w:w="3641" w:type="dxa"/>
                  <w:gridSpan w:val="4"/>
                  <w:noWrap w:val="0"/>
                  <w:vAlign w:val="center"/>
                </w:tcPr>
                <w:p w14:paraId="39418F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4A101C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E21F2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C3D2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E9B56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6BAD0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20E06D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5980F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36.83</w:t>
                  </w:r>
                </w:p>
              </w:tc>
            </w:tr>
            <w:tr w14:paraId="401F8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1BB2A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w:t>
                  </w:r>
                </w:p>
              </w:tc>
              <w:tc>
                <w:tcPr>
                  <w:tcW w:w="3641" w:type="dxa"/>
                  <w:gridSpan w:val="4"/>
                  <w:noWrap w:val="0"/>
                  <w:vAlign w:val="center"/>
                </w:tcPr>
                <w:p w14:paraId="6331BB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加固2号拦河坝</w:t>
                  </w:r>
                </w:p>
              </w:tc>
              <w:tc>
                <w:tcPr>
                  <w:tcW w:w="1028" w:type="dxa"/>
                  <w:gridSpan w:val="2"/>
                  <w:noWrap w:val="0"/>
                  <w:vAlign w:val="center"/>
                </w:tcPr>
                <w:p w14:paraId="55344F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1FA25A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C8DA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BE69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4.3.1</w:t>
                  </w:r>
                </w:p>
              </w:tc>
              <w:tc>
                <w:tcPr>
                  <w:tcW w:w="3641" w:type="dxa"/>
                  <w:gridSpan w:val="4"/>
                  <w:noWrap w:val="0"/>
                  <w:vAlign w:val="center"/>
                </w:tcPr>
                <w:p w14:paraId="4936E5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52B72AC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43C58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8BF6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D2361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FBFD4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4FB704A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E367C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47.388</w:t>
                  </w:r>
                </w:p>
              </w:tc>
            </w:tr>
            <w:tr w14:paraId="65C91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E132B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E8998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593C572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750BE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426.492</w:t>
                  </w:r>
                </w:p>
              </w:tc>
            </w:tr>
            <w:tr w14:paraId="1A461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1923C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015DB6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538D492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E459C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402.8</w:t>
                  </w:r>
                </w:p>
              </w:tc>
            </w:tr>
            <w:tr w14:paraId="7E601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A3409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DB3C9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774FAF8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31482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281.96</w:t>
                  </w:r>
                </w:p>
              </w:tc>
            </w:tr>
            <w:tr w14:paraId="49B8D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F617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15A51F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02B75EA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76719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120.84</w:t>
                  </w:r>
                </w:p>
              </w:tc>
            </w:tr>
            <w:tr w14:paraId="6878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1677D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4.3.2</w:t>
                  </w:r>
                </w:p>
              </w:tc>
              <w:tc>
                <w:tcPr>
                  <w:tcW w:w="3641" w:type="dxa"/>
                  <w:gridSpan w:val="4"/>
                  <w:noWrap w:val="0"/>
                  <w:vAlign w:val="center"/>
                </w:tcPr>
                <w:p w14:paraId="752AD5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5F4704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49959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C473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BDE3D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86076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7306798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2E8F9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1.35</w:t>
                  </w:r>
                </w:p>
              </w:tc>
            </w:tr>
            <w:tr w14:paraId="16CFC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08D3F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094E08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21D14E5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26A63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16.16</w:t>
                  </w:r>
                </w:p>
              </w:tc>
            </w:tr>
            <w:tr w14:paraId="4A6D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6A5AF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559A7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noWrap w:val="0"/>
                  <w:vAlign w:val="center"/>
                </w:tcPr>
                <w:p w14:paraId="0F6C585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A0632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3.18</w:t>
                  </w:r>
                </w:p>
              </w:tc>
            </w:tr>
            <w:tr w14:paraId="49473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E6AD0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261F7F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浆砌石立墙</w:t>
                  </w:r>
                </w:p>
              </w:tc>
              <w:tc>
                <w:tcPr>
                  <w:tcW w:w="1028" w:type="dxa"/>
                  <w:gridSpan w:val="2"/>
                  <w:noWrap w:val="0"/>
                  <w:vAlign w:val="center"/>
                </w:tcPr>
                <w:p w14:paraId="1B5297D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CC82A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14.58</w:t>
                  </w:r>
                </w:p>
              </w:tc>
            </w:tr>
            <w:tr w14:paraId="0D832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57F26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4.3.3</w:t>
                  </w:r>
                </w:p>
              </w:tc>
              <w:tc>
                <w:tcPr>
                  <w:tcW w:w="3641" w:type="dxa"/>
                  <w:gridSpan w:val="4"/>
                  <w:noWrap w:val="0"/>
                  <w:vAlign w:val="center"/>
                </w:tcPr>
                <w:p w14:paraId="797ACC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1C054A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0ABEE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B374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AEF57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69441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5732C72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63544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12.02</w:t>
                  </w:r>
                </w:p>
              </w:tc>
            </w:tr>
            <w:tr w14:paraId="6F73C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62D118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21A080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3B9F4D8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28BC08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25.53</w:t>
                  </w:r>
                </w:p>
              </w:tc>
            </w:tr>
            <w:tr w14:paraId="0BC37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65E08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AD2AB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混凝土凿毛</w:t>
                  </w:r>
                </w:p>
              </w:tc>
              <w:tc>
                <w:tcPr>
                  <w:tcW w:w="1028" w:type="dxa"/>
                  <w:gridSpan w:val="2"/>
                  <w:noWrap w:val="0"/>
                  <w:vAlign w:val="center"/>
                </w:tcPr>
                <w:p w14:paraId="4B853B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17CEC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54.88</w:t>
                  </w:r>
                </w:p>
              </w:tc>
            </w:tr>
            <w:tr w14:paraId="033D5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9DE08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F248D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混凝土内植结构钢筋钢筋直径(</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)φ14</w:t>
                  </w:r>
                </w:p>
              </w:tc>
              <w:tc>
                <w:tcPr>
                  <w:tcW w:w="1028" w:type="dxa"/>
                  <w:gridSpan w:val="2"/>
                  <w:noWrap w:val="0"/>
                  <w:vAlign w:val="center"/>
                </w:tcPr>
                <w:p w14:paraId="4C7951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1979" w:type="dxa"/>
                  <w:gridSpan w:val="3"/>
                  <w:noWrap w:val="0"/>
                  <w:vAlign w:val="center"/>
                </w:tcPr>
                <w:p w14:paraId="18C5A3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610</w:t>
                  </w:r>
                </w:p>
              </w:tc>
            </w:tr>
            <w:tr w14:paraId="14FF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BAED4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03C673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3CCEA03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0EDA5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68.81</w:t>
                  </w:r>
                </w:p>
              </w:tc>
            </w:tr>
            <w:tr w14:paraId="6BA2A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01CCA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2CD24F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434E4AB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7228C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100.34</w:t>
                  </w:r>
                </w:p>
              </w:tc>
            </w:tr>
            <w:tr w14:paraId="1AE0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C4AF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5E47FD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noWrap w:val="0"/>
                  <w:vAlign w:val="center"/>
                </w:tcPr>
                <w:p w14:paraId="5AA6EC9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F60F0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24.21</w:t>
                  </w:r>
                </w:p>
              </w:tc>
            </w:tr>
            <w:tr w14:paraId="5BFF8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DA7D4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5CAAB64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noWrap w:val="0"/>
                  <w:vAlign w:val="center"/>
                </w:tcPr>
                <w:p w14:paraId="3962C0B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62CAA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7.52</w:t>
                  </w:r>
                </w:p>
              </w:tc>
            </w:tr>
            <w:tr w14:paraId="1C168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FD81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0C13EA5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noWrap w:val="0"/>
                  <w:vAlign w:val="center"/>
                </w:tcPr>
                <w:p w14:paraId="0FC8233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2D00B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05882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BC369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08824C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noWrap w:val="0"/>
                  <w:vAlign w:val="center"/>
                </w:tcPr>
                <w:p w14:paraId="53332D6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3F9840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10.15</w:t>
                  </w:r>
                </w:p>
              </w:tc>
            </w:tr>
            <w:tr w14:paraId="0B52A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4071E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1719FF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1D3F0D1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4C53D92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7.24</w:t>
                  </w:r>
                </w:p>
              </w:tc>
            </w:tr>
            <w:tr w14:paraId="3B420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AABA0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41" w:type="dxa"/>
                  <w:gridSpan w:val="4"/>
                  <w:noWrap w:val="0"/>
                  <w:vAlign w:val="center"/>
                </w:tcPr>
                <w:p w14:paraId="3D1657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72ED29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C91EB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237.94</w:t>
                  </w:r>
                </w:p>
              </w:tc>
            </w:tr>
            <w:tr w14:paraId="72397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F0565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41" w:type="dxa"/>
                  <w:gridSpan w:val="4"/>
                  <w:noWrap w:val="0"/>
                  <w:vAlign w:val="center"/>
                </w:tcPr>
                <w:p w14:paraId="70F43A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47A691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5DE4D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206.7</w:t>
                  </w:r>
                </w:p>
              </w:tc>
            </w:tr>
            <w:tr w14:paraId="4550C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21BFC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4.3.4</w:t>
                  </w:r>
                </w:p>
              </w:tc>
              <w:tc>
                <w:tcPr>
                  <w:tcW w:w="3641" w:type="dxa"/>
                  <w:gridSpan w:val="4"/>
                  <w:noWrap w:val="0"/>
                  <w:vAlign w:val="center"/>
                </w:tcPr>
                <w:p w14:paraId="46769D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39978A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39703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B2AB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231A8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90AD4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32466B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D03F6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42.18</w:t>
                  </w:r>
                </w:p>
              </w:tc>
            </w:tr>
            <w:tr w14:paraId="00F51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58C63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w:t>
                  </w:r>
                </w:p>
              </w:tc>
              <w:tc>
                <w:tcPr>
                  <w:tcW w:w="3641" w:type="dxa"/>
                  <w:gridSpan w:val="4"/>
                  <w:noWrap w:val="0"/>
                  <w:vAlign w:val="center"/>
                </w:tcPr>
                <w:p w14:paraId="254E52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新建3号拦河坝</w:t>
                  </w:r>
                </w:p>
              </w:tc>
              <w:tc>
                <w:tcPr>
                  <w:tcW w:w="1028" w:type="dxa"/>
                  <w:gridSpan w:val="2"/>
                  <w:noWrap w:val="0"/>
                  <w:vAlign w:val="center"/>
                </w:tcPr>
                <w:p w14:paraId="4589546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55DBB4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D044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94E2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4.4.1</w:t>
                  </w:r>
                </w:p>
              </w:tc>
              <w:tc>
                <w:tcPr>
                  <w:tcW w:w="3641" w:type="dxa"/>
                  <w:gridSpan w:val="4"/>
                  <w:noWrap w:val="0"/>
                  <w:vAlign w:val="center"/>
                </w:tcPr>
                <w:p w14:paraId="5C2815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2FB915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15AEC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2031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5199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72FF6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7B056B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E8533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234.525</w:t>
                  </w:r>
                </w:p>
              </w:tc>
            </w:tr>
            <w:tr w14:paraId="3052F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4B453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1DC161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4F5536E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060C3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2110.725</w:t>
                  </w:r>
                </w:p>
              </w:tc>
            </w:tr>
            <w:tr w14:paraId="13F45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59E0D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2E9F46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64DA51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960F5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1993.46</w:t>
                  </w:r>
                </w:p>
              </w:tc>
            </w:tr>
            <w:tr w14:paraId="626D1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976A0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F928B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34C05A3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14250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1395.422</w:t>
                  </w:r>
                </w:p>
              </w:tc>
            </w:tr>
            <w:tr w14:paraId="1FCB4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3EACF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7B7D70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303FF4D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6950A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598.038</w:t>
                  </w:r>
                </w:p>
              </w:tc>
            </w:tr>
            <w:tr w14:paraId="6BE9C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BBCE4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4.4.2</w:t>
                  </w:r>
                </w:p>
              </w:tc>
              <w:tc>
                <w:tcPr>
                  <w:tcW w:w="3641" w:type="dxa"/>
                  <w:gridSpan w:val="4"/>
                  <w:noWrap w:val="0"/>
                  <w:vAlign w:val="center"/>
                </w:tcPr>
                <w:p w14:paraId="028FED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4F58A4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72F892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F801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58609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442A3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5D8055E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A39F9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w:t>
                  </w:r>
                </w:p>
              </w:tc>
            </w:tr>
            <w:tr w14:paraId="7F10E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8A230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C176E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0317271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0074CE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34.42</w:t>
                  </w:r>
                </w:p>
              </w:tc>
            </w:tr>
            <w:tr w14:paraId="6584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CB084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570C3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noWrap w:val="0"/>
                  <w:vAlign w:val="center"/>
                </w:tcPr>
                <w:p w14:paraId="440CCE5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CB11C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r>
            <w:tr w14:paraId="02AD5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FE0A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FF27CE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noWrap w:val="0"/>
                  <w:vAlign w:val="center"/>
                </w:tcPr>
                <w:p w14:paraId="330BAAA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3F848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57.58</w:t>
                  </w:r>
                </w:p>
              </w:tc>
            </w:tr>
            <w:tr w14:paraId="37C06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E3EC1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4.4.3</w:t>
                  </w:r>
                </w:p>
              </w:tc>
              <w:tc>
                <w:tcPr>
                  <w:tcW w:w="3641" w:type="dxa"/>
                  <w:gridSpan w:val="4"/>
                  <w:noWrap w:val="0"/>
                  <w:vAlign w:val="center"/>
                </w:tcPr>
                <w:p w14:paraId="4203E5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6D6B41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AF5E21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DC15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20683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84C9C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1015C1C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394F4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15.66</w:t>
                  </w:r>
                </w:p>
              </w:tc>
            </w:tr>
            <w:tr w14:paraId="678DF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2006C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674879D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4371960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FED659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44.96</w:t>
                  </w:r>
                </w:p>
              </w:tc>
            </w:tr>
            <w:tr w14:paraId="24DE7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DC81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08541E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19144EF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1D2926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169.88</w:t>
                  </w:r>
                </w:p>
              </w:tc>
            </w:tr>
            <w:tr w14:paraId="15F1E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E380B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88ECF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68B264B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D2C877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198.68</w:t>
                  </w:r>
                </w:p>
              </w:tc>
            </w:tr>
            <w:tr w14:paraId="69CD1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7C059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CE48B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noWrap w:val="0"/>
                  <w:vAlign w:val="center"/>
                </w:tcPr>
                <w:p w14:paraId="7E2A918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4FBF3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23.39</w:t>
                  </w:r>
                </w:p>
              </w:tc>
            </w:tr>
            <w:tr w14:paraId="4392D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44AD8C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62D8C75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noWrap w:val="0"/>
                  <w:vAlign w:val="center"/>
                </w:tcPr>
                <w:p w14:paraId="5F25F84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BF28A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9.91</w:t>
                  </w:r>
                </w:p>
              </w:tc>
            </w:tr>
            <w:tr w14:paraId="6FFCA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31981D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742BF4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noWrap w:val="0"/>
                  <w:vAlign w:val="center"/>
                </w:tcPr>
                <w:p w14:paraId="2AF3C44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A8B57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085FF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D9D9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1CB781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noWrap w:val="0"/>
                  <w:vAlign w:val="center"/>
                </w:tcPr>
                <w:p w14:paraId="67F4BD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53A093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12.45</w:t>
                  </w:r>
                </w:p>
              </w:tc>
            </w:tr>
            <w:tr w14:paraId="7A677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2E897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6D69BD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7FF5C2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6A0A192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16.99</w:t>
                  </w:r>
                </w:p>
              </w:tc>
            </w:tr>
            <w:tr w14:paraId="40BC4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88176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6DEED52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255F64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13DC0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446.86</w:t>
                  </w:r>
                </w:p>
              </w:tc>
            </w:tr>
            <w:tr w14:paraId="7CBFE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B8A8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51F8F60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7AB8F3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19640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440.26</w:t>
                  </w:r>
                </w:p>
              </w:tc>
            </w:tr>
            <w:tr w14:paraId="7B7D9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882C13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4.4.4</w:t>
                  </w:r>
                </w:p>
              </w:tc>
              <w:tc>
                <w:tcPr>
                  <w:tcW w:w="3641" w:type="dxa"/>
                  <w:gridSpan w:val="4"/>
                  <w:noWrap w:val="0"/>
                  <w:vAlign w:val="center"/>
                </w:tcPr>
                <w:p w14:paraId="4A7636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1C8EBC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0E8EC3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C104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A3CB38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C9C8C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168622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B0CAA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85.95</w:t>
                  </w:r>
                </w:p>
              </w:tc>
            </w:tr>
            <w:tr w14:paraId="52E94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9069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w:t>
                  </w:r>
                </w:p>
              </w:tc>
              <w:tc>
                <w:tcPr>
                  <w:tcW w:w="3641" w:type="dxa"/>
                  <w:gridSpan w:val="4"/>
                  <w:noWrap w:val="0"/>
                  <w:vAlign w:val="center"/>
                </w:tcPr>
                <w:p w14:paraId="1A44FE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新建4号拦河坝</w:t>
                  </w:r>
                </w:p>
              </w:tc>
              <w:tc>
                <w:tcPr>
                  <w:tcW w:w="1028" w:type="dxa"/>
                  <w:gridSpan w:val="2"/>
                  <w:noWrap w:val="0"/>
                  <w:vAlign w:val="center"/>
                </w:tcPr>
                <w:p w14:paraId="2AC51A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10C881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B3BA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202169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4.5.1</w:t>
                  </w:r>
                </w:p>
              </w:tc>
              <w:tc>
                <w:tcPr>
                  <w:tcW w:w="3641" w:type="dxa"/>
                  <w:gridSpan w:val="4"/>
                  <w:noWrap w:val="0"/>
                  <w:vAlign w:val="center"/>
                </w:tcPr>
                <w:p w14:paraId="65AA1B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3FF640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CB3FE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C398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27BC3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F3AA4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EF511B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7F626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299.033</w:t>
                  </w:r>
                </w:p>
              </w:tc>
            </w:tr>
            <w:tr w14:paraId="5F0E7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CDC61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3A20CB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AFF41A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8C7CB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2691.297</w:t>
                  </w:r>
                </w:p>
              </w:tc>
            </w:tr>
            <w:tr w14:paraId="5B41C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A592F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04CA87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6F5E46B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03262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2541.78</w:t>
                  </w:r>
                </w:p>
              </w:tc>
            </w:tr>
            <w:tr w14:paraId="16406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6B4E9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5531B6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246393D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92F491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1779.246</w:t>
                  </w:r>
                </w:p>
              </w:tc>
            </w:tr>
            <w:tr w14:paraId="4EA57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775D04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66414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2148E61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69A9BB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762.534</w:t>
                  </w:r>
                </w:p>
              </w:tc>
            </w:tr>
            <w:tr w14:paraId="4FEC7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19EE6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4.5.2</w:t>
                  </w:r>
                </w:p>
              </w:tc>
              <w:tc>
                <w:tcPr>
                  <w:tcW w:w="3641" w:type="dxa"/>
                  <w:gridSpan w:val="4"/>
                  <w:noWrap w:val="0"/>
                  <w:vAlign w:val="center"/>
                </w:tcPr>
                <w:p w14:paraId="7A8257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3DE451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51D2B5B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E161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40D0F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8B0B1A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5D08009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2841A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w:t>
                  </w:r>
                </w:p>
              </w:tc>
            </w:tr>
            <w:tr w14:paraId="1E68B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EF4C1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15F4A7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07A4E42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9400B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40.96</w:t>
                  </w:r>
                </w:p>
              </w:tc>
            </w:tr>
            <w:tr w14:paraId="755BA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784A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4A4B9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noWrap w:val="0"/>
                  <w:vAlign w:val="center"/>
                </w:tcPr>
                <w:p w14:paraId="2524D29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AE40F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5.67</w:t>
                  </w:r>
                </w:p>
              </w:tc>
            </w:tr>
            <w:tr w14:paraId="7FC85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C3076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30A7CBE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noWrap w:val="0"/>
                  <w:vAlign w:val="center"/>
                </w:tcPr>
                <w:p w14:paraId="19D1424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079E4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62.16</w:t>
                  </w:r>
                </w:p>
              </w:tc>
            </w:tr>
            <w:tr w14:paraId="39AB0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A9E587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4.5.3</w:t>
                  </w:r>
                </w:p>
              </w:tc>
              <w:tc>
                <w:tcPr>
                  <w:tcW w:w="3641" w:type="dxa"/>
                  <w:gridSpan w:val="4"/>
                  <w:noWrap w:val="0"/>
                  <w:vAlign w:val="center"/>
                </w:tcPr>
                <w:p w14:paraId="29FCA9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325ED0E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6F001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16FD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C97A7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DC285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43AF9CD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F24090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17.73</w:t>
                  </w:r>
                </w:p>
              </w:tc>
            </w:tr>
            <w:tr w14:paraId="797AD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A339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0ED3626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3534043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81907E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53.31</w:t>
                  </w:r>
                </w:p>
              </w:tc>
            </w:tr>
            <w:tr w14:paraId="227CD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935E89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509FBAB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6907CD4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B1A3C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206.39</w:t>
                  </w:r>
                </w:p>
              </w:tc>
            </w:tr>
            <w:tr w14:paraId="7899A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1DCC9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0015005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31BE0E09">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61D846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293.76</w:t>
                  </w:r>
                </w:p>
              </w:tc>
            </w:tr>
            <w:tr w14:paraId="5DAA8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FA1B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662768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noWrap w:val="0"/>
                  <w:vAlign w:val="center"/>
                </w:tcPr>
                <w:p w14:paraId="731F4CF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83982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27.85</w:t>
                  </w:r>
                </w:p>
              </w:tc>
            </w:tr>
            <w:tr w14:paraId="036A8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105B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5A4538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noWrap w:val="0"/>
                  <w:vAlign w:val="center"/>
                </w:tcPr>
                <w:p w14:paraId="2A68B70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14CEE5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9.91</w:t>
                  </w:r>
                </w:p>
              </w:tc>
            </w:tr>
            <w:tr w14:paraId="5A07F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1C7CC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70B095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noWrap w:val="0"/>
                  <w:vAlign w:val="center"/>
                </w:tcPr>
                <w:p w14:paraId="303AC7B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A0595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71674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A6EB1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50B676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noWrap w:val="0"/>
                  <w:vAlign w:val="center"/>
                </w:tcPr>
                <w:p w14:paraId="308BA2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7455D4F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12.45</w:t>
                  </w:r>
                </w:p>
              </w:tc>
            </w:tr>
            <w:tr w14:paraId="6C254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BA62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4F6B20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258882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1ACF64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20.64</w:t>
                  </w:r>
                </w:p>
              </w:tc>
            </w:tr>
            <w:tr w14:paraId="5DBF5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2B2EE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50D74A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2A34DF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F44A1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588.8</w:t>
                  </w:r>
                </w:p>
              </w:tc>
            </w:tr>
            <w:tr w14:paraId="68151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B7254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7873131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15CA10E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EB095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571.19</w:t>
                  </w:r>
                </w:p>
              </w:tc>
            </w:tr>
            <w:tr w14:paraId="49AC6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66B37E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4.5.4</w:t>
                  </w:r>
                </w:p>
              </w:tc>
              <w:tc>
                <w:tcPr>
                  <w:tcW w:w="3641" w:type="dxa"/>
                  <w:gridSpan w:val="4"/>
                  <w:noWrap w:val="0"/>
                  <w:vAlign w:val="center"/>
                </w:tcPr>
                <w:p w14:paraId="7520E5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1BE060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16C991E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B33A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9FA23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676AC1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22B5176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13BF25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102.32</w:t>
                  </w:r>
                </w:p>
              </w:tc>
            </w:tr>
            <w:tr w14:paraId="2EF4E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9D0F7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c>
                <w:tcPr>
                  <w:tcW w:w="3641" w:type="dxa"/>
                  <w:gridSpan w:val="4"/>
                  <w:noWrap w:val="0"/>
                  <w:vAlign w:val="center"/>
                </w:tcPr>
                <w:p w14:paraId="203FF9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拆建桥涵</w:t>
                  </w:r>
                </w:p>
              </w:tc>
              <w:tc>
                <w:tcPr>
                  <w:tcW w:w="1028" w:type="dxa"/>
                  <w:gridSpan w:val="2"/>
                  <w:noWrap w:val="0"/>
                  <w:vAlign w:val="center"/>
                </w:tcPr>
                <w:p w14:paraId="7FA9333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1D01D9E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9FCD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E397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4.6.1</w:t>
                  </w:r>
                </w:p>
              </w:tc>
              <w:tc>
                <w:tcPr>
                  <w:tcW w:w="3641" w:type="dxa"/>
                  <w:gridSpan w:val="4"/>
                  <w:noWrap w:val="0"/>
                  <w:vAlign w:val="center"/>
                </w:tcPr>
                <w:p w14:paraId="6A2D04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29E86FA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B4443B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FBA5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EAE869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537149E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F62786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EB417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433.444</w:t>
                  </w:r>
                </w:p>
              </w:tc>
            </w:tr>
            <w:tr w14:paraId="4FC16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B7DEC1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87576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341EBDE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451094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3900.996</w:t>
                  </w:r>
                </w:p>
              </w:tc>
            </w:tr>
            <w:tr w14:paraId="47CE8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EB3E1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2A16E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4F0CB75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BDC4F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3684.27</w:t>
                  </w:r>
                </w:p>
              </w:tc>
            </w:tr>
            <w:tr w14:paraId="740E3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BA1C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175732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4EA16DC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93370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2578.989</w:t>
                  </w:r>
                </w:p>
              </w:tc>
            </w:tr>
            <w:tr w14:paraId="7E9B0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D74E9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56D536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250CDF0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7033A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1105.281</w:t>
                  </w:r>
                </w:p>
              </w:tc>
            </w:tr>
            <w:tr w14:paraId="56000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BB5A9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4.6.2</w:t>
                  </w:r>
                </w:p>
              </w:tc>
              <w:tc>
                <w:tcPr>
                  <w:tcW w:w="3641" w:type="dxa"/>
                  <w:gridSpan w:val="4"/>
                  <w:noWrap w:val="0"/>
                  <w:vAlign w:val="center"/>
                </w:tcPr>
                <w:p w14:paraId="6058CF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322DBC2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914A6F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61ED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DB55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DD092C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4AADD4DF">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AA103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21.38</w:t>
                  </w:r>
                </w:p>
              </w:tc>
            </w:tr>
            <w:tr w14:paraId="1394C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3D7E0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49548A1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2FF9099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890D1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150.76</w:t>
                  </w:r>
                </w:p>
              </w:tc>
            </w:tr>
            <w:tr w14:paraId="72B47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A896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14D9D32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C30钢筋砼底板侧墙（含翼墙）</w:t>
                  </w:r>
                </w:p>
              </w:tc>
              <w:tc>
                <w:tcPr>
                  <w:tcW w:w="1028" w:type="dxa"/>
                  <w:gridSpan w:val="2"/>
                  <w:noWrap w:val="0"/>
                  <w:vAlign w:val="center"/>
                </w:tcPr>
                <w:p w14:paraId="024DE6E7">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0FDAF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103.74</w:t>
                  </w:r>
                </w:p>
              </w:tc>
            </w:tr>
            <w:tr w14:paraId="4AF0B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32D53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2D0D5A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C30砼顶板</w:t>
                  </w:r>
                </w:p>
              </w:tc>
              <w:tc>
                <w:tcPr>
                  <w:tcW w:w="1028" w:type="dxa"/>
                  <w:gridSpan w:val="2"/>
                  <w:noWrap w:val="0"/>
                  <w:vAlign w:val="center"/>
                </w:tcPr>
                <w:p w14:paraId="24C5FBFA">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6F07E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114.19</w:t>
                  </w:r>
                </w:p>
              </w:tc>
            </w:tr>
            <w:tr w14:paraId="10DDE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08CA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2EB948D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noWrap w:val="0"/>
                  <w:vAlign w:val="center"/>
                </w:tcPr>
                <w:p w14:paraId="274C931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B7B868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183.55</w:t>
                  </w:r>
                </w:p>
              </w:tc>
            </w:tr>
            <w:tr w14:paraId="352F9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77F87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01D6EF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钢筋网制作及安装</w:t>
                  </w:r>
                </w:p>
              </w:tc>
              <w:tc>
                <w:tcPr>
                  <w:tcW w:w="1028" w:type="dxa"/>
                  <w:gridSpan w:val="2"/>
                  <w:noWrap w:val="0"/>
                  <w:vAlign w:val="center"/>
                </w:tcPr>
                <w:p w14:paraId="14D417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438339C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r>
            <w:tr w14:paraId="24915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70A4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5DF1F2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6A2BF9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36ED94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36.87</w:t>
                  </w:r>
                </w:p>
              </w:tc>
            </w:tr>
            <w:tr w14:paraId="24435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8D09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20F90A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5C05D9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0E9F4B1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150.76</w:t>
                  </w:r>
                </w:p>
              </w:tc>
            </w:tr>
            <w:tr w14:paraId="59665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6A94A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526EDF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6BB91D5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3CDDC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172.14</w:t>
                  </w:r>
                </w:p>
              </w:tc>
            </w:tr>
            <w:tr w14:paraId="3BE0B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9F9B5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w:t>
                  </w:r>
                </w:p>
              </w:tc>
              <w:tc>
                <w:tcPr>
                  <w:tcW w:w="3641" w:type="dxa"/>
                  <w:gridSpan w:val="4"/>
                  <w:noWrap w:val="0"/>
                  <w:vAlign w:val="center"/>
                </w:tcPr>
                <w:p w14:paraId="79417E1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731200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3C25C3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BF76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2AE40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4.6.3.1</w:t>
                  </w:r>
                </w:p>
              </w:tc>
              <w:tc>
                <w:tcPr>
                  <w:tcW w:w="3641" w:type="dxa"/>
                  <w:gridSpan w:val="4"/>
                  <w:noWrap w:val="0"/>
                  <w:vAlign w:val="center"/>
                </w:tcPr>
                <w:p w14:paraId="0F04D3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水泥混凝土路面恢复</w:t>
                  </w:r>
                </w:p>
              </w:tc>
              <w:tc>
                <w:tcPr>
                  <w:tcW w:w="1028" w:type="dxa"/>
                  <w:gridSpan w:val="2"/>
                  <w:noWrap w:val="0"/>
                  <w:vAlign w:val="center"/>
                </w:tcPr>
                <w:p w14:paraId="33EEA5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E05E0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CBAF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B797F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152202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块石路基</w:t>
                  </w:r>
                </w:p>
              </w:tc>
              <w:tc>
                <w:tcPr>
                  <w:tcW w:w="1028" w:type="dxa"/>
                  <w:gridSpan w:val="2"/>
                  <w:noWrap w:val="0"/>
                  <w:vAlign w:val="center"/>
                </w:tcPr>
                <w:p w14:paraId="1FABD6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59BD6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13.78</w:t>
                  </w:r>
                </w:p>
              </w:tc>
            </w:tr>
            <w:tr w14:paraId="6DD0A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F9047A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0A56C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级配碎石</w:t>
                  </w:r>
                </w:p>
              </w:tc>
              <w:tc>
                <w:tcPr>
                  <w:tcW w:w="1028" w:type="dxa"/>
                  <w:gridSpan w:val="2"/>
                  <w:noWrap w:val="0"/>
                  <w:vAlign w:val="center"/>
                </w:tcPr>
                <w:p w14:paraId="0D27BC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3BD71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55.12</w:t>
                  </w:r>
                </w:p>
              </w:tc>
            </w:tr>
            <w:tr w14:paraId="3D6BF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564816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40D3E39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C30水泥砼</w:t>
                  </w:r>
                </w:p>
              </w:tc>
              <w:tc>
                <w:tcPr>
                  <w:tcW w:w="1028" w:type="dxa"/>
                  <w:gridSpan w:val="2"/>
                  <w:noWrap w:val="0"/>
                  <w:vAlign w:val="center"/>
                </w:tcPr>
                <w:p w14:paraId="2FC953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51184E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55.12</w:t>
                  </w:r>
                </w:p>
              </w:tc>
            </w:tr>
            <w:tr w14:paraId="78A4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88BF96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13C723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不锈钢栏杆</w:t>
                  </w:r>
                </w:p>
              </w:tc>
              <w:tc>
                <w:tcPr>
                  <w:tcW w:w="1028" w:type="dxa"/>
                  <w:gridSpan w:val="2"/>
                  <w:noWrap w:val="0"/>
                  <w:vAlign w:val="center"/>
                </w:tcPr>
                <w:p w14:paraId="018ED3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0DA4E7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90.29</w:t>
                  </w:r>
                </w:p>
              </w:tc>
            </w:tr>
            <w:tr w14:paraId="1F70E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E6DAA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4.6.3.2</w:t>
                  </w:r>
                </w:p>
              </w:tc>
              <w:tc>
                <w:tcPr>
                  <w:tcW w:w="3641" w:type="dxa"/>
                  <w:gridSpan w:val="4"/>
                  <w:noWrap w:val="0"/>
                  <w:vAlign w:val="center"/>
                </w:tcPr>
                <w:p w14:paraId="306381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noWrap w:val="0"/>
                  <w:vAlign w:val="center"/>
                </w:tcPr>
                <w:p w14:paraId="431727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noWrap w:val="0"/>
                  <w:vAlign w:val="center"/>
                </w:tcPr>
                <w:p w14:paraId="5E1657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3B21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2F9BB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p>
              </w:tc>
              <w:tc>
                <w:tcPr>
                  <w:tcW w:w="3641" w:type="dxa"/>
                  <w:gridSpan w:val="4"/>
                  <w:noWrap w:val="0"/>
                  <w:vAlign w:val="center"/>
                </w:tcPr>
                <w:p w14:paraId="60B30FB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支流新建1号拦河坝</w:t>
                  </w:r>
                </w:p>
              </w:tc>
              <w:tc>
                <w:tcPr>
                  <w:tcW w:w="1028" w:type="dxa"/>
                  <w:gridSpan w:val="2"/>
                  <w:noWrap w:val="0"/>
                  <w:vAlign w:val="center"/>
                </w:tcPr>
                <w:p w14:paraId="5FE5CE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noWrap w:val="0"/>
                  <w:vAlign w:val="center"/>
                </w:tcPr>
                <w:p w14:paraId="086DE8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7938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66B534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4.7.1</w:t>
                  </w:r>
                </w:p>
              </w:tc>
              <w:tc>
                <w:tcPr>
                  <w:tcW w:w="3641" w:type="dxa"/>
                  <w:gridSpan w:val="4"/>
                  <w:noWrap w:val="0"/>
                  <w:vAlign w:val="center"/>
                </w:tcPr>
                <w:p w14:paraId="764DF57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noWrap w:val="0"/>
                  <w:vAlign w:val="center"/>
                </w:tcPr>
                <w:p w14:paraId="4196AD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1DD9C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0818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0531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24AEE4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47DA280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C3105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116.805</w:t>
                  </w:r>
                </w:p>
              </w:tc>
            </w:tr>
            <w:tr w14:paraId="49408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9C3A3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731EC2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42DC48D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4A5CB1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1051.245</w:t>
                  </w:r>
                </w:p>
              </w:tc>
            </w:tr>
            <w:tr w14:paraId="700A5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B44D50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876DA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noWrap w:val="0"/>
                  <w:vAlign w:val="center"/>
                </w:tcPr>
                <w:p w14:paraId="1042092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AA5DA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992.84</w:t>
                  </w:r>
                </w:p>
              </w:tc>
            </w:tr>
            <w:tr w14:paraId="0C8D2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646DB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40DEE6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noWrap w:val="0"/>
                  <w:vAlign w:val="center"/>
                </w:tcPr>
                <w:p w14:paraId="1A4935C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CF449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694.988</w:t>
                  </w:r>
                </w:p>
              </w:tc>
            </w:tr>
            <w:tr w14:paraId="457A4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1F1BC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53EC03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noWrap w:val="0"/>
                  <w:vAlign w:val="center"/>
                </w:tcPr>
                <w:p w14:paraId="660ACC46">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71684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297.852</w:t>
                  </w:r>
                </w:p>
              </w:tc>
            </w:tr>
            <w:tr w14:paraId="2416D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191C7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4.7.2</w:t>
                  </w:r>
                </w:p>
              </w:tc>
              <w:tc>
                <w:tcPr>
                  <w:tcW w:w="3641" w:type="dxa"/>
                  <w:gridSpan w:val="4"/>
                  <w:noWrap w:val="0"/>
                  <w:vAlign w:val="center"/>
                </w:tcPr>
                <w:p w14:paraId="7827B73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noWrap w:val="0"/>
                  <w:vAlign w:val="center"/>
                </w:tcPr>
                <w:p w14:paraId="680A9F2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F9AC9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B49B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BD8EF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1C440E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noWrap w:val="0"/>
                  <w:vAlign w:val="center"/>
                </w:tcPr>
                <w:p w14:paraId="5595734B">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20CEB7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r>
            <w:tr w14:paraId="508AC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25AC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0B0CB8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noWrap w:val="0"/>
                  <w:vAlign w:val="center"/>
                </w:tcPr>
                <w:p w14:paraId="3F97E0AE">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6C5E34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8.24</w:t>
                  </w:r>
                </w:p>
              </w:tc>
            </w:tr>
            <w:tr w14:paraId="730C6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6AB90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0D007F2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noWrap w:val="0"/>
                  <w:vAlign w:val="center"/>
                </w:tcPr>
                <w:p w14:paraId="1BCF656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70C8F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r>
            <w:tr w14:paraId="4EB82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6DE70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2D3CAA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noWrap w:val="0"/>
                  <w:vAlign w:val="center"/>
                </w:tcPr>
                <w:p w14:paraId="6DBD5ADD">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B7D2AC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53.22</w:t>
                  </w:r>
                </w:p>
              </w:tc>
            </w:tr>
            <w:tr w14:paraId="0AB23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7257A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4.7.3</w:t>
                  </w:r>
                </w:p>
              </w:tc>
              <w:tc>
                <w:tcPr>
                  <w:tcW w:w="3641" w:type="dxa"/>
                  <w:gridSpan w:val="4"/>
                  <w:noWrap w:val="0"/>
                  <w:vAlign w:val="center"/>
                </w:tcPr>
                <w:p w14:paraId="782C37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noWrap w:val="0"/>
                  <w:vAlign w:val="center"/>
                </w:tcPr>
                <w:p w14:paraId="31FFACE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B2D3B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2926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3EAB1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7BE1D5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noWrap w:val="0"/>
                  <w:vAlign w:val="center"/>
                </w:tcPr>
                <w:p w14:paraId="45C84A50">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0AC832D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7.36</w:t>
                  </w:r>
                </w:p>
              </w:tc>
            </w:tr>
            <w:tr w14:paraId="2C24E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588FB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noWrap w:val="0"/>
                  <w:vAlign w:val="center"/>
                </w:tcPr>
                <w:p w14:paraId="5C3A39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noWrap w:val="0"/>
                  <w:vAlign w:val="center"/>
                </w:tcPr>
                <w:p w14:paraId="7EE655C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FFA5E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11.71</w:t>
                  </w:r>
                </w:p>
              </w:tc>
            </w:tr>
            <w:tr w14:paraId="286CC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2237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noWrap w:val="0"/>
                  <w:vAlign w:val="center"/>
                </w:tcPr>
                <w:p w14:paraId="6C5F00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noWrap w:val="0"/>
                  <w:vAlign w:val="center"/>
                </w:tcPr>
                <w:p w14:paraId="3873DBFC">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0E245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46.33</w:t>
                  </w:r>
                </w:p>
              </w:tc>
            </w:tr>
            <w:tr w14:paraId="4D558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536B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noWrap w:val="0"/>
                  <w:vAlign w:val="center"/>
                </w:tcPr>
                <w:p w14:paraId="614C2E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noWrap w:val="0"/>
                  <w:vAlign w:val="center"/>
                </w:tcPr>
                <w:p w14:paraId="42B39BE2">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F424C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47.65</w:t>
                  </w:r>
                </w:p>
              </w:tc>
            </w:tr>
            <w:tr w14:paraId="306C4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C03D39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noWrap w:val="0"/>
                  <w:vAlign w:val="center"/>
                </w:tcPr>
                <w:p w14:paraId="11BD73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noWrap w:val="0"/>
                  <w:vAlign w:val="center"/>
                </w:tcPr>
                <w:p w14:paraId="53102713">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16C499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5.57</w:t>
                  </w:r>
                </w:p>
              </w:tc>
            </w:tr>
            <w:tr w14:paraId="384ED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25C53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noWrap w:val="0"/>
                  <w:vAlign w:val="center"/>
                </w:tcPr>
                <w:p w14:paraId="341C87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noWrap w:val="0"/>
                  <w:vAlign w:val="center"/>
                </w:tcPr>
                <w:p w14:paraId="7D1A9FF5">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757E11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w:t>
                  </w:r>
                </w:p>
              </w:tc>
            </w:tr>
            <w:tr w14:paraId="5CC39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3248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noWrap w:val="0"/>
                  <w:vAlign w:val="center"/>
                </w:tcPr>
                <w:p w14:paraId="2678787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noWrap w:val="0"/>
                  <w:vAlign w:val="center"/>
                </w:tcPr>
                <w:p w14:paraId="03A10EC4">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36A23F5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6F40F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EFD09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noWrap w:val="0"/>
                  <w:vAlign w:val="center"/>
                </w:tcPr>
                <w:p w14:paraId="7A24CE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noWrap w:val="0"/>
                  <w:vAlign w:val="center"/>
                </w:tcPr>
                <w:p w14:paraId="469681E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noWrap w:val="0"/>
                  <w:vAlign w:val="center"/>
                </w:tcPr>
                <w:p w14:paraId="1C1A2A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13.23</w:t>
                  </w:r>
                </w:p>
              </w:tc>
            </w:tr>
            <w:tr w14:paraId="3098E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2DF56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noWrap w:val="0"/>
                  <w:vAlign w:val="center"/>
                </w:tcPr>
                <w:p w14:paraId="76F6474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noWrap w:val="0"/>
                  <w:vAlign w:val="center"/>
                </w:tcPr>
                <w:p w14:paraId="26448DB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noWrap w:val="0"/>
                  <w:vAlign w:val="center"/>
                </w:tcPr>
                <w:p w14:paraId="3010E8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w:t>
                  </w:r>
                </w:p>
              </w:tc>
            </w:tr>
            <w:tr w14:paraId="2F145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6943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noWrap w:val="0"/>
                  <w:vAlign w:val="center"/>
                </w:tcPr>
                <w:p w14:paraId="7A4B9F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noWrap w:val="0"/>
                  <w:vAlign w:val="center"/>
                </w:tcPr>
                <w:p w14:paraId="58EB81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737ED2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130.78</w:t>
                  </w:r>
                </w:p>
              </w:tc>
            </w:tr>
            <w:tr w14:paraId="7E6D9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B2F24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noWrap w:val="0"/>
                  <w:vAlign w:val="center"/>
                </w:tcPr>
                <w:p w14:paraId="1F9330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noWrap w:val="0"/>
                  <w:vAlign w:val="center"/>
                </w:tcPr>
                <w:p w14:paraId="1E0F84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noWrap w:val="0"/>
                  <w:vAlign w:val="center"/>
                </w:tcPr>
                <w:p w14:paraId="5FE2A3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113.05</w:t>
                  </w:r>
                </w:p>
              </w:tc>
            </w:tr>
            <w:tr w14:paraId="27A72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253C0D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4.7.4</w:t>
                  </w:r>
                </w:p>
              </w:tc>
              <w:tc>
                <w:tcPr>
                  <w:tcW w:w="3641" w:type="dxa"/>
                  <w:gridSpan w:val="4"/>
                  <w:noWrap w:val="0"/>
                  <w:vAlign w:val="center"/>
                </w:tcPr>
                <w:p w14:paraId="47A5F0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noWrap w:val="0"/>
                  <w:vAlign w:val="center"/>
                </w:tcPr>
                <w:p w14:paraId="13DB9B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D10B15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3ACF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472A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073B33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noWrap w:val="0"/>
                  <w:vAlign w:val="center"/>
                </w:tcPr>
                <w:p w14:paraId="7D4FA78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noWrap w:val="0"/>
                  <w:vAlign w:val="center"/>
                </w:tcPr>
                <w:p w14:paraId="3DC706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20.46</w:t>
                  </w:r>
                </w:p>
              </w:tc>
            </w:tr>
            <w:tr w14:paraId="4A737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A03A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w:t>
                  </w:r>
                </w:p>
              </w:tc>
              <w:tc>
                <w:tcPr>
                  <w:tcW w:w="3641" w:type="dxa"/>
                  <w:gridSpan w:val="4"/>
                  <w:noWrap w:val="0"/>
                  <w:vAlign w:val="center"/>
                </w:tcPr>
                <w:p w14:paraId="22124CE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noWrap w:val="0"/>
                  <w:vAlign w:val="center"/>
                </w:tcPr>
                <w:p w14:paraId="59A1C8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4DDDD1D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F7B1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7106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noWrap w:val="0"/>
                  <w:vAlign w:val="center"/>
                </w:tcPr>
                <w:p w14:paraId="3F64F0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noWrap w:val="0"/>
                  <w:vAlign w:val="center"/>
                </w:tcPr>
                <w:p w14:paraId="09C9EC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noWrap w:val="0"/>
                  <w:vAlign w:val="center"/>
                </w:tcPr>
                <w:p w14:paraId="39872C0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51B37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54EDC8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641" w:type="dxa"/>
                  <w:gridSpan w:val="4"/>
                  <w:noWrap w:val="0"/>
                  <w:vAlign w:val="center"/>
                </w:tcPr>
                <w:p w14:paraId="321E7E8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第二部分 机电设备及安装工程</w:t>
                  </w:r>
                </w:p>
              </w:tc>
              <w:tc>
                <w:tcPr>
                  <w:tcW w:w="1028" w:type="dxa"/>
                  <w:gridSpan w:val="2"/>
                  <w:noWrap w:val="0"/>
                  <w:vAlign w:val="center"/>
                </w:tcPr>
                <w:p w14:paraId="2DB700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2A0A55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8478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BE2CA0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3641" w:type="dxa"/>
                  <w:gridSpan w:val="4"/>
                  <w:noWrap w:val="0"/>
                  <w:vAlign w:val="center"/>
                </w:tcPr>
                <w:p w14:paraId="6CAC0E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信息化设备</w:t>
                  </w:r>
                </w:p>
              </w:tc>
              <w:tc>
                <w:tcPr>
                  <w:tcW w:w="1028" w:type="dxa"/>
                  <w:gridSpan w:val="2"/>
                  <w:noWrap w:val="0"/>
                  <w:vAlign w:val="center"/>
                </w:tcPr>
                <w:p w14:paraId="58645C1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noWrap w:val="0"/>
                  <w:vAlign w:val="center"/>
                </w:tcPr>
                <w:p w14:paraId="6F8E31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6C3C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E69B7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noWrap w:val="0"/>
                  <w:vAlign w:val="center"/>
                </w:tcPr>
                <w:p w14:paraId="61F4D1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河道沿线摄像机建设</w:t>
                  </w:r>
                </w:p>
              </w:tc>
              <w:tc>
                <w:tcPr>
                  <w:tcW w:w="1033" w:type="dxa"/>
                  <w:gridSpan w:val="4"/>
                  <w:noWrap w:val="0"/>
                  <w:vAlign w:val="center"/>
                </w:tcPr>
                <w:p w14:paraId="216DB6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590A71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D04B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59BD9D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61D982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室外4G高清红外网络球型摄像机</w:t>
                  </w:r>
                </w:p>
              </w:tc>
              <w:tc>
                <w:tcPr>
                  <w:tcW w:w="1033" w:type="dxa"/>
                  <w:gridSpan w:val="4"/>
                  <w:noWrap w:val="0"/>
                  <w:vAlign w:val="center"/>
                </w:tcPr>
                <w:p w14:paraId="1C5ED9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27CD45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3238B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A7DBD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636ADD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配套附件含设备箱、内存卡、摄像机支架、防雷器</w:t>
                  </w:r>
                </w:p>
              </w:tc>
              <w:tc>
                <w:tcPr>
                  <w:tcW w:w="1033" w:type="dxa"/>
                  <w:gridSpan w:val="4"/>
                  <w:noWrap w:val="0"/>
                  <w:vAlign w:val="center"/>
                </w:tcPr>
                <w:p w14:paraId="4B06B6C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张</w:t>
                  </w:r>
                </w:p>
              </w:tc>
              <w:tc>
                <w:tcPr>
                  <w:tcW w:w="1976" w:type="dxa"/>
                  <w:gridSpan w:val="2"/>
                  <w:noWrap w:val="0"/>
                  <w:vAlign w:val="center"/>
                </w:tcPr>
                <w:p w14:paraId="1660319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34821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A97F0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4057F76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监控立杆（含土建及安装等）</w:t>
                  </w:r>
                </w:p>
              </w:tc>
              <w:tc>
                <w:tcPr>
                  <w:tcW w:w="1033" w:type="dxa"/>
                  <w:gridSpan w:val="4"/>
                  <w:noWrap w:val="0"/>
                  <w:vAlign w:val="center"/>
                </w:tcPr>
                <w:p w14:paraId="67B692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709D7B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2CA53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CCA2F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noWrap w:val="0"/>
                  <w:vAlign w:val="center"/>
                </w:tcPr>
                <w:p w14:paraId="15847BE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太阳能供电系统</w:t>
                  </w:r>
                </w:p>
              </w:tc>
              <w:tc>
                <w:tcPr>
                  <w:tcW w:w="1033" w:type="dxa"/>
                  <w:gridSpan w:val="4"/>
                  <w:noWrap w:val="0"/>
                  <w:vAlign w:val="center"/>
                </w:tcPr>
                <w:p w14:paraId="596DF5A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63A4BD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5F0EA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DF84F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noWrap w:val="0"/>
                  <w:vAlign w:val="center"/>
                </w:tcPr>
                <w:p w14:paraId="375326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noWrap w:val="0"/>
                  <w:vAlign w:val="center"/>
                </w:tcPr>
                <w:p w14:paraId="0D37B77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0B9868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707BA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B6537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8" w:type="dxa"/>
                  <w:gridSpan w:val="2"/>
                  <w:noWrap w:val="0"/>
                  <w:vAlign w:val="center"/>
                </w:tcPr>
                <w:p w14:paraId="74FF484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河道水文站</w:t>
                  </w:r>
                </w:p>
              </w:tc>
              <w:tc>
                <w:tcPr>
                  <w:tcW w:w="1033" w:type="dxa"/>
                  <w:gridSpan w:val="4"/>
                  <w:noWrap w:val="0"/>
                  <w:vAlign w:val="center"/>
                </w:tcPr>
                <w:p w14:paraId="383A75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262F66D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3EDA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BDF7B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2517626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雷达水位计</w:t>
                  </w:r>
                </w:p>
              </w:tc>
              <w:tc>
                <w:tcPr>
                  <w:tcW w:w="1033" w:type="dxa"/>
                  <w:gridSpan w:val="4"/>
                  <w:noWrap w:val="0"/>
                  <w:vAlign w:val="center"/>
                </w:tcPr>
                <w:p w14:paraId="6FBA80E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61972E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0B530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2894D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5039D7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RTU遥测终端机</w:t>
                  </w:r>
                </w:p>
              </w:tc>
              <w:tc>
                <w:tcPr>
                  <w:tcW w:w="1033" w:type="dxa"/>
                  <w:gridSpan w:val="4"/>
                  <w:noWrap w:val="0"/>
                  <w:vAlign w:val="center"/>
                </w:tcPr>
                <w:p w14:paraId="2865DBA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729302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2BD0B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C21AE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545D49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立杆</w:t>
                  </w:r>
                </w:p>
              </w:tc>
              <w:tc>
                <w:tcPr>
                  <w:tcW w:w="1033" w:type="dxa"/>
                  <w:gridSpan w:val="4"/>
                  <w:noWrap w:val="0"/>
                  <w:vAlign w:val="center"/>
                </w:tcPr>
                <w:p w14:paraId="34EC1F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670A65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5C2A0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D3A64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noWrap w:val="0"/>
                  <w:vAlign w:val="center"/>
                </w:tcPr>
                <w:p w14:paraId="1252EAB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太阳能供电系统</w:t>
                  </w:r>
                </w:p>
              </w:tc>
              <w:tc>
                <w:tcPr>
                  <w:tcW w:w="1033" w:type="dxa"/>
                  <w:gridSpan w:val="4"/>
                  <w:noWrap w:val="0"/>
                  <w:vAlign w:val="center"/>
                </w:tcPr>
                <w:p w14:paraId="2238F1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32518E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23F69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BA5990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noWrap w:val="0"/>
                  <w:vAlign w:val="center"/>
                </w:tcPr>
                <w:p w14:paraId="2BDFBB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noWrap w:val="0"/>
                  <w:vAlign w:val="center"/>
                </w:tcPr>
                <w:p w14:paraId="783036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1E08CD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7DA65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82A3B2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28" w:type="dxa"/>
                  <w:gridSpan w:val="2"/>
                  <w:noWrap w:val="0"/>
                  <w:vAlign w:val="center"/>
                </w:tcPr>
                <w:p w14:paraId="3CE4B8C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雨量站</w:t>
                  </w:r>
                </w:p>
              </w:tc>
              <w:tc>
                <w:tcPr>
                  <w:tcW w:w="1033" w:type="dxa"/>
                  <w:gridSpan w:val="4"/>
                  <w:noWrap w:val="0"/>
                  <w:vAlign w:val="center"/>
                </w:tcPr>
                <w:p w14:paraId="3EA8FA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6BDFCB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201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D77F95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2D1D57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翻斗式雨量计</w:t>
                  </w:r>
                </w:p>
              </w:tc>
              <w:tc>
                <w:tcPr>
                  <w:tcW w:w="1033" w:type="dxa"/>
                  <w:gridSpan w:val="4"/>
                  <w:noWrap w:val="0"/>
                  <w:vAlign w:val="center"/>
                </w:tcPr>
                <w:p w14:paraId="09D6CCA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1386A5D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00937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27C98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625EA0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太阳能供电系统</w:t>
                  </w:r>
                </w:p>
              </w:tc>
              <w:tc>
                <w:tcPr>
                  <w:tcW w:w="1033" w:type="dxa"/>
                  <w:gridSpan w:val="4"/>
                  <w:noWrap w:val="0"/>
                  <w:vAlign w:val="center"/>
                </w:tcPr>
                <w:p w14:paraId="506711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28EBD2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7D421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E7F46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02F65A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noWrap w:val="0"/>
                  <w:vAlign w:val="center"/>
                </w:tcPr>
                <w:p w14:paraId="395F7D3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7F7022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6C408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83574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28" w:type="dxa"/>
                  <w:gridSpan w:val="2"/>
                  <w:noWrap w:val="0"/>
                  <w:vAlign w:val="center"/>
                </w:tcPr>
                <w:p w14:paraId="3F4F357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河道二线能坡法测流系统</w:t>
                  </w:r>
                </w:p>
              </w:tc>
              <w:tc>
                <w:tcPr>
                  <w:tcW w:w="1033" w:type="dxa"/>
                  <w:gridSpan w:val="4"/>
                  <w:noWrap w:val="0"/>
                  <w:vAlign w:val="center"/>
                </w:tcPr>
                <w:p w14:paraId="0028E8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70D0AE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557C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C63B02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33FDA9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声学多普勒流速剖面仪（V-ADCP）</w:t>
                  </w:r>
                </w:p>
              </w:tc>
              <w:tc>
                <w:tcPr>
                  <w:tcW w:w="1033" w:type="dxa"/>
                  <w:gridSpan w:val="4"/>
                  <w:noWrap w:val="0"/>
                  <w:vAlign w:val="center"/>
                </w:tcPr>
                <w:p w14:paraId="34DBB2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0C196C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5B71D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250956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2AD6CDB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水下支撑系统（具有沉浮功能）</w:t>
                  </w:r>
                </w:p>
              </w:tc>
              <w:tc>
                <w:tcPr>
                  <w:tcW w:w="1033" w:type="dxa"/>
                  <w:gridSpan w:val="4"/>
                  <w:noWrap w:val="0"/>
                  <w:vAlign w:val="center"/>
                </w:tcPr>
                <w:p w14:paraId="636183F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3E4DDE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0C5BB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548B25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20BF7D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流速流量计算软件</w:t>
                  </w:r>
                </w:p>
              </w:tc>
              <w:tc>
                <w:tcPr>
                  <w:tcW w:w="1033" w:type="dxa"/>
                  <w:gridSpan w:val="4"/>
                  <w:noWrap w:val="0"/>
                  <w:vAlign w:val="center"/>
                </w:tcPr>
                <w:p w14:paraId="2456844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50ACEA7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78576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B56F9D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noWrap w:val="0"/>
                  <w:vAlign w:val="center"/>
                </w:tcPr>
                <w:p w14:paraId="3C171A9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浮子水位计</w:t>
                  </w:r>
                </w:p>
              </w:tc>
              <w:tc>
                <w:tcPr>
                  <w:tcW w:w="1033" w:type="dxa"/>
                  <w:gridSpan w:val="4"/>
                  <w:noWrap w:val="0"/>
                  <w:vAlign w:val="center"/>
                </w:tcPr>
                <w:p w14:paraId="4BF3880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16B086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1B937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EA1749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noWrap w:val="0"/>
                  <w:vAlign w:val="center"/>
                </w:tcPr>
                <w:p w14:paraId="70963A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信号避雷器</w:t>
                  </w:r>
                </w:p>
              </w:tc>
              <w:tc>
                <w:tcPr>
                  <w:tcW w:w="1033" w:type="dxa"/>
                  <w:gridSpan w:val="4"/>
                  <w:noWrap w:val="0"/>
                  <w:vAlign w:val="center"/>
                </w:tcPr>
                <w:p w14:paraId="364CB6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6F99DE4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1CD35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F0B577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noWrap w:val="0"/>
                  <w:vAlign w:val="center"/>
                </w:tcPr>
                <w:p w14:paraId="6E802F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保护套管、气管</w:t>
                  </w:r>
                </w:p>
              </w:tc>
              <w:tc>
                <w:tcPr>
                  <w:tcW w:w="1033" w:type="dxa"/>
                  <w:gridSpan w:val="4"/>
                  <w:noWrap w:val="0"/>
                  <w:vAlign w:val="center"/>
                </w:tcPr>
                <w:p w14:paraId="79D3521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6BA775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21F69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D78BF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noWrap w:val="0"/>
                  <w:vAlign w:val="center"/>
                </w:tcPr>
                <w:p w14:paraId="2428538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信号线缆防水接头</w:t>
                  </w:r>
                </w:p>
              </w:tc>
              <w:tc>
                <w:tcPr>
                  <w:tcW w:w="1033" w:type="dxa"/>
                  <w:gridSpan w:val="4"/>
                  <w:noWrap w:val="0"/>
                  <w:vAlign w:val="center"/>
                </w:tcPr>
                <w:p w14:paraId="0A311F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1976" w:type="dxa"/>
                  <w:gridSpan w:val="2"/>
                  <w:noWrap w:val="0"/>
                  <w:vAlign w:val="center"/>
                </w:tcPr>
                <w:p w14:paraId="4E038E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43D3F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8C23BE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noWrap w:val="0"/>
                  <w:vAlign w:val="center"/>
                </w:tcPr>
                <w:p w14:paraId="57E3008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信号线缆</w:t>
                  </w:r>
                </w:p>
              </w:tc>
              <w:tc>
                <w:tcPr>
                  <w:tcW w:w="1033" w:type="dxa"/>
                  <w:gridSpan w:val="4"/>
                  <w:noWrap w:val="0"/>
                  <w:vAlign w:val="center"/>
                </w:tcPr>
                <w:p w14:paraId="76AE337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3277ED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6322A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46D2A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28" w:type="dxa"/>
                  <w:gridSpan w:val="2"/>
                  <w:noWrap w:val="0"/>
                  <w:vAlign w:val="center"/>
                </w:tcPr>
                <w:p w14:paraId="0061C6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遥测终端机</w:t>
                  </w:r>
                </w:p>
              </w:tc>
              <w:tc>
                <w:tcPr>
                  <w:tcW w:w="1033" w:type="dxa"/>
                  <w:gridSpan w:val="4"/>
                  <w:noWrap w:val="0"/>
                  <w:vAlign w:val="center"/>
                </w:tcPr>
                <w:p w14:paraId="2BDBF9E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139F1D8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139C3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150B43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28" w:type="dxa"/>
                  <w:gridSpan w:val="2"/>
                  <w:noWrap w:val="0"/>
                  <w:vAlign w:val="center"/>
                </w:tcPr>
                <w:p w14:paraId="149760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设备箱</w:t>
                  </w:r>
                </w:p>
              </w:tc>
              <w:tc>
                <w:tcPr>
                  <w:tcW w:w="1033" w:type="dxa"/>
                  <w:gridSpan w:val="4"/>
                  <w:noWrap w:val="0"/>
                  <w:vAlign w:val="center"/>
                </w:tcPr>
                <w:p w14:paraId="66AF9BC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69D1E3D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21D0F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1948A1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noWrap w:val="0"/>
                  <w:vAlign w:val="center"/>
                </w:tcPr>
                <w:p w14:paraId="4E3600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noWrap w:val="0"/>
                  <w:vAlign w:val="center"/>
                </w:tcPr>
                <w:p w14:paraId="2C0EDCD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3FB40D3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0E55D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34102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3628" w:type="dxa"/>
                  <w:gridSpan w:val="2"/>
                  <w:noWrap w:val="0"/>
                  <w:vAlign w:val="center"/>
                </w:tcPr>
                <w:p w14:paraId="379D86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平台对接及后端设备</w:t>
                  </w:r>
                </w:p>
              </w:tc>
              <w:tc>
                <w:tcPr>
                  <w:tcW w:w="1033" w:type="dxa"/>
                  <w:gridSpan w:val="4"/>
                  <w:noWrap w:val="0"/>
                  <w:vAlign w:val="center"/>
                </w:tcPr>
                <w:p w14:paraId="6BC2B3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62C711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9A18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8FB996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3D32D16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平台对接费</w:t>
                  </w:r>
                </w:p>
              </w:tc>
              <w:tc>
                <w:tcPr>
                  <w:tcW w:w="1033" w:type="dxa"/>
                  <w:gridSpan w:val="4"/>
                  <w:noWrap w:val="0"/>
                  <w:vAlign w:val="center"/>
                </w:tcPr>
                <w:p w14:paraId="29A2DD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22084B0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9CF4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687D7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1ECFBA3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视频服务器</w:t>
                  </w:r>
                </w:p>
              </w:tc>
              <w:tc>
                <w:tcPr>
                  <w:tcW w:w="1033" w:type="dxa"/>
                  <w:gridSpan w:val="4"/>
                  <w:noWrap w:val="0"/>
                  <w:vAlign w:val="center"/>
                </w:tcPr>
                <w:p w14:paraId="34225C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71D694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8A5E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46DF5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28C26A4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交换机及网络设备等</w:t>
                  </w:r>
                </w:p>
              </w:tc>
              <w:tc>
                <w:tcPr>
                  <w:tcW w:w="1033" w:type="dxa"/>
                  <w:gridSpan w:val="4"/>
                  <w:noWrap w:val="0"/>
                  <w:vAlign w:val="center"/>
                </w:tcPr>
                <w:p w14:paraId="500BE9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7681A8F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E8A8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E6A0A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2DE275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自动化控制</w:t>
                  </w:r>
                </w:p>
              </w:tc>
              <w:tc>
                <w:tcPr>
                  <w:tcW w:w="1033" w:type="dxa"/>
                  <w:gridSpan w:val="4"/>
                  <w:noWrap w:val="0"/>
                  <w:vAlign w:val="center"/>
                </w:tcPr>
                <w:p w14:paraId="28345F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489967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B7A2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D4673A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3628" w:type="dxa"/>
                  <w:gridSpan w:val="2"/>
                  <w:noWrap w:val="0"/>
                  <w:vAlign w:val="center"/>
                </w:tcPr>
                <w:p w14:paraId="3F81D5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主控机设备</w:t>
                  </w:r>
                </w:p>
              </w:tc>
              <w:tc>
                <w:tcPr>
                  <w:tcW w:w="1033" w:type="dxa"/>
                  <w:gridSpan w:val="4"/>
                  <w:noWrap w:val="0"/>
                  <w:vAlign w:val="center"/>
                </w:tcPr>
                <w:p w14:paraId="7FAA542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4F7E0E9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8F14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E39A9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7E1E67F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工控操作员工作站</w:t>
                  </w:r>
                </w:p>
              </w:tc>
              <w:tc>
                <w:tcPr>
                  <w:tcW w:w="1033" w:type="dxa"/>
                  <w:gridSpan w:val="4"/>
                  <w:noWrap w:val="0"/>
                  <w:vAlign w:val="center"/>
                </w:tcPr>
                <w:p w14:paraId="45817A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7BA316E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255E3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1EFA4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797C26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工控数据库兼通信服务器</w:t>
                  </w:r>
                </w:p>
              </w:tc>
              <w:tc>
                <w:tcPr>
                  <w:tcW w:w="1033" w:type="dxa"/>
                  <w:gridSpan w:val="4"/>
                  <w:noWrap w:val="0"/>
                  <w:vAlign w:val="center"/>
                </w:tcPr>
                <w:p w14:paraId="2FE104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34DAC7D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325A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C7BA60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1286C8F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27英寸LED液晶显示器</w:t>
                  </w:r>
                </w:p>
              </w:tc>
              <w:tc>
                <w:tcPr>
                  <w:tcW w:w="1033" w:type="dxa"/>
                  <w:gridSpan w:val="4"/>
                  <w:noWrap w:val="0"/>
                  <w:vAlign w:val="center"/>
                </w:tcPr>
                <w:p w14:paraId="76AE1F6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7BB7198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6A9C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EF304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noWrap w:val="0"/>
                  <w:vAlign w:val="center"/>
                </w:tcPr>
                <w:p w14:paraId="5D2C05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通信管理机</w:t>
                  </w:r>
                </w:p>
              </w:tc>
              <w:tc>
                <w:tcPr>
                  <w:tcW w:w="1033" w:type="dxa"/>
                  <w:gridSpan w:val="4"/>
                  <w:noWrap w:val="0"/>
                  <w:vAlign w:val="center"/>
                </w:tcPr>
                <w:p w14:paraId="580CF4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4B32F39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DF48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0D673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noWrap w:val="0"/>
                  <w:vAlign w:val="center"/>
                </w:tcPr>
                <w:p w14:paraId="0DCB7F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系统应用软件</w:t>
                  </w:r>
                </w:p>
              </w:tc>
              <w:tc>
                <w:tcPr>
                  <w:tcW w:w="1033" w:type="dxa"/>
                  <w:gridSpan w:val="4"/>
                  <w:noWrap w:val="0"/>
                  <w:vAlign w:val="center"/>
                </w:tcPr>
                <w:p w14:paraId="742C90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2B4285E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CB46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64424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noWrap w:val="0"/>
                  <w:vAlign w:val="center"/>
                </w:tcPr>
                <w:p w14:paraId="5A890C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数据库软件</w:t>
                  </w:r>
                </w:p>
              </w:tc>
              <w:tc>
                <w:tcPr>
                  <w:tcW w:w="1033" w:type="dxa"/>
                  <w:gridSpan w:val="4"/>
                  <w:noWrap w:val="0"/>
                  <w:vAlign w:val="center"/>
                </w:tcPr>
                <w:p w14:paraId="11367C0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60990CF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7BD4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F00DB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noWrap w:val="0"/>
                  <w:vAlign w:val="center"/>
                </w:tcPr>
                <w:p w14:paraId="10DBC8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工业监控组态软件（完全版）</w:t>
                  </w:r>
                </w:p>
              </w:tc>
              <w:tc>
                <w:tcPr>
                  <w:tcW w:w="1033" w:type="dxa"/>
                  <w:gridSpan w:val="4"/>
                  <w:noWrap w:val="0"/>
                  <w:vAlign w:val="center"/>
                </w:tcPr>
                <w:p w14:paraId="6A0EE4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3A7886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A769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E82B08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noWrap w:val="0"/>
                  <w:vAlign w:val="center"/>
                </w:tcPr>
                <w:p w14:paraId="755EB4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工业监控组态软件（运行版）</w:t>
                  </w:r>
                </w:p>
              </w:tc>
              <w:tc>
                <w:tcPr>
                  <w:tcW w:w="1033" w:type="dxa"/>
                  <w:gridSpan w:val="4"/>
                  <w:noWrap w:val="0"/>
                  <w:vAlign w:val="center"/>
                </w:tcPr>
                <w:p w14:paraId="027E66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144FE93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DFB5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01074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28" w:type="dxa"/>
                  <w:gridSpan w:val="2"/>
                  <w:noWrap w:val="0"/>
                  <w:vAlign w:val="center"/>
                </w:tcPr>
                <w:p w14:paraId="7D901AD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核心交换机</w:t>
                  </w:r>
                </w:p>
              </w:tc>
              <w:tc>
                <w:tcPr>
                  <w:tcW w:w="1033" w:type="dxa"/>
                  <w:gridSpan w:val="4"/>
                  <w:noWrap w:val="0"/>
                  <w:vAlign w:val="center"/>
                </w:tcPr>
                <w:p w14:paraId="2E15C5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6B141C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B059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2C33D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28" w:type="dxa"/>
                  <w:gridSpan w:val="2"/>
                  <w:noWrap w:val="0"/>
                  <w:vAlign w:val="center"/>
                </w:tcPr>
                <w:p w14:paraId="1543232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工业防火墙</w:t>
                  </w:r>
                </w:p>
              </w:tc>
              <w:tc>
                <w:tcPr>
                  <w:tcW w:w="1033" w:type="dxa"/>
                  <w:gridSpan w:val="4"/>
                  <w:noWrap w:val="0"/>
                  <w:vAlign w:val="center"/>
                </w:tcPr>
                <w:p w14:paraId="391D6CA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443D1FA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11BF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020CF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noWrap w:val="0"/>
                  <w:vAlign w:val="center"/>
                </w:tcPr>
                <w:p w14:paraId="3FB11F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工业网闸</w:t>
                  </w:r>
                </w:p>
              </w:tc>
              <w:tc>
                <w:tcPr>
                  <w:tcW w:w="1033" w:type="dxa"/>
                  <w:gridSpan w:val="4"/>
                  <w:noWrap w:val="0"/>
                  <w:vAlign w:val="center"/>
                </w:tcPr>
                <w:p w14:paraId="62B5934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5890217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9316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C79FA0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8" w:type="dxa"/>
                  <w:gridSpan w:val="2"/>
                  <w:noWrap w:val="0"/>
                  <w:vAlign w:val="center"/>
                </w:tcPr>
                <w:p w14:paraId="033F32B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智能水泵机组诊断装置</w:t>
                  </w:r>
                </w:p>
              </w:tc>
              <w:tc>
                <w:tcPr>
                  <w:tcW w:w="1033" w:type="dxa"/>
                  <w:gridSpan w:val="4"/>
                  <w:noWrap w:val="0"/>
                  <w:vAlign w:val="center"/>
                </w:tcPr>
                <w:p w14:paraId="799E00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384052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3AEF2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8B6962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28" w:type="dxa"/>
                  <w:gridSpan w:val="2"/>
                  <w:noWrap w:val="0"/>
                  <w:vAlign w:val="center"/>
                </w:tcPr>
                <w:p w14:paraId="0A1142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主机卫士</w:t>
                  </w:r>
                </w:p>
              </w:tc>
              <w:tc>
                <w:tcPr>
                  <w:tcW w:w="1033" w:type="dxa"/>
                  <w:gridSpan w:val="4"/>
                  <w:noWrap w:val="0"/>
                  <w:vAlign w:val="center"/>
                </w:tcPr>
                <w:p w14:paraId="3B2E10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7CF4B73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49744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03B5C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28" w:type="dxa"/>
                  <w:gridSpan w:val="2"/>
                  <w:noWrap w:val="0"/>
                  <w:vAlign w:val="center"/>
                </w:tcPr>
                <w:p w14:paraId="369BFF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卫星对时装置</w:t>
                  </w:r>
                </w:p>
              </w:tc>
              <w:tc>
                <w:tcPr>
                  <w:tcW w:w="1033" w:type="dxa"/>
                  <w:gridSpan w:val="4"/>
                  <w:noWrap w:val="0"/>
                  <w:vAlign w:val="center"/>
                </w:tcPr>
                <w:p w14:paraId="281924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7DBFAB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0B00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FE29CD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3628" w:type="dxa"/>
                  <w:gridSpan w:val="2"/>
                  <w:noWrap w:val="0"/>
                  <w:vAlign w:val="center"/>
                </w:tcPr>
                <w:p w14:paraId="58AB26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A3激光打印机</w:t>
                  </w:r>
                </w:p>
              </w:tc>
              <w:tc>
                <w:tcPr>
                  <w:tcW w:w="1033" w:type="dxa"/>
                  <w:gridSpan w:val="4"/>
                  <w:noWrap w:val="0"/>
                  <w:vAlign w:val="center"/>
                </w:tcPr>
                <w:p w14:paraId="74BB64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1AE791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9522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4628A8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3628" w:type="dxa"/>
                  <w:gridSpan w:val="2"/>
                  <w:noWrap w:val="0"/>
                  <w:vAlign w:val="center"/>
                </w:tcPr>
                <w:p w14:paraId="404FCC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UPS不间断电源</w:t>
                  </w:r>
                </w:p>
              </w:tc>
              <w:tc>
                <w:tcPr>
                  <w:tcW w:w="1033" w:type="dxa"/>
                  <w:gridSpan w:val="4"/>
                  <w:noWrap w:val="0"/>
                  <w:vAlign w:val="center"/>
                </w:tcPr>
                <w:p w14:paraId="1C9733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6313B6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0660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B83936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3628" w:type="dxa"/>
                  <w:gridSpan w:val="2"/>
                  <w:noWrap w:val="0"/>
                  <w:vAlign w:val="center"/>
                </w:tcPr>
                <w:p w14:paraId="5EB1D12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液晶显示器</w:t>
                  </w:r>
                </w:p>
              </w:tc>
              <w:tc>
                <w:tcPr>
                  <w:tcW w:w="1033" w:type="dxa"/>
                  <w:gridSpan w:val="4"/>
                  <w:noWrap w:val="0"/>
                  <w:vAlign w:val="center"/>
                </w:tcPr>
                <w:p w14:paraId="461A8F3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4F4D75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948E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F1EF09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3628" w:type="dxa"/>
                  <w:gridSpan w:val="2"/>
                  <w:noWrap w:val="0"/>
                  <w:vAlign w:val="center"/>
                </w:tcPr>
                <w:p w14:paraId="77CD877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抗静电地板</w:t>
                  </w:r>
                </w:p>
              </w:tc>
              <w:tc>
                <w:tcPr>
                  <w:tcW w:w="1033" w:type="dxa"/>
                  <w:gridSpan w:val="4"/>
                  <w:noWrap w:val="0"/>
                  <w:vAlign w:val="center"/>
                </w:tcPr>
                <w:p w14:paraId="391706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976" w:type="dxa"/>
                  <w:gridSpan w:val="2"/>
                  <w:noWrap w:val="0"/>
                  <w:vAlign w:val="center"/>
                </w:tcPr>
                <w:p w14:paraId="2183730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06D2C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F15D20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3628" w:type="dxa"/>
                  <w:gridSpan w:val="2"/>
                  <w:noWrap w:val="0"/>
                  <w:vAlign w:val="center"/>
                </w:tcPr>
                <w:p w14:paraId="51BCEC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操作台</w:t>
                  </w:r>
                </w:p>
              </w:tc>
              <w:tc>
                <w:tcPr>
                  <w:tcW w:w="1033" w:type="dxa"/>
                  <w:gridSpan w:val="4"/>
                  <w:noWrap w:val="0"/>
                  <w:vAlign w:val="center"/>
                </w:tcPr>
                <w:p w14:paraId="13A6D2A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59713A6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9C45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C3D395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3628" w:type="dxa"/>
                  <w:gridSpan w:val="2"/>
                  <w:noWrap w:val="0"/>
                  <w:vAlign w:val="center"/>
                </w:tcPr>
                <w:p w14:paraId="62CBA10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现地层采集控制设备</w:t>
                  </w:r>
                </w:p>
              </w:tc>
              <w:tc>
                <w:tcPr>
                  <w:tcW w:w="1033" w:type="dxa"/>
                  <w:gridSpan w:val="4"/>
                  <w:noWrap w:val="0"/>
                  <w:vAlign w:val="center"/>
                </w:tcPr>
                <w:p w14:paraId="41EB8CD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2F7A986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7CFC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A433C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71693A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机组PLC监控屏</w:t>
                  </w:r>
                </w:p>
              </w:tc>
              <w:tc>
                <w:tcPr>
                  <w:tcW w:w="1033" w:type="dxa"/>
                  <w:gridSpan w:val="4"/>
                  <w:noWrap w:val="0"/>
                  <w:vAlign w:val="center"/>
                </w:tcPr>
                <w:p w14:paraId="5698460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110E40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1AA3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B0612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66C953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公用PLC监控屏</w:t>
                  </w:r>
                </w:p>
              </w:tc>
              <w:tc>
                <w:tcPr>
                  <w:tcW w:w="1033" w:type="dxa"/>
                  <w:gridSpan w:val="4"/>
                  <w:noWrap w:val="0"/>
                  <w:vAlign w:val="center"/>
                </w:tcPr>
                <w:p w14:paraId="2F331B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4E3DF73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A9D0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00B527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3F6D46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雷达水位计（含10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电缆及安装支架）</w:t>
                  </w:r>
                </w:p>
              </w:tc>
              <w:tc>
                <w:tcPr>
                  <w:tcW w:w="1033" w:type="dxa"/>
                  <w:gridSpan w:val="4"/>
                  <w:noWrap w:val="0"/>
                  <w:vAlign w:val="center"/>
                </w:tcPr>
                <w:p w14:paraId="3D44F6A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737A926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32A15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83EA5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noWrap w:val="0"/>
                  <w:vAlign w:val="center"/>
                </w:tcPr>
                <w:p w14:paraId="2DB2BF3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w:t>
                  </w:r>
                </w:p>
              </w:tc>
              <w:tc>
                <w:tcPr>
                  <w:tcW w:w="1033" w:type="dxa"/>
                  <w:gridSpan w:val="4"/>
                  <w:noWrap w:val="0"/>
                  <w:vAlign w:val="center"/>
                </w:tcPr>
                <w:p w14:paraId="72F5F2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278098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12DA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F08E6F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noWrap w:val="0"/>
                  <w:vAlign w:val="center"/>
                </w:tcPr>
                <w:p w14:paraId="3027FD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网络电缆</w:t>
                  </w:r>
                </w:p>
              </w:tc>
              <w:tc>
                <w:tcPr>
                  <w:tcW w:w="1033" w:type="dxa"/>
                  <w:gridSpan w:val="4"/>
                  <w:noWrap w:val="0"/>
                  <w:vAlign w:val="center"/>
                </w:tcPr>
                <w:p w14:paraId="74B94E6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11262A9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2057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D83611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noWrap w:val="0"/>
                  <w:vAlign w:val="center"/>
                </w:tcPr>
                <w:p w14:paraId="1CDB90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防雷设施及配套辅件</w:t>
                  </w:r>
                </w:p>
              </w:tc>
              <w:tc>
                <w:tcPr>
                  <w:tcW w:w="1033" w:type="dxa"/>
                  <w:gridSpan w:val="4"/>
                  <w:noWrap w:val="0"/>
                  <w:vAlign w:val="center"/>
                </w:tcPr>
                <w:p w14:paraId="6D598F1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60D82C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0182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19391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3628" w:type="dxa"/>
                  <w:gridSpan w:val="2"/>
                  <w:noWrap w:val="0"/>
                  <w:vAlign w:val="center"/>
                </w:tcPr>
                <w:p w14:paraId="19650D5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建筑物安全监测</w:t>
                  </w:r>
                </w:p>
              </w:tc>
              <w:tc>
                <w:tcPr>
                  <w:tcW w:w="1033" w:type="dxa"/>
                  <w:gridSpan w:val="4"/>
                  <w:noWrap w:val="0"/>
                  <w:vAlign w:val="center"/>
                </w:tcPr>
                <w:p w14:paraId="29E342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00CCD2C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65CA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CFD6FF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6B53053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建筑物安全监测</w:t>
                  </w:r>
                </w:p>
              </w:tc>
              <w:tc>
                <w:tcPr>
                  <w:tcW w:w="1033" w:type="dxa"/>
                  <w:gridSpan w:val="4"/>
                  <w:noWrap w:val="0"/>
                  <w:vAlign w:val="center"/>
                </w:tcPr>
                <w:p w14:paraId="52E408E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1A8209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8D22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4F75D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3628" w:type="dxa"/>
                  <w:gridSpan w:val="2"/>
                  <w:noWrap w:val="0"/>
                  <w:vAlign w:val="center"/>
                </w:tcPr>
                <w:p w14:paraId="280549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视频监控系统</w:t>
                  </w:r>
                </w:p>
              </w:tc>
              <w:tc>
                <w:tcPr>
                  <w:tcW w:w="1033" w:type="dxa"/>
                  <w:gridSpan w:val="4"/>
                  <w:noWrap w:val="0"/>
                  <w:vAlign w:val="center"/>
                </w:tcPr>
                <w:p w14:paraId="6356E20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0ED16FB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7224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4EE286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19DCB1C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400万像素黑光高清户外球型摄像机</w:t>
                  </w:r>
                </w:p>
              </w:tc>
              <w:tc>
                <w:tcPr>
                  <w:tcW w:w="1033" w:type="dxa"/>
                  <w:gridSpan w:val="4"/>
                  <w:noWrap w:val="0"/>
                  <w:vAlign w:val="center"/>
                </w:tcPr>
                <w:p w14:paraId="200BC9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5F6A07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5E07A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779305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2856FF9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400万像素黑光水尺球</w:t>
                  </w:r>
                </w:p>
              </w:tc>
              <w:tc>
                <w:tcPr>
                  <w:tcW w:w="1033" w:type="dxa"/>
                  <w:gridSpan w:val="4"/>
                  <w:noWrap w:val="0"/>
                  <w:vAlign w:val="center"/>
                </w:tcPr>
                <w:p w14:paraId="3FCB58A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2A0D310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2466D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BAF268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64076B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水文用标准直立式水尺</w:t>
                  </w:r>
                </w:p>
              </w:tc>
              <w:tc>
                <w:tcPr>
                  <w:tcW w:w="1033" w:type="dxa"/>
                  <w:gridSpan w:val="4"/>
                  <w:noWrap w:val="0"/>
                  <w:vAlign w:val="center"/>
                </w:tcPr>
                <w:p w14:paraId="450F66D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1976" w:type="dxa"/>
                  <w:gridSpan w:val="2"/>
                  <w:noWrap w:val="0"/>
                  <w:vAlign w:val="center"/>
                </w:tcPr>
                <w:p w14:paraId="078D0A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56707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554D6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noWrap w:val="0"/>
                  <w:vAlign w:val="center"/>
                </w:tcPr>
                <w:p w14:paraId="68DEFA5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400万像素红外半球高清网络摄像机</w:t>
                  </w:r>
                </w:p>
              </w:tc>
              <w:tc>
                <w:tcPr>
                  <w:tcW w:w="1033" w:type="dxa"/>
                  <w:gridSpan w:val="4"/>
                  <w:noWrap w:val="0"/>
                  <w:vAlign w:val="center"/>
                </w:tcPr>
                <w:p w14:paraId="064245C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31DF115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40D46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171566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noWrap w:val="0"/>
                  <w:vAlign w:val="center"/>
                </w:tcPr>
                <w:p w14:paraId="0614139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400万像素红外枪（筒）型测温热成像双光谱高清网络摄像机</w:t>
                  </w:r>
                </w:p>
              </w:tc>
              <w:tc>
                <w:tcPr>
                  <w:tcW w:w="1033" w:type="dxa"/>
                  <w:gridSpan w:val="4"/>
                  <w:noWrap w:val="0"/>
                  <w:vAlign w:val="center"/>
                </w:tcPr>
                <w:p w14:paraId="672DFC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34048C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0E108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D461FF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noWrap w:val="0"/>
                  <w:vAlign w:val="center"/>
                </w:tcPr>
                <w:p w14:paraId="6671E6F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400万像素红外枪（筒）型高清网络摄像机</w:t>
                  </w:r>
                </w:p>
              </w:tc>
              <w:tc>
                <w:tcPr>
                  <w:tcW w:w="1033" w:type="dxa"/>
                  <w:gridSpan w:val="4"/>
                  <w:noWrap w:val="0"/>
                  <w:vAlign w:val="center"/>
                </w:tcPr>
                <w:p w14:paraId="7F9DB7D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6D5709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3F2A3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422D21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noWrap w:val="0"/>
                  <w:vAlign w:val="center"/>
                </w:tcPr>
                <w:p w14:paraId="30655B6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网络高清硬盘录像机</w:t>
                  </w:r>
                </w:p>
              </w:tc>
              <w:tc>
                <w:tcPr>
                  <w:tcW w:w="1033" w:type="dxa"/>
                  <w:gridSpan w:val="4"/>
                  <w:noWrap w:val="0"/>
                  <w:vAlign w:val="center"/>
                </w:tcPr>
                <w:p w14:paraId="13DB060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094BB2B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0247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290884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noWrap w:val="0"/>
                  <w:vAlign w:val="center"/>
                </w:tcPr>
                <w:p w14:paraId="56FAB24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视频主交换机</w:t>
                  </w:r>
                </w:p>
              </w:tc>
              <w:tc>
                <w:tcPr>
                  <w:tcW w:w="1033" w:type="dxa"/>
                  <w:gridSpan w:val="4"/>
                  <w:noWrap w:val="0"/>
                  <w:vAlign w:val="center"/>
                </w:tcPr>
                <w:p w14:paraId="3C2B145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5952ED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E602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3EE193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28" w:type="dxa"/>
                  <w:gridSpan w:val="2"/>
                  <w:noWrap w:val="0"/>
                  <w:vAlign w:val="center"/>
                </w:tcPr>
                <w:p w14:paraId="62F4B64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27英寸LED液晶显示器</w:t>
                  </w:r>
                </w:p>
              </w:tc>
              <w:tc>
                <w:tcPr>
                  <w:tcW w:w="1033" w:type="dxa"/>
                  <w:gridSpan w:val="4"/>
                  <w:noWrap w:val="0"/>
                  <w:vAlign w:val="center"/>
                </w:tcPr>
                <w:p w14:paraId="60F39A7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64C0D3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E32E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06D1D3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28" w:type="dxa"/>
                  <w:gridSpan w:val="2"/>
                  <w:noWrap w:val="0"/>
                  <w:vAlign w:val="center"/>
                </w:tcPr>
                <w:p w14:paraId="4FA8B0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网络机柜</w:t>
                  </w:r>
                </w:p>
              </w:tc>
              <w:tc>
                <w:tcPr>
                  <w:tcW w:w="1033" w:type="dxa"/>
                  <w:gridSpan w:val="4"/>
                  <w:noWrap w:val="0"/>
                  <w:vAlign w:val="center"/>
                </w:tcPr>
                <w:p w14:paraId="5C00FB8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noWrap w:val="0"/>
                  <w:vAlign w:val="center"/>
                </w:tcPr>
                <w:p w14:paraId="084BE2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038A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0A524B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noWrap w:val="0"/>
                  <w:vAlign w:val="center"/>
                </w:tcPr>
                <w:p w14:paraId="23AE3C8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摄像机安装立杆、防雷器及安装箱</w:t>
                  </w:r>
                </w:p>
              </w:tc>
              <w:tc>
                <w:tcPr>
                  <w:tcW w:w="1033" w:type="dxa"/>
                  <w:gridSpan w:val="4"/>
                  <w:noWrap w:val="0"/>
                  <w:vAlign w:val="center"/>
                </w:tcPr>
                <w:p w14:paraId="4AB371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7368A2B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43DC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22D0C4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8" w:type="dxa"/>
                  <w:gridSpan w:val="2"/>
                  <w:noWrap w:val="0"/>
                  <w:vAlign w:val="center"/>
                </w:tcPr>
                <w:p w14:paraId="08074D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光纤</w:t>
                  </w:r>
                </w:p>
              </w:tc>
              <w:tc>
                <w:tcPr>
                  <w:tcW w:w="1033" w:type="dxa"/>
                  <w:gridSpan w:val="4"/>
                  <w:noWrap w:val="0"/>
                  <w:vAlign w:val="center"/>
                </w:tcPr>
                <w:p w14:paraId="629630A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noWrap w:val="0"/>
                  <w:vAlign w:val="center"/>
                </w:tcPr>
                <w:p w14:paraId="22171A7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r>
            <w:tr w14:paraId="2F12C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B4D6D8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28" w:type="dxa"/>
                  <w:gridSpan w:val="2"/>
                  <w:noWrap w:val="0"/>
                  <w:vAlign w:val="center"/>
                </w:tcPr>
                <w:p w14:paraId="403CC8A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网络电缆</w:t>
                  </w:r>
                </w:p>
              </w:tc>
              <w:tc>
                <w:tcPr>
                  <w:tcW w:w="1033" w:type="dxa"/>
                  <w:gridSpan w:val="4"/>
                  <w:noWrap w:val="0"/>
                  <w:vAlign w:val="center"/>
                </w:tcPr>
                <w:p w14:paraId="243058A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640725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E25C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5C9F6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28" w:type="dxa"/>
                  <w:gridSpan w:val="2"/>
                  <w:noWrap w:val="0"/>
                  <w:vAlign w:val="center"/>
                </w:tcPr>
                <w:p w14:paraId="27F2E1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线缆、管材及安装辅件</w:t>
                  </w:r>
                </w:p>
              </w:tc>
              <w:tc>
                <w:tcPr>
                  <w:tcW w:w="1033" w:type="dxa"/>
                  <w:gridSpan w:val="4"/>
                  <w:noWrap w:val="0"/>
                  <w:vAlign w:val="center"/>
                </w:tcPr>
                <w:p w14:paraId="0ED42E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39FD501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E5AE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21055B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w:t>
                  </w:r>
                </w:p>
              </w:tc>
              <w:tc>
                <w:tcPr>
                  <w:tcW w:w="3628" w:type="dxa"/>
                  <w:gridSpan w:val="2"/>
                  <w:noWrap w:val="0"/>
                  <w:vAlign w:val="center"/>
                </w:tcPr>
                <w:p w14:paraId="47CD2E1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3" w:type="dxa"/>
                  <w:gridSpan w:val="4"/>
                  <w:noWrap w:val="0"/>
                  <w:vAlign w:val="center"/>
                </w:tcPr>
                <w:p w14:paraId="7D8691A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1225639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3CE6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1F336D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1E7845E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高低压电气设备</w:t>
                  </w:r>
                </w:p>
              </w:tc>
              <w:tc>
                <w:tcPr>
                  <w:tcW w:w="1033" w:type="dxa"/>
                  <w:gridSpan w:val="4"/>
                  <w:noWrap w:val="0"/>
                  <w:vAlign w:val="center"/>
                </w:tcPr>
                <w:p w14:paraId="1F35D4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noWrap w:val="0"/>
                  <w:vAlign w:val="center"/>
                </w:tcPr>
                <w:p w14:paraId="3F2CCCD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DCD2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6589073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noWrap w:val="0"/>
                  <w:vAlign w:val="center"/>
                </w:tcPr>
                <w:p w14:paraId="0E371AB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0.4kV线路接入工程</w:t>
                  </w:r>
                </w:p>
              </w:tc>
              <w:tc>
                <w:tcPr>
                  <w:tcW w:w="1033" w:type="dxa"/>
                  <w:gridSpan w:val="4"/>
                  <w:noWrap w:val="0"/>
                  <w:vAlign w:val="center"/>
                </w:tcPr>
                <w:p w14:paraId="785B7D1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062ADF9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77FA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75B0A19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noWrap w:val="0"/>
                  <w:vAlign w:val="center"/>
                </w:tcPr>
                <w:p w14:paraId="15ADD14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气盾坝配电柜</w:t>
                  </w:r>
                </w:p>
              </w:tc>
              <w:tc>
                <w:tcPr>
                  <w:tcW w:w="1033" w:type="dxa"/>
                  <w:gridSpan w:val="4"/>
                  <w:noWrap w:val="0"/>
                  <w:vAlign w:val="center"/>
                </w:tcPr>
                <w:p w14:paraId="0AC7BC5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noWrap w:val="0"/>
                  <w:vAlign w:val="center"/>
                </w:tcPr>
                <w:p w14:paraId="465CD10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592D9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1081FB6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noWrap w:val="0"/>
                  <w:vAlign w:val="center"/>
                </w:tcPr>
                <w:p w14:paraId="34C57B7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1kV电力电缆YJV22-0.6/1kV-4x16</w:t>
                  </w:r>
                </w:p>
              </w:tc>
              <w:tc>
                <w:tcPr>
                  <w:tcW w:w="1033" w:type="dxa"/>
                  <w:gridSpan w:val="4"/>
                  <w:noWrap w:val="0"/>
                  <w:vAlign w:val="center"/>
                </w:tcPr>
                <w:p w14:paraId="1563663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noWrap w:val="0"/>
                  <w:vAlign w:val="center"/>
                </w:tcPr>
                <w:p w14:paraId="58B54E2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0.06</w:t>
                  </w:r>
                </w:p>
              </w:tc>
            </w:tr>
            <w:tr w14:paraId="45C87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9C027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noWrap w:val="0"/>
                  <w:vAlign w:val="center"/>
                </w:tcPr>
                <w:p w14:paraId="079FD6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控制电缆KVV-450/750V-10×1.5</w:t>
                  </w:r>
                </w:p>
              </w:tc>
              <w:tc>
                <w:tcPr>
                  <w:tcW w:w="1033" w:type="dxa"/>
                  <w:gridSpan w:val="4"/>
                  <w:noWrap w:val="0"/>
                  <w:vAlign w:val="center"/>
                </w:tcPr>
                <w:p w14:paraId="5C4D87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noWrap w:val="0"/>
                  <w:vAlign w:val="center"/>
                </w:tcPr>
                <w:p w14:paraId="28337CA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0.06</w:t>
                  </w:r>
                </w:p>
              </w:tc>
            </w:tr>
            <w:tr w14:paraId="69671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4ADBD65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noWrap w:val="0"/>
                  <w:vAlign w:val="center"/>
                </w:tcPr>
                <w:p w14:paraId="3BBAC42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防雷接地用型钢（热镀锌）</w:t>
                  </w:r>
                </w:p>
              </w:tc>
              <w:tc>
                <w:tcPr>
                  <w:tcW w:w="1033" w:type="dxa"/>
                  <w:gridSpan w:val="4"/>
                  <w:noWrap w:val="0"/>
                  <w:vAlign w:val="center"/>
                </w:tcPr>
                <w:p w14:paraId="3C8600C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6" w:type="dxa"/>
                  <w:gridSpan w:val="2"/>
                  <w:noWrap w:val="0"/>
                  <w:vAlign w:val="center"/>
                </w:tcPr>
                <w:p w14:paraId="58B3348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E115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22ACB97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noWrap w:val="0"/>
                  <w:vAlign w:val="center"/>
                </w:tcPr>
                <w:p w14:paraId="29A2AEB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电缆穿管SC100</w:t>
                  </w:r>
                </w:p>
              </w:tc>
              <w:tc>
                <w:tcPr>
                  <w:tcW w:w="1033" w:type="dxa"/>
                  <w:gridSpan w:val="4"/>
                  <w:noWrap w:val="0"/>
                  <w:vAlign w:val="center"/>
                </w:tcPr>
                <w:p w14:paraId="1E19CF0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noWrap w:val="0"/>
                  <w:vAlign w:val="center"/>
                </w:tcPr>
                <w:p w14:paraId="1DB872A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14:paraId="72437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5AEE1BC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noWrap w:val="0"/>
                  <w:vAlign w:val="center"/>
                </w:tcPr>
                <w:p w14:paraId="65E121E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镀锌钢管SC32/40/50/80/100</w:t>
                  </w:r>
                </w:p>
              </w:tc>
              <w:tc>
                <w:tcPr>
                  <w:tcW w:w="1033" w:type="dxa"/>
                  <w:gridSpan w:val="4"/>
                  <w:noWrap w:val="0"/>
                  <w:vAlign w:val="center"/>
                </w:tcPr>
                <w:p w14:paraId="0C4588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noWrap w:val="0"/>
                  <w:vAlign w:val="center"/>
                </w:tcPr>
                <w:p w14:paraId="23DF0F5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180</w:t>
                  </w:r>
                </w:p>
              </w:tc>
            </w:tr>
            <w:tr w14:paraId="5897A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noWrap w:val="0"/>
                  <w:vAlign w:val="center"/>
                </w:tcPr>
                <w:p w14:paraId="38E566D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noWrap w:val="0"/>
                  <w:vAlign w:val="center"/>
                </w:tcPr>
                <w:p w14:paraId="4A45B0B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设备安装辅材</w:t>
                  </w:r>
                </w:p>
              </w:tc>
              <w:tc>
                <w:tcPr>
                  <w:tcW w:w="1033" w:type="dxa"/>
                  <w:gridSpan w:val="4"/>
                  <w:noWrap w:val="0"/>
                  <w:vAlign w:val="center"/>
                </w:tcPr>
                <w:p w14:paraId="0B6142F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noWrap w:val="0"/>
                  <w:vAlign w:val="center"/>
                </w:tcPr>
                <w:p w14:paraId="7EBAD1C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57B1B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1772D07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621" w:type="dxa"/>
                  <w:gridSpan w:val="3"/>
                  <w:noWrap w:val="0"/>
                  <w:vAlign w:val="center"/>
                </w:tcPr>
                <w:p w14:paraId="379A15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第三部分 机电设备及安装工程</w:t>
                  </w:r>
                </w:p>
              </w:tc>
              <w:tc>
                <w:tcPr>
                  <w:tcW w:w="1037" w:type="dxa"/>
                  <w:gridSpan w:val="3"/>
                  <w:noWrap w:val="0"/>
                  <w:vAlign w:val="center"/>
                </w:tcPr>
                <w:p w14:paraId="38EAC51E">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noWrap w:val="0"/>
                  <w:vAlign w:val="center"/>
                </w:tcPr>
                <w:p w14:paraId="3C51085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7E85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60C0470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noWrap w:val="0"/>
                  <w:vAlign w:val="center"/>
                </w:tcPr>
                <w:p w14:paraId="3AA9C80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小黄沟涵闸</w:t>
                  </w:r>
                </w:p>
              </w:tc>
              <w:tc>
                <w:tcPr>
                  <w:tcW w:w="1037" w:type="dxa"/>
                  <w:gridSpan w:val="3"/>
                  <w:noWrap w:val="0"/>
                  <w:vAlign w:val="center"/>
                </w:tcPr>
                <w:p w14:paraId="26A92B9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noWrap w:val="0"/>
                  <w:vAlign w:val="center"/>
                </w:tcPr>
                <w:p w14:paraId="1AB6363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2B09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491F0FC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1" w:type="dxa"/>
                  <w:gridSpan w:val="3"/>
                  <w:noWrap w:val="0"/>
                  <w:vAlign w:val="center"/>
                </w:tcPr>
                <w:p w14:paraId="04E0021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闸门设备及安装</w:t>
                  </w:r>
                </w:p>
              </w:tc>
              <w:tc>
                <w:tcPr>
                  <w:tcW w:w="1037" w:type="dxa"/>
                  <w:gridSpan w:val="3"/>
                  <w:noWrap w:val="0"/>
                  <w:vAlign w:val="center"/>
                </w:tcPr>
                <w:p w14:paraId="4D4D4A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noWrap w:val="0"/>
                  <w:vAlign w:val="center"/>
                </w:tcPr>
                <w:p w14:paraId="02D24F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44C9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5602E92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noWrap w:val="0"/>
                  <w:vAlign w:val="center"/>
                </w:tcPr>
                <w:p w14:paraId="10C364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铸铁框钢闸门3.0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7" w:type="dxa"/>
                  <w:gridSpan w:val="3"/>
                  <w:noWrap w:val="0"/>
                  <w:vAlign w:val="center"/>
                </w:tcPr>
                <w:p w14:paraId="03290C4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68" w:type="dxa"/>
                  <w:noWrap w:val="0"/>
                  <w:vAlign w:val="center"/>
                </w:tcPr>
                <w:p w14:paraId="1C8D9C42">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r>
            <w:tr w14:paraId="11EB5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0393814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1" w:type="dxa"/>
                  <w:gridSpan w:val="3"/>
                  <w:noWrap w:val="0"/>
                  <w:vAlign w:val="center"/>
                </w:tcPr>
                <w:p w14:paraId="0B09953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启闭设备及安装工程</w:t>
                  </w:r>
                </w:p>
              </w:tc>
              <w:tc>
                <w:tcPr>
                  <w:tcW w:w="1037" w:type="dxa"/>
                  <w:gridSpan w:val="3"/>
                  <w:noWrap w:val="0"/>
                  <w:vAlign w:val="center"/>
                </w:tcPr>
                <w:p w14:paraId="4E07BFB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noWrap w:val="0"/>
                  <w:vAlign w:val="center"/>
                </w:tcPr>
                <w:p w14:paraId="4F29032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2449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2D4699F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noWrap w:val="0"/>
                  <w:vAlign w:val="center"/>
                </w:tcPr>
                <w:p w14:paraId="5E425FD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QL-2×125kN手电两用螺杆启闭机</w:t>
                  </w:r>
                </w:p>
              </w:tc>
              <w:tc>
                <w:tcPr>
                  <w:tcW w:w="1037" w:type="dxa"/>
                  <w:gridSpan w:val="3"/>
                  <w:noWrap w:val="0"/>
                  <w:vAlign w:val="center"/>
                </w:tcPr>
                <w:p w14:paraId="025F00F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noWrap w:val="0"/>
                  <w:vAlign w:val="center"/>
                </w:tcPr>
                <w:p w14:paraId="103AFF8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A850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7D5E80A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noWrap w:val="0"/>
                  <w:vAlign w:val="center"/>
                </w:tcPr>
                <w:p w14:paraId="156244C5">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中间支承 导轴环，与启闭机适配</w:t>
                  </w:r>
                </w:p>
              </w:tc>
              <w:tc>
                <w:tcPr>
                  <w:tcW w:w="1037" w:type="dxa"/>
                  <w:gridSpan w:val="3"/>
                  <w:noWrap w:val="0"/>
                  <w:vAlign w:val="center"/>
                </w:tcPr>
                <w:p w14:paraId="540D6EF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noWrap w:val="0"/>
                  <w:vAlign w:val="center"/>
                </w:tcPr>
                <w:p w14:paraId="26D6DD5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C51C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06033DB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noWrap w:val="0"/>
                  <w:vAlign w:val="center"/>
                </w:tcPr>
                <w:p w14:paraId="3CAFCD2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7" w:type="dxa"/>
                  <w:gridSpan w:val="3"/>
                  <w:noWrap w:val="0"/>
                  <w:vAlign w:val="center"/>
                </w:tcPr>
                <w:p w14:paraId="41D4FC2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noWrap w:val="0"/>
                  <w:vAlign w:val="center"/>
                </w:tcPr>
                <w:p w14:paraId="19F158C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D52D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4411784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3621" w:type="dxa"/>
                  <w:gridSpan w:val="3"/>
                  <w:noWrap w:val="0"/>
                  <w:vAlign w:val="center"/>
                </w:tcPr>
                <w:p w14:paraId="6F760AD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闸门设备及安装</w:t>
                  </w:r>
                </w:p>
              </w:tc>
              <w:tc>
                <w:tcPr>
                  <w:tcW w:w="1037" w:type="dxa"/>
                  <w:gridSpan w:val="3"/>
                  <w:noWrap w:val="0"/>
                  <w:vAlign w:val="center"/>
                </w:tcPr>
                <w:p w14:paraId="657C141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noWrap w:val="0"/>
                  <w:vAlign w:val="center"/>
                </w:tcPr>
                <w:p w14:paraId="477D03C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00C9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1094FD5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noWrap w:val="0"/>
                  <w:vAlign w:val="center"/>
                </w:tcPr>
                <w:p w14:paraId="146A374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7" w:type="dxa"/>
                  <w:gridSpan w:val="3"/>
                  <w:noWrap w:val="0"/>
                  <w:vAlign w:val="center"/>
                </w:tcPr>
                <w:p w14:paraId="2888A86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跨</w:t>
                  </w:r>
                </w:p>
              </w:tc>
              <w:tc>
                <w:tcPr>
                  <w:tcW w:w="1968" w:type="dxa"/>
                  <w:noWrap w:val="0"/>
                  <w:vAlign w:val="center"/>
                </w:tcPr>
                <w:p w14:paraId="267587E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8254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4727C1E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noWrap w:val="0"/>
                  <w:vAlign w:val="center"/>
                </w:tcPr>
                <w:p w14:paraId="67F02B5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7" w:type="dxa"/>
                  <w:gridSpan w:val="3"/>
                  <w:noWrap w:val="0"/>
                  <w:vAlign w:val="center"/>
                </w:tcPr>
                <w:p w14:paraId="40090EAA">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跨</w:t>
                  </w:r>
                </w:p>
              </w:tc>
              <w:tc>
                <w:tcPr>
                  <w:tcW w:w="1968" w:type="dxa"/>
                  <w:noWrap w:val="0"/>
                  <w:vAlign w:val="center"/>
                </w:tcPr>
                <w:p w14:paraId="28EDD1D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3090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33417449">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3621" w:type="dxa"/>
                  <w:gridSpan w:val="3"/>
                  <w:noWrap w:val="0"/>
                  <w:vAlign w:val="center"/>
                </w:tcPr>
                <w:p w14:paraId="7A0D71A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启闭设备及安装工程</w:t>
                  </w:r>
                </w:p>
              </w:tc>
              <w:tc>
                <w:tcPr>
                  <w:tcW w:w="1037" w:type="dxa"/>
                  <w:gridSpan w:val="3"/>
                  <w:noWrap w:val="0"/>
                  <w:vAlign w:val="center"/>
                </w:tcPr>
                <w:p w14:paraId="55DFF28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noWrap w:val="0"/>
                  <w:vAlign w:val="center"/>
                </w:tcPr>
                <w:p w14:paraId="51CD75CC">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4B19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1F493E98">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noWrap w:val="0"/>
                  <w:vAlign w:val="center"/>
                </w:tcPr>
                <w:p w14:paraId="50F1CC30">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QL-2×125kN手电两用螺杆启闭机</w:t>
                  </w:r>
                </w:p>
              </w:tc>
              <w:tc>
                <w:tcPr>
                  <w:tcW w:w="1037" w:type="dxa"/>
                  <w:gridSpan w:val="3"/>
                  <w:noWrap w:val="0"/>
                  <w:vAlign w:val="center"/>
                </w:tcPr>
                <w:p w14:paraId="283E2F66">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noWrap w:val="0"/>
                  <w:vAlign w:val="center"/>
                </w:tcPr>
                <w:p w14:paraId="6FA77E17">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8714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noWrap w:val="0"/>
                  <w:vAlign w:val="center"/>
                </w:tcPr>
                <w:p w14:paraId="59A06FF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noWrap w:val="0"/>
                  <w:vAlign w:val="center"/>
                </w:tcPr>
                <w:p w14:paraId="4D3109EB">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中间支承导轴环，与启闭机适配</w:t>
                  </w:r>
                </w:p>
              </w:tc>
              <w:tc>
                <w:tcPr>
                  <w:tcW w:w="1037" w:type="dxa"/>
                  <w:gridSpan w:val="3"/>
                  <w:noWrap w:val="0"/>
                  <w:vAlign w:val="center"/>
                </w:tcPr>
                <w:p w14:paraId="3A30722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noWrap w:val="0"/>
                  <w:vAlign w:val="center"/>
                </w:tcPr>
                <w:p w14:paraId="55A0E493">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bl>
          <w:p w14:paraId="3A061DE7">
            <w:pPr>
              <w:pStyle w:val="7"/>
              <w:keepNext w:val="0"/>
              <w:keepLines w:val="0"/>
              <w:numPr>
                <w:ilvl w:val="0"/>
                <w:numId w:val="0"/>
              </w:numPr>
              <w:suppressLineNumbers w:val="0"/>
              <w:tabs>
                <w:tab w:val="left" w:pos="1019"/>
              </w:tabs>
              <w:spacing w:before="74" w:beforeAutospacing="0" w:after="0" w:afterAutospacing="0" w:line="240" w:lineRule="auto"/>
              <w:ind w:right="0"/>
              <w:jc w:val="left"/>
              <w:rPr>
                <w:rFonts w:hint="default" w:ascii="Times New Roman" w:hAnsi="Times New Roman" w:eastAsia="宋体" w:cs="Times New Roman"/>
                <w:color w:val="000000" w:themeColor="text1"/>
                <w14:textFill>
                  <w14:solidFill>
                    <w14:schemeClr w14:val="tx1"/>
                  </w14:solidFill>
                </w14:textFill>
              </w:rPr>
            </w:pPr>
            <w:bookmarkStart w:id="22" w:name="5.6.3排水管网改造工程主要工程量"/>
            <w:bookmarkEnd w:id="22"/>
            <w:bookmarkStart w:id="23" w:name="5.6.3排水管网改造工程主要工程量"/>
            <w:bookmarkEnd w:id="23"/>
            <w:r>
              <w:rPr>
                <w:rFonts w:hint="default" w:ascii="Times New Roman" w:hAnsi="Times New Roman" w:eastAsia="宋体" w:cs="Times New Roman"/>
                <w:color w:val="000000" w:themeColor="text1"/>
                <w14:textFill>
                  <w14:solidFill>
                    <w14:schemeClr w14:val="tx1"/>
                  </w14:solidFill>
                </w14:textFill>
              </w:rPr>
              <w:t>排水管网新建工程主要工程量</w:t>
            </w:r>
          </w:p>
          <w:p w14:paraId="4973EA22">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表2-25  排水管网新建工程主要工程量表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4119"/>
              <w:gridCol w:w="1035"/>
              <w:gridCol w:w="1494"/>
            </w:tblGrid>
            <w:tr w14:paraId="394DF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8307771">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4119" w:type="dxa"/>
                  <w:noWrap w:val="0"/>
                  <w:vAlign w:val="center"/>
                </w:tcPr>
                <w:p w14:paraId="180049CF">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工程或费用名称</w:t>
                  </w:r>
                </w:p>
              </w:tc>
              <w:tc>
                <w:tcPr>
                  <w:tcW w:w="1035" w:type="dxa"/>
                  <w:noWrap w:val="0"/>
                  <w:vAlign w:val="center"/>
                </w:tcPr>
                <w:p w14:paraId="3F57423D">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494" w:type="dxa"/>
                  <w:noWrap w:val="0"/>
                  <w:vAlign w:val="center"/>
                </w:tcPr>
                <w:p w14:paraId="4395EA24">
                  <w:pPr>
                    <w:pStyle w:val="202"/>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3F8DE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DD6096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07A2A36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幽芳河、柳林河沿岸排水管网新建工程</w:t>
                  </w:r>
                </w:p>
              </w:tc>
              <w:tc>
                <w:tcPr>
                  <w:tcW w:w="1035" w:type="dxa"/>
                  <w:noWrap w:val="0"/>
                  <w:vAlign w:val="center"/>
                </w:tcPr>
                <w:p w14:paraId="6A09FEC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24A038A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9935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0CBC47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119" w:type="dxa"/>
                  <w:noWrap w:val="0"/>
                  <w:vAlign w:val="center"/>
                </w:tcPr>
                <w:p w14:paraId="02A5458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污水主管</w:t>
                  </w:r>
                </w:p>
              </w:tc>
              <w:tc>
                <w:tcPr>
                  <w:tcW w:w="1035" w:type="dxa"/>
                  <w:noWrap w:val="0"/>
                  <w:vAlign w:val="center"/>
                </w:tcPr>
                <w:p w14:paraId="76653EE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26F4BE9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4F1C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7D9BB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w:t>
                  </w:r>
                </w:p>
              </w:tc>
              <w:tc>
                <w:tcPr>
                  <w:tcW w:w="4119" w:type="dxa"/>
                  <w:noWrap w:val="0"/>
                  <w:vAlign w:val="center"/>
                </w:tcPr>
                <w:p w14:paraId="02B8BFD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noWrap w:val="0"/>
                  <w:vAlign w:val="center"/>
                </w:tcPr>
                <w:p w14:paraId="7597FE3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723AE41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F09B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9CDB37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7FEEC07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35" w:type="dxa"/>
                  <w:noWrap w:val="0"/>
                  <w:vAlign w:val="center"/>
                </w:tcPr>
                <w:p w14:paraId="0757B45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631C36C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46151.24</w:t>
                  </w:r>
                </w:p>
              </w:tc>
            </w:tr>
            <w:tr w14:paraId="1062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A3042B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4FCE6E7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35" w:type="dxa"/>
                  <w:noWrap w:val="0"/>
                  <w:vAlign w:val="center"/>
                </w:tcPr>
                <w:p w14:paraId="0D3EF98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568415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46151.24</w:t>
                  </w:r>
                </w:p>
              </w:tc>
            </w:tr>
            <w:tr w14:paraId="11CA6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5F08E2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7B3A325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noWrap w:val="0"/>
                  <w:vAlign w:val="center"/>
                </w:tcPr>
                <w:p w14:paraId="7E59FF1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5E57185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43671.15</w:t>
                  </w:r>
                </w:p>
              </w:tc>
            </w:tr>
            <w:tr w14:paraId="67FFD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3ADB20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w:t>
                  </w:r>
                </w:p>
              </w:tc>
              <w:tc>
                <w:tcPr>
                  <w:tcW w:w="4119" w:type="dxa"/>
                  <w:noWrap w:val="0"/>
                  <w:vAlign w:val="center"/>
                </w:tcPr>
                <w:p w14:paraId="5AAD533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noWrap w:val="0"/>
                  <w:vAlign w:val="center"/>
                </w:tcPr>
                <w:p w14:paraId="4C26113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03E680C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D2DB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E29C25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6F9D878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noWrap w:val="0"/>
                  <w:vAlign w:val="center"/>
                </w:tcPr>
                <w:p w14:paraId="0826022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2C16855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323.49</w:t>
                  </w:r>
                </w:p>
              </w:tc>
            </w:tr>
            <w:tr w14:paraId="78664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BDF44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633F673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中粗砂</w:t>
                  </w:r>
                </w:p>
              </w:tc>
              <w:tc>
                <w:tcPr>
                  <w:tcW w:w="1035" w:type="dxa"/>
                  <w:noWrap w:val="0"/>
                  <w:vAlign w:val="center"/>
                </w:tcPr>
                <w:p w14:paraId="4FC704F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4F73C7E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1186.13</w:t>
                  </w:r>
                </w:p>
              </w:tc>
            </w:tr>
            <w:tr w14:paraId="13028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CD111D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c>
                <w:tcPr>
                  <w:tcW w:w="4119" w:type="dxa"/>
                  <w:noWrap w:val="0"/>
                  <w:vAlign w:val="center"/>
                </w:tcPr>
                <w:p w14:paraId="7340A6A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noWrap w:val="0"/>
                  <w:vAlign w:val="center"/>
                </w:tcPr>
                <w:p w14:paraId="613D244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5DC73D6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B6B1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970B94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7F746F9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污水管De315</w:t>
                  </w:r>
                </w:p>
              </w:tc>
              <w:tc>
                <w:tcPr>
                  <w:tcW w:w="1035" w:type="dxa"/>
                  <w:noWrap w:val="0"/>
                  <w:vAlign w:val="center"/>
                </w:tcPr>
                <w:p w14:paraId="298ED71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0165E10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11645.64</w:t>
                  </w:r>
                </w:p>
              </w:tc>
            </w:tr>
            <w:tr w14:paraId="18429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CB69F0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119" w:type="dxa"/>
                  <w:noWrap w:val="0"/>
                  <w:vAlign w:val="center"/>
                </w:tcPr>
                <w:p w14:paraId="7F373AE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w:t>
                  </w:r>
                </w:p>
              </w:tc>
              <w:tc>
                <w:tcPr>
                  <w:tcW w:w="1035" w:type="dxa"/>
                  <w:noWrap w:val="0"/>
                  <w:vAlign w:val="center"/>
                </w:tcPr>
                <w:p w14:paraId="0F3F5BA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4FE26C7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778D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D2644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4119" w:type="dxa"/>
                  <w:noWrap w:val="0"/>
                  <w:vAlign w:val="center"/>
                </w:tcPr>
                <w:p w14:paraId="0D4865A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noWrap w:val="0"/>
                  <w:vAlign w:val="center"/>
                </w:tcPr>
                <w:p w14:paraId="02C7E52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2841DF9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6B91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73DD9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09745E5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35" w:type="dxa"/>
                  <w:noWrap w:val="0"/>
                  <w:vAlign w:val="center"/>
                </w:tcPr>
                <w:p w14:paraId="086D65A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A8AC76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32262</w:t>
                  </w:r>
                </w:p>
              </w:tc>
            </w:tr>
            <w:tr w14:paraId="3FCA7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51202E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76148A7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35" w:type="dxa"/>
                  <w:noWrap w:val="0"/>
                  <w:vAlign w:val="center"/>
                </w:tcPr>
                <w:p w14:paraId="59939E2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588E670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31073.4</w:t>
                  </w:r>
                </w:p>
              </w:tc>
            </w:tr>
            <w:tr w14:paraId="2F82A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DA0FD1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1BC7606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noWrap w:val="0"/>
                  <w:vAlign w:val="center"/>
                </w:tcPr>
                <w:p w14:paraId="167109B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CA3342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31073.4</w:t>
                  </w:r>
                </w:p>
              </w:tc>
            </w:tr>
            <w:tr w14:paraId="123D3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B8FEDE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w:t>
                  </w:r>
                </w:p>
              </w:tc>
              <w:tc>
                <w:tcPr>
                  <w:tcW w:w="4119" w:type="dxa"/>
                  <w:noWrap w:val="0"/>
                  <w:vAlign w:val="center"/>
                </w:tcPr>
                <w:p w14:paraId="39CF50A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noWrap w:val="0"/>
                  <w:vAlign w:val="center"/>
                </w:tcPr>
                <w:p w14:paraId="53DEB2E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 </w:t>
                  </w:r>
                </w:p>
              </w:tc>
              <w:tc>
                <w:tcPr>
                  <w:tcW w:w="1494" w:type="dxa"/>
                  <w:noWrap w:val="0"/>
                  <w:vAlign w:val="center"/>
                </w:tcPr>
                <w:p w14:paraId="4AD4E67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C98A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A8B4D4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1F8447B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noWrap w:val="0"/>
                  <w:vAlign w:val="center"/>
                </w:tcPr>
                <w:p w14:paraId="1AE23D6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35AFED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169.8</w:t>
                  </w:r>
                </w:p>
              </w:tc>
            </w:tr>
            <w:tr w14:paraId="211EC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47D86A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0EC3F8C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中粗砂</w:t>
                  </w:r>
                </w:p>
              </w:tc>
              <w:tc>
                <w:tcPr>
                  <w:tcW w:w="1035" w:type="dxa"/>
                  <w:noWrap w:val="0"/>
                  <w:vAlign w:val="center"/>
                </w:tcPr>
                <w:p w14:paraId="3FA192B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9C31E6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933.9</w:t>
                  </w:r>
                </w:p>
              </w:tc>
            </w:tr>
            <w:tr w14:paraId="0EBF0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9F09F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w:t>
                  </w:r>
                </w:p>
              </w:tc>
              <w:tc>
                <w:tcPr>
                  <w:tcW w:w="4119" w:type="dxa"/>
                  <w:noWrap w:val="0"/>
                  <w:vAlign w:val="center"/>
                </w:tcPr>
                <w:p w14:paraId="454B3B4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noWrap w:val="0"/>
                  <w:vAlign w:val="center"/>
                </w:tcPr>
                <w:p w14:paraId="4E7F40C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772326C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5BD0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EDBC3B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2BA4B7E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接户管De160</w:t>
                  </w:r>
                </w:p>
              </w:tc>
              <w:tc>
                <w:tcPr>
                  <w:tcW w:w="1035" w:type="dxa"/>
                  <w:noWrap w:val="0"/>
                  <w:vAlign w:val="center"/>
                </w:tcPr>
                <w:p w14:paraId="1D096E5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3E68741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9169.2</w:t>
                  </w:r>
                </w:p>
              </w:tc>
            </w:tr>
            <w:tr w14:paraId="02FDB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C91F3B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119" w:type="dxa"/>
                  <w:noWrap w:val="0"/>
                  <w:vAlign w:val="center"/>
                </w:tcPr>
                <w:p w14:paraId="5BDDD3C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w:t>
                  </w:r>
                </w:p>
              </w:tc>
              <w:tc>
                <w:tcPr>
                  <w:tcW w:w="1035" w:type="dxa"/>
                  <w:noWrap w:val="0"/>
                  <w:vAlign w:val="center"/>
                </w:tcPr>
                <w:p w14:paraId="4690011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54EADBA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F82E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EE73C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54D40E5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污水检查井</w:t>
                  </w:r>
                </w:p>
              </w:tc>
              <w:tc>
                <w:tcPr>
                  <w:tcW w:w="1035" w:type="dxa"/>
                  <w:noWrap w:val="0"/>
                  <w:vAlign w:val="center"/>
                </w:tcPr>
                <w:p w14:paraId="7F01012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3CC7F3F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397</w:t>
                  </w:r>
                </w:p>
              </w:tc>
            </w:tr>
            <w:tr w14:paraId="3BD6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46CF2D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21C736C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接户井</w:t>
                  </w:r>
                </w:p>
              </w:tc>
              <w:tc>
                <w:tcPr>
                  <w:tcW w:w="1035" w:type="dxa"/>
                  <w:noWrap w:val="0"/>
                  <w:vAlign w:val="center"/>
                </w:tcPr>
                <w:p w14:paraId="17DCCD1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2CE9512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1132</w:t>
                  </w:r>
                </w:p>
              </w:tc>
            </w:tr>
            <w:tr w14:paraId="21703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11C06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363AEAD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跌水井</w:t>
                  </w:r>
                </w:p>
              </w:tc>
              <w:tc>
                <w:tcPr>
                  <w:tcW w:w="1035" w:type="dxa"/>
                  <w:noWrap w:val="0"/>
                  <w:vAlign w:val="center"/>
                </w:tcPr>
                <w:p w14:paraId="4CF7B2F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014FE79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3C72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A4B400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43115B0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提升泵站</w:t>
                  </w:r>
                </w:p>
              </w:tc>
              <w:tc>
                <w:tcPr>
                  <w:tcW w:w="1035" w:type="dxa"/>
                  <w:noWrap w:val="0"/>
                  <w:vAlign w:val="center"/>
                </w:tcPr>
                <w:p w14:paraId="537ECA8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118FF0D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8AE2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5DFF9B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noWrap w:val="0"/>
                  <w:vAlign w:val="center"/>
                </w:tcPr>
                <w:p w14:paraId="450B00B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资源化利用</w:t>
                  </w:r>
                </w:p>
              </w:tc>
              <w:tc>
                <w:tcPr>
                  <w:tcW w:w="1035" w:type="dxa"/>
                  <w:noWrap w:val="0"/>
                  <w:vAlign w:val="center"/>
                </w:tcPr>
                <w:p w14:paraId="2731719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5A9924F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r>
            <w:tr w14:paraId="320BD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F8A8F8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noWrap w:val="0"/>
                  <w:vAlign w:val="center"/>
                </w:tcPr>
                <w:p w14:paraId="384532C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/d一体化污水处理设施</w:t>
                  </w:r>
                </w:p>
              </w:tc>
              <w:tc>
                <w:tcPr>
                  <w:tcW w:w="1035" w:type="dxa"/>
                  <w:noWrap w:val="0"/>
                  <w:vAlign w:val="center"/>
                </w:tcPr>
                <w:p w14:paraId="12ECF63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2B62894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7E52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D6619C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119" w:type="dxa"/>
                  <w:noWrap w:val="0"/>
                  <w:vAlign w:val="center"/>
                </w:tcPr>
                <w:p w14:paraId="50DF67B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35" w:type="dxa"/>
                  <w:noWrap w:val="0"/>
                  <w:vAlign w:val="center"/>
                </w:tcPr>
                <w:p w14:paraId="6B6B86F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7E1226A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7B37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07A466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w:t>
                  </w:r>
                </w:p>
              </w:tc>
              <w:tc>
                <w:tcPr>
                  <w:tcW w:w="4119" w:type="dxa"/>
                  <w:noWrap w:val="0"/>
                  <w:vAlign w:val="center"/>
                </w:tcPr>
                <w:p w14:paraId="30DE124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沥青恢复</w:t>
                  </w:r>
                </w:p>
              </w:tc>
              <w:tc>
                <w:tcPr>
                  <w:tcW w:w="1035" w:type="dxa"/>
                  <w:noWrap w:val="0"/>
                  <w:vAlign w:val="center"/>
                </w:tcPr>
                <w:p w14:paraId="2871357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3D64F25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8BA9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9DCF6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4159C1E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细粒式沥青砼厚40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5FD0F7C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43EDD00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390CA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284E02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111F020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1D3163A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3736D92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418BB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24A6A1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09A56B5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35" w:type="dxa"/>
                  <w:noWrap w:val="0"/>
                  <w:vAlign w:val="center"/>
                </w:tcPr>
                <w:p w14:paraId="082E372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438BF2C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64247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938B69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666D04B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C30水泥砼</w:t>
                  </w:r>
                </w:p>
              </w:tc>
              <w:tc>
                <w:tcPr>
                  <w:tcW w:w="1035" w:type="dxa"/>
                  <w:noWrap w:val="0"/>
                  <w:vAlign w:val="center"/>
                </w:tcPr>
                <w:p w14:paraId="1AF27A8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6614199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05EA5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D6E39F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noWrap w:val="0"/>
                  <w:vAlign w:val="center"/>
                </w:tcPr>
                <w:p w14:paraId="05BD375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级配碎石</w:t>
                  </w:r>
                </w:p>
              </w:tc>
              <w:tc>
                <w:tcPr>
                  <w:tcW w:w="1035" w:type="dxa"/>
                  <w:noWrap w:val="0"/>
                  <w:vAlign w:val="center"/>
                </w:tcPr>
                <w:p w14:paraId="1C76CF2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4691665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678BE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5A94A9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w:t>
                  </w:r>
                </w:p>
              </w:tc>
              <w:tc>
                <w:tcPr>
                  <w:tcW w:w="4119" w:type="dxa"/>
                  <w:noWrap w:val="0"/>
                  <w:vAlign w:val="center"/>
                </w:tcPr>
                <w:p w14:paraId="38CB840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水泥混凝土路面恢复</w:t>
                  </w:r>
                </w:p>
              </w:tc>
              <w:tc>
                <w:tcPr>
                  <w:tcW w:w="1035" w:type="dxa"/>
                  <w:noWrap w:val="0"/>
                  <w:vAlign w:val="center"/>
                </w:tcPr>
                <w:p w14:paraId="6A192AE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 </w:t>
                  </w:r>
                </w:p>
              </w:tc>
              <w:tc>
                <w:tcPr>
                  <w:tcW w:w="1494" w:type="dxa"/>
                  <w:noWrap w:val="0"/>
                  <w:vAlign w:val="center"/>
                </w:tcPr>
                <w:p w14:paraId="75A15EB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p>
              </w:tc>
            </w:tr>
            <w:tr w14:paraId="13823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B0FB26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7AD66CA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C30水泥砼</w:t>
                  </w:r>
                </w:p>
              </w:tc>
              <w:tc>
                <w:tcPr>
                  <w:tcW w:w="1035" w:type="dxa"/>
                  <w:noWrap w:val="0"/>
                  <w:vAlign w:val="center"/>
                </w:tcPr>
                <w:p w14:paraId="025011F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2EC34F2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3B83D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97985D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1726CD9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级配碎石</w:t>
                  </w:r>
                </w:p>
              </w:tc>
              <w:tc>
                <w:tcPr>
                  <w:tcW w:w="1035" w:type="dxa"/>
                  <w:noWrap w:val="0"/>
                  <w:vAlign w:val="center"/>
                </w:tcPr>
                <w:p w14:paraId="4BCD3F4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45A4A8F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6D106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DD78DF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6975B2B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南岳花都片排水管网新建工程</w:t>
                  </w:r>
                </w:p>
              </w:tc>
              <w:tc>
                <w:tcPr>
                  <w:tcW w:w="1035" w:type="dxa"/>
                  <w:noWrap w:val="0"/>
                  <w:vAlign w:val="center"/>
                </w:tcPr>
                <w:p w14:paraId="47F72B5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17D8B44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7F1E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F20F74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4119" w:type="dxa"/>
                  <w:noWrap w:val="0"/>
                  <w:vAlign w:val="center"/>
                </w:tcPr>
                <w:p w14:paraId="633E764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检查井</w:t>
                  </w:r>
                </w:p>
              </w:tc>
              <w:tc>
                <w:tcPr>
                  <w:tcW w:w="1035" w:type="dxa"/>
                  <w:noWrap w:val="0"/>
                  <w:vAlign w:val="center"/>
                </w:tcPr>
                <w:p w14:paraId="2C9A5C9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7BC8F17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4395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FCDDAE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w:t>
                  </w:r>
                </w:p>
              </w:tc>
              <w:tc>
                <w:tcPr>
                  <w:tcW w:w="4119" w:type="dxa"/>
                  <w:noWrap w:val="0"/>
                  <w:vAlign w:val="center"/>
                </w:tcPr>
                <w:p w14:paraId="752796D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noWrap w:val="0"/>
                  <w:vAlign w:val="center"/>
                </w:tcPr>
                <w:p w14:paraId="58AEB1D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435D070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13E7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A3234C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4FFEA41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5" w:type="dxa"/>
                  <w:noWrap w:val="0"/>
                  <w:vAlign w:val="center"/>
                </w:tcPr>
                <w:p w14:paraId="3C785DA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E2AA59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610.779</w:t>
                  </w:r>
                </w:p>
              </w:tc>
            </w:tr>
            <w:tr w14:paraId="4482A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91765D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43F6B1A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5" w:type="dxa"/>
                  <w:noWrap w:val="0"/>
                  <w:vAlign w:val="center"/>
                </w:tcPr>
                <w:p w14:paraId="4411E7D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77AB5D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5497.011</w:t>
                  </w:r>
                </w:p>
              </w:tc>
            </w:tr>
            <w:tr w14:paraId="20AB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125952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4315323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5" w:type="dxa"/>
                  <w:noWrap w:val="0"/>
                  <w:vAlign w:val="center"/>
                </w:tcPr>
                <w:p w14:paraId="4F48F17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909FD9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5497.011</w:t>
                  </w:r>
                </w:p>
              </w:tc>
            </w:tr>
            <w:tr w14:paraId="6B79E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0B832B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5CFA016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noWrap w:val="0"/>
                  <w:vAlign w:val="center"/>
                </w:tcPr>
                <w:p w14:paraId="48E6310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045CEE7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3634.134</w:t>
                  </w:r>
                </w:p>
              </w:tc>
            </w:tr>
            <w:tr w14:paraId="74BC7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DCCC7C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noWrap w:val="0"/>
                  <w:vAlign w:val="center"/>
                </w:tcPr>
                <w:p w14:paraId="39DBDC4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35" w:type="dxa"/>
                  <w:noWrap w:val="0"/>
                  <w:vAlign w:val="center"/>
                </w:tcPr>
                <w:p w14:paraId="051EE4A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2CDCBF3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1557.486</w:t>
                  </w:r>
                </w:p>
              </w:tc>
            </w:tr>
            <w:tr w14:paraId="404E0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0B2F15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2.1.2</w:t>
                  </w:r>
                </w:p>
              </w:tc>
              <w:tc>
                <w:tcPr>
                  <w:tcW w:w="4119" w:type="dxa"/>
                  <w:noWrap w:val="0"/>
                  <w:vAlign w:val="center"/>
                </w:tcPr>
                <w:p w14:paraId="5D5467C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noWrap w:val="0"/>
                  <w:vAlign w:val="center"/>
                </w:tcPr>
                <w:p w14:paraId="66CDD0B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73D186C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D440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BC60C9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15652A3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noWrap w:val="0"/>
                  <w:vAlign w:val="center"/>
                </w:tcPr>
                <w:p w14:paraId="42A6D74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5C8C8F5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36.01</w:t>
                  </w:r>
                </w:p>
              </w:tc>
            </w:tr>
            <w:tr w14:paraId="28B1C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6A44BB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2.1.3</w:t>
                  </w:r>
                </w:p>
              </w:tc>
              <w:tc>
                <w:tcPr>
                  <w:tcW w:w="4119" w:type="dxa"/>
                  <w:noWrap w:val="0"/>
                  <w:vAlign w:val="center"/>
                </w:tcPr>
                <w:p w14:paraId="56D1E59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35" w:type="dxa"/>
                  <w:noWrap w:val="0"/>
                  <w:vAlign w:val="center"/>
                </w:tcPr>
                <w:p w14:paraId="2CF3245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5EE9AB4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2A40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0396A1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2851EC9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进出水口500厚1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9水泥土垫层</w:t>
                  </w:r>
                </w:p>
              </w:tc>
              <w:tc>
                <w:tcPr>
                  <w:tcW w:w="1035" w:type="dxa"/>
                  <w:noWrap w:val="0"/>
                  <w:vAlign w:val="center"/>
                </w:tcPr>
                <w:p w14:paraId="3F30BFF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092DDD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17.57</w:t>
                  </w:r>
                </w:p>
              </w:tc>
            </w:tr>
            <w:tr w14:paraId="7A699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EC9834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2FC67CB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进出水口C25砼垫层</w:t>
                  </w:r>
                </w:p>
              </w:tc>
              <w:tc>
                <w:tcPr>
                  <w:tcW w:w="1035" w:type="dxa"/>
                  <w:noWrap w:val="0"/>
                  <w:vAlign w:val="center"/>
                </w:tcPr>
                <w:p w14:paraId="7E373E4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6CA333F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2.74</w:t>
                  </w:r>
                </w:p>
              </w:tc>
            </w:tr>
            <w:tr w14:paraId="47BFB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5BCC88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4418389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进出水口C30砼底板</w:t>
                  </w:r>
                </w:p>
              </w:tc>
              <w:tc>
                <w:tcPr>
                  <w:tcW w:w="1035" w:type="dxa"/>
                  <w:noWrap w:val="0"/>
                  <w:vAlign w:val="center"/>
                </w:tcPr>
                <w:p w14:paraId="67E10F5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83FB35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10.11</w:t>
                  </w:r>
                </w:p>
              </w:tc>
            </w:tr>
            <w:tr w14:paraId="73DB2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A53D8C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16A6DE9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进出水口C30砼侧墙</w:t>
                  </w:r>
                </w:p>
              </w:tc>
              <w:tc>
                <w:tcPr>
                  <w:tcW w:w="1035" w:type="dxa"/>
                  <w:noWrap w:val="0"/>
                  <w:vAlign w:val="center"/>
                </w:tcPr>
                <w:p w14:paraId="77F7918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C5EC15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9.36</w:t>
                  </w:r>
                </w:p>
              </w:tc>
            </w:tr>
            <w:tr w14:paraId="5BA5C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2C6C7E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noWrap w:val="0"/>
                  <w:vAlign w:val="center"/>
                </w:tcPr>
                <w:p w14:paraId="46B3875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35" w:type="dxa"/>
                  <w:noWrap w:val="0"/>
                  <w:vAlign w:val="center"/>
                </w:tcPr>
                <w:p w14:paraId="07B39AB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6051695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w:t>
                  </w:r>
                </w:p>
              </w:tc>
            </w:tr>
            <w:tr w14:paraId="15350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6B9760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noWrap w:val="0"/>
                  <w:vAlign w:val="center"/>
                </w:tcPr>
                <w:p w14:paraId="39F12AE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0742D60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6B0F9D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w:t>
                  </w:r>
                </w:p>
              </w:tc>
            </w:tr>
            <w:tr w14:paraId="58B09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F7CD4F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119" w:type="dxa"/>
                  <w:noWrap w:val="0"/>
                  <w:vAlign w:val="center"/>
                </w:tcPr>
                <w:p w14:paraId="267F911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C25砼护底</w:t>
                  </w:r>
                </w:p>
              </w:tc>
              <w:tc>
                <w:tcPr>
                  <w:tcW w:w="1035" w:type="dxa"/>
                  <w:noWrap w:val="0"/>
                  <w:vAlign w:val="center"/>
                </w:tcPr>
                <w:p w14:paraId="328B653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72E5307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36.03</w:t>
                  </w:r>
                </w:p>
              </w:tc>
            </w:tr>
            <w:tr w14:paraId="52A47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BC5862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119" w:type="dxa"/>
                  <w:noWrap w:val="0"/>
                  <w:vAlign w:val="center"/>
                </w:tcPr>
                <w:p w14:paraId="2C22599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C25砼回填</w:t>
                  </w:r>
                </w:p>
              </w:tc>
              <w:tc>
                <w:tcPr>
                  <w:tcW w:w="1035" w:type="dxa"/>
                  <w:noWrap w:val="0"/>
                  <w:vAlign w:val="center"/>
                </w:tcPr>
                <w:p w14:paraId="6EA601A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081EA4F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640.69</w:t>
                  </w:r>
                </w:p>
              </w:tc>
            </w:tr>
            <w:tr w14:paraId="7D22D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C57898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119" w:type="dxa"/>
                  <w:noWrap w:val="0"/>
                  <w:vAlign w:val="center"/>
                </w:tcPr>
                <w:p w14:paraId="77111BE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C40砼矩形混凝土井</w:t>
                  </w:r>
                </w:p>
              </w:tc>
              <w:tc>
                <w:tcPr>
                  <w:tcW w:w="1035" w:type="dxa"/>
                  <w:noWrap w:val="0"/>
                  <w:vAlign w:val="center"/>
                </w:tcPr>
                <w:p w14:paraId="6AE78CF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406A37C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94.64</w:t>
                  </w:r>
                </w:p>
              </w:tc>
            </w:tr>
            <w:tr w14:paraId="1E094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084AA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119" w:type="dxa"/>
                  <w:noWrap w:val="0"/>
                  <w:vAlign w:val="center"/>
                </w:tcPr>
                <w:p w14:paraId="064716D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035" w:type="dxa"/>
                  <w:noWrap w:val="0"/>
                  <w:vAlign w:val="center"/>
                </w:tcPr>
                <w:p w14:paraId="5A02981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494" w:type="dxa"/>
                  <w:noWrap w:val="0"/>
                  <w:vAlign w:val="center"/>
                </w:tcPr>
                <w:p w14:paraId="726F6B7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11.41</w:t>
                  </w:r>
                </w:p>
              </w:tc>
            </w:tr>
            <w:tr w14:paraId="3144A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F3A776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119" w:type="dxa"/>
                  <w:noWrap w:val="0"/>
                  <w:vAlign w:val="center"/>
                </w:tcPr>
                <w:p w14:paraId="49F8BAE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35" w:type="dxa"/>
                  <w:noWrap w:val="0"/>
                  <w:vAlign w:val="center"/>
                </w:tcPr>
                <w:p w14:paraId="492E9C0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23BC981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174.66</w:t>
                  </w:r>
                </w:p>
              </w:tc>
            </w:tr>
            <w:tr w14:paraId="5BF82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B16027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119" w:type="dxa"/>
                  <w:noWrap w:val="0"/>
                  <w:vAlign w:val="center"/>
                </w:tcPr>
                <w:p w14:paraId="3CDD266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35" w:type="dxa"/>
                  <w:noWrap w:val="0"/>
                  <w:vAlign w:val="center"/>
                </w:tcPr>
                <w:p w14:paraId="2D4E85A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2FA3753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30.88</w:t>
                  </w:r>
                </w:p>
              </w:tc>
            </w:tr>
            <w:tr w14:paraId="2E06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EA353B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w:t>
                  </w:r>
                </w:p>
              </w:tc>
              <w:tc>
                <w:tcPr>
                  <w:tcW w:w="4119" w:type="dxa"/>
                  <w:noWrap w:val="0"/>
                  <w:vAlign w:val="center"/>
                </w:tcPr>
                <w:p w14:paraId="39815A2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noWrap w:val="0"/>
                  <w:vAlign w:val="center"/>
                </w:tcPr>
                <w:p w14:paraId="38F2DAD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12A9266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6C1A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AD670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2.1.4.1</w:t>
                  </w:r>
                </w:p>
              </w:tc>
              <w:tc>
                <w:tcPr>
                  <w:tcW w:w="4119" w:type="dxa"/>
                  <w:noWrap w:val="0"/>
                  <w:vAlign w:val="center"/>
                </w:tcPr>
                <w:p w14:paraId="2A3DB7C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D1800钢筋混凝土Ⅲ级管</w:t>
                  </w:r>
                </w:p>
              </w:tc>
              <w:tc>
                <w:tcPr>
                  <w:tcW w:w="1035" w:type="dxa"/>
                  <w:noWrap w:val="0"/>
                  <w:vAlign w:val="center"/>
                </w:tcPr>
                <w:p w14:paraId="711EA61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4187BE5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0.505</w:t>
                  </w:r>
                </w:p>
              </w:tc>
            </w:tr>
            <w:tr w14:paraId="59D51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D4ECE9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2.1.4.2</w:t>
                  </w:r>
                </w:p>
              </w:tc>
              <w:tc>
                <w:tcPr>
                  <w:tcW w:w="4119" w:type="dxa"/>
                  <w:noWrap w:val="0"/>
                  <w:vAlign w:val="center"/>
                </w:tcPr>
                <w:p w14:paraId="59B5266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D1200钢筋混凝土Ⅲ级管</w:t>
                  </w:r>
                </w:p>
              </w:tc>
              <w:tc>
                <w:tcPr>
                  <w:tcW w:w="1035" w:type="dxa"/>
                  <w:noWrap w:val="0"/>
                  <w:vAlign w:val="center"/>
                </w:tcPr>
                <w:p w14:paraId="7899C54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4C2BF49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0.004</w:t>
                  </w:r>
                </w:p>
              </w:tc>
            </w:tr>
            <w:tr w14:paraId="729CD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5317CC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2.1.4.3</w:t>
                  </w:r>
                </w:p>
              </w:tc>
              <w:tc>
                <w:tcPr>
                  <w:tcW w:w="4119" w:type="dxa"/>
                  <w:noWrap w:val="0"/>
                  <w:vAlign w:val="center"/>
                </w:tcPr>
                <w:p w14:paraId="026825B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沥青路恢复</w:t>
                  </w:r>
                </w:p>
              </w:tc>
              <w:tc>
                <w:tcPr>
                  <w:tcW w:w="1035" w:type="dxa"/>
                  <w:noWrap w:val="0"/>
                  <w:vAlign w:val="center"/>
                </w:tcPr>
                <w:p w14:paraId="72A42E4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523DB12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96A9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177BB7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13429F4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24B6714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551AD97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2BA61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DA3382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5D9CA12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6B4DAF1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1480D3F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7EC89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EEDD4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383D78D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14D7620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40F5886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4826D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206725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583A038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p>
              </w:tc>
              <w:tc>
                <w:tcPr>
                  <w:tcW w:w="1035" w:type="dxa"/>
                  <w:noWrap w:val="0"/>
                  <w:vAlign w:val="center"/>
                </w:tcPr>
                <w:p w14:paraId="1BE05C8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172BB1B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201D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F47F89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2.1.4.4</w:t>
                  </w:r>
                </w:p>
              </w:tc>
              <w:tc>
                <w:tcPr>
                  <w:tcW w:w="4119" w:type="dxa"/>
                  <w:noWrap w:val="0"/>
                  <w:vAlign w:val="center"/>
                </w:tcPr>
                <w:p w14:paraId="6F82CD5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防坠网</w:t>
                  </w:r>
                </w:p>
              </w:tc>
              <w:tc>
                <w:tcPr>
                  <w:tcW w:w="1035" w:type="dxa"/>
                  <w:noWrap w:val="0"/>
                  <w:vAlign w:val="center"/>
                </w:tcPr>
                <w:p w14:paraId="42C6339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494" w:type="dxa"/>
                  <w:noWrap w:val="0"/>
                  <w:vAlign w:val="center"/>
                </w:tcPr>
                <w:p w14:paraId="3EB158F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r>
            <w:tr w14:paraId="6AF9B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DC460C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4119" w:type="dxa"/>
                  <w:noWrap w:val="0"/>
                  <w:vAlign w:val="center"/>
                </w:tcPr>
                <w:p w14:paraId="1A6DAF6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道路交安设施恢复费</w:t>
                  </w:r>
                </w:p>
              </w:tc>
              <w:tc>
                <w:tcPr>
                  <w:tcW w:w="1035" w:type="dxa"/>
                  <w:noWrap w:val="0"/>
                  <w:vAlign w:val="center"/>
                </w:tcPr>
                <w:p w14:paraId="7917C4D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494" w:type="dxa"/>
                  <w:noWrap w:val="0"/>
                  <w:vAlign w:val="center"/>
                </w:tcPr>
                <w:p w14:paraId="22FC721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9D75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330326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4119" w:type="dxa"/>
                  <w:noWrap w:val="0"/>
                  <w:vAlign w:val="center"/>
                </w:tcPr>
                <w:p w14:paraId="5FA6A12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保通道路工程</w:t>
                  </w:r>
                </w:p>
              </w:tc>
              <w:tc>
                <w:tcPr>
                  <w:tcW w:w="1035" w:type="dxa"/>
                  <w:noWrap w:val="0"/>
                  <w:vAlign w:val="center"/>
                </w:tcPr>
                <w:p w14:paraId="272D141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494" w:type="dxa"/>
                  <w:noWrap w:val="0"/>
                  <w:vAlign w:val="center"/>
                </w:tcPr>
                <w:p w14:paraId="7166412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A925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73D7AC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28D8E28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衡山工业园片排水管网新建工程</w:t>
                  </w:r>
                </w:p>
              </w:tc>
              <w:tc>
                <w:tcPr>
                  <w:tcW w:w="1035" w:type="dxa"/>
                  <w:noWrap w:val="0"/>
                  <w:vAlign w:val="center"/>
                </w:tcPr>
                <w:p w14:paraId="05729C6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6B6E1B3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A098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F96896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4119" w:type="dxa"/>
                  <w:noWrap w:val="0"/>
                  <w:vAlign w:val="center"/>
                </w:tcPr>
                <w:p w14:paraId="41A491E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noWrap w:val="0"/>
                  <w:vAlign w:val="center"/>
                </w:tcPr>
                <w:p w14:paraId="2DC1648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78A12FC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D179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12B6E6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4E19D58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35" w:type="dxa"/>
                  <w:noWrap w:val="0"/>
                  <w:vAlign w:val="center"/>
                </w:tcPr>
                <w:p w14:paraId="2BBFBCA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B1841A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1259.683</w:t>
                  </w:r>
                </w:p>
              </w:tc>
            </w:tr>
            <w:tr w14:paraId="2BCCA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427681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431240B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35" w:type="dxa"/>
                  <w:noWrap w:val="0"/>
                  <w:vAlign w:val="center"/>
                </w:tcPr>
                <w:p w14:paraId="6ABDF97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2E231C1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84123.447</w:t>
                  </w:r>
                </w:p>
              </w:tc>
            </w:tr>
            <w:tr w14:paraId="128F6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53F06B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29090D7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35" w:type="dxa"/>
                  <w:noWrap w:val="0"/>
                  <w:vAlign w:val="center"/>
                </w:tcPr>
                <w:p w14:paraId="26B81D2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0E64F8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84123.447</w:t>
                  </w:r>
                </w:p>
              </w:tc>
            </w:tr>
            <w:tr w14:paraId="5C574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3E6994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540F67D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noWrap w:val="0"/>
                  <w:vAlign w:val="center"/>
                </w:tcPr>
                <w:p w14:paraId="0EBCDAB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1AD341D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71504.93</w:t>
                  </w:r>
                </w:p>
              </w:tc>
            </w:tr>
            <w:tr w14:paraId="625D7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F8BF55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p>
              </w:tc>
              <w:tc>
                <w:tcPr>
                  <w:tcW w:w="4119" w:type="dxa"/>
                  <w:noWrap w:val="0"/>
                  <w:vAlign w:val="center"/>
                </w:tcPr>
                <w:p w14:paraId="5155D39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noWrap w:val="0"/>
                  <w:vAlign w:val="center"/>
                </w:tcPr>
                <w:p w14:paraId="4C4C8F8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376D79E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B42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B2C046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696C7A7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中粗砂</w:t>
                  </w:r>
                </w:p>
              </w:tc>
              <w:tc>
                <w:tcPr>
                  <w:tcW w:w="1035" w:type="dxa"/>
                  <w:noWrap w:val="0"/>
                  <w:vAlign w:val="center"/>
                </w:tcPr>
                <w:p w14:paraId="039C518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2186097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2211</w:t>
                  </w:r>
                </w:p>
              </w:tc>
            </w:tr>
            <w:tr w14:paraId="48CFF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36E20A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6866F9F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noWrap w:val="0"/>
                  <w:vAlign w:val="center"/>
                </w:tcPr>
                <w:p w14:paraId="750D1D7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591AF59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125.28</w:t>
                  </w:r>
                </w:p>
              </w:tc>
            </w:tr>
            <w:tr w14:paraId="4222D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9D5687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4119" w:type="dxa"/>
                  <w:noWrap w:val="0"/>
                  <w:vAlign w:val="center"/>
                </w:tcPr>
                <w:p w14:paraId="1BC4482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雨污水管</w:t>
                  </w:r>
                </w:p>
              </w:tc>
              <w:tc>
                <w:tcPr>
                  <w:tcW w:w="1035" w:type="dxa"/>
                  <w:noWrap w:val="0"/>
                  <w:vAlign w:val="center"/>
                </w:tcPr>
                <w:p w14:paraId="17EF11F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144B1E7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3531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6C67C24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6D34ED6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DN800Ⅱ级钢筋混凝土管</w:t>
                  </w:r>
                </w:p>
              </w:tc>
              <w:tc>
                <w:tcPr>
                  <w:tcW w:w="1035" w:type="dxa"/>
                  <w:noWrap w:val="0"/>
                  <w:vAlign w:val="center"/>
                </w:tcPr>
                <w:p w14:paraId="0F177FC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1C30FE5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3100</w:t>
                  </w:r>
                </w:p>
              </w:tc>
            </w:tr>
            <w:tr w14:paraId="22352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079DA2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51CBB17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DN500Ⅱ级钢筋混凝土管</w:t>
                  </w:r>
                </w:p>
              </w:tc>
              <w:tc>
                <w:tcPr>
                  <w:tcW w:w="1035" w:type="dxa"/>
                  <w:noWrap w:val="0"/>
                  <w:vAlign w:val="center"/>
                </w:tcPr>
                <w:p w14:paraId="20C71C4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35BADB0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1285</w:t>
                  </w:r>
                </w:p>
              </w:tc>
            </w:tr>
            <w:tr w14:paraId="2059E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0E6CD4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73CFCFB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DN400Ⅱ级钢筋混凝土管</w:t>
                  </w:r>
                </w:p>
              </w:tc>
              <w:tc>
                <w:tcPr>
                  <w:tcW w:w="1035" w:type="dxa"/>
                  <w:noWrap w:val="0"/>
                  <w:vAlign w:val="center"/>
                </w:tcPr>
                <w:p w14:paraId="49CFA27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7F10A9E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450</w:t>
                  </w:r>
                </w:p>
              </w:tc>
            </w:tr>
            <w:tr w14:paraId="1CC3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DDDE86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6A9EEE9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DN600Ⅱ级钢筋混凝土管</w:t>
                  </w:r>
                </w:p>
              </w:tc>
              <w:tc>
                <w:tcPr>
                  <w:tcW w:w="1035" w:type="dxa"/>
                  <w:noWrap w:val="0"/>
                  <w:vAlign w:val="center"/>
                </w:tcPr>
                <w:p w14:paraId="133FADA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4289E2A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1050</w:t>
                  </w:r>
                </w:p>
              </w:tc>
            </w:tr>
            <w:tr w14:paraId="55321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CD1787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noWrap w:val="0"/>
                  <w:vAlign w:val="center"/>
                </w:tcPr>
                <w:p w14:paraId="1AD5B6E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DN1000Ⅱ级钢筋混凝土管</w:t>
                  </w:r>
                </w:p>
              </w:tc>
              <w:tc>
                <w:tcPr>
                  <w:tcW w:w="1035" w:type="dxa"/>
                  <w:noWrap w:val="0"/>
                  <w:vAlign w:val="center"/>
                </w:tcPr>
                <w:p w14:paraId="7F1B2C4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0FE9D9A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w:t>
                  </w:r>
                </w:p>
              </w:tc>
            </w:tr>
            <w:tr w14:paraId="248A2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09BCA8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noWrap w:val="0"/>
                  <w:vAlign w:val="center"/>
                </w:tcPr>
                <w:p w14:paraId="300C703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DN1200Ⅱ级钢筋混凝土管</w:t>
                  </w:r>
                </w:p>
              </w:tc>
              <w:tc>
                <w:tcPr>
                  <w:tcW w:w="1035" w:type="dxa"/>
                  <w:noWrap w:val="0"/>
                  <w:vAlign w:val="center"/>
                </w:tcPr>
                <w:p w14:paraId="0418E2B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4BA7E42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w:t>
                  </w:r>
                </w:p>
              </w:tc>
            </w:tr>
            <w:tr w14:paraId="57544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916A57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119" w:type="dxa"/>
                  <w:noWrap w:val="0"/>
                  <w:vAlign w:val="center"/>
                </w:tcPr>
                <w:p w14:paraId="73A48BE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DN300HDPE缠绕管</w:t>
                  </w:r>
                </w:p>
              </w:tc>
              <w:tc>
                <w:tcPr>
                  <w:tcW w:w="1035" w:type="dxa"/>
                  <w:noWrap w:val="0"/>
                  <w:vAlign w:val="center"/>
                </w:tcPr>
                <w:p w14:paraId="47745D1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26BC055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2048</w:t>
                  </w:r>
                </w:p>
              </w:tc>
            </w:tr>
            <w:tr w14:paraId="16794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4747AA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p>
              </w:tc>
              <w:tc>
                <w:tcPr>
                  <w:tcW w:w="4119" w:type="dxa"/>
                  <w:noWrap w:val="0"/>
                  <w:vAlign w:val="center"/>
                </w:tcPr>
                <w:p w14:paraId="2826CDD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35" w:type="dxa"/>
                  <w:noWrap w:val="0"/>
                  <w:vAlign w:val="center"/>
                </w:tcPr>
                <w:p w14:paraId="5747246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39AD12C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7EA3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039DD8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41AF3AE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C25垫层</w:t>
                  </w:r>
                </w:p>
              </w:tc>
              <w:tc>
                <w:tcPr>
                  <w:tcW w:w="1035" w:type="dxa"/>
                  <w:noWrap w:val="0"/>
                  <w:vAlign w:val="center"/>
                </w:tcPr>
                <w:p w14:paraId="237EEB0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02743F1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765.94</w:t>
                  </w:r>
                </w:p>
              </w:tc>
            </w:tr>
            <w:tr w14:paraId="62D84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5CC88A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4E7551A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C40预制箱式涵洞</w:t>
                  </w:r>
                </w:p>
              </w:tc>
              <w:tc>
                <w:tcPr>
                  <w:tcW w:w="1035" w:type="dxa"/>
                  <w:noWrap w:val="0"/>
                  <w:vAlign w:val="center"/>
                </w:tcPr>
                <w:p w14:paraId="646069E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4968899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7585.27</w:t>
                  </w:r>
                </w:p>
              </w:tc>
            </w:tr>
            <w:tr w14:paraId="1A179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1BC011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5FCB388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C30钢筋砼渠道底板</w:t>
                  </w:r>
                </w:p>
              </w:tc>
              <w:tc>
                <w:tcPr>
                  <w:tcW w:w="1035" w:type="dxa"/>
                  <w:noWrap w:val="0"/>
                  <w:vAlign w:val="center"/>
                </w:tcPr>
                <w:p w14:paraId="0171C0F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53A1676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476.06</w:t>
                  </w:r>
                </w:p>
              </w:tc>
            </w:tr>
            <w:tr w14:paraId="0CA93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BEAA39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195842C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C30钢筋砼渠道立墙</w:t>
                  </w:r>
                </w:p>
              </w:tc>
              <w:tc>
                <w:tcPr>
                  <w:tcW w:w="1035" w:type="dxa"/>
                  <w:noWrap w:val="0"/>
                  <w:vAlign w:val="center"/>
                </w:tcPr>
                <w:p w14:paraId="35D867A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CCBDFA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748.3</w:t>
                  </w:r>
                </w:p>
              </w:tc>
            </w:tr>
            <w:tr w14:paraId="2838E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BDB91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noWrap w:val="0"/>
                  <w:vAlign w:val="center"/>
                </w:tcPr>
                <w:p w14:paraId="0109FAF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035" w:type="dxa"/>
                  <w:noWrap w:val="0"/>
                  <w:vAlign w:val="center"/>
                </w:tcPr>
                <w:p w14:paraId="7D4F354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494" w:type="dxa"/>
                  <w:noWrap w:val="0"/>
                  <w:vAlign w:val="center"/>
                </w:tcPr>
                <w:p w14:paraId="4471503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880.97</w:t>
                  </w:r>
                </w:p>
              </w:tc>
            </w:tr>
            <w:tr w14:paraId="6F391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29EBCC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noWrap w:val="0"/>
                  <w:vAlign w:val="center"/>
                </w:tcPr>
                <w:p w14:paraId="0C2F355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35" w:type="dxa"/>
                  <w:noWrap w:val="0"/>
                  <w:vAlign w:val="center"/>
                </w:tcPr>
                <w:p w14:paraId="71B0C75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4FE12D4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1224.36</w:t>
                  </w:r>
                </w:p>
              </w:tc>
            </w:tr>
            <w:tr w14:paraId="29E6D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D342B2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119" w:type="dxa"/>
                  <w:noWrap w:val="0"/>
                  <w:vAlign w:val="center"/>
                </w:tcPr>
                <w:p w14:paraId="45AAA09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D1250钢筋混凝土检查井</w:t>
                  </w:r>
                </w:p>
              </w:tc>
              <w:tc>
                <w:tcPr>
                  <w:tcW w:w="1035" w:type="dxa"/>
                  <w:noWrap w:val="0"/>
                  <w:vAlign w:val="center"/>
                </w:tcPr>
                <w:p w14:paraId="61582EA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671CBB4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w:t>
                  </w:r>
                </w:p>
              </w:tc>
            </w:tr>
            <w:tr w14:paraId="1F9A6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4FCF2C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119" w:type="dxa"/>
                  <w:noWrap w:val="0"/>
                  <w:vAlign w:val="center"/>
                </w:tcPr>
                <w:p w14:paraId="788871D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D1000钢筋混凝土检查井</w:t>
                  </w:r>
                </w:p>
              </w:tc>
              <w:tc>
                <w:tcPr>
                  <w:tcW w:w="1035" w:type="dxa"/>
                  <w:noWrap w:val="0"/>
                  <w:vAlign w:val="center"/>
                </w:tcPr>
                <w:p w14:paraId="11AE456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14E6FCD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w:t>
                  </w:r>
                </w:p>
              </w:tc>
            </w:tr>
            <w:tr w14:paraId="0049C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C204D5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119" w:type="dxa"/>
                  <w:noWrap w:val="0"/>
                  <w:vAlign w:val="center"/>
                </w:tcPr>
                <w:p w14:paraId="1583693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1300*1100钢筋混凝土检查井</w:t>
                  </w:r>
                </w:p>
              </w:tc>
              <w:tc>
                <w:tcPr>
                  <w:tcW w:w="1035" w:type="dxa"/>
                  <w:noWrap w:val="0"/>
                  <w:vAlign w:val="center"/>
                </w:tcPr>
                <w:p w14:paraId="5E41269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5CEC65C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r>
            <w:tr w14:paraId="02415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CE8238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119" w:type="dxa"/>
                  <w:noWrap w:val="0"/>
                  <w:vAlign w:val="center"/>
                </w:tcPr>
                <w:p w14:paraId="23B75A7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1500*1100钢筋混凝土检查井</w:t>
                  </w:r>
                </w:p>
              </w:tc>
              <w:tc>
                <w:tcPr>
                  <w:tcW w:w="1035" w:type="dxa"/>
                  <w:noWrap w:val="0"/>
                  <w:vAlign w:val="center"/>
                </w:tcPr>
                <w:p w14:paraId="127BF43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5874B64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r>
            <w:tr w14:paraId="1D614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8EBAF8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119" w:type="dxa"/>
                  <w:noWrap w:val="0"/>
                  <w:vAlign w:val="center"/>
                </w:tcPr>
                <w:p w14:paraId="60CEFC1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2030*960雨水篦子</w:t>
                  </w:r>
                </w:p>
              </w:tc>
              <w:tc>
                <w:tcPr>
                  <w:tcW w:w="1035" w:type="dxa"/>
                  <w:noWrap w:val="0"/>
                  <w:vAlign w:val="center"/>
                </w:tcPr>
                <w:p w14:paraId="70EB8E6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1201220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256</w:t>
                  </w:r>
                </w:p>
              </w:tc>
            </w:tr>
            <w:tr w14:paraId="7C7C0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C49A81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119" w:type="dxa"/>
                  <w:noWrap w:val="0"/>
                  <w:vAlign w:val="center"/>
                </w:tcPr>
                <w:p w14:paraId="2A04876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八字口</w:t>
                  </w:r>
                </w:p>
              </w:tc>
              <w:tc>
                <w:tcPr>
                  <w:tcW w:w="1035" w:type="dxa"/>
                  <w:noWrap w:val="0"/>
                  <w:vAlign w:val="center"/>
                </w:tcPr>
                <w:p w14:paraId="3C46358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noWrap w:val="0"/>
                  <w:vAlign w:val="center"/>
                </w:tcPr>
                <w:p w14:paraId="7B0DEE5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1F5F0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5B4B097F">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119" w:type="dxa"/>
                  <w:noWrap w:val="0"/>
                  <w:vAlign w:val="center"/>
                </w:tcPr>
                <w:p w14:paraId="59A2DEA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35" w:type="dxa"/>
                  <w:noWrap w:val="0"/>
                  <w:vAlign w:val="center"/>
                </w:tcPr>
                <w:p w14:paraId="70E7AFE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noWrap w:val="0"/>
                  <w:vAlign w:val="center"/>
                </w:tcPr>
                <w:p w14:paraId="3679DB6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880.97</w:t>
                  </w:r>
                </w:p>
              </w:tc>
            </w:tr>
            <w:tr w14:paraId="4DD06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E62B57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4119" w:type="dxa"/>
                  <w:noWrap w:val="0"/>
                  <w:vAlign w:val="center"/>
                </w:tcPr>
                <w:p w14:paraId="51989B0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noWrap w:val="0"/>
                  <w:vAlign w:val="center"/>
                </w:tcPr>
                <w:p w14:paraId="5F04F33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524BAD92">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3EBE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8BDD52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3.5.1</w:t>
                  </w:r>
                </w:p>
              </w:tc>
              <w:tc>
                <w:tcPr>
                  <w:tcW w:w="4119" w:type="dxa"/>
                  <w:noWrap w:val="0"/>
                  <w:vAlign w:val="center"/>
                </w:tcPr>
                <w:p w14:paraId="2E1041D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混凝土道路开挖恢复</w:t>
                  </w:r>
                </w:p>
              </w:tc>
              <w:tc>
                <w:tcPr>
                  <w:tcW w:w="1035" w:type="dxa"/>
                  <w:noWrap w:val="0"/>
                  <w:vAlign w:val="center"/>
                </w:tcPr>
                <w:p w14:paraId="7C64509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noWrap w:val="0"/>
                  <w:vAlign w:val="center"/>
                </w:tcPr>
                <w:p w14:paraId="318FDA9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B02D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D0FF70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6F28AA3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厚水泥砼面层</w:t>
                  </w:r>
                </w:p>
              </w:tc>
              <w:tc>
                <w:tcPr>
                  <w:tcW w:w="1035" w:type="dxa"/>
                  <w:noWrap w:val="0"/>
                  <w:vAlign w:val="center"/>
                </w:tcPr>
                <w:p w14:paraId="59437E3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742C8A5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24290</w:t>
                  </w:r>
                </w:p>
              </w:tc>
            </w:tr>
            <w:tr w14:paraId="08414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B84A62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1ED2DE7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200厚级配碎石</w:t>
                  </w:r>
                </w:p>
              </w:tc>
              <w:tc>
                <w:tcPr>
                  <w:tcW w:w="1035" w:type="dxa"/>
                  <w:noWrap w:val="0"/>
                  <w:vAlign w:val="center"/>
                </w:tcPr>
                <w:p w14:paraId="42CD95B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47AA530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24290</w:t>
                  </w:r>
                </w:p>
              </w:tc>
            </w:tr>
            <w:tr w14:paraId="6D2B8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1640DEA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3.5.2</w:t>
                  </w:r>
                </w:p>
              </w:tc>
              <w:tc>
                <w:tcPr>
                  <w:tcW w:w="4119" w:type="dxa"/>
                  <w:noWrap w:val="0"/>
                  <w:vAlign w:val="center"/>
                </w:tcPr>
                <w:p w14:paraId="2EB478D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沥青道路开挖恢复</w:t>
                  </w:r>
                </w:p>
              </w:tc>
              <w:tc>
                <w:tcPr>
                  <w:tcW w:w="1035" w:type="dxa"/>
                  <w:noWrap w:val="0"/>
                  <w:vAlign w:val="center"/>
                </w:tcPr>
                <w:p w14:paraId="55FA1B3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494" w:type="dxa"/>
                  <w:noWrap w:val="0"/>
                  <w:vAlign w:val="center"/>
                </w:tcPr>
                <w:p w14:paraId="62C0F04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p>
              </w:tc>
            </w:tr>
            <w:tr w14:paraId="217EA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BDFCF9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noWrap w:val="0"/>
                  <w:vAlign w:val="center"/>
                </w:tcPr>
                <w:p w14:paraId="7CD4EF3A">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细粒式沥青砼厚40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2E1775B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399FD21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4DDAA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51D23F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noWrap w:val="0"/>
                  <w:vAlign w:val="center"/>
                </w:tcPr>
                <w:p w14:paraId="75AF6BA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noWrap w:val="0"/>
                  <w:vAlign w:val="center"/>
                </w:tcPr>
                <w:p w14:paraId="674DC46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7A10217C">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4FB58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34D8F7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noWrap w:val="0"/>
                  <w:vAlign w:val="center"/>
                </w:tcPr>
                <w:p w14:paraId="4200CB5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玻纤格栅</w:t>
                  </w:r>
                </w:p>
              </w:tc>
              <w:tc>
                <w:tcPr>
                  <w:tcW w:w="1035" w:type="dxa"/>
                  <w:noWrap w:val="0"/>
                  <w:vAlign w:val="center"/>
                </w:tcPr>
                <w:p w14:paraId="6A81418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13070D73">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155D4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0C1163E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noWrap w:val="0"/>
                  <w:vAlign w:val="center"/>
                </w:tcPr>
                <w:p w14:paraId="3414636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35" w:type="dxa"/>
                  <w:noWrap w:val="0"/>
                  <w:vAlign w:val="center"/>
                </w:tcPr>
                <w:p w14:paraId="5B390CE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339758D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55576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48A6CD3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noWrap w:val="0"/>
                  <w:vAlign w:val="center"/>
                </w:tcPr>
                <w:p w14:paraId="06450CAE">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厚C30水泥砼</w:t>
                  </w:r>
                </w:p>
              </w:tc>
              <w:tc>
                <w:tcPr>
                  <w:tcW w:w="1035" w:type="dxa"/>
                  <w:noWrap w:val="0"/>
                  <w:vAlign w:val="center"/>
                </w:tcPr>
                <w:p w14:paraId="7F725FE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3E46703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79C05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3816214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noWrap w:val="0"/>
                  <w:vAlign w:val="center"/>
                </w:tcPr>
                <w:p w14:paraId="600B7A24">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200厚级配碎石</w:t>
                  </w:r>
                </w:p>
              </w:tc>
              <w:tc>
                <w:tcPr>
                  <w:tcW w:w="1035" w:type="dxa"/>
                  <w:noWrap w:val="0"/>
                  <w:vAlign w:val="center"/>
                </w:tcPr>
                <w:p w14:paraId="1E23E30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2C1AA3C7">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5864D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73A2CF1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3.5.3</w:t>
                  </w:r>
                </w:p>
              </w:tc>
              <w:tc>
                <w:tcPr>
                  <w:tcW w:w="4119" w:type="dxa"/>
                  <w:noWrap w:val="0"/>
                  <w:vAlign w:val="center"/>
                </w:tcPr>
                <w:p w14:paraId="2D89D630">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道路拆除外运</w:t>
                  </w:r>
                </w:p>
              </w:tc>
              <w:tc>
                <w:tcPr>
                  <w:tcW w:w="1035" w:type="dxa"/>
                  <w:noWrap w:val="0"/>
                  <w:vAlign w:val="center"/>
                </w:tcPr>
                <w:p w14:paraId="7B45682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noWrap w:val="0"/>
                  <w:vAlign w:val="center"/>
                </w:tcPr>
                <w:p w14:paraId="7932915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11316</w:t>
                  </w:r>
                </w:p>
              </w:tc>
            </w:tr>
            <w:tr w14:paraId="2DA1A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noWrap w:val="0"/>
                  <w:vAlign w:val="center"/>
                </w:tcPr>
                <w:p w14:paraId="2EEAE61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3.5.4</w:t>
                  </w:r>
                </w:p>
              </w:tc>
              <w:tc>
                <w:tcPr>
                  <w:tcW w:w="4119" w:type="dxa"/>
                  <w:noWrap w:val="0"/>
                  <w:vAlign w:val="center"/>
                </w:tcPr>
                <w:p w14:paraId="7AB856A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石材栏杆</w:t>
                  </w:r>
                </w:p>
              </w:tc>
              <w:tc>
                <w:tcPr>
                  <w:tcW w:w="1035" w:type="dxa"/>
                  <w:noWrap w:val="0"/>
                  <w:vAlign w:val="center"/>
                </w:tcPr>
                <w:p w14:paraId="5F4B1CC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noWrap w:val="0"/>
                  <w:vAlign w:val="center"/>
                </w:tcPr>
                <w:p w14:paraId="1E6222F6">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626.4</w:t>
                  </w:r>
                </w:p>
              </w:tc>
            </w:tr>
          </w:tbl>
          <w:p w14:paraId="7CF8105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val="en-US"/>
                <w14:textFill>
                  <w14:solidFill>
                    <w14:schemeClr w14:val="tx1"/>
                  </w14:solidFill>
                </w14:textFill>
              </w:rPr>
              <w:t>项目使用块石料、细石料</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其他施工材料以及</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砼制品全部在本地采购。</w:t>
            </w:r>
          </w:p>
          <w:p w14:paraId="3FE3CB83">
            <w:pPr>
              <w:keepNext w:val="0"/>
              <w:keepLines w:val="0"/>
              <w:pageBreakBefore w:val="0"/>
              <w:widowControl w:val="0"/>
              <w:suppressLineNumbers w:val="0"/>
              <w:spacing w:before="0" w:beforeAutospacing="0" w:after="0" w:afterAutospacing="0" w:line="360" w:lineRule="auto"/>
              <w:ind w:left="480" w:right="0" w:firstLine="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4、工程占地</w:t>
            </w:r>
          </w:p>
          <w:p w14:paraId="3E061CD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lang w:val="en-US" w:eastAsia="zh-CN"/>
                <w14:textFill>
                  <w14:solidFill>
                    <w14:schemeClr w14:val="tx1"/>
                  </w14:solidFill>
                </w14:textFill>
              </w:rPr>
              <w:t>本工程涉及土地总面积359.84亩，其中永久占地223.33亩，包括耕地65.43亩，园地6.14亩，林地25.51亩，草地22.35亩，住宅用地22.19亩，特殊用地0.11亩，交通运输用地32.51亩，水域及水利设施用地48.96亩，其他土地0.13亩；临时用地136.51亩，包括耕地70.95亩，园地3.35亩，林地14.77亩，草地12.86亩，商服用地20.04亩，工矿仓储用地0.74亩，住宅用地8.50亩，交通运输用地0.72亩，水域及水利设施用地4.57亩。</w:t>
            </w:r>
          </w:p>
          <w:p w14:paraId="3575D9E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永久占地均为泵站占地，包含新建泵站及改建泵站。临时占地主要为市政排水工程、小区排水工程、施工生产生活区、临时堆土区及临时施工道路区占地。</w:t>
            </w:r>
          </w:p>
          <w:p w14:paraId="5F863DB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根据六安市霍山县排水防涝能力提升项目用地预审与选址意见书（见附件</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）可知，项目用地位于霍山县黑石渡镇、衡山镇、佛子岭镇境内，总用地面积14.8936公顷，其中农用地11.1394公顷(其中耕地4.5962公顷)、建设用地2.2128公顷、未利用地1.5414公顷。</w:t>
            </w:r>
            <w:r>
              <w:rPr>
                <w:rFonts w:hint="eastAsia" w:cs="Times New Roman"/>
                <w:color w:val="000000" w:themeColor="text1"/>
                <w:sz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2025年11月19日《霍山县自然资源和规划局关于六安市霍山县排水防涝能力提升项目预审与规划选址意见的复函》（霍自然资函[2025]38号）中内容</w:t>
            </w:r>
            <w:r>
              <w:rPr>
                <w:rFonts w:hint="eastAsia" w:cs="Times New Roman"/>
                <w:color w:val="000000" w:themeColor="text1"/>
                <w:sz w:val="24"/>
                <w:highlight w:val="none"/>
                <w:lang w:val="en-US" w:eastAsia="zh-CN"/>
                <w14:textFill>
                  <w14:solidFill>
                    <w14:schemeClr w14:val="tx1"/>
                  </w14:solidFill>
                </w14:textFill>
              </w:rPr>
              <w:t>可知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，项目用地位于霍山县佛子岭镇、黑石渡镇和衡山镇境内，用地范围内不涉及占用生态保护红线和永久基本农田。</w:t>
            </w:r>
          </w:p>
          <w:p w14:paraId="456F826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表2-26 </w:t>
            </w:r>
            <w:r>
              <w:rPr>
                <w:rFonts w:hint="eastAsia"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占地类型一览表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
              <w:gridCol w:w="2698"/>
              <w:gridCol w:w="1277"/>
              <w:gridCol w:w="1686"/>
              <w:gridCol w:w="1481"/>
            </w:tblGrid>
            <w:tr w14:paraId="2F627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34D5F66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250" w:type="dxa"/>
                  <w:noWrap w:val="0"/>
                  <w:vAlign w:val="center"/>
                </w:tcPr>
                <w:p w14:paraId="1634393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1065" w:type="dxa"/>
                  <w:noWrap w:val="0"/>
                  <w:vAlign w:val="center"/>
                </w:tcPr>
                <w:p w14:paraId="707F7D9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2640" w:type="dxa"/>
                  <w:gridSpan w:val="2"/>
                  <w:noWrap w:val="0"/>
                  <w:vAlign w:val="center"/>
                </w:tcPr>
                <w:p w14:paraId="60FDF6D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p>
              </w:tc>
            </w:tr>
            <w:tr w14:paraId="49C08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31F5E36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250" w:type="dxa"/>
                  <w:noWrap w:val="0"/>
                  <w:vAlign w:val="center"/>
                </w:tcPr>
                <w:p w14:paraId="039072C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耕地</w:t>
                  </w:r>
                </w:p>
              </w:tc>
              <w:tc>
                <w:tcPr>
                  <w:tcW w:w="1065" w:type="dxa"/>
                  <w:noWrap w:val="0"/>
                  <w:vAlign w:val="center"/>
                </w:tcPr>
                <w:p w14:paraId="3144F75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0BC31D2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永久占地</w:t>
                  </w:r>
                </w:p>
              </w:tc>
              <w:tc>
                <w:tcPr>
                  <w:tcW w:w="1234" w:type="dxa"/>
                  <w:noWrap w:val="0"/>
                  <w:vAlign w:val="center"/>
                </w:tcPr>
                <w:p w14:paraId="0A2B2C6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临时用地</w:t>
                  </w:r>
                </w:p>
              </w:tc>
            </w:tr>
            <w:tr w14:paraId="6900C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1251BAB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73F206D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水田</w:t>
                  </w:r>
                </w:p>
              </w:tc>
              <w:tc>
                <w:tcPr>
                  <w:tcW w:w="1065" w:type="dxa"/>
                  <w:noWrap w:val="0"/>
                  <w:vAlign w:val="center"/>
                </w:tcPr>
                <w:p w14:paraId="00621D5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21D5FF1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37.14</w:t>
                  </w:r>
                </w:p>
              </w:tc>
              <w:tc>
                <w:tcPr>
                  <w:tcW w:w="1234" w:type="dxa"/>
                  <w:noWrap w:val="0"/>
                  <w:vAlign w:val="center"/>
                </w:tcPr>
                <w:p w14:paraId="0D14C7E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69.11</w:t>
                  </w:r>
                </w:p>
              </w:tc>
            </w:tr>
            <w:tr w14:paraId="1B0B3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03D6A89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54C24F9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旱地</w:t>
                  </w:r>
                </w:p>
              </w:tc>
              <w:tc>
                <w:tcPr>
                  <w:tcW w:w="1065" w:type="dxa"/>
                  <w:noWrap w:val="0"/>
                  <w:vAlign w:val="center"/>
                </w:tcPr>
                <w:p w14:paraId="576FFF0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243CCAF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28.29</w:t>
                  </w:r>
                </w:p>
              </w:tc>
              <w:tc>
                <w:tcPr>
                  <w:tcW w:w="1234" w:type="dxa"/>
                  <w:noWrap w:val="0"/>
                  <w:vAlign w:val="center"/>
                </w:tcPr>
                <w:p w14:paraId="44F3B5C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1.84</w:t>
                  </w:r>
                </w:p>
              </w:tc>
            </w:tr>
            <w:tr w14:paraId="788E7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41EE1E8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250" w:type="dxa"/>
                  <w:noWrap w:val="0"/>
                  <w:vAlign w:val="center"/>
                </w:tcPr>
                <w:p w14:paraId="1095146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园地</w:t>
                  </w:r>
                </w:p>
              </w:tc>
              <w:tc>
                <w:tcPr>
                  <w:tcW w:w="1065" w:type="dxa"/>
                  <w:noWrap w:val="0"/>
                  <w:vAlign w:val="center"/>
                </w:tcPr>
                <w:p w14:paraId="18434F6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51AC38A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6BA6F13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ED94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7409767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2D99DFC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果园</w:t>
                  </w:r>
                </w:p>
              </w:tc>
              <w:tc>
                <w:tcPr>
                  <w:tcW w:w="1065" w:type="dxa"/>
                  <w:noWrap w:val="0"/>
                  <w:vAlign w:val="center"/>
                </w:tcPr>
                <w:p w14:paraId="254B7A9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5E0321F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0.69</w:t>
                  </w:r>
                </w:p>
              </w:tc>
              <w:tc>
                <w:tcPr>
                  <w:tcW w:w="1234" w:type="dxa"/>
                  <w:noWrap w:val="0"/>
                  <w:vAlign w:val="center"/>
                </w:tcPr>
                <w:p w14:paraId="56D47F7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2B20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4270ACB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45492C2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茶园</w:t>
                  </w:r>
                </w:p>
              </w:tc>
              <w:tc>
                <w:tcPr>
                  <w:tcW w:w="1065" w:type="dxa"/>
                  <w:noWrap w:val="0"/>
                  <w:vAlign w:val="center"/>
                </w:tcPr>
                <w:p w14:paraId="115B132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3F30AE5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2.58</w:t>
                  </w:r>
                </w:p>
              </w:tc>
              <w:tc>
                <w:tcPr>
                  <w:tcW w:w="1234" w:type="dxa"/>
                  <w:noWrap w:val="0"/>
                  <w:vAlign w:val="center"/>
                </w:tcPr>
                <w:p w14:paraId="4F2B41E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3.35</w:t>
                  </w:r>
                </w:p>
              </w:tc>
            </w:tr>
            <w:tr w14:paraId="127A9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41029CB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49E3F01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其他园地</w:t>
                  </w:r>
                </w:p>
              </w:tc>
              <w:tc>
                <w:tcPr>
                  <w:tcW w:w="1065" w:type="dxa"/>
                  <w:noWrap w:val="0"/>
                  <w:vAlign w:val="center"/>
                </w:tcPr>
                <w:p w14:paraId="3B43B5E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52FD0D4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2.86</w:t>
                  </w:r>
                </w:p>
              </w:tc>
              <w:tc>
                <w:tcPr>
                  <w:tcW w:w="1234" w:type="dxa"/>
                  <w:noWrap w:val="0"/>
                  <w:vAlign w:val="center"/>
                </w:tcPr>
                <w:p w14:paraId="2008BB5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FE9B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4083329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250" w:type="dxa"/>
                  <w:noWrap w:val="0"/>
                  <w:vAlign w:val="center"/>
                </w:tcPr>
                <w:p w14:paraId="3A496A7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林地</w:t>
                  </w:r>
                </w:p>
              </w:tc>
              <w:tc>
                <w:tcPr>
                  <w:tcW w:w="1065" w:type="dxa"/>
                  <w:noWrap w:val="0"/>
                  <w:vAlign w:val="center"/>
                </w:tcPr>
                <w:p w14:paraId="5FBE9FD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46F2A2C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4991CB5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6E11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7FF9C70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494200F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乔木林地</w:t>
                  </w:r>
                </w:p>
              </w:tc>
              <w:tc>
                <w:tcPr>
                  <w:tcW w:w="1065" w:type="dxa"/>
                  <w:noWrap w:val="0"/>
                  <w:vAlign w:val="center"/>
                </w:tcPr>
                <w:p w14:paraId="225F153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0088602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13.44</w:t>
                  </w:r>
                </w:p>
              </w:tc>
              <w:tc>
                <w:tcPr>
                  <w:tcW w:w="1234" w:type="dxa"/>
                  <w:noWrap w:val="0"/>
                  <w:vAlign w:val="center"/>
                </w:tcPr>
                <w:p w14:paraId="722F900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6.07</w:t>
                  </w:r>
                </w:p>
              </w:tc>
            </w:tr>
            <w:tr w14:paraId="52D26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2A90ED8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2462D2E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竹林地</w:t>
                  </w:r>
                </w:p>
              </w:tc>
              <w:tc>
                <w:tcPr>
                  <w:tcW w:w="1065" w:type="dxa"/>
                  <w:noWrap w:val="0"/>
                  <w:vAlign w:val="center"/>
                </w:tcPr>
                <w:p w14:paraId="5C05649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07FC079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0.98</w:t>
                  </w:r>
                </w:p>
              </w:tc>
              <w:tc>
                <w:tcPr>
                  <w:tcW w:w="1234" w:type="dxa"/>
                  <w:noWrap w:val="0"/>
                  <w:vAlign w:val="center"/>
                </w:tcPr>
                <w:p w14:paraId="2721264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6F3C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1D13559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512A1DA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其他林地</w:t>
                  </w:r>
                </w:p>
              </w:tc>
              <w:tc>
                <w:tcPr>
                  <w:tcW w:w="1065" w:type="dxa"/>
                  <w:noWrap w:val="0"/>
                  <w:vAlign w:val="center"/>
                </w:tcPr>
                <w:p w14:paraId="1DDF31B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593B444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11.09</w:t>
                  </w:r>
                </w:p>
              </w:tc>
              <w:tc>
                <w:tcPr>
                  <w:tcW w:w="1234" w:type="dxa"/>
                  <w:noWrap w:val="0"/>
                  <w:vAlign w:val="center"/>
                </w:tcPr>
                <w:p w14:paraId="1F2D230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8.70</w:t>
                  </w:r>
                </w:p>
              </w:tc>
            </w:tr>
            <w:tr w14:paraId="0243D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05BFAC1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250" w:type="dxa"/>
                  <w:noWrap w:val="0"/>
                  <w:vAlign w:val="center"/>
                </w:tcPr>
                <w:p w14:paraId="1B4ACD1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草地</w:t>
                  </w:r>
                </w:p>
              </w:tc>
              <w:tc>
                <w:tcPr>
                  <w:tcW w:w="1065" w:type="dxa"/>
                  <w:noWrap w:val="0"/>
                  <w:vAlign w:val="center"/>
                </w:tcPr>
                <w:p w14:paraId="2461D6E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0822CC9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3509947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F438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42CD0AC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7529455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其他草地</w:t>
                  </w:r>
                </w:p>
              </w:tc>
              <w:tc>
                <w:tcPr>
                  <w:tcW w:w="1065" w:type="dxa"/>
                  <w:noWrap w:val="0"/>
                  <w:vAlign w:val="center"/>
                </w:tcPr>
                <w:p w14:paraId="3AA2847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0BA0872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22.35</w:t>
                  </w:r>
                </w:p>
              </w:tc>
              <w:tc>
                <w:tcPr>
                  <w:tcW w:w="1234" w:type="dxa"/>
                  <w:noWrap w:val="0"/>
                  <w:vAlign w:val="center"/>
                </w:tcPr>
                <w:p w14:paraId="0BB3C2A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12.86</w:t>
                  </w:r>
                </w:p>
              </w:tc>
            </w:tr>
            <w:tr w14:paraId="45CCA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278D4FE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250" w:type="dxa"/>
                  <w:noWrap w:val="0"/>
                  <w:vAlign w:val="top"/>
                </w:tcPr>
                <w:p w14:paraId="2961164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商服用地</w:t>
                  </w:r>
                </w:p>
              </w:tc>
              <w:tc>
                <w:tcPr>
                  <w:tcW w:w="1065" w:type="dxa"/>
                  <w:noWrap w:val="0"/>
                  <w:vAlign w:val="top"/>
                </w:tcPr>
                <w:p w14:paraId="1EF2462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4B4BFEE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67F32E0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0B1B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1CA8BDA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250" w:type="dxa"/>
                  <w:noWrap w:val="0"/>
                  <w:vAlign w:val="top"/>
                </w:tcPr>
                <w:p w14:paraId="1D1B70A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物流仓储用地</w:t>
                  </w:r>
                </w:p>
              </w:tc>
              <w:tc>
                <w:tcPr>
                  <w:tcW w:w="1065" w:type="dxa"/>
                  <w:noWrap w:val="0"/>
                  <w:vAlign w:val="top"/>
                </w:tcPr>
                <w:p w14:paraId="5039C4A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7F2A8D4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5A003B1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20.04</w:t>
                  </w:r>
                </w:p>
              </w:tc>
            </w:tr>
            <w:tr w14:paraId="088B4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5380F04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250" w:type="dxa"/>
                  <w:noWrap w:val="0"/>
                  <w:vAlign w:val="top"/>
                </w:tcPr>
                <w:p w14:paraId="40D07CA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工矿仓储用地</w:t>
                  </w:r>
                </w:p>
              </w:tc>
              <w:tc>
                <w:tcPr>
                  <w:tcW w:w="1065" w:type="dxa"/>
                  <w:noWrap w:val="0"/>
                  <w:vAlign w:val="top"/>
                </w:tcPr>
                <w:p w14:paraId="201A826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076555C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04C4398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C1E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6D8CA13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250" w:type="dxa"/>
                  <w:noWrap w:val="0"/>
                  <w:vAlign w:val="top"/>
                </w:tcPr>
                <w:p w14:paraId="4D8E7A2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工业用地</w:t>
                  </w:r>
                </w:p>
              </w:tc>
              <w:tc>
                <w:tcPr>
                  <w:tcW w:w="1065" w:type="dxa"/>
                  <w:noWrap w:val="0"/>
                  <w:vAlign w:val="top"/>
                </w:tcPr>
                <w:p w14:paraId="471E275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050493A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784BE64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0.74</w:t>
                  </w:r>
                </w:p>
              </w:tc>
            </w:tr>
            <w:tr w14:paraId="055BD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084DDB4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250" w:type="dxa"/>
                  <w:noWrap w:val="0"/>
                  <w:vAlign w:val="center"/>
                </w:tcPr>
                <w:p w14:paraId="59985CE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住宅用地</w:t>
                  </w:r>
                </w:p>
              </w:tc>
              <w:tc>
                <w:tcPr>
                  <w:tcW w:w="1065" w:type="dxa"/>
                  <w:noWrap w:val="0"/>
                  <w:vAlign w:val="center"/>
                </w:tcPr>
                <w:p w14:paraId="359F2DA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46753AF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2187FB8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F6CD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7097D60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77CD79D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农村宅基地</w:t>
                  </w:r>
                </w:p>
              </w:tc>
              <w:tc>
                <w:tcPr>
                  <w:tcW w:w="1065" w:type="dxa"/>
                  <w:noWrap w:val="0"/>
                  <w:vAlign w:val="center"/>
                </w:tcPr>
                <w:p w14:paraId="1F714F8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07890C7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22.19</w:t>
                  </w:r>
                </w:p>
              </w:tc>
              <w:tc>
                <w:tcPr>
                  <w:tcW w:w="1234" w:type="dxa"/>
                  <w:noWrap w:val="0"/>
                  <w:vAlign w:val="center"/>
                </w:tcPr>
                <w:p w14:paraId="60932F6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8.50</w:t>
                  </w:r>
                </w:p>
              </w:tc>
            </w:tr>
            <w:tr w14:paraId="641F3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2546E94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250" w:type="dxa"/>
                  <w:noWrap w:val="0"/>
                  <w:vAlign w:val="center"/>
                </w:tcPr>
                <w:p w14:paraId="63DE900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特殊用地</w:t>
                  </w:r>
                </w:p>
              </w:tc>
              <w:tc>
                <w:tcPr>
                  <w:tcW w:w="1065" w:type="dxa"/>
                  <w:noWrap w:val="0"/>
                  <w:vAlign w:val="center"/>
                </w:tcPr>
                <w:p w14:paraId="3A21B5F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0CA05CC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0.11</w:t>
                  </w:r>
                </w:p>
              </w:tc>
              <w:tc>
                <w:tcPr>
                  <w:tcW w:w="1234" w:type="dxa"/>
                  <w:noWrap w:val="0"/>
                  <w:vAlign w:val="center"/>
                </w:tcPr>
                <w:p w14:paraId="3C39B07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C744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3CD7C72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250" w:type="dxa"/>
                  <w:noWrap w:val="0"/>
                  <w:vAlign w:val="center"/>
                </w:tcPr>
                <w:p w14:paraId="44B483B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交通运输用地</w:t>
                  </w:r>
                </w:p>
              </w:tc>
              <w:tc>
                <w:tcPr>
                  <w:tcW w:w="1065" w:type="dxa"/>
                  <w:noWrap w:val="0"/>
                  <w:vAlign w:val="center"/>
                </w:tcPr>
                <w:p w14:paraId="0F034C8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16C68F2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5D8671D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F570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0B3F712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110FCDB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公路用地</w:t>
                  </w:r>
                </w:p>
              </w:tc>
              <w:tc>
                <w:tcPr>
                  <w:tcW w:w="1065" w:type="dxa"/>
                  <w:noWrap w:val="0"/>
                  <w:vAlign w:val="center"/>
                </w:tcPr>
                <w:p w14:paraId="08C3ADF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356E669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6.17</w:t>
                  </w:r>
                </w:p>
              </w:tc>
              <w:tc>
                <w:tcPr>
                  <w:tcW w:w="1234" w:type="dxa"/>
                  <w:noWrap w:val="0"/>
                  <w:vAlign w:val="center"/>
                </w:tcPr>
                <w:p w14:paraId="531C1F4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5881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6399A44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665D332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城镇村道路用地</w:t>
                  </w:r>
                </w:p>
              </w:tc>
              <w:tc>
                <w:tcPr>
                  <w:tcW w:w="1065" w:type="dxa"/>
                  <w:noWrap w:val="0"/>
                  <w:vAlign w:val="center"/>
                </w:tcPr>
                <w:p w14:paraId="46C4A23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701A181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20.29</w:t>
                  </w:r>
                </w:p>
              </w:tc>
              <w:tc>
                <w:tcPr>
                  <w:tcW w:w="1234" w:type="dxa"/>
                  <w:noWrap w:val="0"/>
                  <w:vAlign w:val="center"/>
                </w:tcPr>
                <w:p w14:paraId="7CC86AC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0.19</w:t>
                  </w:r>
                </w:p>
              </w:tc>
            </w:tr>
            <w:tr w14:paraId="7DC82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72B68CE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3C423A3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农村道路</w:t>
                  </w:r>
                </w:p>
              </w:tc>
              <w:tc>
                <w:tcPr>
                  <w:tcW w:w="1065" w:type="dxa"/>
                  <w:noWrap w:val="0"/>
                  <w:vAlign w:val="center"/>
                </w:tcPr>
                <w:p w14:paraId="71C720A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29734A8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6.05</w:t>
                  </w:r>
                </w:p>
              </w:tc>
              <w:tc>
                <w:tcPr>
                  <w:tcW w:w="1234" w:type="dxa"/>
                  <w:noWrap w:val="0"/>
                  <w:vAlign w:val="center"/>
                </w:tcPr>
                <w:p w14:paraId="2ACA51E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0.53</w:t>
                  </w:r>
                </w:p>
              </w:tc>
            </w:tr>
            <w:tr w14:paraId="2BB2B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65AD5FC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250" w:type="dxa"/>
                  <w:noWrap w:val="0"/>
                  <w:vAlign w:val="center"/>
                </w:tcPr>
                <w:p w14:paraId="26EFF3E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水域及水利设施用地</w:t>
                  </w:r>
                </w:p>
              </w:tc>
              <w:tc>
                <w:tcPr>
                  <w:tcW w:w="1065" w:type="dxa"/>
                  <w:noWrap w:val="0"/>
                  <w:vAlign w:val="center"/>
                </w:tcPr>
                <w:p w14:paraId="5A9C872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6431DDB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7C876AB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FB3E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1BEE42A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363824A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河流水面</w:t>
                  </w:r>
                </w:p>
              </w:tc>
              <w:tc>
                <w:tcPr>
                  <w:tcW w:w="1065" w:type="dxa"/>
                  <w:noWrap w:val="0"/>
                  <w:vAlign w:val="center"/>
                </w:tcPr>
                <w:p w14:paraId="41A1148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2BF6D07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0.61</w:t>
                  </w:r>
                </w:p>
              </w:tc>
              <w:tc>
                <w:tcPr>
                  <w:tcW w:w="1234" w:type="dxa"/>
                  <w:noWrap w:val="0"/>
                  <w:vAlign w:val="center"/>
                </w:tcPr>
                <w:p w14:paraId="7D55EF3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2B61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73CDB62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4662A9B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坑塘水面</w:t>
                  </w:r>
                </w:p>
              </w:tc>
              <w:tc>
                <w:tcPr>
                  <w:tcW w:w="1065" w:type="dxa"/>
                  <w:noWrap w:val="0"/>
                  <w:vAlign w:val="center"/>
                </w:tcPr>
                <w:p w14:paraId="71C22CE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62AB59F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7.50</w:t>
                  </w:r>
                </w:p>
              </w:tc>
              <w:tc>
                <w:tcPr>
                  <w:tcW w:w="1234" w:type="dxa"/>
                  <w:noWrap w:val="0"/>
                  <w:vAlign w:val="center"/>
                </w:tcPr>
                <w:p w14:paraId="0BC9246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4.08</w:t>
                  </w:r>
                </w:p>
              </w:tc>
            </w:tr>
            <w:tr w14:paraId="02AD6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287E6A0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2AF17B2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养殖坑塘</w:t>
                  </w:r>
                </w:p>
              </w:tc>
              <w:tc>
                <w:tcPr>
                  <w:tcW w:w="1065" w:type="dxa"/>
                  <w:noWrap w:val="0"/>
                  <w:vAlign w:val="center"/>
                </w:tcPr>
                <w:p w14:paraId="7F44D36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4AA5E46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w:t>
                  </w:r>
                </w:p>
              </w:tc>
              <w:tc>
                <w:tcPr>
                  <w:tcW w:w="1234" w:type="dxa"/>
                  <w:noWrap w:val="0"/>
                  <w:vAlign w:val="center"/>
                </w:tcPr>
                <w:p w14:paraId="5DBB5D3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72DF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6A79F44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6E90C9E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内陆滩涂</w:t>
                  </w:r>
                </w:p>
              </w:tc>
              <w:tc>
                <w:tcPr>
                  <w:tcW w:w="1065" w:type="dxa"/>
                  <w:noWrap w:val="0"/>
                  <w:vAlign w:val="center"/>
                </w:tcPr>
                <w:p w14:paraId="72DC0EC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0D847A0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15.10</w:t>
                  </w:r>
                </w:p>
              </w:tc>
              <w:tc>
                <w:tcPr>
                  <w:tcW w:w="1234" w:type="dxa"/>
                  <w:noWrap w:val="0"/>
                  <w:vAlign w:val="center"/>
                </w:tcPr>
                <w:p w14:paraId="51DE22E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805A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522AB78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6336148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沟渠</w:t>
                  </w:r>
                </w:p>
              </w:tc>
              <w:tc>
                <w:tcPr>
                  <w:tcW w:w="1065" w:type="dxa"/>
                  <w:noWrap w:val="0"/>
                  <w:vAlign w:val="center"/>
                </w:tcPr>
                <w:p w14:paraId="6F18EE7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2081A80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24.38</w:t>
                  </w:r>
                </w:p>
              </w:tc>
              <w:tc>
                <w:tcPr>
                  <w:tcW w:w="1234" w:type="dxa"/>
                  <w:noWrap w:val="0"/>
                  <w:vAlign w:val="center"/>
                </w:tcPr>
                <w:p w14:paraId="6713019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0.49</w:t>
                  </w:r>
                </w:p>
              </w:tc>
            </w:tr>
            <w:tr w14:paraId="4EC52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022D994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4740B1B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水工建筑用地</w:t>
                  </w:r>
                </w:p>
              </w:tc>
              <w:tc>
                <w:tcPr>
                  <w:tcW w:w="1065" w:type="dxa"/>
                  <w:noWrap w:val="0"/>
                  <w:vAlign w:val="center"/>
                </w:tcPr>
                <w:p w14:paraId="038788F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41FD189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0.36</w:t>
                  </w:r>
                </w:p>
              </w:tc>
              <w:tc>
                <w:tcPr>
                  <w:tcW w:w="1234" w:type="dxa"/>
                  <w:noWrap w:val="0"/>
                  <w:vAlign w:val="center"/>
                </w:tcPr>
                <w:p w14:paraId="795C0D9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20E1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5E504AD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250" w:type="dxa"/>
                  <w:noWrap w:val="0"/>
                  <w:vAlign w:val="center"/>
                </w:tcPr>
                <w:p w14:paraId="227345C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其他土地</w:t>
                  </w:r>
                </w:p>
              </w:tc>
              <w:tc>
                <w:tcPr>
                  <w:tcW w:w="1065" w:type="dxa"/>
                  <w:noWrap w:val="0"/>
                  <w:vAlign w:val="center"/>
                </w:tcPr>
                <w:p w14:paraId="28D1456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noWrap w:val="0"/>
                  <w:vAlign w:val="center"/>
                </w:tcPr>
                <w:p w14:paraId="6A79D41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noWrap w:val="0"/>
                  <w:vAlign w:val="center"/>
                </w:tcPr>
                <w:p w14:paraId="00754DD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61E5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noWrap w:val="0"/>
                  <w:vAlign w:val="center"/>
                </w:tcPr>
                <w:p w14:paraId="56D89CD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05321A0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裸土地</w:t>
                  </w:r>
                </w:p>
              </w:tc>
              <w:tc>
                <w:tcPr>
                  <w:tcW w:w="1065" w:type="dxa"/>
                  <w:noWrap w:val="0"/>
                  <w:vAlign w:val="center"/>
                </w:tcPr>
                <w:p w14:paraId="677A00B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187FC96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0.09</w:t>
                  </w:r>
                </w:p>
              </w:tc>
              <w:tc>
                <w:tcPr>
                  <w:tcW w:w="1234" w:type="dxa"/>
                  <w:noWrap w:val="0"/>
                  <w:vAlign w:val="center"/>
                </w:tcPr>
                <w:p w14:paraId="31F2795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9339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noWrap w:val="0"/>
                  <w:vAlign w:val="center"/>
                </w:tcPr>
                <w:p w14:paraId="1F683B5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noWrap w:val="0"/>
                  <w:vAlign w:val="center"/>
                </w:tcPr>
                <w:p w14:paraId="5309C99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后备耕地</w:t>
                  </w:r>
                </w:p>
              </w:tc>
              <w:tc>
                <w:tcPr>
                  <w:tcW w:w="1065" w:type="dxa"/>
                  <w:noWrap w:val="0"/>
                  <w:vAlign w:val="center"/>
                </w:tcPr>
                <w:p w14:paraId="494F1B1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noWrap w:val="0"/>
                  <w:vAlign w:val="center"/>
                </w:tcPr>
                <w:p w14:paraId="69E8773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0.04</w:t>
                  </w:r>
                </w:p>
              </w:tc>
              <w:tc>
                <w:tcPr>
                  <w:tcW w:w="1234" w:type="dxa"/>
                  <w:noWrap w:val="0"/>
                  <w:vAlign w:val="center"/>
                </w:tcPr>
                <w:p w14:paraId="2A31204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459BD33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5、土方工程</w:t>
            </w:r>
          </w:p>
          <w:p w14:paraId="52A1DA4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土石方主要有：拆除、清淤、清杂、清表、土方开挖、土方填筑等。本工程开挖总量约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；土方填筑总量</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52.2508</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；共计余方土约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5.1753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，余方土由县矿产公司统一运输安置。</w:t>
            </w:r>
          </w:p>
          <w:p w14:paraId="75F1E19A">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表2-2</w:t>
            </w:r>
            <w:r>
              <w:rPr>
                <w:rFonts w:hint="eastAsia"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土石方平衡一览表  单位：万m</w:t>
            </w:r>
            <w:r>
              <w:rPr>
                <w:rFonts w:hint="default" w:ascii="Times New Roman" w:hAnsi="Times New Roman" w:eastAsia="宋体" w:cs="Times New Roman"/>
                <w:b/>
                <w:bCs/>
                <w:color w:val="000000" w:themeColor="text1"/>
                <w:sz w:val="24"/>
                <w:highlight w:val="none"/>
                <w:vertAlign w:val="superscript"/>
                <w:lang w:val="en-US" w:eastAsia="zh-CN"/>
                <w14:textFill>
                  <w14:solidFill>
                    <w14:schemeClr w14:val="tx1"/>
                  </w14:solidFill>
                </w14:textFill>
              </w:rPr>
              <w:t>3</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2017"/>
              <w:gridCol w:w="2017"/>
              <w:gridCol w:w="2020"/>
            </w:tblGrid>
            <w:tr w14:paraId="7BA2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500A416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工程名称</w:t>
                  </w:r>
                </w:p>
              </w:tc>
              <w:tc>
                <w:tcPr>
                  <w:tcW w:w="2017" w:type="dxa"/>
                  <w:noWrap w:val="0"/>
                  <w:vAlign w:val="center"/>
                </w:tcPr>
                <w:p w14:paraId="115B3A4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开挖土</w:t>
                  </w:r>
                </w:p>
              </w:tc>
              <w:tc>
                <w:tcPr>
                  <w:tcW w:w="2017" w:type="dxa"/>
                  <w:noWrap w:val="0"/>
                  <w:vAlign w:val="center"/>
                </w:tcPr>
                <w:p w14:paraId="1E27537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填筑土</w:t>
                  </w:r>
                </w:p>
              </w:tc>
              <w:tc>
                <w:tcPr>
                  <w:tcW w:w="2020" w:type="dxa"/>
                  <w:noWrap w:val="0"/>
                  <w:vAlign w:val="center"/>
                </w:tcPr>
                <w:p w14:paraId="1E1D1E9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弃方</w:t>
                  </w:r>
                </w:p>
              </w:tc>
            </w:tr>
            <w:tr w14:paraId="43BF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63618D6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w:t>
                  </w:r>
                </w:p>
              </w:tc>
              <w:tc>
                <w:tcPr>
                  <w:tcW w:w="2017" w:type="dxa"/>
                  <w:noWrap w:val="0"/>
                  <w:vAlign w:val="center"/>
                </w:tcPr>
                <w:p w14:paraId="4078A15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57.4261</w:t>
                  </w:r>
                </w:p>
              </w:tc>
              <w:tc>
                <w:tcPr>
                  <w:tcW w:w="2017" w:type="dxa"/>
                  <w:noWrap w:val="0"/>
                  <w:vAlign w:val="center"/>
                </w:tcPr>
                <w:p w14:paraId="54EF16D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52.2508</w:t>
                  </w:r>
                </w:p>
              </w:tc>
              <w:tc>
                <w:tcPr>
                  <w:tcW w:w="2020" w:type="dxa"/>
                  <w:noWrap w:val="0"/>
                  <w:vAlign w:val="center"/>
                </w:tcPr>
                <w:p w14:paraId="3D62C25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5.1753</w:t>
                  </w:r>
                </w:p>
              </w:tc>
            </w:tr>
            <w:tr w14:paraId="6674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15177C9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2017" w:type="dxa"/>
                  <w:noWrap w:val="0"/>
                  <w:vAlign w:val="center"/>
                </w:tcPr>
                <w:p w14:paraId="270ED1E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57.4261</w:t>
                  </w:r>
                </w:p>
              </w:tc>
              <w:tc>
                <w:tcPr>
                  <w:tcW w:w="4037" w:type="dxa"/>
                  <w:gridSpan w:val="2"/>
                  <w:noWrap w:val="0"/>
                  <w:vAlign w:val="center"/>
                </w:tcPr>
                <w:p w14:paraId="0EF0DAC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57.4261</w:t>
                  </w:r>
                </w:p>
              </w:tc>
            </w:tr>
          </w:tbl>
          <w:p w14:paraId="3BFB90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14:textFill>
                  <w14:solidFill>
                    <w14:schemeClr w14:val="tx1"/>
                  </w14:solidFill>
                </w14:textFill>
              </w:rPr>
            </w:pPr>
          </w:p>
          <w:p w14:paraId="418D122D">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eastAsia="宋体" w:cs="Times New Roman"/>
                <w:color w:val="000000" w:themeColor="text1"/>
                <w:lang w:val="en-US" w:eastAsia="zh-CN"/>
                <w14:textFill>
                  <w14:solidFill>
                    <w14:schemeClr w14:val="tx1"/>
                  </w14:solidFill>
                </w14:textFill>
              </w:rPr>
            </w:pPr>
          </w:p>
        </w:tc>
      </w:tr>
      <w:tr w14:paraId="37306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noWrap w:val="0"/>
            <w:vAlign w:val="center"/>
          </w:tcPr>
          <w:p w14:paraId="4B47E44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bookmarkStart w:id="24" w:name="OLE_LINK15"/>
            <w:bookmarkStart w:id="25" w:name="OLE_LINK11"/>
            <w:r>
              <w:rPr>
                <w:rFonts w:hint="default" w:ascii="Times New Roman" w:hAnsi="Times New Roman" w:cs="Times New Roman" w:eastAsiaTheme="minorEastAsia"/>
                <w:b/>
                <w:bCs/>
                <w:color w:val="000000" w:themeColor="text1"/>
                <w:sz w:val="24"/>
                <w:highlight w:val="none"/>
                <w14:textFill>
                  <w14:solidFill>
                    <w14:schemeClr w14:val="tx1"/>
                  </w14:solidFill>
                </w14:textFill>
              </w:rPr>
              <w:t>总平面及现场布置</w:t>
            </w:r>
            <w:bookmarkEnd w:id="24"/>
            <w:bookmarkEnd w:id="25"/>
          </w:p>
        </w:tc>
        <w:tc>
          <w:tcPr>
            <w:tcW w:w="8297" w:type="dxa"/>
            <w:noWrap w:val="0"/>
            <w:vAlign w:val="center"/>
          </w:tcPr>
          <w:p w14:paraId="5D248031">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1、工程布局情况</w:t>
            </w:r>
          </w:p>
          <w:p w14:paraId="397DF6C7">
            <w:pPr>
              <w:keepNext/>
              <w:keepLines/>
              <w:pageBreakBefore w:val="0"/>
              <w:widowControl w:val="0"/>
              <w:suppressLineNumbers w:val="0"/>
              <w:spacing w:before="0" w:beforeAutospacing="0" w:after="0" w:afterAutospacing="0" w:line="360" w:lineRule="auto"/>
              <w:ind w:left="0" w:right="0" w:firstLine="480"/>
              <w:jc w:val="both"/>
              <w:outlineLvl w:val="3"/>
              <w:rPr>
                <w:rFonts w:hint="default" w:ascii="Times New Roman" w:hAnsi="Times New Roman" w:cs="Times New Roman" w:eastAsiaTheme="minorEastAsia"/>
                <w:b w:val="0"/>
                <w:bCs w:val="0"/>
                <w:color w:val="000000" w:themeColor="text1"/>
                <w:sz w:val="24"/>
                <w:szCs w:val="24"/>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highlight w:val="none"/>
                <w:lang w:val="en-US" w:eastAsia="zh-CN" w:bidi="ar"/>
                <w14:textFill>
                  <w14:solidFill>
                    <w14:schemeClr w14:val="tx1"/>
                  </w14:solidFill>
                </w14:textFill>
              </w:rPr>
              <w:t>1.1区域排涝能力提升工程</w:t>
            </w:r>
            <w:r>
              <w:rPr>
                <w:rFonts w:hint="default" w:ascii="Times New Roman" w:hAnsi="Times New Roman" w:cs="Times New Roman" w:eastAsiaTheme="minorEastAsia"/>
                <w:b w:val="0"/>
                <w:bCs w:val="0"/>
                <w:color w:val="000000" w:themeColor="text1"/>
                <w:spacing w:val="-2"/>
                <w:sz w:val="24"/>
                <w:szCs w:val="24"/>
                <w:highlight w:val="none"/>
                <w14:textFill>
                  <w14:solidFill>
                    <w14:schemeClr w14:val="tx1"/>
                  </w14:solidFill>
                </w14:textFill>
              </w:rPr>
              <w:t>布置</w:t>
            </w:r>
          </w:p>
          <w:p w14:paraId="7F6976B4">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1、迎驾厂片排涝能力提升工程：</w:t>
            </w:r>
          </w:p>
          <w:p w14:paraId="05DC410C">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新建泵站设计流量10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/s，选用4台立式轴流泵，单泵流量2.5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/s，总装机功率740kw。</w:t>
            </w:r>
          </w:p>
          <w:p w14:paraId="459785DA">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北侧边沟长3.7k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，其中：矩形排涝沟长1.65k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，净宽2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、深1.5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；梯形断面排涝沟长2.05k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，底宽2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，口宽约8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，边坡1：1.5，采用联锁块护坡。</w:t>
            </w:r>
          </w:p>
          <w:p w14:paraId="10263264">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六佛路排涝沟长2.58k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，矩形断面，净宽2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、深1.5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3824C658">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14:textFill>
                  <w14:solidFill>
                    <w14:schemeClr w14:val="tx1"/>
                  </w14:solidFill>
                </w14:textFill>
              </w:rPr>
              <w:t>中心排涝沟长2.585k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，矩形断面，分为规格1：净宽3</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、深2.5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；规格2：净宽4.5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、深2.5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694AC86D">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14:textFill>
                  <w14:solidFill>
                    <w14:schemeClr w14:val="tx1"/>
                  </w14:solidFill>
                </w14:textFill>
              </w:rPr>
              <w:t>项家院排涝沟长1.2k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，梯形断面，底宽2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，口宽约6~8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，边坡1：1.5，采用联锁块护坡。</w:t>
            </w:r>
          </w:p>
          <w:p w14:paraId="6209534F">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2、戴家河片排涝能力提升工程：拆建穿路涵13座，改造排涝沟总长1.425k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67B2817A">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（1）拆建穿路涵共计13座，其中：S332穿路涵1座，尺寸3×1.8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，长37</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；1#、2#、3#穿路涵3座，尺寸3×1.8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，长9</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；4#穿路涵1座，尺寸3×3.8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，长7.3</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。另拆建穿路管涵8座，管径0.5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5A34103C">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（2）拆建1#排涝沟135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，尺寸1.5×1.5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；新建2#排涝沟630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，尺寸2×1.8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；清淤护砌3#排涝沟630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；新建4#排涝沟30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，尺寸4×1.8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。（4#排涝沟与3#穿路涵衔接）。</w:t>
            </w:r>
          </w:p>
          <w:p w14:paraId="4DC6843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1.2城区排涝通道整治工程布置</w:t>
            </w:r>
          </w:p>
          <w:p w14:paraId="63B04BA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幽芳河治理范围东石门水库~高庙河汇入口，治理河道6.36k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。其中河道疏拓6.36k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，防洪达标2.4k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，护岸加固12.72k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，拆（新）建蓄水建筑物7座，改造防汛道路1.8k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0BE9523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高庙河治理范围牛角冲水库~东淠河汇入口，治理河道5.65k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。其中新建护岸7.24k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，石笼固脚3.15k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，拆（新）建蓄水建筑物4座，新建巡查便道0.525k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，防洪达标0.8k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58C15D4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柳林河治理范围团结水库~东淠河汇入口，治理河道11.1k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。其中新建护岸3.415k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、护坡5.28k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，石笼固脚9.19k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，堤防封闭300</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，加固拦河坝2座，拆建防洪闸1座，拆建（加固）排涝涵5座，堤顶防汛道路白改黑长7.2k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，水毁段修复16处。</w:t>
            </w:r>
          </w:p>
          <w:p w14:paraId="69E6140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新店河治理范围印墩村~戴家河汇入口，治理河道2.51k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。其中新建护岸2.106k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，现状护岸改造0.195k</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5D597541">
            <w:pPr>
              <w:keepNext w:val="0"/>
              <w:keepLines w:val="0"/>
              <w:pageBreakBefore w:val="0"/>
              <w:widowControl w:val="0"/>
              <w:numPr>
                <w:ilvl w:val="0"/>
                <w:numId w:val="0"/>
              </w:numPr>
              <w:suppressLineNumbers w:val="0"/>
              <w:spacing w:before="0" w:beforeAutospacing="0" w:after="0" w:afterAutospacing="0" w:line="360" w:lineRule="auto"/>
              <w:ind w:left="480" w:right="0"/>
              <w:rPr>
                <w:rFonts w:hint="default" w:ascii="Times New Roman" w:hAnsi="Times New Roman" w:cs="Times New Roman" w:eastAsiaTheme="minorEastAsia"/>
                <w:b w:val="0"/>
                <w:bCs w:val="0"/>
                <w:color w:val="000000" w:themeColor="text1"/>
                <w:spacing w:val="-2"/>
                <w:sz w:val="24"/>
                <w:szCs w:val="24"/>
                <w:highlight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2"/>
                <w:sz w:val="24"/>
                <w:szCs w:val="24"/>
                <w:highlight w:val="none"/>
                <w:lang w:val="en-US" w:eastAsia="zh-CN"/>
                <w14:textFill>
                  <w14:solidFill>
                    <w14:schemeClr w14:val="tx1"/>
                  </w14:solidFill>
                </w14:textFill>
              </w:rPr>
              <w:t>1.3</w:t>
            </w:r>
            <w:r>
              <w:rPr>
                <w:rFonts w:hint="default" w:ascii="Times New Roman" w:hAnsi="Times New Roman" w:cs="Times New Roman" w:eastAsiaTheme="minorEastAsia"/>
                <w:b w:val="0"/>
                <w:bCs w:val="0"/>
                <w:color w:val="000000" w:themeColor="text1"/>
                <w:spacing w:val="-2"/>
                <w:sz w:val="24"/>
                <w:szCs w:val="24"/>
                <w:highlight w:val="none"/>
                <w:lang w:eastAsia="zh-CN"/>
                <w14:textFill>
                  <w14:solidFill>
                    <w14:schemeClr w14:val="tx1"/>
                  </w14:solidFill>
                </w14:textFill>
              </w:rPr>
              <w:t>排水管网改造工程</w:t>
            </w:r>
          </w:p>
          <w:p w14:paraId="0606936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沿柳林河两侧布置De315主管，由南向北接入现状市政管道，新建污水主管网总长度3354</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；新建Φ700混凝土模块式井127座；本工程沿河设计居民接管户数150户，包含接户井、接户管等，接户管为2250</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，设计总处理规模约为40</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/d。沿幽芳河两侧布置De315主管，由南向北接入现状市政管道，新建污水主管网总长度7429</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；新建Φ700混凝土模块式井270座；新建一体化提升泵站1座；本工程沿河设计居民接管户数416户，包含接户井、接户管等，接户管6240</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，设计总处理规模约为70</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/d。</w:t>
            </w:r>
          </w:p>
          <w:p w14:paraId="507E615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本次南岳花都片排水管网新建工程，对片区雨水集中外排，本工程沿惠民路新建d1.8</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排水暗涵，由南向北排入淠源渠。新建排水管网设计排水流量7.3</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/s，总长度460</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；新建管涵长度450</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，钢筋砼检查井7座。</w:t>
            </w:r>
          </w:p>
          <w:p w14:paraId="6C529CD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衡山工业园片区雨污水管网建设滞后，本次衡山工业园片区通过雨污水管道及雨水箱涵建设解决片区的排水能力不足的问题。本次建设污水钢筋混凝土管道DN400~DN800约4.19k</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，建设雨水钢筋混凝土管道DN600~DN1200约4.28k</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，建设雨水箱涵及明渠2.53k</w:t>
            </w:r>
            <w:r>
              <w:rPr>
                <w:rFonts w:hint="eastAsia" w:cs="Times New Roman" w:eastAsiaTheme="minorEastAsia"/>
                <w:b w:val="0"/>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sz w:val="24"/>
                <w:highlight w:val="none"/>
                <w:lang w:val="en-US" w:eastAsia="zh-CN"/>
                <w14:textFill>
                  <w14:solidFill>
                    <w14:schemeClr w14:val="tx1"/>
                  </w14:solidFill>
                </w14:textFill>
              </w:rPr>
              <w:t>。</w:t>
            </w:r>
          </w:p>
          <w:p w14:paraId="4E2C18D2">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14:textFill>
                  <w14:solidFill>
                    <w14:schemeClr w14:val="tx1"/>
                  </w14:solidFill>
                </w14:textFill>
              </w:rPr>
              <w:t>2、施工布置情况</w:t>
            </w:r>
          </w:p>
          <w:p w14:paraId="6B642C1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施工生产区场地布置由施工单位结合拟建场地现状进行布置，要求少占地并尽量减小对汛期防汛的影响。施工中临时道路可结合永久进场道路进行设置，并做好临时围堰及基坑排水，做到文明施工、安全施工。生活用房可就近租用民房。</w:t>
            </w:r>
          </w:p>
          <w:p w14:paraId="763A616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14:textFill>
                  <w14:solidFill>
                    <w14:schemeClr w14:val="tx1"/>
                  </w14:solidFill>
                </w14:textFill>
              </w:rPr>
              <w:t>项</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目总平面布局依据河道走向，严格规范施工红线，</w:t>
            </w:r>
            <w:r>
              <w:rPr>
                <w:rFonts w:hint="default" w:ascii="Times New Roman" w:hAnsi="Times New Roman" w:cs="Times New Roman" w:eastAsiaTheme="minorEastAsia"/>
                <w:color w:val="000000" w:themeColor="text1"/>
                <w:sz w:val="24"/>
                <w:highlight w:val="none"/>
                <w:lang w:val="en-US"/>
                <w14:textFill>
                  <w14:solidFill>
                    <w14:schemeClr w14:val="tx1"/>
                  </w14:solidFill>
                </w14:textFill>
              </w:rPr>
              <w:t>项目分段施工，布局紧凑，施工临时占地面积小，有利于缩短施工时间，做到各段施工互不干扰，</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施工场地</w:t>
            </w:r>
            <w:r>
              <w:rPr>
                <w:rFonts w:hint="default" w:ascii="Times New Roman" w:hAnsi="Times New Roman" w:cs="Times New Roman" w:eastAsiaTheme="minorEastAsia"/>
                <w:color w:val="000000" w:themeColor="text1"/>
                <w:sz w:val="24"/>
                <w:highlight w:val="none"/>
                <w:lang w:val="en-US"/>
                <w14:textFill>
                  <w14:solidFill>
                    <w14:schemeClr w14:val="tx1"/>
                  </w14:solidFill>
                </w14:textFill>
              </w:rPr>
              <w:t>配套的环保设施齐全，有利于进一步</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地</w:t>
            </w:r>
            <w:r>
              <w:rPr>
                <w:rFonts w:hint="default" w:ascii="Times New Roman" w:hAnsi="Times New Roman" w:cs="Times New Roman" w:eastAsiaTheme="minorEastAsia"/>
                <w:color w:val="000000" w:themeColor="text1"/>
                <w:sz w:val="24"/>
                <w:highlight w:val="none"/>
                <w:lang w:val="en-US"/>
                <w14:textFill>
                  <w14:solidFill>
                    <w14:schemeClr w14:val="tx1"/>
                  </w14:solidFill>
                </w14:textFill>
              </w:rPr>
              <w:t>控制施工扬尘、废水、固废对环境的影响。施工段沿线分布</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居住区</w:t>
            </w:r>
            <w:r>
              <w:rPr>
                <w:rFonts w:hint="default" w:ascii="Times New Roman" w:hAnsi="Times New Roman" w:cs="Times New Roman" w:eastAsiaTheme="minorEastAsia"/>
                <w:color w:val="000000" w:themeColor="text1"/>
                <w:sz w:val="24"/>
                <w:highlight w:val="none"/>
                <w:lang w:val="en-US"/>
                <w14:textFill>
                  <w14:solidFill>
                    <w14:schemeClr w14:val="tx1"/>
                  </w14:solidFill>
                </w14:textFill>
              </w:rPr>
              <w:t>，可满足施工用水用电需求，因此，从环保角度考虑，项目施工平面布置合理。</w:t>
            </w:r>
          </w:p>
          <w:p w14:paraId="7367719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lang w:val="en-US"/>
                <w14:textFill>
                  <w14:solidFill>
                    <w14:schemeClr w14:val="tx1"/>
                  </w14:solidFill>
                </w14:textFill>
              </w:rPr>
            </w:pPr>
            <w:r>
              <w:rPr>
                <w:rFonts w:hint="default" w:ascii="Times New Roman" w:hAnsi="Times New Roman" w:cs="Times New Roman" w:eastAsiaTheme="minorEastAsia"/>
                <w:b/>
                <w:color w:val="000000" w:themeColor="text1"/>
                <w:sz w:val="24"/>
                <w:highlight w:val="none"/>
                <w:lang w:val="en-US" w:eastAsia="zh-CN"/>
                <w14:textFill>
                  <w14:solidFill>
                    <w14:schemeClr w14:val="tx1"/>
                  </w14:solidFill>
                </w14:textFill>
              </w:rPr>
              <w:t>3、施工交通布置</w:t>
            </w:r>
          </w:p>
          <w:p w14:paraId="2061570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（1）对外交通运输</w:t>
            </w:r>
          </w:p>
          <w:p w14:paraId="55585E3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本工程所在地各级公路纵横交错，交通网发达，外部交通满足本次施工的运输条件。</w:t>
            </w:r>
          </w:p>
          <w:p w14:paraId="0819EFC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（2）场内交通运输</w:t>
            </w:r>
          </w:p>
          <w:p w14:paraId="789EAC8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西部新城排涝站工程站址处有防汛道路相连，城区排涝通道整治工程和排水管网改造中，幽芳河、高庙河和柳林河沿线均有市政道路联通，场内交通便利。项目仅局部要修建临时道路便于材料和机械进场。</w:t>
            </w:r>
          </w:p>
          <w:p w14:paraId="44C0CA0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S322省道穿路涵施工需采用道路半幅开挖施工，结合预制箱涵结构缩短工期，减少对S322道路交通的影响，施工前需由施工单位编制专项方案，并组织专项论证后方可施工。</w:t>
            </w:r>
          </w:p>
          <w:p w14:paraId="56498921">
            <w:pPr>
              <w:keepNext w:val="0"/>
              <w:keepLines w:val="0"/>
              <w:suppressLineNumbers w:val="0"/>
              <w:spacing w:before="0" w:beforeAutospacing="0" w:after="0" w:afterAutospacing="0" w:line="360" w:lineRule="auto"/>
              <w:ind w:left="0" w:right="0" w:firstLine="482"/>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bidi="ar"/>
                <w14:textFill>
                  <w14:solidFill>
                    <w14:schemeClr w14:val="tx1"/>
                  </w14:solidFill>
                </w14:textFill>
              </w:rPr>
              <w:t>4、</w:t>
            </w: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环境影响因素识别</w:t>
            </w:r>
          </w:p>
          <w:p w14:paraId="20D0E8A4">
            <w:pPr>
              <w:keepNext w:val="0"/>
              <w:keepLines w:val="0"/>
              <w:suppressLineNumbers w:val="0"/>
              <w:spacing w:before="0" w:beforeAutospacing="0" w:after="0" w:afterAutospacing="0" w:line="360" w:lineRule="auto"/>
              <w:ind w:left="0" w:right="0" w:firstLine="482"/>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表2</w:t>
            </w:r>
            <w:r>
              <w:rPr>
                <w:rFonts w:hint="eastAsia" w:ascii="Times New Roman" w:hAnsi="Times New Roman" w:cs="Times New Roman"/>
                <w:b/>
                <w:color w:val="000000" w:themeColor="text1"/>
                <w:sz w:val="24"/>
                <w:szCs w:val="24"/>
                <w:lang w:val="en-US" w:eastAsia="zh-CN"/>
                <w14:textFill>
                  <w14:solidFill>
                    <w14:schemeClr w14:val="tx1"/>
                  </w14:solidFill>
                </w14:textFill>
              </w:rPr>
              <w:t xml:space="preserve">-27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en-US" w:eastAsia="zh-CN"/>
                <w14:textFill>
                  <w14:solidFill>
                    <w14:schemeClr w14:val="tx1"/>
                  </w14:solidFill>
                </w14:textFill>
              </w:rPr>
              <w:t>环境影响因素识别一览表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714"/>
              <w:gridCol w:w="5036"/>
            </w:tblGrid>
            <w:tr w14:paraId="798D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noWrap w:val="0"/>
                  <w:vAlign w:val="center"/>
                </w:tcPr>
                <w:p w14:paraId="0724F3FC">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阶段</w:t>
                  </w:r>
                </w:p>
              </w:tc>
              <w:tc>
                <w:tcPr>
                  <w:tcW w:w="1061" w:type="pct"/>
                  <w:noWrap w:val="0"/>
                  <w:vAlign w:val="center"/>
                </w:tcPr>
                <w:p w14:paraId="1B1C701D">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环境要素</w:t>
                  </w:r>
                </w:p>
              </w:tc>
              <w:tc>
                <w:tcPr>
                  <w:tcW w:w="3119" w:type="pct"/>
                  <w:noWrap w:val="0"/>
                  <w:vAlign w:val="center"/>
                </w:tcPr>
                <w:p w14:paraId="46638335">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影响因</w:t>
                  </w:r>
                  <w:r>
                    <w:rPr>
                      <w:rFonts w:hint="default" w:ascii="Times New Roman" w:hAnsi="Times New Roman" w:cs="Times New Roman"/>
                      <w:color w:val="000000" w:themeColor="text1"/>
                      <w:sz w:val="21"/>
                      <w:szCs w:val="21"/>
                      <w14:textFill>
                        <w14:solidFill>
                          <w14:schemeClr w14:val="tx1"/>
                        </w14:solidFill>
                      </w14:textFill>
                    </w:rPr>
                    <w:t>子</w:t>
                  </w:r>
                </w:p>
              </w:tc>
            </w:tr>
            <w:tr w14:paraId="66B6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noWrap w:val="0"/>
                  <w:vAlign w:val="center"/>
                </w:tcPr>
                <w:p w14:paraId="38571A62">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施工期</w:t>
                  </w:r>
                </w:p>
              </w:tc>
              <w:tc>
                <w:tcPr>
                  <w:tcW w:w="1061" w:type="pct"/>
                  <w:noWrap w:val="0"/>
                  <w:vAlign w:val="center"/>
                </w:tcPr>
                <w:p w14:paraId="5B5101D6">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w:t>
                  </w:r>
                </w:p>
              </w:tc>
              <w:tc>
                <w:tcPr>
                  <w:tcW w:w="3119" w:type="pct"/>
                  <w:noWrap w:val="0"/>
                  <w:vAlign w:val="center"/>
                </w:tcPr>
                <w:p w14:paraId="173DA6C5">
                  <w:pPr>
                    <w:pStyle w:val="197"/>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r>
            <w:tr w14:paraId="53B4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2C8DF65B">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14:textFill>
                        <w14:solidFill>
                          <w14:schemeClr w14:val="tx1"/>
                        </w14:solidFill>
                      </w14:textFill>
                    </w:rPr>
                  </w:pPr>
                </w:p>
              </w:tc>
              <w:tc>
                <w:tcPr>
                  <w:tcW w:w="1061" w:type="pct"/>
                  <w:noWrap w:val="0"/>
                  <w:vAlign w:val="center"/>
                </w:tcPr>
                <w:p w14:paraId="3FEE9216">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3119" w:type="pct"/>
                  <w:noWrap w:val="0"/>
                  <w:vAlign w:val="center"/>
                </w:tcPr>
                <w:p w14:paraId="3139D2D9">
                  <w:pPr>
                    <w:pStyle w:val="197"/>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COD、</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SS</w:t>
                  </w:r>
                </w:p>
              </w:tc>
            </w:tr>
            <w:tr w14:paraId="74BD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03F72307">
                  <w:pPr>
                    <w:pStyle w:val="197"/>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vertAlign w:val="baseline"/>
                      <w14:textFill>
                        <w14:solidFill>
                          <w14:schemeClr w14:val="tx1"/>
                        </w14:solidFill>
                      </w14:textFill>
                    </w:rPr>
                  </w:pPr>
                </w:p>
              </w:tc>
              <w:tc>
                <w:tcPr>
                  <w:tcW w:w="1061" w:type="pct"/>
                  <w:noWrap w:val="0"/>
                  <w:vAlign w:val="center"/>
                </w:tcPr>
                <w:p w14:paraId="639BDF74">
                  <w:pPr>
                    <w:pStyle w:val="197"/>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地下水环境</w:t>
                  </w:r>
                </w:p>
              </w:tc>
              <w:tc>
                <w:tcPr>
                  <w:tcW w:w="3119" w:type="pct"/>
                  <w:noWrap w:val="0"/>
                  <w:vAlign w:val="center"/>
                </w:tcPr>
                <w:p w14:paraId="01A8C33F">
                  <w:pPr>
                    <w:pStyle w:val="197"/>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11C6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5CC4B9A1">
                  <w:pPr>
                    <w:pStyle w:val="197"/>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vertAlign w:val="baseline"/>
                      <w14:textFill>
                        <w14:solidFill>
                          <w14:schemeClr w14:val="tx1"/>
                        </w14:solidFill>
                      </w14:textFill>
                    </w:rPr>
                  </w:pPr>
                </w:p>
              </w:tc>
              <w:tc>
                <w:tcPr>
                  <w:tcW w:w="1061" w:type="pct"/>
                  <w:noWrap w:val="0"/>
                  <w:vAlign w:val="center"/>
                </w:tcPr>
                <w:p w14:paraId="26185DB8">
                  <w:pPr>
                    <w:pStyle w:val="197"/>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土壤</w:t>
                  </w:r>
                </w:p>
              </w:tc>
              <w:tc>
                <w:tcPr>
                  <w:tcW w:w="3119" w:type="pct"/>
                  <w:noWrap w:val="0"/>
                  <w:vAlign w:val="center"/>
                </w:tcPr>
                <w:p w14:paraId="779B92CF">
                  <w:pPr>
                    <w:pStyle w:val="197"/>
                    <w:keepNext w:val="0"/>
                    <w:keepLines w:val="0"/>
                    <w:suppressLineNumbers w:val="0"/>
                    <w:spacing w:before="0" w:beforeAutospacing="0" w:after="0" w:afterAutospacing="0" w:line="240" w:lineRule="auto"/>
                    <w:ind w:left="0" w:right="0" w:firstLine="0"/>
                    <w:jc w:val="center"/>
                    <w:rPr>
                      <w:rFonts w:hint="eastAsia" w:eastAsia="宋体"/>
                      <w:color w:val="000000" w:themeColor="text1"/>
                      <w:lang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p>
              </w:tc>
            </w:tr>
            <w:tr w14:paraId="4BA5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5DE05A27">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14:textFill>
                        <w14:solidFill>
                          <w14:schemeClr w14:val="tx1"/>
                        </w14:solidFill>
                      </w14:textFill>
                    </w:rPr>
                  </w:pPr>
                </w:p>
              </w:tc>
              <w:tc>
                <w:tcPr>
                  <w:tcW w:w="1061" w:type="pct"/>
                  <w:noWrap w:val="0"/>
                  <w:vAlign w:val="center"/>
                </w:tcPr>
                <w:p w14:paraId="4C3919FD">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3119" w:type="pct"/>
                  <w:noWrap w:val="0"/>
                  <w:vAlign w:val="center"/>
                </w:tcPr>
                <w:p w14:paraId="1D95BA1C">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等效连续A声级LeqdB（A）</w:t>
                  </w:r>
                </w:p>
              </w:tc>
            </w:tr>
            <w:tr w14:paraId="36C5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6817108C">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14:textFill>
                        <w14:solidFill>
                          <w14:schemeClr w14:val="tx1"/>
                        </w14:solidFill>
                      </w14:textFill>
                    </w:rPr>
                  </w:pPr>
                </w:p>
              </w:tc>
              <w:tc>
                <w:tcPr>
                  <w:tcW w:w="1061" w:type="pct"/>
                  <w:noWrap w:val="0"/>
                  <w:vAlign w:val="center"/>
                </w:tcPr>
                <w:p w14:paraId="4B48C9D8">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3119" w:type="pct"/>
                  <w:noWrap w:val="0"/>
                  <w:vAlign w:val="center"/>
                </w:tcPr>
                <w:p w14:paraId="0FE3A8A5">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建筑垃圾、弃土</w:t>
                  </w:r>
                </w:p>
              </w:tc>
            </w:tr>
            <w:tr w14:paraId="084D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1947121D">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33EE14C9">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w:t>
                  </w:r>
                </w:p>
              </w:tc>
              <w:tc>
                <w:tcPr>
                  <w:tcW w:w="3119" w:type="pct"/>
                  <w:noWrap w:val="0"/>
                  <w:vAlign w:val="center"/>
                </w:tcPr>
                <w:p w14:paraId="6925D1C6">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6AB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noWrap w:val="0"/>
                  <w:vAlign w:val="center"/>
                </w:tcPr>
                <w:p w14:paraId="5CB028F5">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营运期</w:t>
                  </w:r>
                </w:p>
              </w:tc>
              <w:tc>
                <w:tcPr>
                  <w:tcW w:w="1061" w:type="pct"/>
                  <w:noWrap w:val="0"/>
                  <w:vAlign w:val="center"/>
                </w:tcPr>
                <w:p w14:paraId="034C4DCE">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w:t>
                  </w:r>
                </w:p>
              </w:tc>
              <w:tc>
                <w:tcPr>
                  <w:tcW w:w="3119" w:type="pct"/>
                  <w:shd w:val="clear" w:color="auto" w:fill="auto"/>
                  <w:noWrap w:val="0"/>
                  <w:vAlign w:val="center"/>
                </w:tcPr>
                <w:p w14:paraId="27C05BAA">
                  <w:pPr>
                    <w:pStyle w:val="197"/>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4C5F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358A0EC4">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1BB81207">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3119" w:type="pct"/>
                  <w:shd w:val="clear" w:color="auto" w:fill="auto"/>
                  <w:noWrap w:val="0"/>
                  <w:vAlign w:val="center"/>
                </w:tcPr>
                <w:p w14:paraId="3E2BF424">
                  <w:pPr>
                    <w:pStyle w:val="197"/>
                    <w:keepNext w:val="0"/>
                    <w:keepLines w:val="0"/>
                    <w:suppressLineNumbers w:val="0"/>
                    <w:spacing w:before="0" w:beforeAutospacing="0" w:after="0" w:afterAutospacing="0" w:line="240" w:lineRule="auto"/>
                    <w:ind w:left="0" w:right="0" w:firstLine="0"/>
                    <w:jc w:val="center"/>
                    <w:rPr>
                      <w:rFonts w:hint="eastAsia" w:ascii="Times New Roman" w:hAnsi="Times New Roman" w:eastAsia="Fang Song"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Fang Song" w:cs="Times New Roman"/>
                      <w:color w:val="000000" w:themeColor="text1"/>
                      <w:sz w:val="21"/>
                      <w:szCs w:val="21"/>
                      <w:vertAlign w:val="baseline"/>
                      <w:lang w:val="en-US" w:eastAsia="zh-CN"/>
                      <w14:textFill>
                        <w14:solidFill>
                          <w14:schemeClr w14:val="tx1"/>
                        </w14:solidFill>
                      </w14:textFill>
                    </w:rPr>
                    <w:t>/</w:t>
                  </w:r>
                </w:p>
              </w:tc>
            </w:tr>
            <w:tr w14:paraId="7F42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37FF510D">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38646E89">
                  <w:pPr>
                    <w:pStyle w:val="197"/>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地下水环境</w:t>
                  </w:r>
                </w:p>
              </w:tc>
              <w:tc>
                <w:tcPr>
                  <w:tcW w:w="3119" w:type="pct"/>
                  <w:shd w:val="clear" w:color="auto" w:fill="auto"/>
                  <w:noWrap w:val="0"/>
                  <w:vAlign w:val="center"/>
                </w:tcPr>
                <w:p w14:paraId="04844CE5">
                  <w:pPr>
                    <w:pStyle w:val="197"/>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470E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722CEF9B">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6A02699E">
                  <w:pPr>
                    <w:pStyle w:val="197"/>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土壤</w:t>
                  </w:r>
                </w:p>
              </w:tc>
              <w:tc>
                <w:tcPr>
                  <w:tcW w:w="3119" w:type="pct"/>
                  <w:shd w:val="clear" w:color="auto" w:fill="auto"/>
                  <w:noWrap w:val="0"/>
                  <w:vAlign w:val="center"/>
                </w:tcPr>
                <w:p w14:paraId="5A76CDFE">
                  <w:pPr>
                    <w:pStyle w:val="197"/>
                    <w:keepNext w:val="0"/>
                    <w:keepLines w:val="0"/>
                    <w:suppressLineNumbers w:val="0"/>
                    <w:spacing w:before="0" w:beforeAutospacing="0" w:after="0" w:afterAutospacing="0" w:line="240" w:lineRule="auto"/>
                    <w:ind w:left="0" w:right="0" w:firstLine="0"/>
                    <w:jc w:val="center"/>
                    <w:rPr>
                      <w:rFonts w:hint="eastAsia" w:ascii="宋体" w:hAnsi="Calibri" w:eastAsia="宋体" w:cs="宋体"/>
                      <w:color w:val="000000" w:themeColor="text1"/>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p>
              </w:tc>
            </w:tr>
            <w:tr w14:paraId="42C6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58F6DB51">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517105A8">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3119" w:type="pct"/>
                  <w:shd w:val="clear" w:color="auto" w:fill="auto"/>
                  <w:noWrap w:val="0"/>
                  <w:vAlign w:val="center"/>
                </w:tcPr>
                <w:p w14:paraId="76272329">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等效连续A声级LeqdB（A）</w:t>
                  </w:r>
                </w:p>
              </w:tc>
            </w:tr>
            <w:tr w14:paraId="7995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343DBF5E">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4B2B6976">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3119" w:type="pct"/>
                  <w:noWrap w:val="0"/>
                  <w:vAlign w:val="center"/>
                </w:tcPr>
                <w:p w14:paraId="698067E0">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4FD1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14063E64">
                  <w:pPr>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131B8F91">
                  <w:pPr>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w:t>
                  </w:r>
                </w:p>
              </w:tc>
              <w:tc>
                <w:tcPr>
                  <w:tcW w:w="3119" w:type="pct"/>
                  <w:noWrap w:val="0"/>
                  <w:vAlign w:val="center"/>
                </w:tcPr>
                <w:p w14:paraId="263768EB">
                  <w:pPr>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60268AE8">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p>
          <w:p w14:paraId="28276485">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p>
        </w:tc>
      </w:tr>
      <w:tr w14:paraId="21253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noWrap w:val="0"/>
            <w:vAlign w:val="center"/>
          </w:tcPr>
          <w:p w14:paraId="132B924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施工方案</w:t>
            </w:r>
          </w:p>
        </w:tc>
        <w:tc>
          <w:tcPr>
            <w:tcW w:w="8297" w:type="dxa"/>
            <w:noWrap w:val="0"/>
            <w:vAlign w:val="center"/>
          </w:tcPr>
          <w:p w14:paraId="01C72C08">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1、施工导流</w:t>
            </w:r>
          </w:p>
          <w:p w14:paraId="3EDBE26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西部新城排涝泵站工程圩内施工无需导流，来水可通过现有沟渠排入现有张家湾涵闸和永康桥涵闸。</w:t>
            </w:r>
          </w:p>
          <w:p w14:paraId="29A76A3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城区排涝整治工程施工主要安排在非汛期，本地降雨较少，施工期间河道来水较少，同时利用上游水库溢洪道控泄，区域少量降雨临时架机抽排。</w:t>
            </w:r>
          </w:p>
          <w:p w14:paraId="2CFFB59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本工程在新建排水管道期间，需对两侧道路污水管道及现状污水支管实施调排水。针对整段开挖更换的管道可采取逐段封堵调排的方式，针对局部开挖更换，可采取在该段管道上、下游封堵调排的方式。</w:t>
            </w:r>
          </w:p>
          <w:p w14:paraId="5D347D07">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bookmarkStart w:id="26" w:name="_Toc148292848"/>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2、施工截流</w:t>
            </w:r>
            <w:bookmarkEnd w:id="26"/>
          </w:p>
          <w:p w14:paraId="6FDA48F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（1）西部新城排涝泵站工程在外河侧设置挡水围堰，施工安排在非汛期施工。</w:t>
            </w:r>
          </w:p>
          <w:p w14:paraId="530A980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（2）城区排涝整治工程中，堤顶道路施工无需专门的截流设施。堤防达标选择枯水季节施工，河道上游来水少，无需专门的截流设施。</w:t>
            </w:r>
          </w:p>
          <w:p w14:paraId="7A434D8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岸坡防护和配套建筑物施工时，利用沿河的滚水坝和临时施工围堰，分段施工。围堰所需土方可利用开挖土方。围堰顶高程为施工期水位加安全加高0.5m，围堰级别为5级，初步拟定平均净高为2.5m，顶宽2.00m，边坡1：2.5。</w:t>
            </w:r>
          </w:p>
          <w:p w14:paraId="5723AFB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（3）排水管网新建工程中，污水管道工程无需导截流。</w:t>
            </w:r>
          </w:p>
          <w:p w14:paraId="315A05A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（4）围堰稳定计算</w:t>
            </w:r>
          </w:p>
          <w:p w14:paraId="2FAFB60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有关规范，本计算中对围堰的渗透量、等势线分布、出逸段和下游坝身表面的渗透坡降进行分析计算，具体见下表和附图，表中给定的容许渗透坡降根据《水利水电工程地质勘察规范》（GB50487），由下式求得：</w:t>
            </w:r>
          </w:p>
          <w:p w14:paraId="1467AC5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1637665" cy="278130"/>
                  <wp:effectExtent l="0" t="0" r="0" b="6350"/>
                  <wp:docPr id="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pic:cNvPicPr>
                            <a:picLocks noChangeAspect="1"/>
                          </pic:cNvPicPr>
                        </pic:nvPicPr>
                        <pic:blipFill>
                          <a:blip r:embed="rId37"/>
                          <a:stretch>
                            <a:fillRect/>
                          </a:stretch>
                        </pic:blipFill>
                        <pic:spPr>
                          <a:xfrm>
                            <a:off x="0" y="0"/>
                            <a:ext cx="1637665" cy="278130"/>
                          </a:xfrm>
                          <a:prstGeom prst="rect">
                            <a:avLst/>
                          </a:prstGeom>
                          <a:noFill/>
                          <a:ln>
                            <a:noFill/>
                          </a:ln>
                        </pic:spPr>
                      </pic:pic>
                    </a:graphicData>
                  </a:graphic>
                </wp:inline>
              </w:drawing>
            </w:r>
          </w:p>
          <w:p w14:paraId="26ECC09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式中：Gs－－土的比重；</w:t>
            </w:r>
          </w:p>
          <w:p w14:paraId="3EDD19D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n－－土的孔隙率；</w:t>
            </w:r>
          </w:p>
          <w:p w14:paraId="00DF417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kp－－折减系数，式中kp=2。</w:t>
            </w:r>
          </w:p>
          <w:p w14:paraId="08531A46">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表2-28  围堰渗流计算结果表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00"/>
              <w:gridCol w:w="1479"/>
              <w:gridCol w:w="1848"/>
              <w:gridCol w:w="1816"/>
            </w:tblGrid>
            <w:tr w14:paraId="7203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noWrap w:val="0"/>
                  <w:vAlign w:val="center"/>
                </w:tcPr>
                <w:p w14:paraId="025C5C0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计算工况</w:t>
                  </w:r>
                </w:p>
              </w:tc>
              <w:tc>
                <w:tcPr>
                  <w:tcW w:w="1907" w:type="pct"/>
                  <w:gridSpan w:val="2"/>
                  <w:noWrap w:val="0"/>
                  <w:vAlign w:val="center"/>
                </w:tcPr>
                <w:p w14:paraId="390885F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最大渗透坡降</w:t>
                  </w:r>
                </w:p>
              </w:tc>
              <w:tc>
                <w:tcPr>
                  <w:tcW w:w="1145" w:type="pct"/>
                  <w:noWrap w:val="0"/>
                  <w:vAlign w:val="center"/>
                </w:tcPr>
                <w:p w14:paraId="7943239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坡降容许值</w:t>
                  </w:r>
                </w:p>
              </w:tc>
              <w:tc>
                <w:tcPr>
                  <w:tcW w:w="1125" w:type="pct"/>
                  <w:noWrap w:val="0"/>
                  <w:vAlign w:val="center"/>
                </w:tcPr>
                <w:p w14:paraId="091527C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渗流量m</w:t>
                  </w:r>
                  <w:r>
                    <w:rPr>
                      <w:rFonts w:hint="default" w:ascii="Times New Roman" w:hAnsi="Times New Roman" w:eastAsia="宋体" w:cs="Times New Roman"/>
                      <w:b/>
                      <w:bCs/>
                      <w:color w:val="000000" w:themeColor="text1"/>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/天</w:t>
                  </w:r>
                </w:p>
              </w:tc>
            </w:tr>
            <w:tr w14:paraId="053C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restart"/>
                  <w:noWrap w:val="0"/>
                  <w:vAlign w:val="center"/>
                </w:tcPr>
                <w:p w14:paraId="49DBCEBE">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工况一</w:t>
                  </w:r>
                </w:p>
              </w:tc>
              <w:tc>
                <w:tcPr>
                  <w:tcW w:w="991" w:type="pct"/>
                  <w:noWrap w:val="0"/>
                  <w:vAlign w:val="center"/>
                </w:tcPr>
                <w:p w14:paraId="23EF484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背水坡</w:t>
                  </w:r>
                </w:p>
              </w:tc>
              <w:tc>
                <w:tcPr>
                  <w:tcW w:w="916" w:type="pct"/>
                  <w:noWrap w:val="0"/>
                  <w:vAlign w:val="center"/>
                </w:tcPr>
                <w:p w14:paraId="79BD6CA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0.29</w:t>
                  </w:r>
                </w:p>
              </w:tc>
              <w:tc>
                <w:tcPr>
                  <w:tcW w:w="1145" w:type="pct"/>
                  <w:noWrap w:val="0"/>
                  <w:vAlign w:val="center"/>
                </w:tcPr>
                <w:p w14:paraId="48ADE29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0.48</w:t>
                  </w:r>
                </w:p>
              </w:tc>
              <w:tc>
                <w:tcPr>
                  <w:tcW w:w="1125" w:type="pct"/>
                  <w:vMerge w:val="restart"/>
                  <w:noWrap w:val="0"/>
                  <w:vAlign w:val="center"/>
                </w:tcPr>
                <w:p w14:paraId="5890C76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0.002</w:t>
                  </w:r>
                </w:p>
              </w:tc>
            </w:tr>
            <w:tr w14:paraId="26C9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continue"/>
                  <w:noWrap w:val="0"/>
                  <w:vAlign w:val="center"/>
                </w:tcPr>
                <w:p w14:paraId="1EDADEE6">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91" w:type="pct"/>
                  <w:noWrap w:val="0"/>
                  <w:vAlign w:val="center"/>
                </w:tcPr>
                <w:p w14:paraId="619C353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坝基</w:t>
                  </w:r>
                </w:p>
              </w:tc>
              <w:tc>
                <w:tcPr>
                  <w:tcW w:w="916" w:type="pct"/>
                  <w:noWrap w:val="0"/>
                  <w:vAlign w:val="center"/>
                </w:tcPr>
                <w:p w14:paraId="3991DABC">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0.01</w:t>
                  </w:r>
                </w:p>
              </w:tc>
              <w:tc>
                <w:tcPr>
                  <w:tcW w:w="1145" w:type="pct"/>
                  <w:noWrap w:val="0"/>
                  <w:vAlign w:val="center"/>
                </w:tcPr>
                <w:p w14:paraId="37A5B6AE">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0.48</w:t>
                  </w:r>
                </w:p>
              </w:tc>
              <w:tc>
                <w:tcPr>
                  <w:tcW w:w="1125" w:type="pct"/>
                  <w:vMerge w:val="continue"/>
                  <w:noWrap w:val="0"/>
                  <w:vAlign w:val="center"/>
                </w:tcPr>
                <w:p w14:paraId="4F316BEE">
                  <w:pPr>
                    <w:keepNext w:val="0"/>
                    <w:keepLines w:val="0"/>
                    <w:pageBreakBefore w:val="0"/>
                    <w:widowControl w:val="0"/>
                    <w:suppressLineNumbers w:val="0"/>
                    <w:spacing w:before="0" w:beforeAutospacing="0" w:after="0" w:afterAutospacing="0" w:line="360" w:lineRule="auto"/>
                    <w:ind w:left="0" w:right="0" w:firstLine="420"/>
                    <w:jc w:val="both"/>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bl>
          <w:p w14:paraId="0B77227E">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4712335" cy="921385"/>
                  <wp:effectExtent l="0" t="0" r="0" b="12065"/>
                  <wp:docPr id="3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1"/>
                          <pic:cNvPicPr>
                            <a:picLocks noChangeAspect="1"/>
                          </pic:cNvPicPr>
                        </pic:nvPicPr>
                        <pic:blipFill>
                          <a:blip r:embed="rId38"/>
                          <a:srcRect b="9037"/>
                          <a:stretch>
                            <a:fillRect/>
                          </a:stretch>
                        </pic:blipFill>
                        <pic:spPr>
                          <a:xfrm>
                            <a:off x="0" y="0"/>
                            <a:ext cx="4712335" cy="921385"/>
                          </a:xfrm>
                          <a:prstGeom prst="rect">
                            <a:avLst/>
                          </a:prstGeom>
                          <a:noFill/>
                          <a:ln>
                            <a:noFill/>
                          </a:ln>
                        </pic:spPr>
                      </pic:pic>
                    </a:graphicData>
                  </a:graphic>
                </wp:inline>
              </w:drawing>
            </w:r>
          </w:p>
          <w:p w14:paraId="52FD62C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图2-27  围堰渗流计算图</w:t>
            </w:r>
          </w:p>
          <w:p w14:paraId="6367B51A">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表2-29  围堰抗滑稳定计算水位组合表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2415"/>
              <w:gridCol w:w="2181"/>
              <w:gridCol w:w="2181"/>
            </w:tblGrid>
            <w:tr w14:paraId="6E11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14:paraId="6D20969B">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工况</w:t>
                  </w:r>
                </w:p>
              </w:tc>
              <w:tc>
                <w:tcPr>
                  <w:tcW w:w="1496" w:type="pct"/>
                  <w:noWrap w:val="0"/>
                  <w:vAlign w:val="center"/>
                </w:tcPr>
                <w:p w14:paraId="17AE6F3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上游水位</w:t>
                  </w:r>
                </w:p>
              </w:tc>
              <w:tc>
                <w:tcPr>
                  <w:tcW w:w="1351" w:type="pct"/>
                  <w:noWrap w:val="0"/>
                  <w:vAlign w:val="center"/>
                </w:tcPr>
                <w:p w14:paraId="4199DBA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下游水位</w:t>
                  </w:r>
                </w:p>
              </w:tc>
              <w:tc>
                <w:tcPr>
                  <w:tcW w:w="1351" w:type="pct"/>
                  <w:noWrap w:val="0"/>
                  <w:vAlign w:val="center"/>
                </w:tcPr>
                <w:p w14:paraId="24805AE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计算边坡</w:t>
                  </w:r>
                </w:p>
              </w:tc>
            </w:tr>
            <w:tr w14:paraId="403A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14:paraId="45382C5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工况一</w:t>
                  </w:r>
                </w:p>
              </w:tc>
              <w:tc>
                <w:tcPr>
                  <w:tcW w:w="1496" w:type="pct"/>
                  <w:noWrap w:val="0"/>
                  <w:vAlign w:val="center"/>
                </w:tcPr>
                <w:p w14:paraId="30FF124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w:t>
                  </w:r>
                </w:p>
              </w:tc>
              <w:tc>
                <w:tcPr>
                  <w:tcW w:w="1351" w:type="pct"/>
                  <w:noWrap w:val="0"/>
                  <w:vAlign w:val="center"/>
                </w:tcPr>
                <w:p w14:paraId="65484ABB">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0.00</w:t>
                  </w:r>
                </w:p>
              </w:tc>
              <w:tc>
                <w:tcPr>
                  <w:tcW w:w="1351" w:type="pct"/>
                  <w:noWrap w:val="0"/>
                  <w:vAlign w:val="center"/>
                </w:tcPr>
                <w:p w14:paraId="43D9A542">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背水坡</w:t>
                  </w:r>
                </w:p>
              </w:tc>
            </w:tr>
          </w:tbl>
          <w:p w14:paraId="3AF3E5C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计算结果见下表及附图，表中安全系数容许值参见《堤防工程设计规范》（GB50286-2013）。</w:t>
            </w:r>
          </w:p>
          <w:p w14:paraId="4E1AF2D4">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表2-30  围堰抗滑稳定安全系数计算结果</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0"/>
              <w:gridCol w:w="2690"/>
              <w:gridCol w:w="2691"/>
            </w:tblGrid>
            <w:tr w14:paraId="5C45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noWrap w:val="0"/>
                  <w:vAlign w:val="center"/>
                </w:tcPr>
                <w:p w14:paraId="32365BC8">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计算工况</w:t>
                  </w:r>
                </w:p>
              </w:tc>
              <w:tc>
                <w:tcPr>
                  <w:tcW w:w="3095" w:type="dxa"/>
                  <w:noWrap w:val="0"/>
                  <w:vAlign w:val="center"/>
                </w:tcPr>
                <w:p w14:paraId="688E095B">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安全系数</w:t>
                  </w:r>
                </w:p>
              </w:tc>
              <w:tc>
                <w:tcPr>
                  <w:tcW w:w="3096" w:type="dxa"/>
                  <w:noWrap w:val="0"/>
                  <w:vAlign w:val="center"/>
                </w:tcPr>
                <w:p w14:paraId="301F7F0A">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规范允许值</w:t>
                  </w:r>
                </w:p>
              </w:tc>
            </w:tr>
            <w:tr w14:paraId="6B83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noWrap w:val="0"/>
                  <w:vAlign w:val="center"/>
                </w:tcPr>
                <w:p w14:paraId="35D680A3">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施工期</w:t>
                  </w:r>
                </w:p>
              </w:tc>
              <w:tc>
                <w:tcPr>
                  <w:tcW w:w="3095" w:type="dxa"/>
                  <w:noWrap w:val="0"/>
                  <w:vAlign w:val="center"/>
                </w:tcPr>
                <w:p w14:paraId="1692E29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1.64</w:t>
                  </w:r>
                </w:p>
              </w:tc>
              <w:tc>
                <w:tcPr>
                  <w:tcW w:w="3096" w:type="dxa"/>
                  <w:noWrap w:val="0"/>
                  <w:vAlign w:val="center"/>
                </w:tcPr>
                <w:p w14:paraId="5DEF47DC">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1.25</w:t>
                  </w:r>
                </w:p>
              </w:tc>
            </w:tr>
          </w:tbl>
          <w:p w14:paraId="701CEDD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0" distR="0">
                  <wp:extent cx="4339590" cy="743585"/>
                  <wp:effectExtent l="0" t="0" r="0" b="1841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9"/>
                          <a:srcRect b="21603"/>
                          <a:stretch>
                            <a:fillRect/>
                          </a:stretch>
                        </pic:blipFill>
                        <pic:spPr>
                          <a:xfrm>
                            <a:off x="0" y="0"/>
                            <a:ext cx="4339590" cy="743585"/>
                          </a:xfrm>
                          <a:prstGeom prst="rect">
                            <a:avLst/>
                          </a:prstGeom>
                          <a:noFill/>
                          <a:ln>
                            <a:noFill/>
                          </a:ln>
                        </pic:spPr>
                      </pic:pic>
                    </a:graphicData>
                  </a:graphic>
                </wp:inline>
              </w:drawing>
            </w:r>
          </w:p>
          <w:p w14:paraId="12A37457">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图2-28 抗滑稳定计算结果图</w:t>
            </w:r>
          </w:p>
          <w:p w14:paraId="1E70D65C">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3、基坑降水、排水与基坑支护</w:t>
            </w:r>
          </w:p>
          <w:p w14:paraId="4ED281F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基坑均采用开挖，坡比1：2，基坑内渗水、降水及施工弃水采用明沟汇集，排至集水坑，自排外河，明沟断面0.3×0.5m。基坑排水派专人值班，随时排水。基坑外围地面结合道路布置，在四周开挖截水沟，以防止地面雨水汇入基坑，截水沟断面0.3×0.5m。</w:t>
            </w:r>
          </w:p>
          <w:p w14:paraId="095B846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衡山工业园箱涵埋置较深，开挖后采用钢板桩进行支护，基坑内不得带水施工，必须采取有效的降排水措施，防止结构上浮，确保结构安全。</w:t>
            </w:r>
          </w:p>
          <w:p w14:paraId="6817F35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根据施工进度安排，本工程主要涉水作业均采用枯水期施工，工程中泵站、拦河坝等建筑物应在汛期前完成水下工程部分。</w:t>
            </w:r>
          </w:p>
          <w:p w14:paraId="5704709E">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4、主体工程施工</w:t>
            </w:r>
          </w:p>
          <w:p w14:paraId="0EB23FEA">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4.1土石方工程</w:t>
            </w:r>
          </w:p>
          <w:p w14:paraId="79A4F4D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1、土方开挖：土方开挖前，先进行地表层清理，将场内所有障碍物清除，然后测量、放线、定位。土方开挖以机械为主，采用挖掘机挖土，自卸汽车外运，并将废渣、废土和好土分开堆放。</w:t>
            </w:r>
          </w:p>
          <w:p w14:paraId="5C209C7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土方回填：堤防和围堰填筑采用均利用开挖土，填方量不足时外购土方。建筑物四周2m范围内用回填好土、蛙式打夯机夯实；2m以外土用挖掘机挖土，自卸汽车运土，推土机铺土，用拖拉机辅以蛙式打夯机分层碾压。回填土需满足压实度要求。</w:t>
            </w:r>
          </w:p>
          <w:p w14:paraId="73623285">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4.2砼和钢筋砼工程</w:t>
            </w:r>
          </w:p>
          <w:p w14:paraId="22DC81D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1、基础开挖后，基面找平，放线，加强抽水，严禁地基表层被水浸入，及时将混凝土垫层浇好。然后立模，扎筋，安装止水、沥青板和混凝土浇筑，养护拆模。</w:t>
            </w:r>
          </w:p>
          <w:p w14:paraId="0FBE1FA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2、钢筋制作与安装：钢筋按设计选型，在加工场集中加工，运至现场绑扎，主筋采用电焊，为控制混凝土保护层厚度，钢筋与模板之间放置适当数量水泥砂浆垫块，钢筋层之间设置撑筋。</w:t>
            </w:r>
          </w:p>
          <w:p w14:paraId="72C0997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3、模板制作与安装：模板应有足够的强度和刚度，支撑选用ф50mm钢管或[14槽钢，内外模用ф12对销螺栓联结，达到稳定牢固，拼缝要求紧密，板面刷脱模剂。</w:t>
            </w:r>
          </w:p>
          <w:p w14:paraId="464BBAA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混凝土浇筑：混凝土采用现场集中拌和，用混凝土泵、管道输送到施工现场浇灌，插入式振捣器震实。施工缝采用人工打糙混凝土面层，用水冲洗干净，再在施工缝上铺一层厚1～2cm的1：2水泥砂浆，然后分层浇筑。</w:t>
            </w:r>
          </w:p>
          <w:p w14:paraId="2567CCB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5、止水、沉陷缝施工：止水、沉陷缝按设计要求，选用好材料，由加工厂集中加工制作成型，运至现场安装。</w:t>
            </w:r>
          </w:p>
          <w:p w14:paraId="4AFEF836">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4.3高压旋喷桩</w:t>
            </w:r>
          </w:p>
          <w:p w14:paraId="4AC4DCC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本工程柳林河水毁段采用高压旋喷桩。</w:t>
            </w:r>
          </w:p>
          <w:p w14:paraId="29F4E25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1、施工工艺</w:t>
            </w:r>
          </w:p>
          <w:p w14:paraId="0126751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双管法高压旋喷桩，每次成型一根桩。先施工下游排孔，后施工上游排孔，最后施工中间排孔。主要施工过程：钻机就位—钻孔—喷射注浆—旋喷成桩。</w:t>
            </w:r>
          </w:p>
          <w:p w14:paraId="11DE09C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（1）钻机就位：钻机移动到施工的桩位上，水平校正机身，钻头对准标识的孔位，钻杆轴线垂直。桩位偏差＜50mm，垂直度偏差＜1%桩长。</w:t>
            </w:r>
          </w:p>
          <w:p w14:paraId="7205475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钻孔：根据地层情况和加固深度选择合适钻机，本项目采用跟管钻进，如遇坚硬土层，选择地质钻机引孔。为防喷头堵塞，钻孔过程中可利用喷射管喷射水成孔至设定孔底高程（孔底高程低于设计底高程300mm）。</w:t>
            </w:r>
          </w:p>
          <w:p w14:paraId="1186F8F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喷射注浆：喷射管下沉至设定深度后，输入符合要求的空气、浆液静喷1～3min，待灌入浆液冒出后，按试桩确定的提升及旋转速度、流量，自下而上，边旋喷边提升，观察记录气、浆压力，现场抽测水泥浆液密度。</w:t>
            </w:r>
          </w:p>
          <w:p w14:paraId="342519C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旋喷成桩：全程持续旋喷提升，直到设定高程后，停送气、浆，旋喷过程中，时刻控制浆液的流量及压力、气压、提升及旋转速度等在设定的范围内，做好过程记录。旋喷完成后，移动桩机，及时将各管路冲洗干净，进入下一桩施工。</w:t>
            </w:r>
          </w:p>
          <w:p w14:paraId="4BF412B3">
            <w:pPr>
              <w:pStyle w:val="2"/>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1E60F86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2、检测</w:t>
            </w:r>
          </w:p>
          <w:p w14:paraId="57C7989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（1）成桩后3天内，采用轻型动力触探（N10）检查桩身的均匀性，检验数量为施工总桩数的1%，且不少于3根。所检测的水泥土桩轻便触探击数均匀，变异系数小于0.3，受检桩桩身水泥土搅拌均匀。</w:t>
            </w:r>
          </w:p>
          <w:p w14:paraId="438E162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（2）成桩7天后，采用浅部开挖桩头进行检查，检查成桩直径和均匀性，检查数量为总桩数的5%。</w:t>
            </w:r>
          </w:p>
          <w:p w14:paraId="2C42C08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成桩7天后现场取桩身芯样，进行强度检验，抗压强度不小于0.5mpa，另外取样备份，做28d后的强度试验，抗压强度不小于1mpa，检验数量为施工总桩数的0.5%，且不少于6点。检验结果：受检桩桩身水泥土搅拌均匀，芯样连续、完整，桩长满足设计桩长，受检桩水泥土芯样单轴抗压强度值满足设计要求。</w:t>
            </w:r>
          </w:p>
          <w:p w14:paraId="32AAE2F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（4）复合地基载荷试验应在桩身强度满足试验荷载条件时，并宜在成桩28天后进行。检验数量为桩总数的0.5%～1%，且每单体工程不应少于3根。载荷试验受水利工程施工工期影响，选择实施。</w:t>
            </w:r>
          </w:p>
          <w:p w14:paraId="2E99663B">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4.4、水泥土换填</w:t>
            </w:r>
          </w:p>
          <w:p w14:paraId="6650EA6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本工程泵室及穿堤箱涵主要采用水泥土换填进行地基处理。</w:t>
            </w:r>
          </w:p>
          <w:p w14:paraId="7D52997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水泥土换填的施工工艺为：基槽清理→软土挖除→拌制水泥土→水泥土夯实；</w:t>
            </w:r>
          </w:p>
          <w:p w14:paraId="6B22364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垫层中水泥与土料的比例可用体积重量比控制，宜采用5%；土料较湿时,可采用8%~15%。垫层用的土料不得混入耕（植）土、淤泥质土和冻土块，有机质含量不得大于5%，水溶盐含量不应大于3%；不得采用膨胀土、盐渍土。</w:t>
            </w:r>
          </w:p>
          <w:p w14:paraId="5F080D3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用于制作水泥土的土料，结块粒径不应过大；当用人力或小型机械拌和时,土料应过筛使用;当采用搅拌粉碎专用设备时，土块粒径可放宽到不大于50mm,但应拌和均匀，碾压时土块粒径不应大于20mm。水泥土从拌和开始到碾压或夯实结束，不宜超过24h。拌和好的水泥土,除处于十分干燥状态外,搁置时间不宜超过12h。根据土料和施工机械的具体情况,通过现场试验确定水泥土的分层铺填厚度、每层压实遍数；水泥土垫层的回填料含水量宜控制在击实试验的最优含水量Wop（100士4）%范围内，水泥土的压实度应满足设计要求。</w:t>
            </w:r>
          </w:p>
          <w:p w14:paraId="6CAB05EA">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4.5、帷幕灌浆</w:t>
            </w:r>
          </w:p>
          <w:p w14:paraId="5E49D9D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本工程对穿堤箱涵下层及两侧采用帷幕灌浆处理。施工的主要顺序包括：钻孔→注浆→反渗试验→监测与评估。</w:t>
            </w:r>
          </w:p>
          <w:p w14:paraId="6FAFC2A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帷幕灌浆一序孔→二序孔分序施工，孔距为1.5m。灌浆压力：帷幕灌浆初定为0.5～2.0MPa，应通过灌浆试验确定最终采用压力值；防渗帷幕透水率不得大于5Lu，水泥采用强度等级42.5的普通硅酸盐水泥，水泥浆液的水灰比取1.0，灌浆孔进入坝身素填土层内不小于500mm，灌浆采用自下而上分段灌浆法。</w:t>
            </w:r>
          </w:p>
          <w:p w14:paraId="6745844A">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4.6、建筑物施工</w:t>
            </w:r>
          </w:p>
          <w:p w14:paraId="772DD22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（1）土石方开挖</w:t>
            </w:r>
          </w:p>
          <w:p w14:paraId="2C74012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土方开挖：土方开挖采用1～2m3挖土，75kW推土机集料，可利用土方运至0.5km以内临时堆放。土方开挖以机械开挖为主，人工开挖为辅。大部分采用推土机挖推至临近填筑区域，减少回填土料的重复运输，工程沿线附近尽可能平衡补充。</w:t>
            </w:r>
          </w:p>
          <w:p w14:paraId="2C7CEEF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石方开挖及原建筑物拆除：石方开挖及原渠道、泵房等构筑物拆除采用反向挖掘机挂冲击钻头凿拆除；拆除渣料采用12t自卸汽车运输出渣。</w:t>
            </w:r>
          </w:p>
          <w:p w14:paraId="4F5E2A1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（2）土石方回填</w:t>
            </w:r>
          </w:p>
          <w:p w14:paraId="03471CA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水闸工程土石方回填料为开挖土料，其中土料应采用开挖料中土质相对较好的上层部分。采用反铲挖掘机及装载机挖装填筑料，5.0T自卸汽车运输，采用后退法卸料，推土机平整。回填料必须分层回填，严禁不分层大体积回填，对于一般土料控制在20~30cm左右。</w:t>
            </w:r>
          </w:p>
          <w:p w14:paraId="573D29C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（3）混凝土施工</w:t>
            </w:r>
          </w:p>
          <w:p w14:paraId="1BAFC85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混凝土采用商品混凝土。采用标准钢模，用钢管、扣件予以固定，内拉外撑进行加固。浇筑前，用脱模制涂刷模板，将浇筑面用水湿润。钢筋制安作业必经遵照规范的规定执行。入仓的混凝土拌和料，采用人工平仓、插入式振捣器捣实，振捣时应快插慢拔，以混凝土开始泛浆，不再显著下沉为准。平仓时如遇局部骨料集中，应将骨料分散，不准将砂浆覆盖在骨料上。混凝土浇筑要保持平整进程，连续浇筑，防止冷缝而影响质量，如遇无法避免的因素中途停工，则需按施工缝处理。混凝土浇筑后12～18小时要进行洒水养护，养护期不少于14天，如遇低温天气，则要采取加盖草袋或塑料布等保温措施。</w:t>
            </w:r>
          </w:p>
          <w:p w14:paraId="0608EDE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①消力池、铺盖施工在水闸底板浇筑后，即可进行施工。</w:t>
            </w:r>
          </w:p>
          <w:p w14:paraId="6690AD2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②启闭机房应一次浇筑至大梁底高程，然后整体浇筑启闭机工作面板。钢筋混凝土工作闸门在预制场预制运至工地现场，从检修平台吊至闸门槽附近，待装止水橡皮等材料后，吊至闸槽内。</w:t>
            </w:r>
          </w:p>
          <w:p w14:paraId="1F7647A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③各部位施工均应按照现行有关规范要求进行，严格施工程序监理、质量监督和</w:t>
            </w:r>
            <w:r>
              <w:rPr>
                <w:rFonts w:hint="default" w:ascii="Times New Roman" w:hAnsi="Times New Roman" w:eastAsia="宋体" w:cs="Times New Roman"/>
                <w:b w:val="0"/>
                <w:bCs w:val="0"/>
                <w:color w:val="000000" w:themeColor="text1"/>
                <w:sz w:val="24"/>
                <w:szCs w:val="24"/>
                <w:lang w:val="en-US" w:eastAsia="zh-CN" w:bidi="ar"/>
                <w14:textFill>
                  <w14:solidFill>
                    <w14:schemeClr w14:val="tx1"/>
                  </w14:solidFill>
                </w14:textFill>
              </w:rPr>
              <w:t>检查验收，对隐蔽工程更应重点加强。</w:t>
            </w:r>
          </w:p>
          <w:p w14:paraId="27C0DC7C">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4.7机电及金属结构设备安装</w:t>
            </w:r>
          </w:p>
          <w:p w14:paraId="4C1DF75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泵站需安装钢管、拍门、铸铁闸门等，要求由专业化工厂集中制作，经验收合格后运至场地，由监理工程师及相关人员对产品进行验收。合格后用汽车吊配合人工安装，安装后防腐处理，然后进行校准、调合、试水等，均应应符合《水利工程铸铁闸门设计制造安装验收规范》（DB32/T1712-2011）等有关规定。启闭机要求在工厂组装总成后运至现场安装、调试后安装。</w:t>
            </w:r>
          </w:p>
          <w:p w14:paraId="2B4C774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泵站的机电安装工程应以主机泵为核心，全面展开，穿插进行，主机泵由汽车运至汽车吊作业范围，通过汽车吊和辅助机械吊装就位，主机泵可形成平面流水作业，安装精度应满足设计及规范要求。</w:t>
            </w:r>
          </w:p>
          <w:p w14:paraId="4F508E9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闸门安装前应进行门槽一期混凝土的凿毛，调整预埋插筋或基础螺栓，并清除门槽内渣土与积水，再进行埋件安装。埋件安装和二期混凝土采用搭设脚手架进行施工，按先埋设底槛，后埋设主机轨、反轨、侧轨及门楣的顺序进行，同时在组装场进行门叶组装，待埋件和门叶检查、测量合格后，由扒杆将闸门吊入门槽内进行启闭试验。</w:t>
            </w:r>
          </w:p>
          <w:p w14:paraId="7ADB887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整个设备安装工程中的大量预埋件及设备安装准备工作，应在土建部分施工中相应进行，要求埋置及时，位置准确，避免发生漏埋与错埋事故，以保证安装工作质量可靠，进展顺利。</w:t>
            </w:r>
          </w:p>
          <w:p w14:paraId="60A9C1C0">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4.8、原建筑拆除</w:t>
            </w:r>
          </w:p>
          <w:p w14:paraId="56CDE80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原水闸主体结构进行拆除，采用人工与机械结合方案，自上而下运用挖掘机、人工、风镐、吊机等相互配合，拆除后将废料运输出去。</w:t>
            </w:r>
          </w:p>
          <w:p w14:paraId="370A6D06">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p>
          <w:p w14:paraId="21717BF6">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p>
          <w:p w14:paraId="0042AE26">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p>
          <w:p w14:paraId="57C3B4B8">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5、管道施工</w:t>
            </w:r>
          </w:p>
          <w:p w14:paraId="5DE8233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（1）测量放线</w:t>
            </w:r>
          </w:p>
          <w:p w14:paraId="1C76032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①按设计施工图要求进行管道定位、放线，在各变坡点、三通处标出桩号、埋深。</w:t>
            </w:r>
          </w:p>
          <w:p w14:paraId="18DE5F9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②每隔一段距离进行复测，必须经设计、业主等各方复测签字后方可开挖。</w:t>
            </w:r>
          </w:p>
          <w:p w14:paraId="1DE7DBA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（2）管沟开挖</w:t>
            </w:r>
          </w:p>
          <w:p w14:paraId="69006AC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①管道沟槽应按设计要求的平面位置和标高开挖，管沟开挖应使沟底原土层不被拢动，人工开挖且无地下水时，槽底宜预留50-100㎜，机械开挖或有地下水时，槽底宜预留200㎜，预留部分的管道安装前用人工清底，如局部超挖，需用砂土或素土填补并分层夯实。管沟堆土宜一边堆放，另一边作安装场地或安全通道。挖出的旧构筑物、石块、砖块、木块、垃圾等杂物与泥土应分别堆放。沟底遇有不易清除的块石</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等坚硬物体及凡可能引起不均匀沉降的地段，其他基应深挖至设计标高以下200㎜铺垫砂土或素土，并夯实平整。管沟内现场接点处按需加宽。沟槽没有支撑时，二边另外支撑宽度。</w:t>
            </w:r>
          </w:p>
          <w:p w14:paraId="0AE7403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②开挖中严格控制沟槽直顺度，沟底标高，严禁超挖，并对相邻管线做好保护措施，清除沟底硬、杂物；管道安装前人工清底至设计标高，如下雨，必须每隔25米设一集水坑，配备足够水泵，严禁发生积水泡槽现象；间距6-10米进行检查验收，合格后方可进入下一道工序施工。</w:t>
            </w:r>
          </w:p>
          <w:p w14:paraId="3611F62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③管道埋深要保证管顶覆土0.7m，穿越道路、农田、河流或沿公路铺设时覆土不小于1.0m。</w:t>
            </w:r>
          </w:p>
          <w:p w14:paraId="67300A3E">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eastAsia" w:cs="Times New Roman"/>
                <w:b/>
                <w:bCs/>
                <w:color w:val="000000" w:themeColor="text1"/>
                <w:sz w:val="24"/>
                <w:szCs w:val="24"/>
                <w:lang w:val="en-US" w:eastAsia="zh-CN" w:bidi="ar"/>
                <w14:textFill>
                  <w14:solidFill>
                    <w14:schemeClr w14:val="tx1"/>
                  </w14:solidFill>
                </w14:textFill>
              </w:rPr>
              <w:t>6</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w:t>
            </w:r>
            <w:r>
              <w:rPr>
                <w:rFonts w:hint="eastAsia" w:cs="Times New Roman"/>
                <w:b/>
                <w:bCs/>
                <w:color w:val="000000" w:themeColor="text1"/>
                <w:sz w:val="24"/>
                <w:szCs w:val="24"/>
                <w:lang w:val="en-US" w:eastAsia="zh-CN" w:bidi="ar"/>
                <w14:textFill>
                  <w14:solidFill>
                    <w14:schemeClr w14:val="tx1"/>
                  </w14:solidFill>
                </w14:textFill>
              </w:rPr>
              <w:t>疏浚、</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清淤施工</w:t>
            </w:r>
          </w:p>
          <w:p w14:paraId="6C9FB31A">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河道由于多年来的淤积，严重影响河道的行洪能力，需对河道进行清淤疏浚，清淤应注意对两岸沿河建筑物的保护。本次清淤拟采用挖掘机清淤。</w:t>
            </w:r>
          </w:p>
          <w:p w14:paraId="24890C0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（1）排水干挖清淤（人工清淤-人工倒运-汽车运输）</w:t>
            </w:r>
          </w:p>
          <w:p w14:paraId="5FB8F7D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对于一些墙角零星角落位置，任何施工机械均无法进入的区域，采用人工清淤人工倒运至自卸汽车可以到达的位置，再用挖掘机转运至自卸汽车上。人工清淤具体施工方式为：人工用锹装手推车，人工推手推车在已搭设好的跳板上行走，运到挖掘机有效作业范围内，再按照机械清淤的工序倒运、装车、运输。</w:t>
            </w:r>
          </w:p>
          <w:p w14:paraId="2AF5191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（2）排水干挖清淤（挖机清淤-汽车运输）</w:t>
            </w:r>
          </w:p>
          <w:p w14:paraId="536D418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对于交通条件较好的河段，形成干地施工条件后，先在干地条件下晾晒，经晾晒后，采用1.25m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挖掘机在河道内清理淤泥，将淤泥清理堆至0.5m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长臂挖掘机有效作业范围内，再用0.5m</w:t>
            </w:r>
            <w:r>
              <w:rPr>
                <w:rFonts w:hint="default" w:ascii="Times New Roman" w:hAnsi="Times New Roman" w:eastAsia="宋体" w:cs="Times New Roman"/>
                <w:color w:val="000000" w:themeColor="text1"/>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长臂挖掘机清理有效作业范围内的淤泥至岸边，采用1.25m3挖掘机将淤泥装入20t自卸车外运。</w:t>
            </w:r>
          </w:p>
          <w:p w14:paraId="7940C1BF">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eastAsia" w:cs="Times New Roman"/>
                <w:b/>
                <w:bCs/>
                <w:color w:val="000000" w:themeColor="text1"/>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、施工交通组织</w:t>
            </w:r>
          </w:p>
          <w:p w14:paraId="5D69393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（1）对外交通运输</w:t>
            </w:r>
          </w:p>
          <w:p w14:paraId="7EB3B91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本工程所在地各级公路纵横交错，交通网发达，外部交通满足本次施工的运输条件。</w:t>
            </w:r>
          </w:p>
          <w:p w14:paraId="2C1104F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（2）场内交通运输</w:t>
            </w:r>
          </w:p>
          <w:p w14:paraId="1C7E4BE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西部新城排涝站工程站址处有防汛道路相连，城区排涝通道整治工程和排水管新建工程中，工程沿线均有市政道路联通，场内交通便利。项目仅局部要修建临时道路便于材料和机械进场。</w:t>
            </w:r>
          </w:p>
          <w:p w14:paraId="1FD8F75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S322省道穿路涵施工需采用道路半幅开挖施工，结合预制箱涵结构缩短工期，减少对S322道路交通的影响，施工前需由施工单位编制专项方案，并组织专项论证后方可施工。</w:t>
            </w:r>
          </w:p>
          <w:p w14:paraId="58A458FD">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eastAsia" w:cs="Times New Roman"/>
                <w:b/>
                <w:bCs/>
                <w:color w:val="000000" w:themeColor="text1"/>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、施工总布置</w:t>
            </w:r>
          </w:p>
          <w:p w14:paraId="4D5D919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施工生产区场地布置由施工单位结合拟建场地现状进行布置，要求少占地并尽量减小对汛期防汛的影响。施工中临时道路可结合永久进场道路进行设置，并做好临时围堰及基坑排水，做到文明施工、安全施工。生活用房可就近租用民房。</w:t>
            </w:r>
          </w:p>
          <w:p w14:paraId="2FF5B67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（1）施工供电、供水系统布置</w:t>
            </w:r>
          </w:p>
          <w:p w14:paraId="033733C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1）供水</w:t>
            </w:r>
          </w:p>
          <w:p w14:paraId="1362426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本工程生活用水可采用市政自来水管网供水，施工用水就近从附近河道取水或采用市政自来水管网供水。</w:t>
            </w:r>
          </w:p>
          <w:p w14:paraId="644CE53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2）供电</w:t>
            </w:r>
          </w:p>
          <w:p w14:paraId="2315EB4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工程施工用电供电范围包括泵站、河道护岸工程及配套建筑物、排水沟、排水管网。施工用电负荷集中在泵站、拦河坝及水闸施工区。本工程泵站、拦河坝及水闸施工供电拟采用永临结合方式，利用附近系统电。排水管网、排水沟施工用电较为分散，可就近从市政电网取电或自备柴油机发电。</w:t>
            </w:r>
          </w:p>
          <w:p w14:paraId="0D8A82A7">
            <w:pPr>
              <w:pStyle w:val="2"/>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2D52539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（2）混凝土生产设施</w:t>
            </w:r>
          </w:p>
          <w:p w14:paraId="22C01C5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工程位于六安市县城内，交通运输发达，制备商品混凝土的厂家较多，具备使用商品混凝土的良好条件。若采用现场集中拌制混凝土的方案，需要较大的临时场地，因此本阶段选择外购商品混凝土的方式作为混凝土的来源。</w:t>
            </w:r>
          </w:p>
          <w:p w14:paraId="293CC75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（3）临时生产设施</w:t>
            </w:r>
          </w:p>
          <w:p w14:paraId="52FD504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工程所需的钢筋、木材均在现场加工，拟建立相应的综合材料加工场，布置在主要建筑物附近缓坡地。</w:t>
            </w:r>
          </w:p>
          <w:p w14:paraId="6E69821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（4）临时堆土场</w:t>
            </w:r>
          </w:p>
          <w:p w14:paraId="2FD38FC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本工程部分泵站主泵房全年施工，涉水工作面选择枯水期施工。考虑工程开挖与填筑时序的不匹配，考虑在泵站施工区附近设置临时堆土场，暂存用于后续填筑的基坑开挖土石料。</w:t>
            </w:r>
          </w:p>
          <w:p w14:paraId="1A9529A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（5）临时生活办公区</w:t>
            </w:r>
          </w:p>
          <w:p w14:paraId="593F727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临时生活与办公用房拟采用租赁型式，拟租用附近民房作为施工承包商现场办公及生活营地。</w:t>
            </w:r>
          </w:p>
          <w:p w14:paraId="1316B2F5">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eastAsia" w:cs="Times New Roman"/>
                <w:b/>
                <w:bCs/>
                <w:color w:val="000000" w:themeColor="text1"/>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、施工时序及建设周期</w:t>
            </w:r>
          </w:p>
          <w:p w14:paraId="3E4F604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霍山县水务局制定的建设计划以及《水利水电工程施工组织设计规范》SL303-2017的规定，本项目，其工程建设全过程依据规范要求被划分为四个明确的施工时段：工程筹建期、工程施工准备期、主体工程施工期和工程完建期。其中，工程筹建期主要涉及项目前期工作，如规划审批、资源协调和手续办理，因此不计入工程总工期之内。本项目的具体施工分期安排如下：工程筹建期预计2个月；工程施工准备期2个月，用于场地平整、设备进场和人员组织；主体工程施工期计划为10个月，负责核心结构建设和设施安装；工程完建期为2个月，用于收尾清理、调试和验收工作。</w:t>
            </w:r>
          </w:p>
          <w:p w14:paraId="0789215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项目工程</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建设工期为2026年10月至2027年12月，共</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14个月。平均施工人数约50人。</w:t>
            </w:r>
          </w:p>
          <w:p w14:paraId="69647967">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eastAsia" w:cs="Times New Roman"/>
                <w:b/>
                <w:bCs/>
                <w:color w:val="000000" w:themeColor="text1"/>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、建筑材料来源</w:t>
            </w:r>
          </w:p>
          <w:p w14:paraId="4E2F412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val="en-US"/>
                <w14:textFill>
                  <w14:solidFill>
                    <w14:schemeClr w14:val="tx1"/>
                  </w14:solidFill>
                </w14:textFill>
              </w:rPr>
              <w:t>项目使用块石料、细石料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、其他施工材料以及</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砼制品全部在本地采购。</w:t>
            </w:r>
          </w:p>
        </w:tc>
      </w:tr>
    </w:tbl>
    <w:p w14:paraId="4F592529">
      <w:pPr>
        <w:keepNext w:val="0"/>
        <w:keepLines w:val="0"/>
        <w:pageBreakBefore w:val="0"/>
        <w:widowControl/>
        <w:spacing w:before="313" w:beforeAutospacing="0" w:after="313" w:afterAutospacing="0" w:line="360" w:lineRule="auto"/>
        <w:ind w:left="0" w:right="0" w:firstLine="482"/>
        <w:jc w:val="center"/>
        <w:outlineLvl w:val="0"/>
        <w:rPr>
          <w:rFonts w:hint="default" w:ascii="Times New Roman" w:hAnsi="Times New Roman" w:cs="Times New Roman" w:eastAsiaTheme="minorEastAsia"/>
          <w:color w:val="000000" w:themeColor="text1"/>
          <w:sz w:val="30"/>
          <w:szCs w:val="30"/>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br w:type="page" w:clear="all"/>
      </w:r>
      <w:r>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t>三、</w:t>
      </w:r>
      <w:bookmarkStart w:id="27" w:name="OLE_LINK21"/>
      <w:bookmarkStart w:id="28" w:name="OLE_LINK20"/>
      <w:r>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t>生态环境现状、保护目标及评价标准</w:t>
      </w:r>
      <w:bookmarkEnd w:id="27"/>
      <w:bookmarkEnd w:id="28"/>
    </w:p>
    <w:tbl>
      <w:tblPr>
        <w:tblStyle w:val="39"/>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026"/>
      </w:tblGrid>
      <w:tr w14:paraId="0DB2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75F811A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生态环境现状</w:t>
            </w:r>
          </w:p>
        </w:tc>
        <w:tc>
          <w:tcPr>
            <w:tcW w:w="8026" w:type="dxa"/>
            <w:noWrap w:val="0"/>
            <w:vAlign w:val="center"/>
          </w:tcPr>
          <w:p w14:paraId="0A1A2EC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1、生态环境现状</w:t>
            </w:r>
          </w:p>
          <w:p w14:paraId="6F83F26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主体功能区规划</w:t>
            </w:r>
          </w:p>
          <w:p w14:paraId="14EDADB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根据《全国主体功能区规划》、《安徽省主体功能区规划》，安徽省主体功能区划分为重点开发区域、限制开发区域和禁止开发区域三类，没有优化开发区。</w:t>
            </w:r>
          </w:p>
          <w:p w14:paraId="46CBC7D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安徽省六安市霍山县境内，区域属于“限制开发区域-国家重点生态功能区-六安片区（霍山县）”，国家重点生态功能区主要分布于皖西大别山区，包括金寨、霍山、岳西、太湖、潜山、石台县，属国家大别山水土保持生态功能区，国土面积1.34万平方公里，占全省国土面积9.60%。</w:t>
            </w:r>
          </w:p>
          <w:p w14:paraId="4632C0D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该区域是淮河中游和长江下游的重要水源补给区，土壤侵蚀敏感性程度高，山地生态系统功能退化，水土流失严重，是全国重要的水土保持型和水源涵养型生态功能区，是全省乃至长三角地区的重要生态屏障。</w:t>
            </w:r>
          </w:p>
          <w:p w14:paraId="7EC4B81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——遏制区域水土流失。禁止毁林开荒，逐步恢复和扩大森林植被，增强水土保持能力，确保水库、湖泊安全。</w:t>
            </w:r>
          </w:p>
          <w:p w14:paraId="7C71DD3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——加强流域综合治理。开展封山育林，河、湖、库上游要大力营造水源涵养林和水土保持林，加快区域生态防护林体系建设，提高防洪减灾能力，减轻对长江、淮河的洪水压力。</w:t>
            </w:r>
          </w:p>
          <w:p w14:paraId="0E07710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——严格监管资源开发。禁止发展与生态保护相矛盾的产业和项目，加大矿山环境整治和生态修复力度，控制人为因素对土壤的侵蚀。适度合理开发旅游资源和农产品资源。</w:t>
            </w:r>
          </w:p>
          <w:p w14:paraId="3A44099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本项目为县城排水防涝能力提升项目。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工程实施能够增加污水收集率和处理率，保护片区水环境，提升片区排涝标准。对改善片区水环境和水安全以及保障片区经济、社会发展具有战略意义。同时能够有效完善市政基础设施建设，对提高区域整体环境和形象，实现乡村振兴有很大的作用，项目建设不会改变区域的功能区划，符合安徽省主体功能。</w:t>
            </w:r>
            <w:r>
              <w:rPr>
                <w:rFonts w:hint="eastAsia" w:cs="Times New Roman"/>
                <w:color w:val="000000" w:themeColor="text1"/>
                <w:sz w:val="24"/>
                <w:highlight w:val="none"/>
                <w:lang w:val="en-US" w:eastAsia="zh-CN"/>
                <w14:textFill>
                  <w14:solidFill>
                    <w14:schemeClr w14:val="tx1"/>
                  </w14:solidFill>
                </w14:textFill>
              </w:rPr>
              <w:t>本项目</w:t>
            </w:r>
            <w:r>
              <w:rPr>
                <w:rFonts w:hint="default"/>
                <w:color w:val="000000" w:themeColor="text1"/>
                <w:spacing w:val="3"/>
                <w:sz w:val="24"/>
                <w14:textFill>
                  <w14:solidFill>
                    <w14:schemeClr w14:val="tx1"/>
                  </w14:solidFill>
                </w14:textFill>
              </w:rPr>
              <w:t>不涉及生态保护红线和占用永久基本农田。</w:t>
            </w:r>
          </w:p>
          <w:p w14:paraId="62B1EB9E">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561340</wp:posOffset>
                      </wp:positionH>
                      <wp:positionV relativeFrom="paragraph">
                        <wp:posOffset>3666490</wp:posOffset>
                      </wp:positionV>
                      <wp:extent cx="818515" cy="333375"/>
                      <wp:effectExtent l="6350" t="6350" r="241935" b="212725"/>
                      <wp:wrapNone/>
                      <wp:docPr id="34" name="矩形标注 4"/>
                      <wp:cNvGraphicFramePr/>
                      <a:graphic xmlns:a="http://schemas.openxmlformats.org/drawingml/2006/main">
                        <a:graphicData uri="http://schemas.microsoft.com/office/word/2010/wordprocessingShape">
                          <wps:wsp>
                            <wps:cNvSpPr/>
                            <wps:spPr bwMode="auto">
                              <a:xfrm>
                                <a:off x="3366135" y="4404360"/>
                                <a:ext cx="818515" cy="333375"/>
                              </a:xfrm>
                              <a:prstGeom prst="wedgeRectCallout">
                                <a:avLst>
                                  <a:gd name="adj1" fmla="val 72187"/>
                                  <a:gd name="adj2" fmla="val 10257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50FCC6A">
                                  <w:pPr>
                                    <w:spacing w:line="240" w:lineRule="auto"/>
                                    <w:ind w:left="0" w:firstLine="0"/>
                                    <w:jc w:val="both"/>
                                    <w:rPr>
                                      <w:rFonts w:hint="default" w:eastAsia="宋体"/>
                                      <w:color w:val="FF0000"/>
                                      <w:sz w:val="18"/>
                                      <w:szCs w:val="18"/>
                                      <w:lang w:val="en-US" w:eastAsia="zh-CN"/>
                                    </w:rPr>
                                  </w:pPr>
                                  <w:r>
                                    <w:rPr>
                                      <w:rFonts w:hint="eastAsia"/>
                                      <w:color w:val="FF0000"/>
                                      <w:sz w:val="18"/>
                                      <w:szCs w:val="18"/>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 o:spid="_x0000_s1026" o:spt="61" type="#_x0000_t61" style="position:absolute;left:0pt;margin-left:44.2pt;margin-top:288.7pt;height:26.25pt;width:64.45pt;z-index:251662336;v-text-anchor:middle;mso-width-relative:page;mso-height-relative:page;" filled="f" stroked="t" coordsize="21600,21600" o:gfxdata="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y0RxINgAAAAKAQAADwAAAAAA&#10;AAABACAAAAAiAAAAZHJzL2Rvd25yZXYueG1sUEsBAhQAFAAAAAgAh07iQIFt2nm+AgAAVAUAAA4A&#10;AAAAAAAAAQAgAAAAJwEAAGRycy9lMm9Eb2MueG1sUEsFBgAAAAAGAAYAWQEAAFcGAAAAAA==&#10;" adj="26392,32955">
                      <v:fill on="f" focussize="0,0"/>
                      <v:stroke weight="1pt" color="#FF0000 [2404]" miterlimit="8" joinstyle="miter"/>
                      <v:imagedata o:title=""/>
                      <o:lock v:ext="edit" aspectratio="f"/>
                      <v:textbox>
                        <w:txbxContent>
                          <w:p w14:paraId="250FCC6A">
                            <w:pPr>
                              <w:spacing w:line="240" w:lineRule="auto"/>
                              <w:ind w:left="0" w:firstLine="0"/>
                              <w:jc w:val="both"/>
                              <w:rPr>
                                <w:rFonts w:hint="default" w:eastAsia="宋体"/>
                                <w:color w:val="FF0000"/>
                                <w:sz w:val="18"/>
                                <w:szCs w:val="18"/>
                                <w:lang w:val="en-US" w:eastAsia="zh-CN"/>
                              </w:rPr>
                            </w:pPr>
                            <w:r>
                              <w:rPr>
                                <w:rFonts w:hint="eastAsia"/>
                                <w:color w:val="FF0000"/>
                                <w:sz w:val="18"/>
                                <w:szCs w:val="18"/>
                                <w:lang w:val="en-US" w:eastAsia="zh-CN"/>
                              </w:rPr>
                              <w:t>项目所在地</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1561465</wp:posOffset>
                      </wp:positionH>
                      <wp:positionV relativeFrom="paragraph">
                        <wp:posOffset>4102735</wp:posOffset>
                      </wp:positionV>
                      <wp:extent cx="114300" cy="104775"/>
                      <wp:effectExtent l="20320" t="19685" r="36830" b="27940"/>
                      <wp:wrapNone/>
                      <wp:docPr id="35" name="五角星 3"/>
                      <wp:cNvGraphicFramePr/>
                      <a:graphic xmlns:a="http://schemas.openxmlformats.org/drawingml/2006/main">
                        <a:graphicData uri="http://schemas.microsoft.com/office/word/2010/wordprocessingShape">
                          <wps:wsp>
                            <wps:cNvSpPr/>
                            <wps:spPr bwMode="auto">
                              <a:xfrm>
                                <a:off x="3175635" y="5021580"/>
                                <a:ext cx="114300" cy="104775"/>
                              </a:xfrm>
                              <a:prstGeom prst="star5">
                                <a:avLst>
                                  <a:gd name="adj" fmla="val 19098"/>
                                  <a:gd name="hf" fmla="val 105146"/>
                                  <a:gd name="vf" fmla="val 110557"/>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a:noAutofit/>
                            </wps:bodyPr>
                          </wps:wsp>
                        </a:graphicData>
                      </a:graphic>
                    </wp:anchor>
                  </w:drawing>
                </mc:Choice>
                <mc:Fallback>
                  <w:pict>
                    <v:shape id="五角星 3" o:spid="_x0000_s1026" style="position:absolute;left:0pt;margin-left:122.95pt;margin-top:323.05pt;height:8.25pt;width:9pt;z-index:251661312;mso-width-relative:page;mso-height-relative:page;" fillcolor="#FFFF00" filled="t" stroked="t" coordsize="114300,104775" o:gfxdata="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QBDoj1wAAAAsBAAAPAAAAAAAAAAEAIAAAACIAAABkcnMvZG93bnJl&#10;di54bWxQSwECFAAUAAAACACHTuJA/FZFjjcCAACJBAAADgAAAAAAAAABACAAAAAmAQAAZHJzL2Uy&#10;b0RvYy54bWxQSwUGAAAAAAYABgBZAQAAzwUAAAAA&#10;" path="m0,40020l43658,40020,57150,0,70641,40020,114299,40020,78978,64754,92470,104774,57150,80040,21829,104774,35321,64754xe">
                      <v:path o:connectlocs="57150,0;0,40020;21829,104774;92470,104774;114299,40020" o:connectangles="247,164,82,82,0"/>
                      <v:fill on="t" focussize="0,0"/>
                      <v:stroke weight="1pt" color="#FFFF00 [2404]" miterlimit="8" joinstyle="miter"/>
                      <v:imagedata o:title=""/>
                      <o:lock v:ext="edit" aspectratio="f"/>
                    </v:shape>
                  </w:pict>
                </mc:Fallback>
              </mc:AlternateContent>
            </w: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4959350" cy="6935470"/>
                  <wp:effectExtent l="0" t="0" r="12700" b="1778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40"/>
                          <a:stretch>
                            <a:fillRect/>
                          </a:stretch>
                        </pic:blipFill>
                        <pic:spPr>
                          <a:xfrm>
                            <a:off x="0" y="0"/>
                            <a:ext cx="4959350" cy="6935470"/>
                          </a:xfrm>
                          <a:prstGeom prst="rect">
                            <a:avLst/>
                          </a:prstGeom>
                          <a:noFill/>
                          <a:ln w="9525">
                            <a:noFill/>
                          </a:ln>
                        </pic:spPr>
                      </pic:pic>
                    </a:graphicData>
                  </a:graphic>
                </wp:inline>
              </w:drawing>
            </w:r>
          </w:p>
          <w:p w14:paraId="505C23D3">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3-1 安徽省主体功能区划图</w:t>
            </w:r>
          </w:p>
          <w:p w14:paraId="378EB3E5">
            <w:pPr>
              <w:keepNext w:val="0"/>
              <w:keepLines w:val="0"/>
              <w:suppressLineNumbers w:val="0"/>
              <w:spacing w:before="0" w:beforeAutospacing="0" w:after="0" w:afterAutospacing="0"/>
              <w:ind w:left="0" w:right="0" w:firstLine="0"/>
              <w:rPr>
                <w:rFonts w:hint="default"/>
                <w:color w:val="000000" w:themeColor="text1"/>
                <w:lang w:val="en-US" w:eastAsia="zh-CN"/>
                <w14:textFill>
                  <w14:solidFill>
                    <w14:schemeClr w14:val="tx1"/>
                  </w14:solidFill>
                </w14:textFill>
              </w:rPr>
            </w:pPr>
          </w:p>
          <w:p w14:paraId="7D2CE325">
            <w:pPr>
              <w:keepNext w:val="0"/>
              <w:keepLines w:val="0"/>
              <w:pageBreakBefore w:val="0"/>
              <w:widowControl w:val="0"/>
              <w:suppressLineNumbers w:val="0"/>
              <w:spacing w:before="0" w:beforeAutospacing="0" w:after="0" w:afterAutospacing="0" w:line="360" w:lineRule="auto"/>
              <w:ind w:left="0" w:right="0" w:firstLine="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0" distR="0">
                  <wp:extent cx="4959350" cy="3916680"/>
                  <wp:effectExtent l="0" t="0" r="12700" b="7620"/>
                  <wp:docPr id="37" name="图片 6" descr="b338afe2-6688-4df7-b63a-8901fc52a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b338afe2-6688-4df7-b63a-8901fc52adac"/>
                          <pic:cNvPicPr>
                            <a:picLocks noChangeAspect="1"/>
                          </pic:cNvPicPr>
                        </pic:nvPicPr>
                        <pic:blipFill>
                          <a:blip r:embed="rId41"/>
                          <a:stretch>
                            <a:fillRect/>
                          </a:stretch>
                        </pic:blipFill>
                        <pic:spPr>
                          <a:xfrm>
                            <a:off x="0" y="0"/>
                            <a:ext cx="4959350" cy="3916680"/>
                          </a:xfrm>
                          <a:prstGeom prst="rect">
                            <a:avLst/>
                          </a:prstGeom>
                        </pic:spPr>
                      </pic:pic>
                    </a:graphicData>
                  </a:graphic>
                </wp:inline>
              </w:drawing>
            </w:r>
          </w:p>
          <w:p w14:paraId="373FA8DA">
            <w:pPr>
              <w:pStyle w:val="6"/>
              <w:keepNext/>
              <w:keepLines/>
              <w:pageBreakBefore w:val="0"/>
              <w:widowControl w:val="0"/>
              <w:suppressLineNumbers w:val="0"/>
              <w:spacing w:before="0" w:after="0" w:line="240" w:lineRule="auto"/>
              <w:ind w:left="0" w:right="0"/>
              <w:jc w:val="center"/>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图3-</w:t>
            </w:r>
            <w:r>
              <w:rPr>
                <w:rFonts w:hint="eastAsia"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 xml:space="preserve">2  </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工程方案套合“三区三线”示意图</w:t>
            </w:r>
          </w:p>
          <w:p w14:paraId="098A758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生态功能区划</w:t>
            </w:r>
          </w:p>
          <w:p w14:paraId="3F50A9C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本项目位于安徽省六安市，根据《安徽省生态功能区划》，本项目区涉及Ⅲ1梅响磨佛水库水源涵养与生物多样性保护生态功能区、</w:t>
            </w:r>
            <w:bookmarkStart w:id="29" w:name="_Toc15817"/>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Ⅲ2龙河口水库上游水源涵养与水土保持生态功能区</w:t>
            </w:r>
            <w:bookmarkEnd w:id="29"/>
            <w:r>
              <w:rPr>
                <w:rFonts w:hint="default" w:ascii="Times New Roman" w:hAnsi="Times New Roman" w:eastAsia="宋体" w:cs="Times New Roman"/>
                <w:color w:val="000000" w:themeColor="text1"/>
                <w:sz w:val="24"/>
                <w:highlight w:val="none"/>
                <w14:textFill>
                  <w14:solidFill>
                    <w14:schemeClr w14:val="tx1"/>
                  </w14:solidFill>
                </w14:textFill>
              </w:rPr>
              <w:t>。</w:t>
            </w:r>
          </w:p>
          <w:p w14:paraId="5843935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Ⅲ</w:t>
            </w:r>
            <w:r>
              <w:rPr>
                <w:rFonts w:hint="default" w:ascii="Times New Roman" w:hAnsi="Times New Roman" w:eastAsia="宋体" w:cs="Times New Roman"/>
                <w:color w:val="000000" w:themeColor="text1"/>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梅响磨佛水库水源涵养与生物多样性保护生态功能区行政区划包括金寨县全部、霍山县大部、六安市辖区西南部地区，面积6746k</w:t>
            </w:r>
            <w:r>
              <w:rPr>
                <w:rFonts w:hint="eastAsia" w:cs="Times New Roman"/>
                <w:color w:val="000000" w:themeColor="text1"/>
                <w:sz w:val="24"/>
                <w:szCs w:val="24"/>
                <w:lang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。年均降水1400</w:t>
            </w:r>
            <w:r>
              <w:rPr>
                <w:rFonts w:hint="eastAsia" w:cs="Times New Roman"/>
                <w:color w:val="000000" w:themeColor="text1"/>
                <w:sz w:val="24"/>
                <w:szCs w:val="24"/>
                <w:lang w:eastAsia="zh-CN"/>
                <w14:textFill>
                  <w14:solidFill>
                    <w14:schemeClr w14:val="tx1"/>
                  </w14:solidFill>
                </w14:textFill>
              </w:rPr>
              <w:t>mm</w:t>
            </w:r>
            <w:r>
              <w:rPr>
                <w:rFonts w:hint="default" w:ascii="Times New Roman" w:hAnsi="Times New Roman" w:eastAsia="宋体" w:cs="Times New Roman"/>
                <w:color w:val="000000" w:themeColor="text1"/>
                <w:sz w:val="24"/>
                <w:szCs w:val="24"/>
                <w14:textFill>
                  <w14:solidFill>
                    <w14:schemeClr w14:val="tx1"/>
                  </w14:solidFill>
                </w14:textFill>
              </w:rPr>
              <w:t>左右，是安徽省的降水次中心。本生态功能区以森林生态系统为主，植被类型属暖温带落叶阔叶林向亚热带常绿阔叶林过渡型，植被垂直分布带谱明显，野生动植物资源丰富，区系成份复杂，特有种多。天马国家级自然保护区内保存了大批珍稀、古老孑遗物种和典型、多样的生物群落，目前已查明维管束植物有2000多种，陆栖脊椎动物200多种，其中国家重点保护的野生植物有大别山五针松、香果树、杜仲等25种，而且还是香果树、领春木、大别山五针松、连香树、鹅掌楸、金钱松、天女花、厚朴、大鲵、原麝等保护物种的集中分布区，其中中国特有植物13属及地方特有动植物十余种，被喻为“大别山区的天然物种基因库”。本区还是淮河重要支流史河、淠河的发源地和下游梅山、响洪甸、磨子潭和佛子岭四大水库的水源涵养区。</w:t>
            </w:r>
          </w:p>
          <w:p w14:paraId="6E2C062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Ⅲ</w:t>
            </w:r>
            <w:r>
              <w:rPr>
                <w:rFonts w:hint="default" w:ascii="Times New Roman" w:hAnsi="Times New Roman" w:eastAsia="宋体" w:cs="Times New Roman"/>
                <w:color w:val="000000" w:themeColor="text1"/>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梅响磨佛水库水源涵养与生物多样性保护生态功能区存在着以下生态环境问题：（1）由于人为活动频繁，区内水土流失问题较为突出，直接影响到水库的使用寿命和下游的生态安全；（2）区内人多地少，交通不便，出于生态保护的需要，为下游作出了较大的经济上的牺牲，目前仍然是贫困地区，人民生活水平不高，区域经济状况整体不发达；（3）水能资源丰富，开发不够；（4）部分地区基础设施建设时的保护措施不利，造成了崩塌、滑坡等地质灾害频发。</w:t>
            </w:r>
          </w:p>
          <w:p w14:paraId="6F12A4F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生态功能区在生物多样性保护、水源涵养、水土流失控制生态系统服务功能方面具有非常重要的地位，是安徽省生态系统保护的热点地区之一。因此，本功能区的发展应以保护区域生态系统服务功能为中心，利用当地丰富的自然资源，结合区内的生态示范区建设，发展生态型经济，茶叶、板栗、食用菌、毛竹、中药材、桑蚕以及水能源和生态旅游等经济活动均需要严格按照生态示范区规划的要求去发展。</w:t>
            </w:r>
          </w:p>
          <w:p w14:paraId="534272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Ⅲ</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龙河口水库上游水源涵养与水土保持生态功能区行政区划包括舒城县中南部、霍山县东北部丘陵区以及金安区南部地区，主要为龙河口水库上游汇水区及下游部分地区。本区北接江淮丘陵岗地生态区的巢湖盆地农业与城镇生态亚区，南邻皖江沿江平原生态区的大别山南麓山前丘陵平原农业生态亚区。该区地貌类型以低山丘陵为主，在龙河口水库下游有畈区平原分布。生态功能区以森林生态系统为主，植被类型属暖温带落叶阔叶林向亚热带常绿阔叶林过渡型，境内生物多样性丰富，本区还是巢湖最大支流杭埠河的发源地及龙河口水库（万佛湖）的水源涵养区，以龙河口水库为主要水源的杭埠河灌区还是淠史杭灌区的重要组成部分。</w:t>
            </w:r>
          </w:p>
          <w:p w14:paraId="62EC768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Ⅲ</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龙河口水库上游水源涵养与水土保持生态功能区主要生态环境问题有：（1）区内降水丰沛，地形坡度大，水土流失问题较为突出，是导致杭埠河道及巢湖淤积的重要原因；（2）目前区内旅游开发活动活跃，但生态保护措施有待于进一步加强；（3）龙河口水库修建后淹没了大量土地，人口移民后加重了周边地区的压力。</w:t>
            </w:r>
          </w:p>
          <w:p w14:paraId="4F272AA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生态功能区在生物多样性保护、水源涵养、水土流失控制等方面非常重要。因此，本功能区的发展应以保护龙河口水库上游水源涵养生态公益林为中心，加强生物多样性保护，生物措施与工程相结合进行水土流失控制，适度开展生态型旅游，避免因不当或过度开发导致区域生态系统退化乃至崩溃，利用距离合肥市近的地理优势，发展生态农业、观光农业和生态林业，提高茶叶、板栗等产品附加值。</w:t>
            </w:r>
          </w:p>
          <w:p w14:paraId="6FAAF6CB">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项目用地在</w:t>
            </w:r>
            <w:r>
              <w:rPr>
                <w:rFonts w:hint="default" w:ascii="Times New Roman" w:hAnsi="Times New Roman" w:eastAsia="宋体" w:cs="Times New Roman"/>
                <w:color w:val="000000" w:themeColor="text1"/>
                <w:highlight w:val="none"/>
                <w14:textFill>
                  <w14:solidFill>
                    <w14:schemeClr w14:val="tx1"/>
                  </w14:solidFill>
                </w14:textFill>
              </w:rPr>
              <w:t>佛子岭镇</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衡山镇</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黑石渡镇</w:t>
            </w:r>
            <w:r>
              <w:rPr>
                <w:rFonts w:hint="eastAsia" w:cs="Times New Roman"/>
                <w:color w:val="000000" w:themeColor="text1"/>
                <w:highlight w:val="none"/>
                <w:lang w:eastAsia="zh-CN"/>
                <w14:textFill>
                  <w14:solidFill>
                    <w14:schemeClr w14:val="tx1"/>
                  </w14:solidFill>
                </w14:textFill>
              </w:rPr>
              <w:t>境内。</w:t>
            </w:r>
          </w:p>
          <w:p w14:paraId="4581CF7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项目与生态保护红线关系：经核查，项目红线范围及施工作业带不涉及国家及安徽省、六安市、霍山县划定的生态保护红线范围。</w:t>
            </w:r>
          </w:p>
          <w:p w14:paraId="56F615E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项目与环境敏感区关系：项目选址基本规避了集中式饮用水水源保护区（如佛子岭水库等）、风景名胜区核心区等法定环境敏感区。</w:t>
            </w:r>
          </w:p>
          <w:p w14:paraId="675C566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严格控制项目施工用地范围，避免越界施工，涉及山边、河岸或绿化带的工程（如河湖水系整治岸线、透水铺装），将严格保护现有乡土植被和重要生境。优化施工时序（避让鸟类繁殖、洄游期等），减少扰动。避免对原有植被的破坏；建筑垃圾应及时清理，同时做好水土流失防护工作，同时做好水土流失防护工作，符合生态保护措施要求</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36D32D2">
            <w:pPr>
              <w:pStyle w:val="4"/>
              <w:suppressLineNumbers w:val="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662F3D18">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4915C315">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1894F767">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11AEF40A">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301E0B10">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420787CD">
            <w:pPr>
              <w:pStyle w:val="4"/>
              <w:suppressLineNumbers w:val="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6FFD51E8">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31A1B1F7">
            <w:pPr>
              <w:pStyle w:val="4"/>
              <w:suppressLineNumbers w:val="0"/>
              <w:ind w:left="0" w:right="0"/>
              <w:rPr>
                <w:rFonts w:hint="default" w:ascii="Times New Roman" w:hAnsi="Times New Roman" w:eastAsia="宋体" w:cs="Times New Roman"/>
                <w:color w:val="000000" w:themeColor="text1"/>
                <w:sz w:val="24"/>
                <w:highlight w:val="none"/>
                <w14:textFill>
                  <w14:solidFill>
                    <w14:schemeClr w14:val="tx1"/>
                  </w14:solidFill>
                </w14:textFill>
              </w:rPr>
            </w:pPr>
          </w:p>
          <w:p w14:paraId="2BCBE55F">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14:textFill>
                  <w14:solidFill>
                    <w14:schemeClr w14:val="tx1"/>
                  </w14:solidFill>
                </w14:textFill>
              </w:rPr>
            </w:pPr>
          </w:p>
          <w:p w14:paraId="2A2D020A">
            <w:pPr>
              <w:pStyle w:val="4"/>
              <w:suppressLineNumbers w:val="0"/>
              <w:ind w:left="0" w:right="0" w:firstLine="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0" distR="0">
                  <wp:extent cx="4591050" cy="6391275"/>
                  <wp:effectExtent l="0" t="0" r="0" b="9525"/>
                  <wp:docPr id="38" name="图片 8" descr="e2d9e79c-cf2f-4240-88bc-6144fa1f4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e2d9e79c-cf2f-4240-88bc-6144fa1f4c54"/>
                          <pic:cNvPicPr>
                            <a:picLocks noChangeAspect="1"/>
                          </pic:cNvPicPr>
                        </pic:nvPicPr>
                        <pic:blipFill>
                          <a:blip r:embed="rId42"/>
                          <a:stretch>
                            <a:fillRect/>
                          </a:stretch>
                        </pic:blipFill>
                        <pic:spPr>
                          <a:xfrm>
                            <a:off x="0" y="0"/>
                            <a:ext cx="4591050" cy="6391275"/>
                          </a:xfrm>
                          <a:prstGeom prst="rect">
                            <a:avLst/>
                          </a:prstGeom>
                        </pic:spPr>
                      </pic:pic>
                    </a:graphicData>
                  </a:graphic>
                </wp:inline>
              </w:drawing>
            </w:r>
          </w:p>
          <w:p w14:paraId="7079E4C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图3-</w:t>
            </w:r>
            <w:r>
              <w:rPr>
                <w:rFonts w:hint="eastAsia" w:cs="Times New Roman"/>
                <w:b/>
                <w:bCs/>
                <w:color w:val="000000" w:themeColor="text1"/>
                <w:sz w:val="24"/>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安徽省生态功能区划图</w:t>
            </w:r>
          </w:p>
          <w:p w14:paraId="11B43736">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2、生态环境现状调查</w:t>
            </w:r>
          </w:p>
          <w:p w14:paraId="7ADFB360">
            <w:pPr>
              <w:keepNext w:val="0"/>
              <w:keepLines w:val="0"/>
              <w:pageBreakBefore w:val="0"/>
              <w:widowControl w:val="0"/>
              <w:suppressLineNumbers w:val="0"/>
              <w:spacing w:before="0" w:beforeAutospacing="0" w:after="0" w:afterAutospacing="0" w:line="360" w:lineRule="auto"/>
              <w:ind w:left="0" w:right="0" w:firstLine="482"/>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详见生态环境影响专项评价。</w:t>
            </w:r>
          </w:p>
          <w:p w14:paraId="71082AC8">
            <w:pPr>
              <w:pStyle w:val="2"/>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p>
          <w:p w14:paraId="6299FE6B">
            <w:pPr>
              <w:pStyle w:val="2"/>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p>
          <w:p w14:paraId="775895BB">
            <w:pPr>
              <w:pStyle w:val="2"/>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p>
          <w:p w14:paraId="3CD62E51">
            <w:pPr>
              <w:pStyle w:val="2"/>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6DECE838">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lang w:val="en-US" w:eastAsia="zh-CN" w:bidi="ar"/>
                <w14:textFill>
                  <w14:solidFill>
                    <w14:schemeClr w14:val="tx1"/>
                  </w14:solidFill>
                </w14:textFill>
              </w:rPr>
              <w:t>环境质量现状调查与评价</w:t>
            </w:r>
          </w:p>
          <w:p w14:paraId="12B421E8">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环境空气质量现状</w:t>
            </w:r>
          </w:p>
          <w:p w14:paraId="1F13F04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根据《环境影响评价技术导则大气环境》（HJ2.2-2018）要求，项目所在区域达标判定，优先采用国家或地方生态环境主管部门公开发布的评价基准年环境质量公告或环境质量报告中的数据或结论。</w:t>
            </w:r>
          </w:p>
          <w:p w14:paraId="3D21F9D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本次项目区域环境空气基本污染物评价采用霍山县生态环境分局发布的《2024年霍山县环境质量报告》中统计数据如下：</w:t>
            </w:r>
          </w:p>
          <w:p w14:paraId="7B260867">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eastAsia" w:cs="Times New Roman"/>
                <w:b/>
                <w:bCs/>
                <w:color w:val="000000" w:themeColor="text1"/>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highlight w:val="none"/>
                <w14:textFill>
                  <w14:solidFill>
                    <w14:schemeClr w14:val="tx1"/>
                  </w14:solidFill>
                </w14:textFill>
              </w:rPr>
              <w:t>区域空气质量现状评价表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434"/>
              <w:gridCol w:w="1224"/>
              <w:gridCol w:w="1224"/>
              <w:gridCol w:w="996"/>
              <w:gridCol w:w="1073"/>
            </w:tblGrid>
            <w:tr w14:paraId="2E4E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noWrap w:val="0"/>
                  <w:vAlign w:val="center"/>
                </w:tcPr>
                <w:p w14:paraId="0AD48C2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2577" w:type="dxa"/>
                  <w:noWrap w:val="0"/>
                  <w:vAlign w:val="center"/>
                </w:tcPr>
                <w:p w14:paraId="33EE578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年评价指标</w:t>
                  </w:r>
                </w:p>
              </w:tc>
              <w:tc>
                <w:tcPr>
                  <w:tcW w:w="1290" w:type="dxa"/>
                  <w:noWrap w:val="0"/>
                  <w:vAlign w:val="center"/>
                </w:tcPr>
                <w:p w14:paraId="6F01BF7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现状值（μg/</w:t>
                  </w:r>
                  <w:r>
                    <w:rPr>
                      <w:rFonts w:hint="eastAsia" w:cs="Times New Roman"/>
                      <w:b/>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w:t>
                  </w:r>
                </w:p>
              </w:tc>
              <w:tc>
                <w:tcPr>
                  <w:tcW w:w="1290" w:type="dxa"/>
                  <w:noWrap w:val="0"/>
                  <w:vAlign w:val="center"/>
                </w:tcPr>
                <w:p w14:paraId="4DF9A28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标准值（μg/</w:t>
                  </w:r>
                  <w:r>
                    <w:rPr>
                      <w:rFonts w:hint="eastAsia" w:cs="Times New Roman"/>
                      <w:b/>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w:t>
                  </w:r>
                </w:p>
              </w:tc>
              <w:tc>
                <w:tcPr>
                  <w:tcW w:w="1046" w:type="dxa"/>
                  <w:noWrap w:val="0"/>
                  <w:vAlign w:val="center"/>
                </w:tcPr>
                <w:p w14:paraId="1005578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占标率（%）</w:t>
                  </w:r>
                </w:p>
              </w:tc>
              <w:tc>
                <w:tcPr>
                  <w:tcW w:w="1127" w:type="dxa"/>
                  <w:noWrap w:val="0"/>
                  <w:vAlign w:val="center"/>
                </w:tcPr>
                <w:p w14:paraId="7F63676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达标情况</w:t>
                  </w:r>
                </w:p>
              </w:tc>
            </w:tr>
            <w:tr w14:paraId="58D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noWrap w:val="0"/>
                  <w:vAlign w:val="center"/>
                </w:tcPr>
                <w:p w14:paraId="618DB9C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2577" w:type="dxa"/>
                  <w:noWrap w:val="0"/>
                  <w:vAlign w:val="center"/>
                </w:tcPr>
                <w:p w14:paraId="50CC849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noWrap w:val="0"/>
                  <w:vAlign w:val="center"/>
                </w:tcPr>
                <w:p w14:paraId="3892AAC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52.3</w:t>
                  </w:r>
                </w:p>
              </w:tc>
              <w:tc>
                <w:tcPr>
                  <w:tcW w:w="1290" w:type="dxa"/>
                  <w:noWrap w:val="0"/>
                  <w:vAlign w:val="center"/>
                </w:tcPr>
                <w:p w14:paraId="41EFF06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1046" w:type="dxa"/>
                  <w:noWrap w:val="0"/>
                  <w:vAlign w:val="center"/>
                </w:tcPr>
                <w:p w14:paraId="70F91ED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74.71</w:t>
                  </w:r>
                </w:p>
              </w:tc>
              <w:tc>
                <w:tcPr>
                  <w:tcW w:w="1127" w:type="dxa"/>
                  <w:noWrap w:val="0"/>
                  <w:vAlign w:val="center"/>
                </w:tcPr>
                <w:p w14:paraId="6D6A29C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DD1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noWrap w:val="0"/>
                  <w:vAlign w:val="center"/>
                </w:tcPr>
                <w:p w14:paraId="4E74D2C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2577" w:type="dxa"/>
                  <w:noWrap w:val="0"/>
                  <w:vAlign w:val="center"/>
                </w:tcPr>
                <w:p w14:paraId="24C8335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noWrap w:val="0"/>
                  <w:vAlign w:val="center"/>
                </w:tcPr>
                <w:p w14:paraId="685432F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34.3</w:t>
                  </w:r>
                </w:p>
              </w:tc>
              <w:tc>
                <w:tcPr>
                  <w:tcW w:w="1290" w:type="dxa"/>
                  <w:noWrap w:val="0"/>
                  <w:vAlign w:val="center"/>
                </w:tcPr>
                <w:p w14:paraId="53B542F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1046" w:type="dxa"/>
                  <w:noWrap w:val="0"/>
                  <w:vAlign w:val="center"/>
                </w:tcPr>
                <w:p w14:paraId="50E92D4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98.00</w:t>
                  </w:r>
                </w:p>
              </w:tc>
              <w:tc>
                <w:tcPr>
                  <w:tcW w:w="1127" w:type="dxa"/>
                  <w:noWrap w:val="0"/>
                  <w:vAlign w:val="center"/>
                </w:tcPr>
                <w:p w14:paraId="67A3CA0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7B01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noWrap w:val="0"/>
                  <w:vAlign w:val="center"/>
                </w:tcPr>
                <w:p w14:paraId="5DD6FE0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577" w:type="dxa"/>
                  <w:noWrap w:val="0"/>
                  <w:vAlign w:val="center"/>
                </w:tcPr>
                <w:p w14:paraId="3DB12E3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noWrap w:val="0"/>
                  <w:vAlign w:val="center"/>
                </w:tcPr>
                <w:p w14:paraId="6C2DCDF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5.3</w:t>
                  </w:r>
                </w:p>
              </w:tc>
              <w:tc>
                <w:tcPr>
                  <w:tcW w:w="1290" w:type="dxa"/>
                  <w:noWrap w:val="0"/>
                  <w:vAlign w:val="center"/>
                </w:tcPr>
                <w:p w14:paraId="45E3835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1046" w:type="dxa"/>
                  <w:noWrap w:val="0"/>
                  <w:vAlign w:val="center"/>
                </w:tcPr>
                <w:p w14:paraId="70B1789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8.83</w:t>
                  </w:r>
                </w:p>
              </w:tc>
              <w:tc>
                <w:tcPr>
                  <w:tcW w:w="1127" w:type="dxa"/>
                  <w:noWrap w:val="0"/>
                  <w:vAlign w:val="center"/>
                </w:tcPr>
                <w:p w14:paraId="762BE19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518B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noWrap w:val="0"/>
                  <w:vAlign w:val="center"/>
                </w:tcPr>
                <w:p w14:paraId="3F2252C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577" w:type="dxa"/>
                  <w:noWrap w:val="0"/>
                  <w:vAlign w:val="center"/>
                </w:tcPr>
                <w:p w14:paraId="3A6EC62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noWrap w:val="0"/>
                  <w:vAlign w:val="center"/>
                </w:tcPr>
                <w:p w14:paraId="10E4CF1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15.1</w:t>
                  </w:r>
                </w:p>
              </w:tc>
              <w:tc>
                <w:tcPr>
                  <w:tcW w:w="1290" w:type="dxa"/>
                  <w:noWrap w:val="0"/>
                  <w:vAlign w:val="center"/>
                </w:tcPr>
                <w:p w14:paraId="09A8A74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046" w:type="dxa"/>
                  <w:noWrap w:val="0"/>
                  <w:vAlign w:val="center"/>
                </w:tcPr>
                <w:p w14:paraId="0DE0DE0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37.75</w:t>
                  </w:r>
                </w:p>
              </w:tc>
              <w:tc>
                <w:tcPr>
                  <w:tcW w:w="1127" w:type="dxa"/>
                  <w:noWrap w:val="0"/>
                  <w:vAlign w:val="center"/>
                </w:tcPr>
                <w:p w14:paraId="23A443B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EC3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90" w:type="dxa"/>
                  <w:noWrap w:val="0"/>
                  <w:vAlign w:val="center"/>
                </w:tcPr>
                <w:p w14:paraId="7D0DFC9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2577" w:type="dxa"/>
                  <w:noWrap w:val="0"/>
                  <w:vAlign w:val="center"/>
                </w:tcPr>
                <w:p w14:paraId="46607AE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日平均第95百分位数</w:t>
                  </w:r>
                </w:p>
              </w:tc>
              <w:tc>
                <w:tcPr>
                  <w:tcW w:w="1290" w:type="dxa"/>
                  <w:noWrap w:val="0"/>
                  <w:vAlign w:val="center"/>
                </w:tcPr>
                <w:p w14:paraId="4515E6B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9</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290" w:type="dxa"/>
                  <w:noWrap w:val="0"/>
                  <w:vAlign w:val="center"/>
                </w:tcPr>
                <w:p w14:paraId="2833977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046" w:type="dxa"/>
                  <w:noWrap w:val="0"/>
                  <w:vAlign w:val="center"/>
                </w:tcPr>
                <w:p w14:paraId="657910A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22.50</w:t>
                  </w:r>
                </w:p>
              </w:tc>
              <w:tc>
                <w:tcPr>
                  <w:tcW w:w="1127" w:type="dxa"/>
                  <w:noWrap w:val="0"/>
                  <w:vAlign w:val="center"/>
                </w:tcPr>
                <w:p w14:paraId="2F28D6C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D97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noWrap w:val="0"/>
                  <w:vAlign w:val="center"/>
                </w:tcPr>
                <w:p w14:paraId="1A5669B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2577" w:type="dxa"/>
                  <w:noWrap w:val="0"/>
                  <w:vAlign w:val="center"/>
                </w:tcPr>
                <w:p w14:paraId="071AA5ED">
                  <w:pPr>
                    <w:pStyle w:val="16"/>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日最大8小时平均值</w:t>
                  </w:r>
                </w:p>
              </w:tc>
              <w:tc>
                <w:tcPr>
                  <w:tcW w:w="1290" w:type="dxa"/>
                  <w:noWrap w:val="0"/>
                  <w:vAlign w:val="center"/>
                </w:tcPr>
                <w:p w14:paraId="36374DC9">
                  <w:pPr>
                    <w:pStyle w:val="16"/>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133</w:t>
                  </w:r>
                </w:p>
              </w:tc>
              <w:tc>
                <w:tcPr>
                  <w:tcW w:w="1290" w:type="dxa"/>
                  <w:noWrap w:val="0"/>
                  <w:vAlign w:val="center"/>
                </w:tcPr>
                <w:p w14:paraId="708E73B6">
                  <w:pPr>
                    <w:pStyle w:val="16"/>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1046" w:type="dxa"/>
                  <w:noWrap w:val="0"/>
                  <w:vAlign w:val="center"/>
                </w:tcPr>
                <w:p w14:paraId="211E34B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83.13</w:t>
                  </w:r>
                </w:p>
              </w:tc>
              <w:tc>
                <w:tcPr>
                  <w:tcW w:w="1127" w:type="dxa"/>
                  <w:noWrap w:val="0"/>
                  <w:vAlign w:val="center"/>
                </w:tcPr>
                <w:p w14:paraId="664529F9">
                  <w:pPr>
                    <w:pStyle w:val="16"/>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14:paraId="3B97EF6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根据环境质量年报结果统计，并结合《环境空气质量标准》（GB3095-2012）及2018年修改单中二级标准评价可知，项目所在区域2024年SO</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、CO、</w:t>
            </w:r>
            <w:r>
              <w:rPr>
                <w:rFonts w:hint="eastAsia" w:cs="Times New Roman"/>
                <w:color w:val="000000" w:themeColor="text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均达到《环境空气质量标准》(GB3095-2012)中二级标准限值，项目所在区域空气质量为达标区。</w:t>
            </w:r>
          </w:p>
          <w:p w14:paraId="186EBA68">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地表水环境质量现状</w:t>
            </w:r>
          </w:p>
          <w:p w14:paraId="62E1BD5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highlight w:val="none"/>
                <w:lang w:val="en-US" w:eastAsia="zh-CN"/>
                <w14:textFill>
                  <w14:solidFill>
                    <w14:schemeClr w14:val="tx1"/>
                  </w14:solidFill>
                </w14:textFill>
              </w:rPr>
              <w:t>霍山县生态环境分局发布的《2024年霍山县环境质量报告》</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2024年霍山县地表水总体水质状况为优，13个国省控监测断面水质均到达地表水Ⅱ类标准，达标率100%。与去年同期相比，水质状况无明显变化。</w:t>
            </w:r>
          </w:p>
          <w:p w14:paraId="0EA6C9E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lang w:val="en-US" w:eastAsia="zh-CN"/>
                <w14:textFill>
                  <w14:solidFill>
                    <w14:schemeClr w14:val="tx1"/>
                  </w14:solidFill>
                </w14:textFill>
              </w:rPr>
              <w:t>国考断面：2024年霍山县共有2个国考断面，佛子岭水库库心、东淠河陶洪集段水质均达到年度考核目标要求(不低于地表水Ⅱ类)，达标率为100％。</w:t>
            </w:r>
          </w:p>
          <w:p w14:paraId="01A8EAF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lang w:val="en-US" w:eastAsia="zh-CN"/>
                <w14:textFill>
                  <w14:solidFill>
                    <w14:schemeClr w14:val="tx1"/>
                  </w14:solidFill>
                </w14:textFill>
              </w:rPr>
              <w:t>生态补偿断面：2024年东淠河陶洪集断面生态补偿指数（P值）为0.833，达到考核目标要求（不超过0.85）。</w:t>
            </w:r>
          </w:p>
          <w:p w14:paraId="7A74F5F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bookmarkStart w:id="30" w:name="OLE_LINK13"/>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highlight w:val="none"/>
                <w14:textFill>
                  <w14:solidFill>
                    <w14:schemeClr w14:val="tx1"/>
                  </w14:solidFill>
                </w14:textFill>
              </w:rPr>
              <w:t>声环境质量现状</w:t>
            </w:r>
            <w:bookmarkEnd w:id="30"/>
          </w:p>
          <w:p w14:paraId="211B0864">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项目为防洪排涝工程项目，工程主要为移动声源，不存在固定声源，根据</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环境影响评价技术导则 声环境</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HJ2.4</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-20</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21</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中“二级、三级评价范围可根据建设项目所在区域和相邻区域的声环境功能区类别及声环境保护目标等实际情况适当缩小”，项目评价范围为线路中心线向两侧外延200</w:t>
            </w:r>
            <w:r>
              <w:rPr>
                <w:rFonts w:hint="eastAsia" w:cs="Times New Roman"/>
                <w:bCs/>
                <w:color w:val="000000" w:themeColor="text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w:t>
            </w:r>
          </w:p>
          <w:p w14:paraId="62A2DCC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根据现场调查，项目周边主要为小区、农田和村庄等，</w:t>
            </w:r>
            <w:r>
              <w:rPr>
                <w:rFonts w:hint="eastAsia"/>
                <w:color w:val="000000" w:themeColor="text1"/>
                <w:sz w:val="24"/>
                <w:szCs w:val="32"/>
                <w14:textFill>
                  <w14:solidFill>
                    <w14:schemeClr w14:val="tx1"/>
                  </w14:solidFill>
                </w14:textFill>
              </w:rPr>
              <w:t>项目</w:t>
            </w:r>
            <w:r>
              <w:rPr>
                <w:rFonts w:hint="eastAsia"/>
                <w:color w:val="000000" w:themeColor="text1"/>
                <w:sz w:val="24"/>
                <w:szCs w:val="32"/>
                <w:lang w:val="en-US" w:eastAsia="zh-CN"/>
                <w14:textFill>
                  <w14:solidFill>
                    <w14:schemeClr w14:val="tx1"/>
                  </w14:solidFill>
                </w14:textFill>
              </w:rPr>
              <w:t>噪声</w:t>
            </w:r>
            <w:r>
              <w:rPr>
                <w:rFonts w:hint="eastAsia"/>
                <w:color w:val="000000" w:themeColor="text1"/>
                <w:sz w:val="24"/>
                <w:szCs w:val="32"/>
                <w14:textFill>
                  <w14:solidFill>
                    <w14:schemeClr w14:val="tx1"/>
                  </w14:solidFill>
                </w14:textFill>
              </w:rPr>
              <w:t>主要</w:t>
            </w:r>
            <w:r>
              <w:rPr>
                <w:rFonts w:hint="eastAsia"/>
                <w:color w:val="000000" w:themeColor="text1"/>
                <w:sz w:val="24"/>
                <w:szCs w:val="32"/>
                <w:lang w:val="en-US" w:eastAsia="zh-CN"/>
                <w14:textFill>
                  <w14:solidFill>
                    <w14:schemeClr w14:val="tx1"/>
                  </w14:solidFill>
                </w14:textFill>
              </w:rPr>
              <w:t>为</w:t>
            </w:r>
            <w:r>
              <w:rPr>
                <w:rFonts w:hint="eastAsia"/>
                <w:color w:val="000000" w:themeColor="text1"/>
                <w:sz w:val="24"/>
                <w:szCs w:val="32"/>
                <w14:textFill>
                  <w14:solidFill>
                    <w14:schemeClr w14:val="tx1"/>
                  </w14:solidFill>
                </w14:textFill>
              </w:rPr>
              <w:t>施工期噪声</w:t>
            </w:r>
            <w:r>
              <w:rPr>
                <w:rFonts w:hint="eastAsia"/>
                <w:color w:val="000000" w:themeColor="text1"/>
                <w:sz w:val="24"/>
                <w:szCs w:val="32"/>
                <w:lang w:eastAsia="zh-CN"/>
                <w14:textFill>
                  <w14:solidFill>
                    <w14:schemeClr w14:val="tx1"/>
                  </w14:solidFill>
                </w14:textFill>
              </w:rPr>
              <w:t>，</w:t>
            </w:r>
            <w:r>
              <w:rPr>
                <w:rFonts w:hint="eastAsia"/>
                <w:color w:val="000000" w:themeColor="text1"/>
                <w:sz w:val="24"/>
                <w:szCs w:val="32"/>
                <w14:textFill>
                  <w14:solidFill>
                    <w14:schemeClr w14:val="tx1"/>
                  </w14:solidFill>
                </w14:textFill>
              </w:rPr>
              <w:t>来自施工机械噪声，</w:t>
            </w:r>
            <w:r>
              <w:rPr>
                <w:rFonts w:hint="eastAsia"/>
                <w:color w:val="000000" w:themeColor="text1"/>
                <w:sz w:val="24"/>
                <w:szCs w:val="32"/>
                <w:lang w:val="en-US" w:eastAsia="zh-CN"/>
                <w14:textFill>
                  <w14:solidFill>
                    <w14:schemeClr w14:val="tx1"/>
                  </w14:solidFill>
                </w14:textFill>
              </w:rPr>
              <w:t>属于间断性、短暂性的，</w:t>
            </w:r>
            <w:r>
              <w:rPr>
                <w:rFonts w:hint="eastAsia"/>
                <w:color w:val="000000" w:themeColor="text1"/>
                <w:sz w:val="24"/>
                <w:szCs w:val="32"/>
                <w14:textFill>
                  <w14:solidFill>
                    <w14:schemeClr w14:val="tx1"/>
                  </w14:solidFill>
                </w14:textFill>
              </w:rPr>
              <w:t>随着工程结束，噪声影响随之结束。项目运营期无噪声产生，区域声环境质量基本维持现状</w:t>
            </w:r>
            <w:r>
              <w:rPr>
                <w:rFonts w:hint="eastAsia"/>
                <w:color w:val="000000" w:themeColor="text1"/>
                <w:sz w:val="24"/>
                <w:szCs w:val="32"/>
                <w:lang w:eastAsia="zh-CN"/>
                <w14:textFill>
                  <w14:solidFill>
                    <w14:schemeClr w14:val="tx1"/>
                  </w14:solidFill>
                </w14:textFill>
              </w:rPr>
              <w:t>，</w:t>
            </w:r>
            <w:r>
              <w:rPr>
                <w:rFonts w:hint="default"/>
                <w:color w:val="000000" w:themeColor="text1"/>
                <w:sz w:val="24"/>
                <w:szCs w:val="32"/>
                <w14:textFill>
                  <w14:solidFill>
                    <w14:schemeClr w14:val="tx1"/>
                  </w14:solidFill>
                </w14:textFill>
              </w:rPr>
              <w:t>质量现状良好，能够满足《声环境质量标准》（GB3096-2008）</w:t>
            </w:r>
            <w:r>
              <w:rPr>
                <w:rFonts w:hint="eastAsia"/>
                <w:color w:val="000000" w:themeColor="text1"/>
                <w:sz w:val="24"/>
                <w:szCs w:val="32"/>
                <w14:textFill>
                  <w14:solidFill>
                    <w14:schemeClr w14:val="tx1"/>
                  </w14:solidFill>
                </w14:textFill>
              </w:rPr>
              <w:t>2类标准要求</w:t>
            </w:r>
            <w:r>
              <w:rPr>
                <w:rFonts w:hint="default"/>
                <w:color w:val="000000" w:themeColor="text1"/>
                <w:sz w:val="24"/>
                <w:szCs w:val="32"/>
                <w14:textFill>
                  <w14:solidFill>
                    <w14:schemeClr w14:val="tx1"/>
                  </w14:solidFill>
                </w14:textFill>
              </w:rPr>
              <w:t>。</w:t>
            </w:r>
          </w:p>
          <w:p w14:paraId="095E361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color w:val="000000" w:themeColor="text1"/>
                <w:sz w:val="24"/>
                <w:highlight w:val="none"/>
                <w:lang w:eastAsia="zh-CN"/>
                <w14:textFill>
                  <w14:solidFill>
                    <w14:schemeClr w14:val="tx1"/>
                  </w14:solidFill>
                </w14:textFill>
              </w:rPr>
            </w:pPr>
            <w:bookmarkStart w:id="31" w:name="OLE_LINK4"/>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土壤</w:t>
            </w:r>
            <w:r>
              <w:rPr>
                <w:rFonts w:hint="default" w:ascii="Times New Roman" w:hAnsi="Times New Roman" w:eastAsia="宋体" w:cs="Times New Roman"/>
                <w:b/>
                <w:color w:val="000000" w:themeColor="text1"/>
                <w:sz w:val="24"/>
                <w:highlight w:val="none"/>
                <w14:textFill>
                  <w14:solidFill>
                    <w14:schemeClr w14:val="tx1"/>
                  </w14:solidFill>
                </w14:textFill>
              </w:rPr>
              <w:t>环境质量现状</w:t>
            </w:r>
          </w:p>
          <w:p w14:paraId="58EBEB6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根据《环境影响评价技术导则土壤环境（试行）》（HJ、964-2018）附录A土壤环境影响评价项目类别，本项目为“其他行业”，属于Ⅳ类项目，可不开展土壤环境影响评价工作。</w:t>
            </w:r>
            <w:bookmarkEnd w:id="31"/>
          </w:p>
          <w:p w14:paraId="346BD05F">
            <w:pPr>
              <w:keepNext w:val="0"/>
              <w:keepLines w:val="0"/>
              <w:suppressLineNumbers w:val="0"/>
              <w:spacing w:before="0" w:beforeAutospacing="0" w:after="0" w:afterAutospacing="0" w:line="360" w:lineRule="auto"/>
              <w:ind w:left="0" w:right="0" w:firstLine="482"/>
              <w:jc w:val="left"/>
              <w:rPr>
                <w:rFonts w:hint="default"/>
                <w:b/>
                <w:bCs/>
                <w:color w:val="000000" w:themeColor="text1"/>
                <w:sz w:val="24"/>
                <w:szCs w:val="32"/>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（5）</w:t>
            </w:r>
            <w:r>
              <w:rPr>
                <w:rFonts w:hint="default"/>
                <w:b/>
                <w:bCs/>
                <w:color w:val="000000" w:themeColor="text1"/>
                <w:sz w:val="24"/>
                <w:szCs w:val="32"/>
                <w14:textFill>
                  <w14:solidFill>
                    <w14:schemeClr w14:val="tx1"/>
                  </w14:solidFill>
                </w14:textFill>
              </w:rPr>
              <w:t>生态环境</w:t>
            </w:r>
            <w:r>
              <w:rPr>
                <w:rFonts w:hint="eastAsia"/>
                <w:b/>
                <w:bCs/>
                <w:color w:val="000000" w:themeColor="text1"/>
                <w:sz w:val="24"/>
                <w:szCs w:val="32"/>
                <w:lang w:val="en-US" w:eastAsia="zh-CN"/>
                <w14:textFill>
                  <w14:solidFill>
                    <w14:schemeClr w14:val="tx1"/>
                  </w14:solidFill>
                </w14:textFill>
              </w:rPr>
              <w:t>质量现状</w:t>
            </w:r>
          </w:p>
          <w:p w14:paraId="2F1FB5F5">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color w:val="000000" w:themeColor="text1"/>
                <w:lang w:val="en-US" w:eastAsia="zh-CN"/>
                <w14:textFill>
                  <w14:solidFill>
                    <w14:schemeClr w14:val="tx1"/>
                  </w14:solidFill>
                </w14:textFill>
              </w:rPr>
            </w:pPr>
            <w:r>
              <w:rPr>
                <w:rFonts w:hint="default"/>
                <w:color w:val="000000" w:themeColor="text1"/>
                <w:szCs w:val="32"/>
                <w14:textFill>
                  <w14:solidFill>
                    <w14:schemeClr w14:val="tx1"/>
                  </w14:solidFill>
                </w14:textFill>
              </w:rPr>
              <w:t>本项目</w:t>
            </w:r>
            <w:r>
              <w:rPr>
                <w:rFonts w:hint="default" w:ascii="Times New Roman" w:hAnsi="Times New Roman" w:cs="Times New Roman"/>
                <w:b w:val="0"/>
                <w:bCs w:val="0"/>
                <w:color w:val="000000" w:themeColor="text1"/>
                <w:sz w:val="24"/>
                <w:szCs w:val="24"/>
                <w14:textFill>
                  <w14:solidFill>
                    <w14:schemeClr w14:val="tx1"/>
                  </w14:solidFill>
                </w14:textFill>
              </w:rPr>
              <w:t>不占用自然保护区、风景名胜区、世界文化和自然遗产地</w:t>
            </w:r>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其他生态保护红线</w:t>
            </w:r>
            <w:r>
              <w:rPr>
                <w:rFonts w:hint="default" w:ascii="Times New Roman" w:hAnsi="Times New Roman" w:cs="Times New Roman"/>
                <w:b w:val="0"/>
                <w:bCs w:val="0"/>
                <w:color w:val="000000" w:themeColor="text1"/>
                <w:sz w:val="24"/>
                <w:szCs w:val="24"/>
                <w14:textFill>
                  <w14:solidFill>
                    <w14:schemeClr w14:val="tx1"/>
                  </w14:solidFill>
                </w14:textFill>
              </w:rPr>
              <w:t>等</w:t>
            </w:r>
            <w:r>
              <w:rPr>
                <w:rFonts w:hint="eastAsia"/>
                <w:b w:val="0"/>
                <w:bCs/>
                <w:color w:val="000000" w:themeColor="text1"/>
                <w:sz w:val="24"/>
                <w:szCs w:val="24"/>
                <w:lang w:val="en-US" w:eastAsia="zh-CN"/>
                <w14:textFill>
                  <w14:solidFill>
                    <w14:schemeClr w14:val="tx1"/>
                  </w14:solidFill>
                </w14:textFill>
              </w:rPr>
              <w:t>不属于</w:t>
            </w:r>
            <w:r>
              <w:rPr>
                <w:rFonts w:hint="default" w:ascii="Times New Roman" w:hAnsi="Times New Roman" w:cs="Times New Roman"/>
                <w:b w:val="0"/>
                <w:bCs w:val="0"/>
                <w:color w:val="000000" w:themeColor="text1"/>
                <w:sz w:val="24"/>
                <w:szCs w:val="24"/>
                <w14:textFill>
                  <w14:solidFill>
                    <w14:schemeClr w14:val="tx1"/>
                  </w14:solidFill>
                </w14:textFill>
              </w:rPr>
              <w:t>环境敏感区中法律法规禁止占用的区域。</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项目</w:t>
            </w:r>
            <w:r>
              <w:rPr>
                <w:rFonts w:hint="eastAsia"/>
                <w:color w:val="000000" w:themeColor="text1"/>
                <w:sz w:val="24"/>
                <w:szCs w:val="24"/>
                <w:lang w:val="en-US" w:eastAsia="zh-CN"/>
                <w14:textFill>
                  <w14:solidFill>
                    <w14:schemeClr w14:val="tx1"/>
                  </w14:solidFill>
                </w14:textFill>
              </w:rPr>
              <w:t>施工期会对环境产生影响，但建成后对环境是有益的，正向的。</w:t>
            </w:r>
            <w:r>
              <w:rPr>
                <w:rFonts w:hint="default"/>
                <w:color w:val="000000" w:themeColor="text1"/>
                <w:sz w:val="24"/>
                <w:szCs w:val="24"/>
                <w14:textFill>
                  <w14:solidFill>
                    <w14:schemeClr w14:val="tx1"/>
                  </w14:solidFill>
                </w14:textFill>
              </w:rPr>
              <w:t>根据前述的生态环境现状，</w:t>
            </w:r>
            <w:r>
              <w:rPr>
                <w:rFonts w:hint="default"/>
                <w:color w:val="000000" w:themeColor="text1"/>
                <w:szCs w:val="32"/>
                <w14:textFill>
                  <w14:solidFill>
                    <w14:schemeClr w14:val="tx1"/>
                  </w14:solidFill>
                </w14:textFill>
              </w:rPr>
              <w:t>区域生态环境质量较好。</w:t>
            </w:r>
          </w:p>
        </w:tc>
      </w:tr>
      <w:tr w14:paraId="1AFD6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00D6E46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与项目有关的原有环境污染和生态破坏问题</w:t>
            </w:r>
          </w:p>
        </w:tc>
        <w:tc>
          <w:tcPr>
            <w:tcW w:w="8026" w:type="dxa"/>
            <w:noWrap w:val="0"/>
            <w:vAlign w:val="center"/>
          </w:tcPr>
          <w:p w14:paraId="5945F39A">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区域排涝存在主要问题</w:t>
            </w:r>
          </w:p>
          <w:p w14:paraId="0E10245E">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1.1</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圩区现状排涝存在主要问题：</w:t>
            </w:r>
          </w:p>
          <w:p w14:paraId="0EC70FDF">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迎驾厂片在2016年至2024年的汛期发生严重内涝灾害，导致区域内大面积农田被淹没、道路严重积水，交通瘫痪，给当地农业生产和居民出行带来严重影响。不仅造成农作物大幅减产，还损坏了基础设施，如排水系统和道路设施，从而引发了巨大的经济损失，包括直接财产损失和间接生产中断带来的长期影响。</w:t>
            </w:r>
          </w:p>
          <w:p w14:paraId="77C4F694">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受淹成因分析：</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永康桥村位于地势低洼区域，北面紧邻东淠河，东面毗邻柳林河。该村的地理位置使其在汛期极易受柳林河山洪水影响，形成水位顶托现象，从而严重阻碍村内3条主要排涝沟的正常运作。这些排涝沟规模偏小，在暴雨冲击下排涝能力不足。同时，区域内田面排水沟渠之间连接不畅，导致整体排水效率低下。雨水无法顺畅排入柳林河，反而在村内缓慢积聚，致使上游所有雨水都汇流至低洼地带。这一积水问题不仅造成大面积农田作物受淹、减产甚至绝收，还严重威胁村民的房屋安全、财产损失以及人身健康风险。</w:t>
            </w:r>
          </w:p>
          <w:p w14:paraId="37C5002C">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1.2戴家河圩区现状排涝存在问题：</w:t>
            </w:r>
          </w:p>
          <w:p w14:paraId="702D9BCA">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戴家河受淹片位于地势低洼区域，区内排涝能力严重不足，排涝体系存在明显缺陷，缺乏完善的排水沟渠系统。几乎每年汛期，该区域都会遭受淹没，持续时间长、影响范围广，给当地农业生产带来巨大损失，农田积水导致农作物无法正常生长，大幅减产甚至绝收；同时，居民出行极为不便，道路被淹造成交通中断，日常出行受阻。</w:t>
            </w:r>
          </w:p>
          <w:p w14:paraId="4E9164B0">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受淹成因分析：</w:t>
            </w:r>
          </w:p>
          <w:p w14:paraId="784CC44F">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戴家河受淹片地势较低，现状排水主要依赖传统的田面沟系统，排水能力有限，无法有效应对暴雨或持续降雨，容易淤塞失效。近年来，S332省道贯穿该区域，在道路建设过程中，恢复的穿路涵孔径过小，设计规模不足，无法满足高峰排水需求，导致水流通道被严重卡阻，排水效率大幅降低。此外，下游排水通道（沟渠）规模较小，沟渠狭窄且维护不足，当排水至出口处时，常受戴家河高水位顶托，形成倒灌现象，进一步加剧排水不畅，积水难以排出。</w:t>
            </w:r>
          </w:p>
          <w:p w14:paraId="2A8FC60E">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2、城区排涝通道现状存在主要问题</w:t>
            </w:r>
          </w:p>
          <w:p w14:paraId="09D7D9CA">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2.1</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高庙河现状存在问题</w:t>
            </w:r>
          </w:p>
          <w:p w14:paraId="342F55EC">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1、部分河道岸坡缺乏防护</w:t>
            </w:r>
          </w:p>
          <w:p w14:paraId="22C507BD">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河道K0+217~K3+550两岸、K7+375~K8+550右岸、K8+707~K8+778两岸河道岸坡无防护，受上游洪水冲刷影响，河坡淘刷严重。</w:t>
            </w:r>
          </w:p>
          <w:p w14:paraId="47B5DB39">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2、现状岸坡防护淘刷破损；</w:t>
            </w:r>
          </w:p>
          <w:p w14:paraId="4E87AC0B">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河道K3+550~K4+100两岸、K7+225~K8+550左岸两岸现状岸坡为预制块护坡，预制块护坡底格埂老化损坏严重，底部冲刷淘空。</w:t>
            </w:r>
          </w:p>
          <w:p w14:paraId="6DA6A568">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3、局部河道两侧低洼，防洪不达标；</w:t>
            </w:r>
          </w:p>
          <w:p w14:paraId="44569EC7">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通过现状堤顶高程与现状洪水位的比对，局部堤防顶高程不达标，河道K5+417附近岸顶高程防洪标准达不到50年一遇的规划要求。</w:t>
            </w:r>
          </w:p>
          <w:p w14:paraId="4146BC00">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4、部分拦河坝建设年代久远，损坏严重，无法正常使用</w:t>
            </w:r>
          </w:p>
          <w:p w14:paraId="0C5DED46">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现状7、9、13-1号拦河坝破损建设年代久远，超过20年，结构开裂老化，继续使用存在安全隐患。</w:t>
            </w:r>
          </w:p>
          <w:p w14:paraId="0C7EEAA8">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2.2柳林河现状存在问题</w:t>
            </w:r>
          </w:p>
          <w:p w14:paraId="22F1C916">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1、局部堤防堤顶高程不足、堤身单薄</w:t>
            </w:r>
          </w:p>
          <w:p w14:paraId="3906C487">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通过现状堤顶高程与现状洪水位的比对，柳林河左岸K2+100~K2+300及K2+900~K3+100段堤顶高程不达标，防洪标准达不到10年一遇要求。养殖场~俞家畈泄洪闸（K8+740~K9+040）段300</w:t>
            </w:r>
            <w:r>
              <w:rPr>
                <w:rFonts w:hint="eastAsia" w:cs="Times New Roman"/>
                <w:color w:val="000000" w:themeColor="text1"/>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右堤堤身单薄，高程不满足10年一遇防洪要求，土坡无防护，堤顶无防汛道路，汛期洪水影响堤后养殖场安全。</w:t>
            </w:r>
          </w:p>
          <w:p w14:paraId="7D5EC2F3">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2、部分河道岸坡缺乏防护</w:t>
            </w:r>
          </w:p>
          <w:p w14:paraId="77189B52">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K0+000~K0+045左岸、K2+100~K2+400右岸、K3+260~K3+660两岸、K3+660~K3+880右岸、K3+200~K3+990左岸、K3+990~K4+210两岸、K4+410~K4+600两岸和K4+600~K5+150右岸河道岸坡无防护，受上游洪水冲刷影响，河坡掏刷严重。</w:t>
            </w:r>
          </w:p>
          <w:p w14:paraId="4A0E8636">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3、部分河道岸坡护坡损毁老化</w:t>
            </w:r>
          </w:p>
          <w:p w14:paraId="7E27B726">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拦河坝8~便民桥(K6+660~K9+340)河段两岸岸坡为六角块空心护坡，护坡损毁老化严重，多处底格埂断裂倾斜。</w:t>
            </w:r>
          </w:p>
          <w:p w14:paraId="7F8E3936">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4、现状护岸掏空破损</w:t>
            </w:r>
          </w:p>
          <w:p w14:paraId="540D7FD1">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K1+900~K2+100右岸和K2+400~K2+480右岸现状岸坡为埋石砼挡墙、因墙角埋深不足，受洪水淘刷，挡墙底部多处冲刷掏空。8号拦河坝下游~东淠河口K6+680~K11+300两岸迎流顶冲段多处水毁，预制块护坡底部损毁严重，底格埂断裂倾斜。埋石砼K1+915~K3+600护坡预制块老化破损，局部缺失。</w:t>
            </w:r>
          </w:p>
          <w:p w14:paraId="1780EBE8">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5、部分拦河坝堰身破损，存在险情</w:t>
            </w:r>
          </w:p>
          <w:p w14:paraId="01FFC0CB">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跨河拦河坝众多，其中拦河坝4堰身破损，不能充分发挥蓄水能力。拦河坝9河底有冲坑，存在险情。</w:t>
            </w:r>
          </w:p>
          <w:p w14:paraId="7E3DF12A">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6、部分穿堤排涝涵老化破损、无控制倒灌内圩</w:t>
            </w:r>
          </w:p>
          <w:p w14:paraId="557A26F1">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小黄沟处排涝涵无控制，柳林河高水位期间洪水倒灌内圩通水灌村居民区。龙门冲涵因泄洪流量大，出口冲刷，出口挡墙断裂损坏。</w:t>
            </w:r>
          </w:p>
          <w:p w14:paraId="44B7B2F7">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K4+820左岸排涝涵1、K5+115左岸排涝涵2及K4+020左岸排水渠出水涵口径小，排涝能力不足，且结构简陋老化。</w:t>
            </w:r>
          </w:p>
          <w:p w14:paraId="32ECC962">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7、水泥路面老化破损</w:t>
            </w:r>
          </w:p>
          <w:p w14:paraId="31AFF8FF">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柳林河两岸堤顶道路为水泥路，K6+660迎驾大道桥以下两岸为居民区，因堤顶通行社会车辆较多，现状道路路面存在老化破损。其中茶乡大道桥K8+160~K9+040俞家畈泄洪闸段右岸堤顶无防汛道路。</w:t>
            </w:r>
          </w:p>
          <w:p w14:paraId="3D012743">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2.3新店河现状存在问题</w:t>
            </w:r>
          </w:p>
          <w:p w14:paraId="171A9484">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现状岸坡局部迎流顶冲段冲刷严重，护岸存在冲刷损坏现象，威胁后方道路交通设施安全及居民点人民生命财产安全；</w:t>
            </w:r>
          </w:p>
          <w:p w14:paraId="6DF40917">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河道沿线部分蓄水建筑物损坏，部分河段缺少蓄水建筑物，造成河道冲刷下切与河道淤积问题并存，河道内漫水桥过流断面不足，影响河道排水。</w:t>
            </w:r>
          </w:p>
          <w:p w14:paraId="2E5BF7F5">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2.4幽芳河现状存在问题</w:t>
            </w:r>
          </w:p>
          <w:p w14:paraId="2AA502E3">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1、局部岸坡防护不达标</w:t>
            </w:r>
          </w:p>
          <w:p w14:paraId="2EC1A552">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河道设计防洪标准为50年一遇，根据水文计算，K4+200~K5+600左岸和K4+200~K5+200右岸防护不达标，该段无阻水建筑物，水位较高主要为下游河道水位顶托导致。</w:t>
            </w:r>
          </w:p>
          <w:p w14:paraId="360E8C56">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2、部分河道岸坡缺乏防护</w:t>
            </w:r>
          </w:p>
          <w:p w14:paraId="7A275544">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K0+000~K0+090右岸、K0+170~K0+430右岸、K0+555~K1+200右岸、K1+200~K1+915两岸和K5+210~K5+600右岸河道岸坡无防护，受上游洪水冲刷影响，河坡冲掏蚀严重。</w:t>
            </w:r>
          </w:p>
          <w:p w14:paraId="47D9737A">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3、现状岸坡防护掏空破损；</w:t>
            </w:r>
          </w:p>
          <w:p w14:paraId="4542FF32">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K0+000~K0+090右岸、K0+090~K0+170两岸、K0+430~K0+555右岸、K1+915~K3+600两岸、K3+600~K5+210两岸、K5+210~K5+600左岸和K5+600~K6+360两岸现状岸坡为预制块护坡或浆砌石挡墙。预制块护坡底格埂和浆砌石挡墙底部冲刷掏空。K1+915~K3+600护坡预制块老化破损，局部缺失。</w:t>
            </w:r>
          </w:p>
          <w:p w14:paraId="2E1C8365">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4、部分建筑物阻水严重，局部河道两侧低洼，防洪不达标；</w:t>
            </w:r>
          </w:p>
          <w:p w14:paraId="266F8CB3">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跨河拦河坝众多，其中拦河坝4和5间距小，左岸低洼，拦河坝阻水严重，抬高水位，加大沿河的防洪压力，造成左岸居名区汛期受淹。</w:t>
            </w:r>
          </w:p>
          <w:p w14:paraId="37A7452E">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通过现状堤顶高程与现状洪水位的比对，局部堤防顶高程不达标，堤身单薄，骆驼桥以南局部堤段防洪标准达不到20年一遇的规划要求。</w:t>
            </w:r>
          </w:p>
          <w:p w14:paraId="78BB63AA">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5、部分拦河坝建设年代久远，存在安全隐患</w:t>
            </w:r>
          </w:p>
          <w:p w14:paraId="008E5B9D">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拦河坝1建设年代久远，超过20年，结构开裂老化，继续使用存在安全隐患。拦河坝6坝体局部开裂，下游存在冲刷。</w:t>
            </w:r>
          </w:p>
          <w:p w14:paraId="190785A4">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3管网基础设施存在主要问题</w:t>
            </w:r>
          </w:p>
          <w:p w14:paraId="3B4628F1">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管网覆盖率低，现状管道老化破损</w:t>
            </w:r>
          </w:p>
          <w:p w14:paraId="5123DC56">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经过现场调查，柳林河、幽芳河等河道沿线许多居民区缺乏排水管道和污水处理系统，多数区域污水仍通过明渠排放或自然渗透，导致污水直接排放至周边河道、农田或地下水，造成水体污染。现有排水管道多建于早期，现已老化，材料质量差且缺乏维护，普遍存在渗漏、堵塞、沉降等问题，部分管道甚至裸露或破损，加剧了污水外溢和地下水污染风险。</w:t>
            </w:r>
          </w:p>
          <w:p w14:paraId="20DEB152">
            <w:pPr>
              <w:keepNext w:val="0"/>
              <w:keepLines w:val="0"/>
              <w:pageBreakBefore w:val="0"/>
              <w:widowControl/>
              <w:suppressLineNumbers w:val="0"/>
              <w:spacing w:before="0" w:beforeAutospacing="0" w:after="0" w:afterAutospacing="0" w:line="360" w:lineRule="auto"/>
              <w:ind w:left="0" w:right="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南岳花都片原</w:t>
            </w:r>
            <w:r>
              <w:rPr>
                <w:rFonts w:hint="eastAsia"/>
                <w:color w:val="000000" w:themeColor="text1"/>
                <w:lang w:eastAsia="zh-CN"/>
                <w14:textFill>
                  <w14:solidFill>
                    <w14:schemeClr w14:val="tx1"/>
                  </w14:solidFill>
                </w14:textFill>
              </w:rPr>
              <w:t>为</w:t>
            </w:r>
            <w:r>
              <w:rPr>
                <w:rFonts w:hint="default"/>
                <w:color w:val="000000" w:themeColor="text1"/>
                <w14:textFill>
                  <w14:solidFill>
                    <w14:schemeClr w14:val="tx1"/>
                  </w14:solidFill>
                </w14:textFill>
              </w:rPr>
              <w:t>尹家冲泄洪通道，小区建设后泄洪通道由小区内管网代替，因管径偏小且管道年久失修，出现多处堵塞、损毁，排水不畅，大雨外部雨水汇入，导致小区积水。</w:t>
            </w:r>
          </w:p>
          <w:p w14:paraId="32695359">
            <w:pPr>
              <w:keepNext w:val="0"/>
              <w:keepLines w:val="0"/>
              <w:pageBreakBefore w:val="0"/>
              <w:widowControl/>
              <w:suppressLineNumbers w:val="0"/>
              <w:spacing w:before="0" w:beforeAutospacing="0" w:after="0" w:afterAutospacing="0" w:line="360" w:lineRule="auto"/>
              <w:ind w:left="0" w:right="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衡山工业园片区雨污水管道建设滞后，排水能力不足：衡山工业园片区污水、雨水管网建设滞后，片区康复北路有雨水管收集该片区的雨水，然后排至下游河道，通过排涝泵站排至外河，但由于片区雨水管管径偏小，片区内涝水不能及时排至外河，形成关门淹的局面。同时片区后期有工业企业进入，结合远期规划，片区应建设相应的污水管道来满足后期污水收集处理的需求。</w:t>
            </w:r>
          </w:p>
          <w:p w14:paraId="004E775B">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雨污混流现象普遍，缺乏污水处理设施</w:t>
            </w:r>
          </w:p>
          <w:p w14:paraId="37E6E93D">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居民区雨季时雨水与生活污水混合排放，导致污水量增加，且缺乏污水处理设施，未经处理的污水直接排入河流、湖泊，导致氮磷含量超标，引发水体富营养化，威胁饮用水安全和农业灌溉用水。</w:t>
            </w:r>
          </w:p>
          <w:p w14:paraId="3ED8BEF2">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p>
          <w:p w14:paraId="76F6D4EF">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p>
        </w:tc>
      </w:tr>
      <w:tr w14:paraId="50272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noWrap w:val="0"/>
            <w:vAlign w:val="center"/>
          </w:tcPr>
          <w:p w14:paraId="31E102A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生态环境保护目标</w:t>
            </w:r>
          </w:p>
        </w:tc>
        <w:tc>
          <w:tcPr>
            <w:tcW w:w="8026" w:type="dxa"/>
            <w:noWrap w:val="0"/>
            <w:vAlign w:val="center"/>
          </w:tcPr>
          <w:p w14:paraId="71FAE820">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一、大气环境保护目标</w:t>
            </w:r>
          </w:p>
          <w:p w14:paraId="4407C372">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本项目周边</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00米范围内不存在自然保护区、风景名胜区和其他需要特殊保护的地区；主要环境保护目标为居民区，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详见项目主要环境保护目标一览表</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3482A07C">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二、声环境保护目标</w:t>
            </w:r>
          </w:p>
          <w:p w14:paraId="7E86B1AC">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根据现场调查，本项目沿线</w:t>
            </w:r>
            <w:r>
              <w:rPr>
                <w:rFonts w:hint="eastAsia" w:cs="Times New Roman"/>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highlight w:val="none"/>
                <w14:textFill>
                  <w14:solidFill>
                    <w14:schemeClr w14:val="tx1"/>
                  </w14:solidFill>
                </w14:textFill>
              </w:rPr>
              <w:t>0</w:t>
            </w:r>
            <w:r>
              <w:rPr>
                <w:rFonts w:hint="eastAsia" w:cs="Times New Roman"/>
                <w:color w:val="000000" w:themeColor="text1"/>
                <w:sz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highlight w:val="none"/>
                <w14:textFill>
                  <w14:solidFill>
                    <w14:schemeClr w14:val="tx1"/>
                  </w14:solidFill>
                </w14:textFill>
              </w:rPr>
              <w:t>范围内声环境保护目标</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主要为学校、行政办公场所、居民区，环境保护目标见环境保护目标一览表</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4AED44E4">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三、地表水环境保护目标</w:t>
            </w:r>
          </w:p>
          <w:p w14:paraId="7EDC9F2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根据现场调查，本项目地表水环境保护目标为幽芳河、高庙河、柳林河、新店河</w:t>
            </w:r>
            <w:r>
              <w:rPr>
                <w:rFonts w:hint="eastAsia" w:cs="Times New Roman"/>
                <w:color w:val="000000" w:themeColor="text1"/>
                <w:sz w:val="24"/>
                <w:szCs w:val="24"/>
                <w:highlight w:val="none"/>
                <w:lang w:eastAsia="zh-CN"/>
                <w14:textFill>
                  <w14:solidFill>
                    <w14:schemeClr w14:val="tx1"/>
                  </w14:solidFill>
                </w14:textFill>
              </w:rPr>
              <w:t>、</w:t>
            </w:r>
            <w:r>
              <w:rPr>
                <w:rFonts w:hint="eastAsia" w:ascii="宋体"/>
                <w:color w:val="000000" w:themeColor="text1"/>
                <w:sz w:val="24"/>
                <w:szCs w:val="24"/>
                <w:lang w:eastAsia="zh-CN"/>
                <w14:textFill>
                  <w14:solidFill>
                    <w14:schemeClr w14:val="tx1"/>
                  </w14:solidFill>
                </w14:textFill>
              </w:rPr>
              <w:t>东淠</w:t>
            </w:r>
            <w:r>
              <w:rPr>
                <w:rFonts w:hint="eastAsia" w:ascii="宋体" w:eastAsia="宋体"/>
                <w:color w:val="000000" w:themeColor="text1"/>
                <w:sz w:val="24"/>
                <w:szCs w:val="24"/>
                <w14:textFill>
                  <w14:solidFill>
                    <w14:schemeClr w14:val="tx1"/>
                  </w14:solidFill>
                </w14:textFill>
              </w:rPr>
              <w:t>河</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，详见主要环境保护目标一览表。</w:t>
            </w:r>
          </w:p>
          <w:p w14:paraId="2B9C0343">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四、地下水环境保护目标</w:t>
            </w:r>
          </w:p>
          <w:p w14:paraId="25BA5133">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根据现场调查，本项目不涉及地下水环境保护目标。</w:t>
            </w:r>
          </w:p>
          <w:p w14:paraId="70B76724">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五、生态环境保护目标</w:t>
            </w:r>
          </w:p>
          <w:p w14:paraId="2628209A">
            <w:pPr>
              <w:keepNext w:val="0"/>
              <w:keepLines w:val="0"/>
              <w:pageBreakBefore w:val="0"/>
              <w:widowControl w:val="0"/>
              <w:suppressLineNumbers w:val="0"/>
              <w:spacing w:before="0" w:beforeAutospacing="0" w:after="0" w:afterAutospacing="0" w:line="360" w:lineRule="auto"/>
              <w:ind w:left="0" w:right="0" w:firstLine="480"/>
              <w:jc w:val="left"/>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根据现场调查，本项目</w:t>
            </w:r>
            <w:r>
              <w:rPr>
                <w:rFonts w:hint="default" w:ascii="Times New Roman" w:hAnsi="Times New Roman" w:eastAsia="宋体" w:cs="Times New Roman"/>
                <w:color w:val="000000" w:themeColor="text1"/>
                <w:sz w:val="24"/>
                <w:highlight w:val="none"/>
                <w14:textFill>
                  <w14:solidFill>
                    <w14:schemeClr w14:val="tx1"/>
                  </w14:solidFill>
                </w14:textFill>
              </w:rPr>
              <w:t>用地范围内及污水管线沿途不涉及生态红线</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基本农田等内容</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生态环境保护目标</w:t>
            </w:r>
            <w:r>
              <w:rPr>
                <w:rFonts w:hint="eastAsia" w:cs="Times New Roman"/>
                <w:color w:val="000000" w:themeColor="text1"/>
                <w:sz w:val="24"/>
                <w:highlight w:val="none"/>
                <w:lang w:eastAsia="zh-CN"/>
                <w14:textFill>
                  <w14:solidFill>
                    <w14:schemeClr w14:val="tx1"/>
                  </w14:solidFill>
                </w14:textFill>
              </w:rPr>
              <w:t>主要为</w:t>
            </w:r>
            <w:r>
              <w:rPr>
                <w:rFonts w:hint="eastAsia" w:cs="Times New Roman"/>
                <w:color w:val="000000" w:themeColor="text1"/>
                <w:sz w:val="24"/>
                <w:highlight w:val="none"/>
                <w:lang w:val="en-US" w:eastAsia="zh-CN"/>
                <w14:textFill>
                  <w14:solidFill>
                    <w14:schemeClr w14:val="tx1"/>
                  </w14:solidFill>
                </w14:textFill>
              </w:rPr>
              <w:t>施工河道水生生物、可能受项目施工活动影响及运输路线周边的植被、动物及区域内的鸟类。</w:t>
            </w:r>
          </w:p>
          <w:p w14:paraId="74CC8E2E">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本项目环境保护目标见表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4ABA41D1">
            <w:pPr>
              <w:keepNext w:val="0"/>
              <w:keepLines w:val="0"/>
              <w:suppressLineNumbers w:val="0"/>
              <w:spacing w:before="0" w:beforeAutospacing="0" w:after="0" w:afterAutospacing="0" w:line="240" w:lineRule="auto"/>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default"/>
                <w:b/>
                <w:bCs/>
                <w:color w:val="000000" w:themeColor="text1"/>
                <w:lang w:val="en-US" w:eastAsia="zh-CN"/>
                <w14:textFill>
                  <w14:solidFill>
                    <w14:schemeClr w14:val="tx1"/>
                  </w14:solidFill>
                </w14:textFill>
              </w:rPr>
              <w:t>3-</w:t>
            </w:r>
            <w:r>
              <w:rPr>
                <w:rFonts w:hint="eastAsia"/>
                <w:b/>
                <w:bCs/>
                <w:color w:val="000000" w:themeColor="text1"/>
                <w:lang w:val="en-US" w:eastAsia="zh-CN"/>
                <w14:textFill>
                  <w14:solidFill>
                    <w14:schemeClr w14:val="tx1"/>
                  </w14:solidFill>
                </w14:textFill>
              </w:rPr>
              <w:t xml:space="preserve">2  </w:t>
            </w:r>
            <w:r>
              <w:rPr>
                <w:rFonts w:hint="default"/>
                <w:b/>
                <w:bCs/>
                <w:color w:val="000000" w:themeColor="text1"/>
                <w14:textFill>
                  <w14:solidFill>
                    <w14:schemeClr w14:val="tx1"/>
                  </w14:solidFill>
                </w14:textFill>
              </w:rPr>
              <w:t>项目主要环境保护目标一览表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590"/>
              <w:gridCol w:w="1004"/>
              <w:gridCol w:w="1146"/>
              <w:gridCol w:w="1176"/>
              <w:gridCol w:w="668"/>
              <w:gridCol w:w="1042"/>
              <w:gridCol w:w="894"/>
              <w:gridCol w:w="796"/>
            </w:tblGrid>
            <w:tr w14:paraId="1E26762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noWrap w:val="0"/>
                  <w:vAlign w:val="center"/>
                </w:tcPr>
                <w:p w14:paraId="3790A687">
                  <w:pPr>
                    <w:keepNext w:val="0"/>
                    <w:keepLines w:val="0"/>
                    <w:pageBreakBefore w:val="0"/>
                    <w:suppressLineNumbers w:val="0"/>
                    <w:spacing w:before="0" w:beforeAutospacing="0" w:after="0" w:afterAutospacing="0" w:line="240" w:lineRule="auto"/>
                    <w:ind w:left="0" w:right="0" w:firstLine="0"/>
                    <w:jc w:val="both"/>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环境</w:t>
                  </w:r>
                </w:p>
                <w:p w14:paraId="669CFCAB">
                  <w:pPr>
                    <w:keepNext w:val="0"/>
                    <w:keepLines w:val="0"/>
                    <w:pageBreakBefore w:val="0"/>
                    <w:suppressLineNumbers w:val="0"/>
                    <w:spacing w:before="0" w:beforeAutospacing="0" w:after="0" w:afterAutospacing="0" w:line="240" w:lineRule="auto"/>
                    <w:ind w:left="0" w:right="0" w:firstLine="0"/>
                    <w:jc w:val="both"/>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要素</w:t>
                  </w:r>
                </w:p>
              </w:tc>
              <w:tc>
                <w:tcPr>
                  <w:tcW w:w="1594" w:type="dxa"/>
                  <w:gridSpan w:val="2"/>
                  <w:vMerge w:val="restart"/>
                  <w:noWrap w:val="0"/>
                  <w:vAlign w:val="center"/>
                </w:tcPr>
                <w:p w14:paraId="5A98413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2322" w:type="dxa"/>
                  <w:gridSpan w:val="2"/>
                  <w:noWrap w:val="0"/>
                  <w:vAlign w:val="center"/>
                </w:tcPr>
                <w:p w14:paraId="1099292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坐标</w:t>
                  </w:r>
                </w:p>
              </w:tc>
              <w:tc>
                <w:tcPr>
                  <w:tcW w:w="668" w:type="dxa"/>
                  <w:vMerge w:val="restart"/>
                  <w:noWrap w:val="0"/>
                  <w:vAlign w:val="center"/>
                </w:tcPr>
                <w:p w14:paraId="227B088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保护对象</w:t>
                  </w:r>
                </w:p>
              </w:tc>
              <w:tc>
                <w:tcPr>
                  <w:tcW w:w="1042" w:type="dxa"/>
                  <w:vMerge w:val="restart"/>
                  <w:noWrap w:val="0"/>
                  <w:vAlign w:val="center"/>
                </w:tcPr>
                <w:p w14:paraId="6C9CD22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保护</w:t>
                  </w:r>
                </w:p>
                <w:p w14:paraId="586DE8C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内容</w:t>
                  </w:r>
                </w:p>
              </w:tc>
              <w:tc>
                <w:tcPr>
                  <w:tcW w:w="894" w:type="dxa"/>
                  <w:vMerge w:val="restart"/>
                  <w:noWrap w:val="0"/>
                  <w:vAlign w:val="center"/>
                </w:tcPr>
                <w:p w14:paraId="6D771F5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相对本项目方位及距离</w:t>
                  </w:r>
                </w:p>
              </w:tc>
              <w:tc>
                <w:tcPr>
                  <w:tcW w:w="796" w:type="dxa"/>
                  <w:vMerge w:val="restart"/>
                  <w:noWrap w:val="0"/>
                  <w:vAlign w:val="center"/>
                </w:tcPr>
                <w:p w14:paraId="0CCAED2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环境功能区保护要求</w:t>
                  </w:r>
                </w:p>
              </w:tc>
            </w:tr>
            <w:tr w14:paraId="38ABC7F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3D72AC2">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1594" w:type="dxa"/>
                  <w:gridSpan w:val="2"/>
                  <w:vMerge w:val="continue"/>
                  <w:noWrap w:val="0"/>
                  <w:vAlign w:val="center"/>
                </w:tcPr>
                <w:p w14:paraId="132261FB">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1146" w:type="dxa"/>
                  <w:noWrap w:val="0"/>
                  <w:vAlign w:val="center"/>
                </w:tcPr>
                <w:p w14:paraId="4DD135F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经度</w:t>
                  </w:r>
                </w:p>
              </w:tc>
              <w:tc>
                <w:tcPr>
                  <w:tcW w:w="1176" w:type="dxa"/>
                  <w:noWrap w:val="0"/>
                  <w:vAlign w:val="center"/>
                </w:tcPr>
                <w:p w14:paraId="4E6F80B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纬度</w:t>
                  </w:r>
                </w:p>
              </w:tc>
              <w:tc>
                <w:tcPr>
                  <w:tcW w:w="668" w:type="dxa"/>
                  <w:vMerge w:val="continue"/>
                  <w:noWrap w:val="0"/>
                  <w:vAlign w:val="center"/>
                </w:tcPr>
                <w:p w14:paraId="5D9F5825">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1042" w:type="dxa"/>
                  <w:vMerge w:val="continue"/>
                  <w:noWrap w:val="0"/>
                  <w:vAlign w:val="center"/>
                </w:tcPr>
                <w:p w14:paraId="41453147">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894" w:type="dxa"/>
                  <w:vMerge w:val="continue"/>
                  <w:noWrap w:val="0"/>
                  <w:vAlign w:val="center"/>
                </w:tcPr>
                <w:p w14:paraId="7F3FA4D4">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796" w:type="dxa"/>
                  <w:vMerge w:val="continue"/>
                  <w:noWrap w:val="0"/>
                  <w:vAlign w:val="center"/>
                </w:tcPr>
                <w:p w14:paraId="50137644">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r>
            <w:tr w14:paraId="3CA341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noWrap w:val="0"/>
                  <w:vAlign w:val="center"/>
                </w:tcPr>
                <w:p w14:paraId="54412E9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大气环境</w:t>
                  </w:r>
                </w:p>
              </w:tc>
              <w:tc>
                <w:tcPr>
                  <w:tcW w:w="590" w:type="dxa"/>
                  <w:vMerge w:val="restart"/>
                  <w:shd w:val="clear" w:color="auto" w:fill="auto"/>
                  <w:noWrap w:val="0"/>
                  <w:vAlign w:val="center"/>
                </w:tcPr>
                <w:p w14:paraId="20E35C5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新店河</w:t>
                  </w:r>
                </w:p>
              </w:tc>
              <w:tc>
                <w:tcPr>
                  <w:tcW w:w="1004" w:type="dxa"/>
                  <w:shd w:val="clear" w:color="auto" w:fill="auto"/>
                  <w:noWrap w:val="0"/>
                  <w:vAlign w:val="center"/>
                </w:tcPr>
                <w:p w14:paraId="7EE7D1F2">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印墩包子</w:t>
                  </w:r>
                </w:p>
              </w:tc>
              <w:tc>
                <w:tcPr>
                  <w:tcW w:w="1146" w:type="dxa"/>
                  <w:shd w:val="clear" w:color="auto" w:fill="auto"/>
                  <w:noWrap w:val="0"/>
                  <w:vAlign w:val="center"/>
                </w:tcPr>
                <w:p w14:paraId="7CBE1FD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116.203595</w:t>
                  </w:r>
                </w:p>
              </w:tc>
              <w:tc>
                <w:tcPr>
                  <w:tcW w:w="1176" w:type="dxa"/>
                  <w:shd w:val="clear" w:color="auto" w:fill="auto"/>
                  <w:noWrap w:val="0"/>
                  <w:vAlign w:val="center"/>
                </w:tcPr>
                <w:p w14:paraId="1A779DA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31.447603</w:t>
                  </w:r>
                </w:p>
              </w:tc>
              <w:tc>
                <w:tcPr>
                  <w:tcW w:w="668" w:type="dxa"/>
                  <w:shd w:val="clear" w:color="auto" w:fill="auto"/>
                  <w:noWrap w:val="0"/>
                  <w:vAlign w:val="center"/>
                </w:tcPr>
                <w:p w14:paraId="2856B12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shd w:val="clear" w:color="auto" w:fill="auto"/>
                  <w:noWrap w:val="0"/>
                  <w:vAlign w:val="center"/>
                </w:tcPr>
                <w:p w14:paraId="7A42628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约30人</w:t>
                  </w:r>
                </w:p>
              </w:tc>
              <w:tc>
                <w:tcPr>
                  <w:tcW w:w="894" w:type="dxa"/>
                  <w:shd w:val="clear" w:color="auto" w:fill="auto"/>
                  <w:noWrap w:val="0"/>
                  <w:vAlign w:val="center"/>
                </w:tcPr>
                <w:p w14:paraId="420E3BB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N，32m</w:t>
                  </w:r>
                </w:p>
              </w:tc>
              <w:tc>
                <w:tcPr>
                  <w:tcW w:w="796" w:type="dxa"/>
                  <w:vMerge w:val="restart"/>
                  <w:noWrap w:val="0"/>
                  <w:vAlign w:val="center"/>
                </w:tcPr>
                <w:p w14:paraId="22D4321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《环境空气质量标准》（GB3095-2012）及修改单及修改单中二级标准</w:t>
                  </w:r>
                </w:p>
              </w:tc>
            </w:tr>
            <w:tr w14:paraId="4D40F2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9FF0A2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6491384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04" w:type="dxa"/>
                  <w:noWrap w:val="0"/>
                  <w:vAlign w:val="center"/>
                </w:tcPr>
                <w:p w14:paraId="6F08FACA">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姜家粉坊</w:t>
                  </w:r>
                </w:p>
              </w:tc>
              <w:tc>
                <w:tcPr>
                  <w:tcW w:w="1146" w:type="dxa"/>
                  <w:noWrap w:val="0"/>
                  <w:vAlign w:val="center"/>
                </w:tcPr>
                <w:p w14:paraId="6C77BDB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116.214547</w:t>
                  </w:r>
                </w:p>
              </w:tc>
              <w:tc>
                <w:tcPr>
                  <w:tcW w:w="1176" w:type="dxa"/>
                  <w:noWrap w:val="0"/>
                  <w:vAlign w:val="center"/>
                </w:tcPr>
                <w:p w14:paraId="03E2926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31.443357</w:t>
                  </w:r>
                </w:p>
              </w:tc>
              <w:tc>
                <w:tcPr>
                  <w:tcW w:w="668" w:type="dxa"/>
                  <w:noWrap w:val="0"/>
                  <w:vAlign w:val="center"/>
                </w:tcPr>
                <w:p w14:paraId="58EB478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224C5C0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约30人</w:t>
                  </w:r>
                </w:p>
              </w:tc>
              <w:tc>
                <w:tcPr>
                  <w:tcW w:w="894" w:type="dxa"/>
                  <w:noWrap w:val="0"/>
                  <w:vAlign w:val="center"/>
                </w:tcPr>
                <w:p w14:paraId="63E7869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N，22m</w:t>
                  </w:r>
                </w:p>
              </w:tc>
              <w:tc>
                <w:tcPr>
                  <w:tcW w:w="796" w:type="dxa"/>
                  <w:vMerge w:val="continue"/>
                  <w:noWrap w:val="0"/>
                  <w:vAlign w:val="center"/>
                </w:tcPr>
                <w:p w14:paraId="3A417D3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317872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46B3583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29B1B3C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lang w:val="en-US" w:eastAsia="zh-CN" w:bidi="ar-SA"/>
                      <w14:textFill>
                        <w14:solidFill>
                          <w14:schemeClr w14:val="tx1"/>
                        </w14:solidFill>
                      </w14:textFill>
                    </w:rPr>
                  </w:pPr>
                </w:p>
              </w:tc>
              <w:tc>
                <w:tcPr>
                  <w:tcW w:w="1004" w:type="dxa"/>
                  <w:noWrap w:val="0"/>
                  <w:vAlign w:val="center"/>
                </w:tcPr>
                <w:p w14:paraId="6C5C728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散户1</w:t>
                  </w:r>
                </w:p>
              </w:tc>
              <w:tc>
                <w:tcPr>
                  <w:tcW w:w="1146" w:type="dxa"/>
                  <w:noWrap w:val="0"/>
                  <w:vAlign w:val="center"/>
                </w:tcPr>
                <w:p w14:paraId="3E2537B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116.210778</w:t>
                  </w:r>
                </w:p>
              </w:tc>
              <w:tc>
                <w:tcPr>
                  <w:tcW w:w="1176" w:type="dxa"/>
                  <w:noWrap w:val="0"/>
                  <w:vAlign w:val="center"/>
                </w:tcPr>
                <w:p w14:paraId="428F111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31.444342</w:t>
                  </w:r>
                </w:p>
              </w:tc>
              <w:tc>
                <w:tcPr>
                  <w:tcW w:w="668" w:type="dxa"/>
                  <w:noWrap w:val="0"/>
                  <w:vAlign w:val="center"/>
                </w:tcPr>
                <w:p w14:paraId="49534CC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2083200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约6人</w:t>
                  </w:r>
                </w:p>
              </w:tc>
              <w:tc>
                <w:tcPr>
                  <w:tcW w:w="894" w:type="dxa"/>
                  <w:noWrap w:val="0"/>
                  <w:vAlign w:val="center"/>
                </w:tcPr>
                <w:p w14:paraId="344E8DD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N，20m</w:t>
                  </w:r>
                </w:p>
              </w:tc>
              <w:tc>
                <w:tcPr>
                  <w:tcW w:w="796" w:type="dxa"/>
                  <w:vMerge w:val="continue"/>
                  <w:noWrap w:val="0"/>
                  <w:vAlign w:val="center"/>
                </w:tcPr>
                <w:p w14:paraId="5F322F5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35F24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674112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42A8E78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1004" w:type="dxa"/>
                  <w:noWrap w:val="0"/>
                  <w:vAlign w:val="center"/>
                </w:tcPr>
                <w:p w14:paraId="5054BEC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散户2</w:t>
                  </w:r>
                </w:p>
              </w:tc>
              <w:tc>
                <w:tcPr>
                  <w:tcW w:w="1146" w:type="dxa"/>
                  <w:noWrap w:val="0"/>
                  <w:vAlign w:val="center"/>
                </w:tcPr>
                <w:p w14:paraId="6711054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116.214093</w:t>
                  </w:r>
                </w:p>
              </w:tc>
              <w:tc>
                <w:tcPr>
                  <w:tcW w:w="1176" w:type="dxa"/>
                  <w:noWrap w:val="0"/>
                  <w:vAlign w:val="center"/>
                </w:tcPr>
                <w:p w14:paraId="099113A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31.442024</w:t>
                  </w:r>
                </w:p>
              </w:tc>
              <w:tc>
                <w:tcPr>
                  <w:tcW w:w="668" w:type="dxa"/>
                  <w:noWrap w:val="0"/>
                  <w:vAlign w:val="center"/>
                </w:tcPr>
                <w:p w14:paraId="27F84C1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7483BD8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约21人</w:t>
                  </w:r>
                </w:p>
              </w:tc>
              <w:tc>
                <w:tcPr>
                  <w:tcW w:w="894" w:type="dxa"/>
                  <w:noWrap w:val="0"/>
                  <w:vAlign w:val="center"/>
                </w:tcPr>
                <w:p w14:paraId="7BB399F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N，127m</w:t>
                  </w:r>
                </w:p>
              </w:tc>
              <w:tc>
                <w:tcPr>
                  <w:tcW w:w="796" w:type="dxa"/>
                  <w:vMerge w:val="continue"/>
                  <w:noWrap w:val="0"/>
                  <w:vAlign w:val="center"/>
                </w:tcPr>
                <w:p w14:paraId="3541E18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C0B763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4BB7D6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6E2AA58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04" w:type="dxa"/>
                  <w:noWrap w:val="0"/>
                  <w:vAlign w:val="center"/>
                </w:tcPr>
                <w:p w14:paraId="0D846A88">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散户3</w:t>
                  </w:r>
                </w:p>
              </w:tc>
              <w:tc>
                <w:tcPr>
                  <w:tcW w:w="1146" w:type="dxa"/>
                  <w:noWrap w:val="0"/>
                  <w:vAlign w:val="center"/>
                </w:tcPr>
                <w:p w14:paraId="50869BC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116.217805</w:t>
                  </w:r>
                </w:p>
              </w:tc>
              <w:tc>
                <w:tcPr>
                  <w:tcW w:w="1176" w:type="dxa"/>
                  <w:noWrap w:val="0"/>
                  <w:vAlign w:val="center"/>
                </w:tcPr>
                <w:p w14:paraId="07F18E2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31.443634</w:t>
                  </w:r>
                </w:p>
              </w:tc>
              <w:tc>
                <w:tcPr>
                  <w:tcW w:w="668" w:type="dxa"/>
                  <w:noWrap w:val="0"/>
                  <w:vAlign w:val="center"/>
                </w:tcPr>
                <w:p w14:paraId="0864DE4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714D713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约16人</w:t>
                  </w:r>
                </w:p>
              </w:tc>
              <w:tc>
                <w:tcPr>
                  <w:tcW w:w="894" w:type="dxa"/>
                  <w:noWrap w:val="0"/>
                  <w:vAlign w:val="center"/>
                </w:tcPr>
                <w:p w14:paraId="18AB1EA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W，28m</w:t>
                  </w:r>
                </w:p>
              </w:tc>
              <w:tc>
                <w:tcPr>
                  <w:tcW w:w="796" w:type="dxa"/>
                  <w:vMerge w:val="continue"/>
                  <w:noWrap w:val="0"/>
                  <w:vAlign w:val="center"/>
                </w:tcPr>
                <w:p w14:paraId="0898285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BBA8D3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76C3BF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shd w:val="clear" w:color="auto" w:fill="auto"/>
                  <w:noWrap w:val="0"/>
                  <w:vAlign w:val="center"/>
                </w:tcPr>
                <w:p w14:paraId="790E48D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04" w:type="dxa"/>
                  <w:shd w:val="clear" w:color="auto" w:fill="auto"/>
                  <w:noWrap w:val="0"/>
                  <w:vAlign w:val="center"/>
                </w:tcPr>
                <w:p w14:paraId="4AF55198">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胡家院</w:t>
                  </w:r>
                </w:p>
              </w:tc>
              <w:tc>
                <w:tcPr>
                  <w:tcW w:w="1146" w:type="dxa"/>
                  <w:shd w:val="clear" w:color="auto" w:fill="auto"/>
                  <w:noWrap w:val="0"/>
                  <w:vAlign w:val="center"/>
                </w:tcPr>
                <w:p w14:paraId="5D4A77D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116.230410</w:t>
                  </w:r>
                </w:p>
              </w:tc>
              <w:tc>
                <w:tcPr>
                  <w:tcW w:w="1176" w:type="dxa"/>
                  <w:shd w:val="clear" w:color="auto" w:fill="auto"/>
                  <w:noWrap w:val="0"/>
                  <w:vAlign w:val="center"/>
                </w:tcPr>
                <w:p w14:paraId="5BF93D4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31.433496</w:t>
                  </w:r>
                </w:p>
              </w:tc>
              <w:tc>
                <w:tcPr>
                  <w:tcW w:w="668" w:type="dxa"/>
                  <w:shd w:val="clear" w:color="auto" w:fill="auto"/>
                  <w:noWrap w:val="0"/>
                  <w:vAlign w:val="center"/>
                </w:tcPr>
                <w:p w14:paraId="577486F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shd w:val="clear" w:color="auto" w:fill="auto"/>
                  <w:noWrap w:val="0"/>
                  <w:vAlign w:val="center"/>
                </w:tcPr>
                <w:p w14:paraId="3A9DCE7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约27人</w:t>
                  </w:r>
                </w:p>
              </w:tc>
              <w:tc>
                <w:tcPr>
                  <w:tcW w:w="894" w:type="dxa"/>
                  <w:shd w:val="clear" w:color="auto" w:fill="auto"/>
                  <w:noWrap w:val="0"/>
                  <w:vAlign w:val="center"/>
                </w:tcPr>
                <w:p w14:paraId="2D670A3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N，194m</w:t>
                  </w:r>
                </w:p>
              </w:tc>
              <w:tc>
                <w:tcPr>
                  <w:tcW w:w="796" w:type="dxa"/>
                  <w:vMerge w:val="continue"/>
                  <w:noWrap w:val="0"/>
                  <w:vAlign w:val="center"/>
                </w:tcPr>
                <w:p w14:paraId="48889D8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0E686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DDE6A6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shd w:val="clear" w:color="auto" w:fill="auto"/>
                  <w:noWrap w:val="0"/>
                  <w:vAlign w:val="center"/>
                </w:tcPr>
                <w:p w14:paraId="5B560B8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04" w:type="dxa"/>
                  <w:shd w:val="clear" w:color="auto" w:fill="auto"/>
                  <w:noWrap w:val="0"/>
                  <w:vAlign w:val="center"/>
                </w:tcPr>
                <w:p w14:paraId="7BA8766F">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散户4</w:t>
                  </w:r>
                </w:p>
              </w:tc>
              <w:tc>
                <w:tcPr>
                  <w:tcW w:w="1146" w:type="dxa"/>
                  <w:shd w:val="clear" w:color="auto" w:fill="auto"/>
                  <w:noWrap w:val="0"/>
                  <w:vAlign w:val="center"/>
                </w:tcPr>
                <w:p w14:paraId="3DE4DDB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116.235100</w:t>
                  </w:r>
                </w:p>
              </w:tc>
              <w:tc>
                <w:tcPr>
                  <w:tcW w:w="1176" w:type="dxa"/>
                  <w:shd w:val="clear" w:color="auto" w:fill="auto"/>
                  <w:noWrap w:val="0"/>
                  <w:vAlign w:val="center"/>
                </w:tcPr>
                <w:p w14:paraId="6AB5FC7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31.430631</w:t>
                  </w:r>
                </w:p>
              </w:tc>
              <w:tc>
                <w:tcPr>
                  <w:tcW w:w="668" w:type="dxa"/>
                  <w:shd w:val="clear" w:color="auto" w:fill="auto"/>
                  <w:noWrap w:val="0"/>
                  <w:vAlign w:val="center"/>
                </w:tcPr>
                <w:p w14:paraId="7E7227AA">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shd w:val="clear" w:color="auto" w:fill="auto"/>
                  <w:noWrap w:val="0"/>
                  <w:vAlign w:val="center"/>
                </w:tcPr>
                <w:p w14:paraId="2BD1D970">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约21人</w:t>
                  </w:r>
                </w:p>
              </w:tc>
              <w:tc>
                <w:tcPr>
                  <w:tcW w:w="894" w:type="dxa"/>
                  <w:shd w:val="clear" w:color="auto" w:fill="auto"/>
                  <w:noWrap w:val="0"/>
                  <w:vAlign w:val="center"/>
                </w:tcPr>
                <w:p w14:paraId="5E2DA5BA">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N，15m</w:t>
                  </w:r>
                </w:p>
              </w:tc>
              <w:tc>
                <w:tcPr>
                  <w:tcW w:w="796" w:type="dxa"/>
                  <w:vMerge w:val="continue"/>
                  <w:noWrap w:val="0"/>
                  <w:vAlign w:val="center"/>
                </w:tcPr>
                <w:p w14:paraId="74101DC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F8BE5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FBA28C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shd w:val="clear" w:color="auto" w:fill="auto"/>
                  <w:noWrap w:val="0"/>
                  <w:vAlign w:val="center"/>
                </w:tcPr>
                <w:p w14:paraId="44A0E64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004" w:type="dxa"/>
                  <w:shd w:val="clear" w:color="auto" w:fill="auto"/>
                  <w:noWrap w:val="0"/>
                  <w:vAlign w:val="center"/>
                </w:tcPr>
                <w:p w14:paraId="4797CFF5">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散户5</w:t>
                  </w:r>
                </w:p>
              </w:tc>
              <w:tc>
                <w:tcPr>
                  <w:tcW w:w="1146" w:type="dxa"/>
                  <w:shd w:val="clear" w:color="auto" w:fill="auto"/>
                  <w:noWrap w:val="0"/>
                  <w:vAlign w:val="center"/>
                </w:tcPr>
                <w:p w14:paraId="1967A38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116.240459</w:t>
                  </w:r>
                </w:p>
              </w:tc>
              <w:tc>
                <w:tcPr>
                  <w:tcW w:w="1176" w:type="dxa"/>
                  <w:shd w:val="clear" w:color="auto" w:fill="auto"/>
                  <w:noWrap w:val="0"/>
                  <w:vAlign w:val="center"/>
                </w:tcPr>
                <w:p w14:paraId="4D80A5C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31.428828</w:t>
                  </w:r>
                </w:p>
              </w:tc>
              <w:tc>
                <w:tcPr>
                  <w:tcW w:w="668" w:type="dxa"/>
                  <w:shd w:val="clear" w:color="auto" w:fill="auto"/>
                  <w:noWrap w:val="0"/>
                  <w:vAlign w:val="center"/>
                </w:tcPr>
                <w:p w14:paraId="0C00E8DA">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shd w:val="clear" w:color="auto" w:fill="auto"/>
                  <w:noWrap w:val="0"/>
                  <w:vAlign w:val="center"/>
                </w:tcPr>
                <w:p w14:paraId="5B9B2C96">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约10人</w:t>
                  </w:r>
                </w:p>
              </w:tc>
              <w:tc>
                <w:tcPr>
                  <w:tcW w:w="894" w:type="dxa"/>
                  <w:shd w:val="clear" w:color="auto" w:fill="auto"/>
                  <w:noWrap w:val="0"/>
                  <w:vAlign w:val="center"/>
                </w:tcPr>
                <w:p w14:paraId="1DE6C9A5">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N，74m</w:t>
                  </w:r>
                </w:p>
              </w:tc>
              <w:tc>
                <w:tcPr>
                  <w:tcW w:w="796" w:type="dxa"/>
                  <w:vMerge w:val="continue"/>
                  <w:noWrap w:val="0"/>
                  <w:vAlign w:val="center"/>
                </w:tcPr>
                <w:p w14:paraId="7B35400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9B2A8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AB2931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70CA57C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04" w:type="dxa"/>
                  <w:noWrap w:val="0"/>
                  <w:vAlign w:val="center"/>
                </w:tcPr>
                <w:p w14:paraId="16C56592">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陶家湾</w:t>
                  </w:r>
                </w:p>
              </w:tc>
              <w:tc>
                <w:tcPr>
                  <w:tcW w:w="1146" w:type="dxa"/>
                  <w:noWrap w:val="0"/>
                  <w:vAlign w:val="center"/>
                </w:tcPr>
                <w:p w14:paraId="7617FAB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116.244487</w:t>
                  </w:r>
                </w:p>
              </w:tc>
              <w:tc>
                <w:tcPr>
                  <w:tcW w:w="1176" w:type="dxa"/>
                  <w:noWrap w:val="0"/>
                  <w:vAlign w:val="center"/>
                </w:tcPr>
                <w:p w14:paraId="6B2F2D5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31.428453</w:t>
                  </w:r>
                </w:p>
              </w:tc>
              <w:tc>
                <w:tcPr>
                  <w:tcW w:w="668" w:type="dxa"/>
                  <w:noWrap w:val="0"/>
                  <w:vAlign w:val="center"/>
                </w:tcPr>
                <w:p w14:paraId="0BCC4006">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2821BB09">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约10人</w:t>
                  </w:r>
                </w:p>
              </w:tc>
              <w:tc>
                <w:tcPr>
                  <w:tcW w:w="894" w:type="dxa"/>
                  <w:noWrap w:val="0"/>
                  <w:vAlign w:val="center"/>
                </w:tcPr>
                <w:p w14:paraId="79FC8E72">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S，33m</w:t>
                  </w:r>
                </w:p>
              </w:tc>
              <w:tc>
                <w:tcPr>
                  <w:tcW w:w="796" w:type="dxa"/>
                  <w:vMerge w:val="continue"/>
                  <w:noWrap w:val="0"/>
                  <w:vAlign w:val="center"/>
                </w:tcPr>
                <w:p w14:paraId="1C787C8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4A197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0B041B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5382460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04" w:type="dxa"/>
                  <w:noWrap w:val="0"/>
                  <w:vAlign w:val="center"/>
                </w:tcPr>
                <w:p w14:paraId="7CE90A49">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香花岭</w:t>
                  </w:r>
                </w:p>
              </w:tc>
              <w:tc>
                <w:tcPr>
                  <w:tcW w:w="1146" w:type="dxa"/>
                  <w:noWrap w:val="0"/>
                  <w:vAlign w:val="center"/>
                </w:tcPr>
                <w:p w14:paraId="6A2286F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116.253778</w:t>
                  </w:r>
                </w:p>
              </w:tc>
              <w:tc>
                <w:tcPr>
                  <w:tcW w:w="1176" w:type="dxa"/>
                  <w:noWrap w:val="0"/>
                  <w:vAlign w:val="center"/>
                </w:tcPr>
                <w:p w14:paraId="372AD8C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31.424017</w:t>
                  </w:r>
                </w:p>
              </w:tc>
              <w:tc>
                <w:tcPr>
                  <w:tcW w:w="668" w:type="dxa"/>
                  <w:noWrap w:val="0"/>
                  <w:vAlign w:val="center"/>
                </w:tcPr>
                <w:p w14:paraId="3BADB91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33B390D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约50人</w:t>
                  </w:r>
                </w:p>
              </w:tc>
              <w:tc>
                <w:tcPr>
                  <w:tcW w:w="894" w:type="dxa"/>
                  <w:noWrap w:val="0"/>
                  <w:vAlign w:val="center"/>
                </w:tcPr>
                <w:p w14:paraId="25384334">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N，98m</w:t>
                  </w:r>
                </w:p>
              </w:tc>
              <w:tc>
                <w:tcPr>
                  <w:tcW w:w="796" w:type="dxa"/>
                  <w:vMerge w:val="continue"/>
                  <w:noWrap w:val="0"/>
                  <w:vAlign w:val="center"/>
                </w:tcPr>
                <w:p w14:paraId="6A54712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1256AF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6AAC02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650F32C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326" w:type="dxa"/>
                  <w:gridSpan w:val="3"/>
                  <w:noWrap w:val="0"/>
                  <w:vAlign w:val="center"/>
                </w:tcPr>
                <w:p w14:paraId="2CDDC65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沿线两侧200m范围内敏感点</w:t>
                  </w:r>
                </w:p>
              </w:tc>
              <w:tc>
                <w:tcPr>
                  <w:tcW w:w="668" w:type="dxa"/>
                  <w:noWrap w:val="0"/>
                  <w:vAlign w:val="center"/>
                </w:tcPr>
                <w:p w14:paraId="267BB6D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14:textFill>
                        <w14:solidFill>
                          <w14:schemeClr w14:val="tx1"/>
                        </w14:solidFill>
                      </w14:textFill>
                    </w:rPr>
                    <w:t>村庄</w:t>
                  </w:r>
                  <w:r>
                    <w:rPr>
                      <w:rFonts w:hint="eastAsia"/>
                      <w:color w:val="000000" w:themeColor="text1"/>
                      <w:sz w:val="21"/>
                      <w:szCs w:val="21"/>
                      <w:lang w:eastAsia="zh-CN"/>
                      <w14:textFill>
                        <w14:solidFill>
                          <w14:schemeClr w14:val="tx1"/>
                        </w14:solidFill>
                      </w14:textFill>
                    </w:rPr>
                    <w:t>、散户</w:t>
                  </w:r>
                </w:p>
              </w:tc>
              <w:tc>
                <w:tcPr>
                  <w:tcW w:w="1042" w:type="dxa"/>
                  <w:noWrap w:val="0"/>
                  <w:vAlign w:val="center"/>
                </w:tcPr>
                <w:p w14:paraId="1CD0489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shd w:val="clear" w:color="FFFFFF" w:fill="D9D9D9"/>
                      <w:lang w:val="en-US" w:eastAsia="zh-CN"/>
                      <w14:textFill>
                        <w14:solidFill>
                          <w14:schemeClr w14:val="tx1"/>
                        </w14:solidFill>
                      </w14:textFill>
                    </w:rPr>
                    <w:t>/</w:t>
                  </w:r>
                </w:p>
              </w:tc>
              <w:tc>
                <w:tcPr>
                  <w:tcW w:w="894" w:type="dxa"/>
                  <w:noWrap w:val="0"/>
                  <w:vAlign w:val="center"/>
                </w:tcPr>
                <w:p w14:paraId="74DD717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shd w:val="clear" w:color="FFFFFF" w:fill="D9D9D9"/>
                      <w:lang w:val="en-US" w:eastAsia="zh-CN"/>
                      <w14:textFill>
                        <w14:solidFill>
                          <w14:schemeClr w14:val="tx1"/>
                        </w14:solidFill>
                      </w14:textFill>
                    </w:rPr>
                    <w:t>/</w:t>
                  </w:r>
                </w:p>
              </w:tc>
              <w:tc>
                <w:tcPr>
                  <w:tcW w:w="796" w:type="dxa"/>
                  <w:vMerge w:val="continue"/>
                  <w:noWrap w:val="0"/>
                  <w:vAlign w:val="center"/>
                </w:tcPr>
                <w:p w14:paraId="7ACFDC7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7616F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42407F4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restart"/>
                  <w:noWrap w:val="0"/>
                  <w:vAlign w:val="center"/>
                </w:tcPr>
                <w:p w14:paraId="1BE9AE0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戴家河排涝片</w:t>
                  </w:r>
                </w:p>
              </w:tc>
              <w:tc>
                <w:tcPr>
                  <w:tcW w:w="1004" w:type="dxa"/>
                  <w:noWrap w:val="0"/>
                  <w:vAlign w:val="center"/>
                </w:tcPr>
                <w:p w14:paraId="6DEFA340">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月牙塘</w:t>
                  </w:r>
                </w:p>
              </w:tc>
              <w:tc>
                <w:tcPr>
                  <w:tcW w:w="1146" w:type="dxa"/>
                  <w:noWrap w:val="0"/>
                  <w:vAlign w:val="center"/>
                </w:tcPr>
                <w:p w14:paraId="69057F7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116.264828</w:t>
                  </w:r>
                </w:p>
              </w:tc>
              <w:tc>
                <w:tcPr>
                  <w:tcW w:w="1176" w:type="dxa"/>
                  <w:noWrap w:val="0"/>
                  <w:vAlign w:val="center"/>
                </w:tcPr>
                <w:p w14:paraId="005906B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31.430978</w:t>
                  </w:r>
                </w:p>
              </w:tc>
              <w:tc>
                <w:tcPr>
                  <w:tcW w:w="668" w:type="dxa"/>
                  <w:noWrap w:val="0"/>
                  <w:vAlign w:val="center"/>
                </w:tcPr>
                <w:p w14:paraId="498DD4C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53C3D05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约24人</w:t>
                  </w:r>
                </w:p>
              </w:tc>
              <w:tc>
                <w:tcPr>
                  <w:tcW w:w="894" w:type="dxa"/>
                  <w:noWrap w:val="0"/>
                  <w:vAlign w:val="center"/>
                </w:tcPr>
                <w:p w14:paraId="576E2C0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E，35m</w:t>
                  </w:r>
                </w:p>
              </w:tc>
              <w:tc>
                <w:tcPr>
                  <w:tcW w:w="796" w:type="dxa"/>
                  <w:vMerge w:val="continue"/>
                  <w:noWrap w:val="0"/>
                  <w:vAlign w:val="center"/>
                </w:tcPr>
                <w:p w14:paraId="6CA6DF2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E67F3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6B1732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4553403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04" w:type="dxa"/>
                  <w:noWrap w:val="0"/>
                  <w:vAlign w:val="center"/>
                </w:tcPr>
                <w:p w14:paraId="69A57E2B">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散户6</w:t>
                  </w:r>
                </w:p>
              </w:tc>
              <w:tc>
                <w:tcPr>
                  <w:tcW w:w="1146" w:type="dxa"/>
                  <w:noWrap w:val="0"/>
                  <w:vAlign w:val="center"/>
                </w:tcPr>
                <w:p w14:paraId="2AED99A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116.256691</w:t>
                  </w:r>
                </w:p>
              </w:tc>
              <w:tc>
                <w:tcPr>
                  <w:tcW w:w="1176" w:type="dxa"/>
                  <w:noWrap w:val="0"/>
                  <w:vAlign w:val="center"/>
                </w:tcPr>
                <w:p w14:paraId="739F912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31.432723</w:t>
                  </w:r>
                </w:p>
              </w:tc>
              <w:tc>
                <w:tcPr>
                  <w:tcW w:w="668" w:type="dxa"/>
                  <w:noWrap w:val="0"/>
                  <w:vAlign w:val="center"/>
                </w:tcPr>
                <w:p w14:paraId="45189F4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居民</w:t>
                  </w:r>
                </w:p>
              </w:tc>
              <w:tc>
                <w:tcPr>
                  <w:tcW w:w="1042" w:type="dxa"/>
                  <w:noWrap w:val="0"/>
                  <w:vAlign w:val="center"/>
                </w:tcPr>
                <w:p w14:paraId="28B4BE0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约20人</w:t>
                  </w:r>
                </w:p>
              </w:tc>
              <w:tc>
                <w:tcPr>
                  <w:tcW w:w="894" w:type="dxa"/>
                  <w:noWrap w:val="0"/>
                  <w:vAlign w:val="center"/>
                </w:tcPr>
                <w:p w14:paraId="0C35347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W，46m</w:t>
                  </w:r>
                </w:p>
              </w:tc>
              <w:tc>
                <w:tcPr>
                  <w:tcW w:w="796" w:type="dxa"/>
                  <w:vMerge w:val="continue"/>
                  <w:noWrap w:val="0"/>
                  <w:vAlign w:val="center"/>
                </w:tcPr>
                <w:p w14:paraId="52596A5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E9E894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D2807A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4A03096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04" w:type="dxa"/>
                  <w:noWrap w:val="0"/>
                  <w:vAlign w:val="center"/>
                </w:tcPr>
                <w:p w14:paraId="2F99146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客人河</w:t>
                  </w:r>
                </w:p>
              </w:tc>
              <w:tc>
                <w:tcPr>
                  <w:tcW w:w="1146" w:type="dxa"/>
                  <w:noWrap w:val="0"/>
                  <w:vAlign w:val="center"/>
                </w:tcPr>
                <w:p w14:paraId="2BA0128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116.254449</w:t>
                  </w:r>
                </w:p>
              </w:tc>
              <w:tc>
                <w:tcPr>
                  <w:tcW w:w="1176" w:type="dxa"/>
                  <w:noWrap w:val="0"/>
                  <w:vAlign w:val="center"/>
                </w:tcPr>
                <w:p w14:paraId="275B1AF2">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31.4260818</w:t>
                  </w:r>
                </w:p>
              </w:tc>
              <w:tc>
                <w:tcPr>
                  <w:tcW w:w="668" w:type="dxa"/>
                  <w:noWrap w:val="0"/>
                  <w:vAlign w:val="center"/>
                </w:tcPr>
                <w:p w14:paraId="40B7F28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26C623B9">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约54人</w:t>
                  </w:r>
                </w:p>
              </w:tc>
              <w:tc>
                <w:tcPr>
                  <w:tcW w:w="894" w:type="dxa"/>
                  <w:noWrap w:val="0"/>
                  <w:vAlign w:val="center"/>
                </w:tcPr>
                <w:p w14:paraId="6CCCB606">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S，145m</w:t>
                  </w:r>
                </w:p>
              </w:tc>
              <w:tc>
                <w:tcPr>
                  <w:tcW w:w="796" w:type="dxa"/>
                  <w:vMerge w:val="continue"/>
                  <w:noWrap w:val="0"/>
                  <w:vAlign w:val="center"/>
                </w:tcPr>
                <w:p w14:paraId="4C127F9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86D9A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C45867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restart"/>
                  <w:noWrap w:val="0"/>
                  <w:vAlign w:val="center"/>
                </w:tcPr>
                <w:p w14:paraId="1AA4C9A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柳林河西排涝片</w:t>
                  </w:r>
                </w:p>
              </w:tc>
              <w:tc>
                <w:tcPr>
                  <w:tcW w:w="1004" w:type="dxa"/>
                  <w:noWrap w:val="0"/>
                  <w:vAlign w:val="center"/>
                </w:tcPr>
                <w:p w14:paraId="6652951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居民点1</w:t>
                  </w:r>
                </w:p>
              </w:tc>
              <w:tc>
                <w:tcPr>
                  <w:tcW w:w="1146" w:type="dxa"/>
                  <w:noWrap w:val="0"/>
                  <w:vAlign w:val="center"/>
                </w:tcPr>
                <w:p w14:paraId="343FF46B">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116.258988</w:t>
                  </w:r>
                </w:p>
              </w:tc>
              <w:tc>
                <w:tcPr>
                  <w:tcW w:w="1176" w:type="dxa"/>
                  <w:noWrap w:val="0"/>
                  <w:vAlign w:val="center"/>
                </w:tcPr>
                <w:p w14:paraId="5CCC15F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31.404903</w:t>
                  </w:r>
                </w:p>
              </w:tc>
              <w:tc>
                <w:tcPr>
                  <w:tcW w:w="668" w:type="dxa"/>
                  <w:noWrap w:val="0"/>
                  <w:vAlign w:val="center"/>
                </w:tcPr>
                <w:p w14:paraId="5CDCB7B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34A70C6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约80人</w:t>
                  </w:r>
                </w:p>
              </w:tc>
              <w:tc>
                <w:tcPr>
                  <w:tcW w:w="894" w:type="dxa"/>
                  <w:noWrap w:val="0"/>
                  <w:vAlign w:val="center"/>
                </w:tcPr>
                <w:p w14:paraId="46BBBA5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W，97m</w:t>
                  </w:r>
                </w:p>
              </w:tc>
              <w:tc>
                <w:tcPr>
                  <w:tcW w:w="796" w:type="dxa"/>
                  <w:vMerge w:val="continue"/>
                  <w:noWrap w:val="0"/>
                  <w:vAlign w:val="center"/>
                </w:tcPr>
                <w:p w14:paraId="7A9D535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p>
              </w:tc>
            </w:tr>
            <w:tr w14:paraId="596B58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6C1F75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719784E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14:textFill>
                        <w14:solidFill>
                          <w14:schemeClr w14:val="tx1"/>
                        </w14:solidFill>
                      </w14:textFill>
                    </w:rPr>
                  </w:pPr>
                </w:p>
              </w:tc>
              <w:tc>
                <w:tcPr>
                  <w:tcW w:w="1004" w:type="dxa"/>
                  <w:noWrap w:val="0"/>
                  <w:vAlign w:val="center"/>
                </w:tcPr>
                <w:p w14:paraId="40A3DF9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居民点2</w:t>
                  </w:r>
                </w:p>
              </w:tc>
              <w:tc>
                <w:tcPr>
                  <w:tcW w:w="1146" w:type="dxa"/>
                  <w:noWrap w:val="0"/>
                  <w:vAlign w:val="center"/>
                </w:tcPr>
                <w:p w14:paraId="35E7A9E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116.262249</w:t>
                  </w:r>
                </w:p>
              </w:tc>
              <w:tc>
                <w:tcPr>
                  <w:tcW w:w="1176" w:type="dxa"/>
                  <w:noWrap w:val="0"/>
                  <w:vAlign w:val="center"/>
                </w:tcPr>
                <w:p w14:paraId="2D17C15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31.405858</w:t>
                  </w:r>
                </w:p>
              </w:tc>
              <w:tc>
                <w:tcPr>
                  <w:tcW w:w="668" w:type="dxa"/>
                  <w:noWrap w:val="0"/>
                  <w:vAlign w:val="center"/>
                </w:tcPr>
                <w:p w14:paraId="78BA796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D1142B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约70人</w:t>
                  </w:r>
                </w:p>
              </w:tc>
              <w:tc>
                <w:tcPr>
                  <w:tcW w:w="894" w:type="dxa"/>
                  <w:noWrap w:val="0"/>
                  <w:vAlign w:val="center"/>
                </w:tcPr>
                <w:p w14:paraId="131012D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E，19m</w:t>
                  </w:r>
                </w:p>
              </w:tc>
              <w:tc>
                <w:tcPr>
                  <w:tcW w:w="796" w:type="dxa"/>
                  <w:vMerge w:val="continue"/>
                  <w:noWrap w:val="0"/>
                  <w:vAlign w:val="center"/>
                </w:tcPr>
                <w:p w14:paraId="5059D53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p>
              </w:tc>
            </w:tr>
            <w:tr w14:paraId="36DF44D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571055B">
                  <w:pPr>
                    <w:keepNext w:val="0"/>
                    <w:keepLines w:val="0"/>
                    <w:pageBreakBefore w:val="0"/>
                    <w:suppressLineNumbers w:val="0"/>
                    <w:spacing w:before="0" w:beforeAutospacing="0" w:after="0" w:afterAutospacing="0" w:line="240" w:lineRule="auto"/>
                    <w:ind w:left="0" w:right="0" w:firstLine="0"/>
                    <w:jc w:val="center"/>
                    <w:rPr>
                      <w:rFonts w:hint="default"/>
                      <w:color w:val="000000" w:themeColor="text1"/>
                      <w14:textFill>
                        <w14:solidFill>
                          <w14:schemeClr w14:val="tx1"/>
                        </w14:solidFill>
                      </w14:textFill>
                    </w:rPr>
                  </w:pPr>
                </w:p>
              </w:tc>
              <w:tc>
                <w:tcPr>
                  <w:tcW w:w="590" w:type="dxa"/>
                  <w:vMerge w:val="continue"/>
                  <w:noWrap w:val="0"/>
                  <w:vAlign w:val="center"/>
                </w:tcPr>
                <w:p w14:paraId="2668EB3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67884DF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居民点3</w:t>
                  </w:r>
                </w:p>
              </w:tc>
              <w:tc>
                <w:tcPr>
                  <w:tcW w:w="1146" w:type="dxa"/>
                  <w:noWrap w:val="0"/>
                  <w:vAlign w:val="center"/>
                </w:tcPr>
                <w:p w14:paraId="59DD1B5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116.260479</w:t>
                  </w:r>
                </w:p>
              </w:tc>
              <w:tc>
                <w:tcPr>
                  <w:tcW w:w="1176" w:type="dxa"/>
                  <w:noWrap w:val="0"/>
                  <w:vAlign w:val="center"/>
                </w:tcPr>
                <w:p w14:paraId="74ABF1E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31.412295</w:t>
                  </w:r>
                </w:p>
              </w:tc>
              <w:tc>
                <w:tcPr>
                  <w:tcW w:w="668" w:type="dxa"/>
                  <w:noWrap w:val="0"/>
                  <w:vAlign w:val="center"/>
                </w:tcPr>
                <w:p w14:paraId="53C3F7B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DE2520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约40人</w:t>
                  </w:r>
                </w:p>
              </w:tc>
              <w:tc>
                <w:tcPr>
                  <w:tcW w:w="894" w:type="dxa"/>
                  <w:noWrap w:val="0"/>
                  <w:vAlign w:val="center"/>
                </w:tcPr>
                <w:p w14:paraId="4B17C6E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E，39m</w:t>
                  </w:r>
                </w:p>
              </w:tc>
              <w:tc>
                <w:tcPr>
                  <w:tcW w:w="796" w:type="dxa"/>
                  <w:vMerge w:val="continue"/>
                  <w:noWrap w:val="0"/>
                  <w:vAlign w:val="center"/>
                </w:tcPr>
                <w:p w14:paraId="488C33A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1D3E5AA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7FF15CE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BDC38B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7A746A6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项家院子</w:t>
                  </w:r>
                </w:p>
              </w:tc>
              <w:tc>
                <w:tcPr>
                  <w:tcW w:w="1146" w:type="dxa"/>
                  <w:noWrap w:val="0"/>
                  <w:vAlign w:val="center"/>
                </w:tcPr>
                <w:p w14:paraId="497852A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116.266072</w:t>
                  </w:r>
                </w:p>
              </w:tc>
              <w:tc>
                <w:tcPr>
                  <w:tcW w:w="1176" w:type="dxa"/>
                  <w:noWrap w:val="0"/>
                  <w:vAlign w:val="center"/>
                </w:tcPr>
                <w:p w14:paraId="329728C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31.414038</w:t>
                  </w:r>
                </w:p>
              </w:tc>
              <w:tc>
                <w:tcPr>
                  <w:tcW w:w="668" w:type="dxa"/>
                  <w:noWrap w:val="0"/>
                  <w:vAlign w:val="center"/>
                </w:tcPr>
                <w:p w14:paraId="3B131FF7">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56FFB57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约10人</w:t>
                  </w:r>
                </w:p>
              </w:tc>
              <w:tc>
                <w:tcPr>
                  <w:tcW w:w="894" w:type="dxa"/>
                  <w:noWrap w:val="0"/>
                  <w:vAlign w:val="center"/>
                </w:tcPr>
                <w:p w14:paraId="725EE7B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E，108m</w:t>
                  </w:r>
                </w:p>
              </w:tc>
              <w:tc>
                <w:tcPr>
                  <w:tcW w:w="796" w:type="dxa"/>
                  <w:vMerge w:val="continue"/>
                  <w:noWrap w:val="0"/>
                  <w:vAlign w:val="center"/>
                </w:tcPr>
                <w:p w14:paraId="3C92938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04C7A9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F3E678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3E46FC8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3F2406C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双枣树</w:t>
                  </w:r>
                </w:p>
              </w:tc>
              <w:tc>
                <w:tcPr>
                  <w:tcW w:w="1146" w:type="dxa"/>
                  <w:noWrap w:val="0"/>
                  <w:vAlign w:val="center"/>
                </w:tcPr>
                <w:p w14:paraId="2FA4987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116.271653</w:t>
                  </w:r>
                </w:p>
              </w:tc>
              <w:tc>
                <w:tcPr>
                  <w:tcW w:w="1176" w:type="dxa"/>
                  <w:noWrap w:val="0"/>
                  <w:vAlign w:val="center"/>
                </w:tcPr>
                <w:p w14:paraId="536BA1C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31.412822</w:t>
                  </w:r>
                </w:p>
              </w:tc>
              <w:tc>
                <w:tcPr>
                  <w:tcW w:w="668" w:type="dxa"/>
                  <w:noWrap w:val="0"/>
                  <w:vAlign w:val="center"/>
                </w:tcPr>
                <w:p w14:paraId="2FA50BC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244108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约300人</w:t>
                  </w:r>
                </w:p>
              </w:tc>
              <w:tc>
                <w:tcPr>
                  <w:tcW w:w="894" w:type="dxa"/>
                  <w:noWrap w:val="0"/>
                  <w:vAlign w:val="center"/>
                </w:tcPr>
                <w:p w14:paraId="5CEA019B">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N，41m</w:t>
                  </w:r>
                </w:p>
              </w:tc>
              <w:tc>
                <w:tcPr>
                  <w:tcW w:w="796" w:type="dxa"/>
                  <w:vMerge w:val="continue"/>
                  <w:noWrap w:val="0"/>
                  <w:vAlign w:val="center"/>
                </w:tcPr>
                <w:p w14:paraId="1C4975C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1287FC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D4F0F7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F8DBF1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6800651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居民点4</w:t>
                  </w:r>
                </w:p>
              </w:tc>
              <w:tc>
                <w:tcPr>
                  <w:tcW w:w="1146" w:type="dxa"/>
                  <w:noWrap w:val="0"/>
                  <w:vAlign w:val="center"/>
                </w:tcPr>
                <w:p w14:paraId="1ADDE5E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116.271889</w:t>
                  </w:r>
                </w:p>
              </w:tc>
              <w:tc>
                <w:tcPr>
                  <w:tcW w:w="1176" w:type="dxa"/>
                  <w:noWrap w:val="0"/>
                  <w:vAlign w:val="center"/>
                </w:tcPr>
                <w:p w14:paraId="3643BE0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31.413610</w:t>
                  </w:r>
                </w:p>
              </w:tc>
              <w:tc>
                <w:tcPr>
                  <w:tcW w:w="668" w:type="dxa"/>
                  <w:noWrap w:val="0"/>
                  <w:vAlign w:val="center"/>
                </w:tcPr>
                <w:p w14:paraId="3B7235D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2AE3E3C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约30人</w:t>
                  </w:r>
                </w:p>
              </w:tc>
              <w:tc>
                <w:tcPr>
                  <w:tcW w:w="894" w:type="dxa"/>
                  <w:noWrap w:val="0"/>
                  <w:vAlign w:val="center"/>
                </w:tcPr>
                <w:p w14:paraId="4834F10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N，130m</w:t>
                  </w:r>
                </w:p>
              </w:tc>
              <w:tc>
                <w:tcPr>
                  <w:tcW w:w="796" w:type="dxa"/>
                  <w:vMerge w:val="continue"/>
                  <w:noWrap w:val="0"/>
                  <w:vAlign w:val="center"/>
                </w:tcPr>
                <w:p w14:paraId="07E53CB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FB34FD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96570F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ECE76A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2E77425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孙家墩子</w:t>
                  </w:r>
                </w:p>
              </w:tc>
              <w:tc>
                <w:tcPr>
                  <w:tcW w:w="1146" w:type="dxa"/>
                  <w:noWrap w:val="0"/>
                  <w:vAlign w:val="center"/>
                </w:tcPr>
                <w:p w14:paraId="4A812B1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116.279393</w:t>
                  </w:r>
                </w:p>
              </w:tc>
              <w:tc>
                <w:tcPr>
                  <w:tcW w:w="1176" w:type="dxa"/>
                  <w:noWrap w:val="0"/>
                  <w:vAlign w:val="center"/>
                </w:tcPr>
                <w:p w14:paraId="2260360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31.409531</w:t>
                  </w:r>
                </w:p>
              </w:tc>
              <w:tc>
                <w:tcPr>
                  <w:tcW w:w="668" w:type="dxa"/>
                  <w:noWrap w:val="0"/>
                  <w:vAlign w:val="center"/>
                </w:tcPr>
                <w:p w14:paraId="05EE6A0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5E98CD0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约60人</w:t>
                  </w:r>
                </w:p>
              </w:tc>
              <w:tc>
                <w:tcPr>
                  <w:tcW w:w="894" w:type="dxa"/>
                  <w:noWrap w:val="0"/>
                  <w:vAlign w:val="center"/>
                </w:tcPr>
                <w:p w14:paraId="447CDD7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S，37m</w:t>
                  </w:r>
                </w:p>
              </w:tc>
              <w:tc>
                <w:tcPr>
                  <w:tcW w:w="796" w:type="dxa"/>
                  <w:vMerge w:val="continue"/>
                  <w:noWrap w:val="0"/>
                  <w:vAlign w:val="center"/>
                </w:tcPr>
                <w:p w14:paraId="7C9C2AB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19C094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42C914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64C3AB5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485AD6D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叶氏祠</w:t>
                  </w:r>
                </w:p>
              </w:tc>
              <w:tc>
                <w:tcPr>
                  <w:tcW w:w="1146" w:type="dxa"/>
                  <w:noWrap w:val="0"/>
                  <w:vAlign w:val="center"/>
                </w:tcPr>
                <w:p w14:paraId="389C681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116.276771</w:t>
                  </w:r>
                </w:p>
              </w:tc>
              <w:tc>
                <w:tcPr>
                  <w:tcW w:w="1176" w:type="dxa"/>
                  <w:noWrap w:val="0"/>
                  <w:vAlign w:val="center"/>
                </w:tcPr>
                <w:p w14:paraId="2F32E91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31.413985</w:t>
                  </w:r>
                </w:p>
              </w:tc>
              <w:tc>
                <w:tcPr>
                  <w:tcW w:w="668" w:type="dxa"/>
                  <w:noWrap w:val="0"/>
                  <w:vAlign w:val="center"/>
                </w:tcPr>
                <w:p w14:paraId="6C05364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3F1239D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约30人</w:t>
                  </w:r>
                </w:p>
              </w:tc>
              <w:tc>
                <w:tcPr>
                  <w:tcW w:w="894" w:type="dxa"/>
                  <w:noWrap w:val="0"/>
                  <w:vAlign w:val="center"/>
                </w:tcPr>
                <w:p w14:paraId="7B0E6CF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S，79m</w:t>
                  </w:r>
                </w:p>
              </w:tc>
              <w:tc>
                <w:tcPr>
                  <w:tcW w:w="796" w:type="dxa"/>
                  <w:vMerge w:val="continue"/>
                  <w:noWrap w:val="0"/>
                  <w:vAlign w:val="center"/>
                </w:tcPr>
                <w:p w14:paraId="008E63D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E39984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495A7D9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51B9ABD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10F70D6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永康桥村</w:t>
                  </w:r>
                </w:p>
              </w:tc>
              <w:tc>
                <w:tcPr>
                  <w:tcW w:w="1146" w:type="dxa"/>
                  <w:noWrap w:val="0"/>
                  <w:vAlign w:val="center"/>
                </w:tcPr>
                <w:p w14:paraId="7F58BF2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116.284247</w:t>
                  </w:r>
                </w:p>
              </w:tc>
              <w:tc>
                <w:tcPr>
                  <w:tcW w:w="1176" w:type="dxa"/>
                  <w:noWrap w:val="0"/>
                  <w:vAlign w:val="center"/>
                </w:tcPr>
                <w:p w14:paraId="4926C72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31.415535</w:t>
                  </w:r>
                </w:p>
              </w:tc>
              <w:tc>
                <w:tcPr>
                  <w:tcW w:w="668" w:type="dxa"/>
                  <w:noWrap w:val="0"/>
                  <w:vAlign w:val="center"/>
                </w:tcPr>
                <w:p w14:paraId="12D4309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090497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约100人</w:t>
                  </w:r>
                </w:p>
              </w:tc>
              <w:tc>
                <w:tcPr>
                  <w:tcW w:w="894" w:type="dxa"/>
                  <w:noWrap w:val="0"/>
                  <w:vAlign w:val="center"/>
                </w:tcPr>
                <w:p w14:paraId="0C403F0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N，24m</w:t>
                  </w:r>
                </w:p>
              </w:tc>
              <w:tc>
                <w:tcPr>
                  <w:tcW w:w="796" w:type="dxa"/>
                  <w:vMerge w:val="continue"/>
                  <w:noWrap w:val="0"/>
                  <w:vAlign w:val="center"/>
                </w:tcPr>
                <w:p w14:paraId="579A86E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0A46F4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E3FF5F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367B96B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0831EC6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华家院子</w:t>
                  </w:r>
                </w:p>
              </w:tc>
              <w:tc>
                <w:tcPr>
                  <w:tcW w:w="1146" w:type="dxa"/>
                  <w:noWrap w:val="0"/>
                  <w:vAlign w:val="center"/>
                </w:tcPr>
                <w:p w14:paraId="1B178F3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116.283498</w:t>
                  </w:r>
                </w:p>
              </w:tc>
              <w:tc>
                <w:tcPr>
                  <w:tcW w:w="1176" w:type="dxa"/>
                  <w:noWrap w:val="0"/>
                  <w:vAlign w:val="center"/>
                </w:tcPr>
                <w:p w14:paraId="6710D54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31.415562</w:t>
                  </w:r>
                </w:p>
              </w:tc>
              <w:tc>
                <w:tcPr>
                  <w:tcW w:w="668" w:type="dxa"/>
                  <w:noWrap w:val="0"/>
                  <w:vAlign w:val="center"/>
                </w:tcPr>
                <w:p w14:paraId="482CC28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60FC2C7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约50人</w:t>
                  </w:r>
                </w:p>
              </w:tc>
              <w:tc>
                <w:tcPr>
                  <w:tcW w:w="894" w:type="dxa"/>
                  <w:noWrap w:val="0"/>
                  <w:vAlign w:val="center"/>
                </w:tcPr>
                <w:p w14:paraId="3F5D8332">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N，76m</w:t>
                  </w:r>
                </w:p>
              </w:tc>
              <w:tc>
                <w:tcPr>
                  <w:tcW w:w="796" w:type="dxa"/>
                  <w:vMerge w:val="continue"/>
                  <w:noWrap w:val="0"/>
                  <w:vAlign w:val="center"/>
                </w:tcPr>
                <w:p w14:paraId="44E32C8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97946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6E4D58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87617D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79B0861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凉水井</w:t>
                  </w:r>
                </w:p>
              </w:tc>
              <w:tc>
                <w:tcPr>
                  <w:tcW w:w="1146" w:type="dxa"/>
                  <w:noWrap w:val="0"/>
                  <w:vAlign w:val="center"/>
                </w:tcPr>
                <w:p w14:paraId="7836410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116.288576</w:t>
                  </w:r>
                </w:p>
              </w:tc>
              <w:tc>
                <w:tcPr>
                  <w:tcW w:w="1176" w:type="dxa"/>
                  <w:noWrap w:val="0"/>
                  <w:vAlign w:val="center"/>
                </w:tcPr>
                <w:p w14:paraId="5BEF293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116.288576</w:t>
                  </w:r>
                </w:p>
              </w:tc>
              <w:tc>
                <w:tcPr>
                  <w:tcW w:w="668" w:type="dxa"/>
                  <w:noWrap w:val="0"/>
                  <w:vAlign w:val="center"/>
                </w:tcPr>
                <w:p w14:paraId="129EDDE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5156F52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约18人</w:t>
                  </w:r>
                </w:p>
              </w:tc>
              <w:tc>
                <w:tcPr>
                  <w:tcW w:w="894" w:type="dxa"/>
                  <w:noWrap w:val="0"/>
                  <w:vAlign w:val="center"/>
                </w:tcPr>
                <w:p w14:paraId="56D0F1B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N，11m</w:t>
                  </w:r>
                </w:p>
              </w:tc>
              <w:tc>
                <w:tcPr>
                  <w:tcW w:w="796" w:type="dxa"/>
                  <w:vMerge w:val="continue"/>
                  <w:noWrap w:val="0"/>
                  <w:vAlign w:val="center"/>
                </w:tcPr>
                <w:p w14:paraId="322BBF3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1E1170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A56F43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2B02234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729BC54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曹家院子</w:t>
                  </w:r>
                </w:p>
              </w:tc>
              <w:tc>
                <w:tcPr>
                  <w:tcW w:w="1146" w:type="dxa"/>
                  <w:noWrap w:val="0"/>
                  <w:vAlign w:val="center"/>
                </w:tcPr>
                <w:p w14:paraId="2470180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116.290810</w:t>
                  </w:r>
                </w:p>
              </w:tc>
              <w:tc>
                <w:tcPr>
                  <w:tcW w:w="1176" w:type="dxa"/>
                  <w:noWrap w:val="0"/>
                  <w:vAlign w:val="center"/>
                </w:tcPr>
                <w:p w14:paraId="40CED1E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31.415964</w:t>
                  </w:r>
                </w:p>
              </w:tc>
              <w:tc>
                <w:tcPr>
                  <w:tcW w:w="668" w:type="dxa"/>
                  <w:noWrap w:val="0"/>
                  <w:vAlign w:val="center"/>
                </w:tcPr>
                <w:p w14:paraId="46AD4D5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5B331D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约51人</w:t>
                  </w:r>
                </w:p>
              </w:tc>
              <w:tc>
                <w:tcPr>
                  <w:tcW w:w="894" w:type="dxa"/>
                  <w:noWrap w:val="0"/>
                  <w:vAlign w:val="center"/>
                </w:tcPr>
                <w:p w14:paraId="382DD94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S，102m</w:t>
                  </w:r>
                </w:p>
              </w:tc>
              <w:tc>
                <w:tcPr>
                  <w:tcW w:w="796" w:type="dxa"/>
                  <w:vMerge w:val="continue"/>
                  <w:noWrap w:val="0"/>
                  <w:vAlign w:val="center"/>
                </w:tcPr>
                <w:p w14:paraId="05BE600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72B7BD9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CA6E72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1BD222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1332AA0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陈家院子</w:t>
                  </w:r>
                </w:p>
              </w:tc>
              <w:tc>
                <w:tcPr>
                  <w:tcW w:w="1146" w:type="dxa"/>
                  <w:noWrap w:val="0"/>
                  <w:vAlign w:val="center"/>
                </w:tcPr>
                <w:p w14:paraId="562EE7D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116.295451</w:t>
                  </w:r>
                </w:p>
              </w:tc>
              <w:tc>
                <w:tcPr>
                  <w:tcW w:w="1176" w:type="dxa"/>
                  <w:noWrap w:val="0"/>
                  <w:vAlign w:val="center"/>
                </w:tcPr>
                <w:p w14:paraId="0E9886A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31.412893</w:t>
                  </w:r>
                </w:p>
              </w:tc>
              <w:tc>
                <w:tcPr>
                  <w:tcW w:w="668" w:type="dxa"/>
                  <w:noWrap w:val="0"/>
                  <w:vAlign w:val="center"/>
                </w:tcPr>
                <w:p w14:paraId="388B569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4488BAC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约40人</w:t>
                  </w:r>
                </w:p>
              </w:tc>
              <w:tc>
                <w:tcPr>
                  <w:tcW w:w="894" w:type="dxa"/>
                  <w:noWrap w:val="0"/>
                  <w:vAlign w:val="center"/>
                </w:tcPr>
                <w:p w14:paraId="69741C3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N，72m</w:t>
                  </w:r>
                </w:p>
              </w:tc>
              <w:tc>
                <w:tcPr>
                  <w:tcW w:w="796" w:type="dxa"/>
                  <w:vMerge w:val="continue"/>
                  <w:noWrap w:val="0"/>
                  <w:vAlign w:val="center"/>
                </w:tcPr>
                <w:p w14:paraId="0370C61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721B4B2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C578A4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145EC85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5C10741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张家湾</w:t>
                  </w:r>
                </w:p>
              </w:tc>
              <w:tc>
                <w:tcPr>
                  <w:tcW w:w="1146" w:type="dxa"/>
                  <w:noWrap w:val="0"/>
                  <w:vAlign w:val="center"/>
                </w:tcPr>
                <w:p w14:paraId="5757D24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116.297686</w:t>
                  </w:r>
                </w:p>
              </w:tc>
              <w:tc>
                <w:tcPr>
                  <w:tcW w:w="1176" w:type="dxa"/>
                  <w:noWrap w:val="0"/>
                  <w:vAlign w:val="center"/>
                </w:tcPr>
                <w:p w14:paraId="6FE6E22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31.416797</w:t>
                  </w:r>
                </w:p>
              </w:tc>
              <w:tc>
                <w:tcPr>
                  <w:tcW w:w="668" w:type="dxa"/>
                  <w:noWrap w:val="0"/>
                  <w:vAlign w:val="center"/>
                </w:tcPr>
                <w:p w14:paraId="5088DC1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74660D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约30人</w:t>
                  </w:r>
                </w:p>
              </w:tc>
              <w:tc>
                <w:tcPr>
                  <w:tcW w:w="894" w:type="dxa"/>
                  <w:noWrap w:val="0"/>
                  <w:vAlign w:val="center"/>
                </w:tcPr>
                <w:p w14:paraId="3184960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S，90m</w:t>
                  </w:r>
                </w:p>
              </w:tc>
              <w:tc>
                <w:tcPr>
                  <w:tcW w:w="796" w:type="dxa"/>
                  <w:vMerge w:val="continue"/>
                  <w:noWrap w:val="0"/>
                  <w:vAlign w:val="center"/>
                </w:tcPr>
                <w:p w14:paraId="59354A9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3B7151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BF0AD6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6495560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3326" w:type="dxa"/>
                  <w:gridSpan w:val="3"/>
                  <w:noWrap w:val="0"/>
                  <w:vAlign w:val="center"/>
                </w:tcPr>
                <w:p w14:paraId="7B83B01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沿线两侧200m范围内敏感点</w:t>
                  </w:r>
                </w:p>
              </w:tc>
              <w:tc>
                <w:tcPr>
                  <w:tcW w:w="668" w:type="dxa"/>
                  <w:noWrap w:val="0"/>
                  <w:vAlign w:val="center"/>
                </w:tcPr>
                <w:p w14:paraId="5A0A878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村庄、散户</w:t>
                  </w:r>
                </w:p>
              </w:tc>
              <w:tc>
                <w:tcPr>
                  <w:tcW w:w="1042" w:type="dxa"/>
                  <w:noWrap w:val="0"/>
                  <w:vAlign w:val="center"/>
                </w:tcPr>
                <w:p w14:paraId="383A133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t>
                  </w:r>
                </w:p>
              </w:tc>
              <w:tc>
                <w:tcPr>
                  <w:tcW w:w="894" w:type="dxa"/>
                  <w:noWrap w:val="0"/>
                  <w:vAlign w:val="center"/>
                </w:tcPr>
                <w:p w14:paraId="5E500B8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t>
                  </w:r>
                </w:p>
              </w:tc>
              <w:tc>
                <w:tcPr>
                  <w:tcW w:w="796" w:type="dxa"/>
                  <w:vMerge w:val="continue"/>
                  <w:noWrap w:val="0"/>
                  <w:vAlign w:val="center"/>
                </w:tcPr>
                <w:p w14:paraId="180B0EC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74D5037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56FCB0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restart"/>
                  <w:noWrap w:val="0"/>
                  <w:vAlign w:val="center"/>
                </w:tcPr>
                <w:p w14:paraId="2FB4B4C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泵站</w:t>
                  </w:r>
                </w:p>
              </w:tc>
              <w:tc>
                <w:tcPr>
                  <w:tcW w:w="1004" w:type="dxa"/>
                  <w:noWrap w:val="0"/>
                  <w:vAlign w:val="center"/>
                </w:tcPr>
                <w:p w14:paraId="1269E04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张家湾</w:t>
                  </w:r>
                </w:p>
              </w:tc>
              <w:tc>
                <w:tcPr>
                  <w:tcW w:w="1146" w:type="dxa"/>
                  <w:noWrap w:val="0"/>
                  <w:vAlign w:val="center"/>
                </w:tcPr>
                <w:p w14:paraId="19348E9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116.295451</w:t>
                  </w:r>
                </w:p>
              </w:tc>
              <w:tc>
                <w:tcPr>
                  <w:tcW w:w="1176" w:type="dxa"/>
                  <w:noWrap w:val="0"/>
                  <w:vAlign w:val="center"/>
                </w:tcPr>
                <w:p w14:paraId="321C577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31.412893</w:t>
                  </w:r>
                </w:p>
              </w:tc>
              <w:tc>
                <w:tcPr>
                  <w:tcW w:w="668" w:type="dxa"/>
                  <w:noWrap w:val="0"/>
                  <w:vAlign w:val="center"/>
                </w:tcPr>
                <w:p w14:paraId="6819104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59364AB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约30人</w:t>
                  </w:r>
                </w:p>
              </w:tc>
              <w:tc>
                <w:tcPr>
                  <w:tcW w:w="894" w:type="dxa"/>
                  <w:noWrap w:val="0"/>
                  <w:vAlign w:val="center"/>
                </w:tcPr>
                <w:p w14:paraId="276882B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S</w:t>
                  </w: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，31m</w:t>
                  </w:r>
                </w:p>
              </w:tc>
              <w:tc>
                <w:tcPr>
                  <w:tcW w:w="796" w:type="dxa"/>
                  <w:vMerge w:val="continue"/>
                  <w:noWrap w:val="0"/>
                  <w:vAlign w:val="center"/>
                </w:tcPr>
                <w:p w14:paraId="77314C4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7D2EC7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00A2D2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3572E13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353D637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陈家院子</w:t>
                  </w:r>
                </w:p>
              </w:tc>
              <w:tc>
                <w:tcPr>
                  <w:tcW w:w="1146" w:type="dxa"/>
                  <w:noWrap w:val="0"/>
                  <w:vAlign w:val="center"/>
                </w:tcPr>
                <w:p w14:paraId="4929FB7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116.297686</w:t>
                  </w:r>
                </w:p>
              </w:tc>
              <w:tc>
                <w:tcPr>
                  <w:tcW w:w="1176" w:type="dxa"/>
                  <w:noWrap w:val="0"/>
                  <w:vAlign w:val="center"/>
                </w:tcPr>
                <w:p w14:paraId="0A7C6F4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31.416797</w:t>
                  </w:r>
                </w:p>
              </w:tc>
              <w:tc>
                <w:tcPr>
                  <w:tcW w:w="668" w:type="dxa"/>
                  <w:noWrap w:val="0"/>
                  <w:vAlign w:val="center"/>
                </w:tcPr>
                <w:p w14:paraId="7BAF680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69484F2">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约40人</w:t>
                  </w:r>
                </w:p>
              </w:tc>
              <w:tc>
                <w:tcPr>
                  <w:tcW w:w="894" w:type="dxa"/>
                  <w:noWrap w:val="0"/>
                  <w:vAlign w:val="center"/>
                </w:tcPr>
                <w:p w14:paraId="106AB87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N</w:t>
                  </w: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，182m</w:t>
                  </w:r>
                </w:p>
              </w:tc>
              <w:tc>
                <w:tcPr>
                  <w:tcW w:w="796" w:type="dxa"/>
                  <w:vMerge w:val="continue"/>
                  <w:noWrap w:val="0"/>
                  <w:vAlign w:val="center"/>
                </w:tcPr>
                <w:p w14:paraId="0F4A5DB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38BAC59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5A9F8D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restart"/>
                  <w:noWrap w:val="0"/>
                  <w:vAlign w:val="center"/>
                </w:tcPr>
                <w:p w14:paraId="6E09C70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衡山工业园</w:t>
                  </w:r>
                </w:p>
              </w:tc>
              <w:tc>
                <w:tcPr>
                  <w:tcW w:w="1004" w:type="dxa"/>
                  <w:noWrap w:val="0"/>
                  <w:vAlign w:val="center"/>
                </w:tcPr>
                <w:p w14:paraId="38B92D7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古城村</w:t>
                  </w:r>
                </w:p>
              </w:tc>
              <w:tc>
                <w:tcPr>
                  <w:tcW w:w="1146" w:type="dxa"/>
                  <w:noWrap w:val="0"/>
                  <w:vAlign w:val="center"/>
                </w:tcPr>
                <w:p w14:paraId="66468D6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116.2986629</w:t>
                  </w:r>
                </w:p>
              </w:tc>
              <w:tc>
                <w:tcPr>
                  <w:tcW w:w="1176" w:type="dxa"/>
                  <w:noWrap w:val="0"/>
                  <w:vAlign w:val="center"/>
                </w:tcPr>
                <w:p w14:paraId="4A3C681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31.4123436</w:t>
                  </w:r>
                </w:p>
              </w:tc>
              <w:tc>
                <w:tcPr>
                  <w:tcW w:w="668" w:type="dxa"/>
                  <w:noWrap w:val="0"/>
                  <w:vAlign w:val="center"/>
                </w:tcPr>
                <w:p w14:paraId="2BCCE51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51A843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约80人</w:t>
                  </w:r>
                </w:p>
              </w:tc>
              <w:tc>
                <w:tcPr>
                  <w:tcW w:w="894" w:type="dxa"/>
                  <w:noWrap w:val="0"/>
                  <w:vAlign w:val="center"/>
                </w:tcPr>
                <w:p w14:paraId="3D66D5F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N</w:t>
                  </w: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，72m</w:t>
                  </w:r>
                </w:p>
              </w:tc>
              <w:tc>
                <w:tcPr>
                  <w:tcW w:w="796" w:type="dxa"/>
                  <w:vMerge w:val="continue"/>
                  <w:noWrap w:val="0"/>
                  <w:vAlign w:val="center"/>
                </w:tcPr>
                <w:p w14:paraId="38411DB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4CE66A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4A5E9F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19D5E84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7378F5F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新鑫家园</w:t>
                  </w:r>
                </w:p>
              </w:tc>
              <w:tc>
                <w:tcPr>
                  <w:tcW w:w="1146" w:type="dxa"/>
                  <w:noWrap w:val="0"/>
                  <w:vAlign w:val="center"/>
                </w:tcPr>
                <w:p w14:paraId="75EBE77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116.3041131</w:t>
                  </w:r>
                </w:p>
              </w:tc>
              <w:tc>
                <w:tcPr>
                  <w:tcW w:w="1176" w:type="dxa"/>
                  <w:noWrap w:val="0"/>
                  <w:vAlign w:val="center"/>
                </w:tcPr>
                <w:p w14:paraId="5C1A1AD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31.4127942</w:t>
                  </w:r>
                </w:p>
              </w:tc>
              <w:tc>
                <w:tcPr>
                  <w:tcW w:w="668" w:type="dxa"/>
                  <w:noWrap w:val="0"/>
                  <w:vAlign w:val="center"/>
                </w:tcPr>
                <w:p w14:paraId="2D34269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18E0C5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约100人</w:t>
                  </w:r>
                </w:p>
              </w:tc>
              <w:tc>
                <w:tcPr>
                  <w:tcW w:w="894" w:type="dxa"/>
                  <w:noWrap w:val="0"/>
                  <w:vAlign w:val="center"/>
                </w:tcPr>
                <w:p w14:paraId="194E84F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N</w:t>
                  </w: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，103m</w:t>
                  </w:r>
                </w:p>
              </w:tc>
              <w:tc>
                <w:tcPr>
                  <w:tcW w:w="796" w:type="dxa"/>
                  <w:vMerge w:val="continue"/>
                  <w:noWrap w:val="0"/>
                  <w:vAlign w:val="center"/>
                </w:tcPr>
                <w:p w14:paraId="68F4C4A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1AD2F83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7796CE3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restart"/>
                  <w:noWrap w:val="0"/>
                  <w:vAlign w:val="center"/>
                </w:tcPr>
                <w:p w14:paraId="59F045C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cs="Times New Roman"/>
                      <w:color w:val="000000" w:themeColor="text1"/>
                      <w:sz w:val="21"/>
                      <w:szCs w:val="21"/>
                      <w:highlight w:val="none"/>
                      <w:shd w:val="clear" w:color="auto" w:fill="auto"/>
                      <w:lang w:eastAsia="zh-CN"/>
                      <w14:textFill>
                        <w14:solidFill>
                          <w14:schemeClr w14:val="tx1"/>
                        </w14:solidFill>
                      </w14:textFill>
                    </w:rPr>
                    <w:t>柳林河</w:t>
                  </w:r>
                </w:p>
              </w:tc>
              <w:tc>
                <w:tcPr>
                  <w:tcW w:w="1004" w:type="dxa"/>
                  <w:noWrap w:val="0"/>
                  <w:vAlign w:val="center"/>
                </w:tcPr>
                <w:p w14:paraId="0671CFD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俞家院</w:t>
                  </w:r>
                </w:p>
              </w:tc>
              <w:tc>
                <w:tcPr>
                  <w:tcW w:w="1146" w:type="dxa"/>
                  <w:noWrap w:val="0"/>
                  <w:vAlign w:val="center"/>
                </w:tcPr>
                <w:p w14:paraId="29A90D9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116.290959</w:t>
                  </w:r>
                </w:p>
              </w:tc>
              <w:tc>
                <w:tcPr>
                  <w:tcW w:w="1176" w:type="dxa"/>
                  <w:noWrap w:val="0"/>
                  <w:vAlign w:val="center"/>
                </w:tcPr>
                <w:p w14:paraId="5596989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31.4022256</w:t>
                  </w:r>
                </w:p>
              </w:tc>
              <w:tc>
                <w:tcPr>
                  <w:tcW w:w="668" w:type="dxa"/>
                  <w:noWrap w:val="0"/>
                  <w:vAlign w:val="center"/>
                </w:tcPr>
                <w:p w14:paraId="6A354DD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B0BE0F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约100人</w:t>
                  </w:r>
                </w:p>
              </w:tc>
              <w:tc>
                <w:tcPr>
                  <w:tcW w:w="894" w:type="dxa"/>
                  <w:noWrap w:val="0"/>
                  <w:vAlign w:val="center"/>
                </w:tcPr>
                <w:p w14:paraId="77E73B3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W，32m</w:t>
                  </w:r>
                </w:p>
              </w:tc>
              <w:tc>
                <w:tcPr>
                  <w:tcW w:w="796" w:type="dxa"/>
                  <w:vMerge w:val="continue"/>
                  <w:noWrap w:val="0"/>
                  <w:vAlign w:val="center"/>
                </w:tcPr>
                <w:p w14:paraId="5F7F739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0BA21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955C8B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2902F613">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33DFA2A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南岳村</w:t>
                  </w:r>
                </w:p>
              </w:tc>
              <w:tc>
                <w:tcPr>
                  <w:tcW w:w="1146" w:type="dxa"/>
                  <w:noWrap w:val="0"/>
                  <w:vAlign w:val="center"/>
                </w:tcPr>
                <w:p w14:paraId="5109AD7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116.2890284</w:t>
                  </w:r>
                </w:p>
              </w:tc>
              <w:tc>
                <w:tcPr>
                  <w:tcW w:w="1176" w:type="dxa"/>
                  <w:noWrap w:val="0"/>
                  <w:vAlign w:val="center"/>
                </w:tcPr>
                <w:p w14:paraId="01EDE8D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31.4039858</w:t>
                  </w:r>
                </w:p>
              </w:tc>
              <w:tc>
                <w:tcPr>
                  <w:tcW w:w="668" w:type="dxa"/>
                  <w:noWrap w:val="0"/>
                  <w:vAlign w:val="center"/>
                </w:tcPr>
                <w:p w14:paraId="4974DF6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8FA63E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约200人</w:t>
                  </w:r>
                </w:p>
              </w:tc>
              <w:tc>
                <w:tcPr>
                  <w:tcW w:w="894" w:type="dxa"/>
                  <w:noWrap w:val="0"/>
                  <w:vAlign w:val="center"/>
                </w:tcPr>
                <w:p w14:paraId="67FC3573">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E，48m</w:t>
                  </w:r>
                </w:p>
              </w:tc>
              <w:tc>
                <w:tcPr>
                  <w:tcW w:w="796" w:type="dxa"/>
                  <w:vMerge w:val="continue"/>
                  <w:noWrap w:val="0"/>
                  <w:vAlign w:val="center"/>
                </w:tcPr>
                <w:p w14:paraId="2FC8EB9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D2446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E0F437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7BEE88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7FC9EBA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居民点5</w:t>
                  </w:r>
                </w:p>
              </w:tc>
              <w:tc>
                <w:tcPr>
                  <w:tcW w:w="1146" w:type="dxa"/>
                  <w:noWrap w:val="0"/>
                  <w:vAlign w:val="center"/>
                </w:tcPr>
                <w:p w14:paraId="702597A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116.2796407</w:t>
                  </w:r>
                </w:p>
              </w:tc>
              <w:tc>
                <w:tcPr>
                  <w:tcW w:w="1176" w:type="dxa"/>
                  <w:noWrap w:val="0"/>
                  <w:vAlign w:val="center"/>
                </w:tcPr>
                <w:p w14:paraId="1CA340B2">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31.4039643</w:t>
                  </w:r>
                </w:p>
              </w:tc>
              <w:tc>
                <w:tcPr>
                  <w:tcW w:w="668" w:type="dxa"/>
                  <w:noWrap w:val="0"/>
                  <w:vAlign w:val="center"/>
                </w:tcPr>
                <w:p w14:paraId="0C9CF31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514297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约60人</w:t>
                  </w:r>
                </w:p>
              </w:tc>
              <w:tc>
                <w:tcPr>
                  <w:tcW w:w="894" w:type="dxa"/>
                  <w:noWrap w:val="0"/>
                  <w:vAlign w:val="center"/>
                </w:tcPr>
                <w:p w14:paraId="4A8467F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N，92m</w:t>
                  </w:r>
                </w:p>
              </w:tc>
              <w:tc>
                <w:tcPr>
                  <w:tcW w:w="796" w:type="dxa"/>
                  <w:vMerge w:val="continue"/>
                  <w:noWrap w:val="0"/>
                  <w:vAlign w:val="center"/>
                </w:tcPr>
                <w:p w14:paraId="17DAC66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0DF240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2B4B59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6B9C828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7E19B6E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居民点6</w:t>
                  </w:r>
                </w:p>
              </w:tc>
              <w:tc>
                <w:tcPr>
                  <w:tcW w:w="1146" w:type="dxa"/>
                  <w:noWrap w:val="0"/>
                  <w:vAlign w:val="center"/>
                </w:tcPr>
                <w:p w14:paraId="20A21CB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116.2764220</w:t>
                  </w:r>
                </w:p>
              </w:tc>
              <w:tc>
                <w:tcPr>
                  <w:tcW w:w="1176" w:type="dxa"/>
                  <w:noWrap w:val="0"/>
                  <w:vAlign w:val="center"/>
                </w:tcPr>
                <w:p w14:paraId="33E0991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31.3994475</w:t>
                  </w:r>
                </w:p>
              </w:tc>
              <w:tc>
                <w:tcPr>
                  <w:tcW w:w="668" w:type="dxa"/>
                  <w:noWrap w:val="0"/>
                  <w:vAlign w:val="center"/>
                </w:tcPr>
                <w:p w14:paraId="6405FD8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8F7222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约90人</w:t>
                  </w:r>
                </w:p>
              </w:tc>
              <w:tc>
                <w:tcPr>
                  <w:tcW w:w="894" w:type="dxa"/>
                  <w:noWrap w:val="0"/>
                  <w:vAlign w:val="center"/>
                </w:tcPr>
                <w:p w14:paraId="53015AB3">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E，62m</w:t>
                  </w:r>
                </w:p>
              </w:tc>
              <w:tc>
                <w:tcPr>
                  <w:tcW w:w="796" w:type="dxa"/>
                  <w:vMerge w:val="continue"/>
                  <w:noWrap w:val="0"/>
                  <w:vAlign w:val="center"/>
                </w:tcPr>
                <w:p w14:paraId="746C906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407534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7DC541B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27AA16C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12865BD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居民点7</w:t>
                  </w:r>
                </w:p>
              </w:tc>
              <w:tc>
                <w:tcPr>
                  <w:tcW w:w="1146" w:type="dxa"/>
                  <w:noWrap w:val="0"/>
                  <w:vAlign w:val="center"/>
                </w:tcPr>
                <w:p w14:paraId="7C4ED92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116.2743889</w:t>
                  </w:r>
                </w:p>
              </w:tc>
              <w:tc>
                <w:tcPr>
                  <w:tcW w:w="1176" w:type="dxa"/>
                  <w:noWrap w:val="0"/>
                  <w:vAlign w:val="center"/>
                </w:tcPr>
                <w:p w14:paraId="5CAD7E9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31.3996674</w:t>
                  </w:r>
                </w:p>
              </w:tc>
              <w:tc>
                <w:tcPr>
                  <w:tcW w:w="668" w:type="dxa"/>
                  <w:noWrap w:val="0"/>
                  <w:vAlign w:val="center"/>
                </w:tcPr>
                <w:p w14:paraId="45AD7C0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415CF69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约40人</w:t>
                  </w:r>
                </w:p>
              </w:tc>
              <w:tc>
                <w:tcPr>
                  <w:tcW w:w="894" w:type="dxa"/>
                  <w:noWrap w:val="0"/>
                  <w:vAlign w:val="center"/>
                </w:tcPr>
                <w:p w14:paraId="5B9B6C8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W，87m</w:t>
                  </w:r>
                </w:p>
              </w:tc>
              <w:tc>
                <w:tcPr>
                  <w:tcW w:w="796" w:type="dxa"/>
                  <w:vMerge w:val="continue"/>
                  <w:noWrap w:val="0"/>
                  <w:vAlign w:val="center"/>
                </w:tcPr>
                <w:p w14:paraId="5957258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0C6FB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CB1BDA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7959D6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55451A7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居民点8</w:t>
                  </w:r>
                </w:p>
              </w:tc>
              <w:tc>
                <w:tcPr>
                  <w:tcW w:w="1146" w:type="dxa"/>
                  <w:noWrap w:val="0"/>
                  <w:vAlign w:val="center"/>
                </w:tcPr>
                <w:p w14:paraId="2E667E9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116.2673561</w:t>
                  </w:r>
                </w:p>
              </w:tc>
              <w:tc>
                <w:tcPr>
                  <w:tcW w:w="1176" w:type="dxa"/>
                  <w:noWrap w:val="0"/>
                  <w:vAlign w:val="center"/>
                </w:tcPr>
                <w:p w14:paraId="7F78904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31.3922216</w:t>
                  </w:r>
                </w:p>
              </w:tc>
              <w:tc>
                <w:tcPr>
                  <w:tcW w:w="668" w:type="dxa"/>
                  <w:noWrap w:val="0"/>
                  <w:vAlign w:val="center"/>
                </w:tcPr>
                <w:p w14:paraId="6E0E8A9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D0C9D2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约30人</w:t>
                  </w:r>
                </w:p>
              </w:tc>
              <w:tc>
                <w:tcPr>
                  <w:tcW w:w="894" w:type="dxa"/>
                  <w:noWrap w:val="0"/>
                  <w:vAlign w:val="center"/>
                </w:tcPr>
                <w:p w14:paraId="0B7E917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W，31m</w:t>
                  </w:r>
                </w:p>
              </w:tc>
              <w:tc>
                <w:tcPr>
                  <w:tcW w:w="796" w:type="dxa"/>
                  <w:vMerge w:val="continue"/>
                  <w:noWrap w:val="0"/>
                  <w:vAlign w:val="center"/>
                </w:tcPr>
                <w:p w14:paraId="58675A9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2BFCDCE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49A2B5C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2ED4C22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5B3A909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散户7</w:t>
                  </w:r>
                </w:p>
              </w:tc>
              <w:tc>
                <w:tcPr>
                  <w:tcW w:w="1146" w:type="dxa"/>
                  <w:noWrap w:val="0"/>
                  <w:vAlign w:val="center"/>
                </w:tcPr>
                <w:p w14:paraId="070C3A2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116.2770979</w:t>
                  </w:r>
                </w:p>
              </w:tc>
              <w:tc>
                <w:tcPr>
                  <w:tcW w:w="1176" w:type="dxa"/>
                  <w:noWrap w:val="0"/>
                  <w:vAlign w:val="center"/>
                </w:tcPr>
                <w:p w14:paraId="7F0E127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31.3812890</w:t>
                  </w:r>
                </w:p>
              </w:tc>
              <w:tc>
                <w:tcPr>
                  <w:tcW w:w="668" w:type="dxa"/>
                  <w:noWrap w:val="0"/>
                  <w:vAlign w:val="center"/>
                </w:tcPr>
                <w:p w14:paraId="72882CC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6CA634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约7人</w:t>
                  </w:r>
                </w:p>
              </w:tc>
              <w:tc>
                <w:tcPr>
                  <w:tcW w:w="894" w:type="dxa"/>
                  <w:noWrap w:val="0"/>
                  <w:vAlign w:val="center"/>
                </w:tcPr>
                <w:p w14:paraId="74F26D1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N，26m</w:t>
                  </w:r>
                </w:p>
              </w:tc>
              <w:tc>
                <w:tcPr>
                  <w:tcW w:w="796" w:type="dxa"/>
                  <w:vMerge w:val="continue"/>
                  <w:noWrap w:val="0"/>
                  <w:vAlign w:val="center"/>
                </w:tcPr>
                <w:p w14:paraId="18222C6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13D48C0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410F801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1CE32E1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0EB95B8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散户8</w:t>
                  </w:r>
                </w:p>
              </w:tc>
              <w:tc>
                <w:tcPr>
                  <w:tcW w:w="1146" w:type="dxa"/>
                  <w:noWrap w:val="0"/>
                  <w:vAlign w:val="center"/>
                </w:tcPr>
                <w:p w14:paraId="39D9DE1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116.2814968</w:t>
                  </w:r>
                </w:p>
              </w:tc>
              <w:tc>
                <w:tcPr>
                  <w:tcW w:w="1176" w:type="dxa"/>
                  <w:noWrap w:val="0"/>
                  <w:vAlign w:val="center"/>
                </w:tcPr>
                <w:p w14:paraId="374CDBA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31.3797172</w:t>
                  </w:r>
                </w:p>
              </w:tc>
              <w:tc>
                <w:tcPr>
                  <w:tcW w:w="668" w:type="dxa"/>
                  <w:noWrap w:val="0"/>
                  <w:vAlign w:val="center"/>
                </w:tcPr>
                <w:p w14:paraId="3097DEE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6505D27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约10人</w:t>
                  </w:r>
                </w:p>
              </w:tc>
              <w:tc>
                <w:tcPr>
                  <w:tcW w:w="894" w:type="dxa"/>
                  <w:noWrap w:val="0"/>
                  <w:vAlign w:val="center"/>
                </w:tcPr>
                <w:p w14:paraId="12AB553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N，39m</w:t>
                  </w:r>
                </w:p>
              </w:tc>
              <w:tc>
                <w:tcPr>
                  <w:tcW w:w="796" w:type="dxa"/>
                  <w:vMerge w:val="continue"/>
                  <w:noWrap w:val="0"/>
                  <w:vAlign w:val="center"/>
                </w:tcPr>
                <w:p w14:paraId="2757258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03BB30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87D489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6E3087C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1AB0E4D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散户9</w:t>
                  </w:r>
                </w:p>
              </w:tc>
              <w:tc>
                <w:tcPr>
                  <w:tcW w:w="1146" w:type="dxa"/>
                  <w:noWrap w:val="0"/>
                  <w:vAlign w:val="center"/>
                </w:tcPr>
                <w:p w14:paraId="0DD9A3A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116.2864052</w:t>
                  </w:r>
                </w:p>
              </w:tc>
              <w:tc>
                <w:tcPr>
                  <w:tcW w:w="1176" w:type="dxa"/>
                  <w:noWrap w:val="0"/>
                  <w:vAlign w:val="center"/>
                </w:tcPr>
                <w:p w14:paraId="4B1DD6B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31.3748034</w:t>
                  </w:r>
                </w:p>
              </w:tc>
              <w:tc>
                <w:tcPr>
                  <w:tcW w:w="668" w:type="dxa"/>
                  <w:noWrap w:val="0"/>
                  <w:vAlign w:val="center"/>
                </w:tcPr>
                <w:p w14:paraId="78319EA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6E6BFC8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约30人</w:t>
                  </w:r>
                </w:p>
              </w:tc>
              <w:tc>
                <w:tcPr>
                  <w:tcW w:w="894" w:type="dxa"/>
                  <w:noWrap w:val="0"/>
                  <w:vAlign w:val="center"/>
                </w:tcPr>
                <w:p w14:paraId="38F3853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S，53m</w:t>
                  </w:r>
                </w:p>
              </w:tc>
              <w:tc>
                <w:tcPr>
                  <w:tcW w:w="796" w:type="dxa"/>
                  <w:vMerge w:val="continue"/>
                  <w:noWrap w:val="0"/>
                  <w:vAlign w:val="center"/>
                </w:tcPr>
                <w:p w14:paraId="063A945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F901BF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7DF35C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1BDFC1C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center"/>
                </w:tcPr>
                <w:p w14:paraId="040E37E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散户10</w:t>
                  </w:r>
                </w:p>
              </w:tc>
              <w:tc>
                <w:tcPr>
                  <w:tcW w:w="1146" w:type="dxa"/>
                  <w:noWrap w:val="0"/>
                  <w:vAlign w:val="center"/>
                </w:tcPr>
                <w:p w14:paraId="607C3E5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116.2886904</w:t>
                  </w:r>
                </w:p>
              </w:tc>
              <w:tc>
                <w:tcPr>
                  <w:tcW w:w="1176" w:type="dxa"/>
                  <w:noWrap w:val="0"/>
                  <w:vAlign w:val="center"/>
                </w:tcPr>
                <w:p w14:paraId="24BDA14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31.3735481</w:t>
                  </w:r>
                </w:p>
              </w:tc>
              <w:tc>
                <w:tcPr>
                  <w:tcW w:w="668" w:type="dxa"/>
                  <w:noWrap w:val="0"/>
                  <w:vAlign w:val="center"/>
                </w:tcPr>
                <w:p w14:paraId="796A61B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5643EF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约15人</w:t>
                  </w:r>
                </w:p>
              </w:tc>
              <w:tc>
                <w:tcPr>
                  <w:tcW w:w="894" w:type="dxa"/>
                  <w:noWrap w:val="0"/>
                  <w:vAlign w:val="center"/>
                </w:tcPr>
                <w:p w14:paraId="292FA2D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S，56m</w:t>
                  </w:r>
                </w:p>
              </w:tc>
              <w:tc>
                <w:tcPr>
                  <w:tcW w:w="796" w:type="dxa"/>
                  <w:vMerge w:val="continue"/>
                  <w:noWrap w:val="0"/>
                  <w:vAlign w:val="center"/>
                </w:tcPr>
                <w:p w14:paraId="6E24145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72D09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8926B5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6B6950C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3326" w:type="dxa"/>
                  <w:gridSpan w:val="3"/>
                  <w:noWrap w:val="0"/>
                  <w:vAlign w:val="center"/>
                </w:tcPr>
                <w:p w14:paraId="3BEF24F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color w:val="000000" w:themeColor="text1"/>
                      <w:sz w:val="21"/>
                      <w:szCs w:val="21"/>
                      <w:highlight w:val="none"/>
                      <w:shd w:val="clear" w:color="auto" w:fill="auto"/>
                      <w:lang w:val="en-US" w:eastAsia="zh-CN"/>
                      <w14:textFill>
                        <w14:solidFill>
                          <w14:schemeClr w14:val="tx1"/>
                        </w14:solidFill>
                      </w14:textFill>
                    </w:rPr>
                    <w:t>沿线两侧200m范围内敏感点</w:t>
                  </w:r>
                </w:p>
              </w:tc>
              <w:tc>
                <w:tcPr>
                  <w:tcW w:w="668" w:type="dxa"/>
                  <w:noWrap w:val="0"/>
                  <w:vAlign w:val="center"/>
                </w:tcPr>
                <w:p w14:paraId="172846F3">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color w:val="000000" w:themeColor="text1"/>
                      <w:sz w:val="21"/>
                      <w:szCs w:val="21"/>
                      <w:highlight w:val="none"/>
                      <w:shd w:val="clear" w:color="auto" w:fill="auto"/>
                      <w14:textFill>
                        <w14:solidFill>
                          <w14:schemeClr w14:val="tx1"/>
                        </w14:solidFill>
                      </w14:textFill>
                    </w:rPr>
                    <w:t>村庄</w:t>
                  </w:r>
                  <w:r>
                    <w:rPr>
                      <w:rFonts w:hint="eastAsia"/>
                      <w:color w:val="000000" w:themeColor="text1"/>
                      <w:sz w:val="21"/>
                      <w:szCs w:val="21"/>
                      <w:highlight w:val="none"/>
                      <w:shd w:val="clear" w:color="auto" w:fill="auto"/>
                      <w:lang w:eastAsia="zh-CN"/>
                      <w14:textFill>
                        <w14:solidFill>
                          <w14:schemeClr w14:val="tx1"/>
                        </w14:solidFill>
                      </w14:textFill>
                    </w:rPr>
                    <w:t>、散户</w:t>
                  </w:r>
                </w:p>
              </w:tc>
              <w:tc>
                <w:tcPr>
                  <w:tcW w:w="1042" w:type="dxa"/>
                  <w:noWrap w:val="0"/>
                  <w:vAlign w:val="center"/>
                </w:tcPr>
                <w:p w14:paraId="6489891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w:t>
                  </w:r>
                </w:p>
              </w:tc>
              <w:tc>
                <w:tcPr>
                  <w:tcW w:w="894" w:type="dxa"/>
                  <w:noWrap w:val="0"/>
                  <w:vAlign w:val="center"/>
                </w:tcPr>
                <w:p w14:paraId="4DE93FB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w:t>
                  </w:r>
                </w:p>
              </w:tc>
              <w:tc>
                <w:tcPr>
                  <w:tcW w:w="796" w:type="dxa"/>
                  <w:vMerge w:val="continue"/>
                  <w:noWrap w:val="0"/>
                  <w:vAlign w:val="center"/>
                </w:tcPr>
                <w:p w14:paraId="7F5CD08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734FA06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6206CC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1594" w:type="dxa"/>
                  <w:gridSpan w:val="2"/>
                  <w:noWrap w:val="0"/>
                  <w:vAlign w:val="center"/>
                </w:tcPr>
                <w:p w14:paraId="26358C9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南岳花都</w:t>
                  </w:r>
                </w:p>
              </w:tc>
              <w:tc>
                <w:tcPr>
                  <w:tcW w:w="1146" w:type="dxa"/>
                  <w:noWrap w:val="0"/>
                  <w:vAlign w:val="center"/>
                </w:tcPr>
                <w:p w14:paraId="660A45B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116.337691</w:t>
                  </w:r>
                </w:p>
              </w:tc>
              <w:tc>
                <w:tcPr>
                  <w:tcW w:w="1176" w:type="dxa"/>
                  <w:noWrap w:val="0"/>
                  <w:vAlign w:val="center"/>
                </w:tcPr>
                <w:p w14:paraId="09842D6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31.392284</w:t>
                  </w:r>
                </w:p>
              </w:tc>
              <w:tc>
                <w:tcPr>
                  <w:tcW w:w="668" w:type="dxa"/>
                  <w:noWrap w:val="0"/>
                  <w:vAlign w:val="center"/>
                </w:tcPr>
                <w:p w14:paraId="066C3B6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4396311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约1000人</w:t>
                  </w:r>
                </w:p>
              </w:tc>
              <w:tc>
                <w:tcPr>
                  <w:tcW w:w="894" w:type="dxa"/>
                  <w:noWrap w:val="0"/>
                  <w:vAlign w:val="center"/>
                </w:tcPr>
                <w:p w14:paraId="2CA3FEC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E，21m</w:t>
                  </w:r>
                </w:p>
              </w:tc>
              <w:tc>
                <w:tcPr>
                  <w:tcW w:w="796" w:type="dxa"/>
                  <w:vMerge w:val="continue"/>
                  <w:noWrap w:val="0"/>
                  <w:vAlign w:val="center"/>
                </w:tcPr>
                <w:p w14:paraId="4123282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0D59230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1D5859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restart"/>
                  <w:noWrap w:val="0"/>
                  <w:vAlign w:val="center"/>
                </w:tcPr>
                <w:p w14:paraId="4EC750B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幽芳河</w:t>
                  </w:r>
                </w:p>
              </w:tc>
              <w:tc>
                <w:tcPr>
                  <w:tcW w:w="1004" w:type="dxa"/>
                  <w:noWrap w:val="0"/>
                  <w:vAlign w:val="center"/>
                </w:tcPr>
                <w:p w14:paraId="32EF603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阳光丽景</w:t>
                  </w:r>
                </w:p>
              </w:tc>
              <w:tc>
                <w:tcPr>
                  <w:tcW w:w="1146" w:type="dxa"/>
                  <w:noWrap w:val="0"/>
                  <w:vAlign w:val="center"/>
                </w:tcPr>
                <w:p w14:paraId="32DE12C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116.338183</w:t>
                  </w:r>
                </w:p>
              </w:tc>
              <w:tc>
                <w:tcPr>
                  <w:tcW w:w="1176" w:type="dxa"/>
                  <w:noWrap w:val="0"/>
                  <w:vAlign w:val="center"/>
                </w:tcPr>
                <w:p w14:paraId="6B7FAF8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31.414634</w:t>
                  </w:r>
                </w:p>
              </w:tc>
              <w:tc>
                <w:tcPr>
                  <w:tcW w:w="668" w:type="dxa"/>
                  <w:noWrap w:val="0"/>
                  <w:vAlign w:val="center"/>
                </w:tcPr>
                <w:p w14:paraId="7AA8E56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4DDA95D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约300人</w:t>
                  </w:r>
                </w:p>
              </w:tc>
              <w:tc>
                <w:tcPr>
                  <w:tcW w:w="894" w:type="dxa"/>
                  <w:noWrap w:val="0"/>
                  <w:vAlign w:val="center"/>
                </w:tcPr>
                <w:p w14:paraId="46EF5DB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W，76m</w:t>
                  </w:r>
                </w:p>
              </w:tc>
              <w:tc>
                <w:tcPr>
                  <w:tcW w:w="796" w:type="dxa"/>
                  <w:vMerge w:val="continue"/>
                  <w:noWrap w:val="0"/>
                  <w:vAlign w:val="center"/>
                </w:tcPr>
                <w:p w14:paraId="27BA4CF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D5DEA7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2078B1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68C128A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2EB51E2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政务花园</w:t>
                  </w:r>
                </w:p>
              </w:tc>
              <w:tc>
                <w:tcPr>
                  <w:tcW w:w="1146" w:type="dxa"/>
                  <w:noWrap w:val="0"/>
                  <w:vAlign w:val="center"/>
                </w:tcPr>
                <w:p w14:paraId="04D615E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116.340586</w:t>
                  </w:r>
                </w:p>
              </w:tc>
              <w:tc>
                <w:tcPr>
                  <w:tcW w:w="1176" w:type="dxa"/>
                  <w:noWrap w:val="0"/>
                  <w:vAlign w:val="center"/>
                </w:tcPr>
                <w:p w14:paraId="7E74E4F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31.417080</w:t>
                  </w:r>
                </w:p>
              </w:tc>
              <w:tc>
                <w:tcPr>
                  <w:tcW w:w="668" w:type="dxa"/>
                  <w:noWrap w:val="0"/>
                  <w:vAlign w:val="center"/>
                </w:tcPr>
                <w:p w14:paraId="6C0948E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252EB8F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约200人</w:t>
                  </w:r>
                </w:p>
              </w:tc>
              <w:tc>
                <w:tcPr>
                  <w:tcW w:w="894" w:type="dxa"/>
                  <w:noWrap w:val="0"/>
                  <w:vAlign w:val="center"/>
                </w:tcPr>
                <w:p w14:paraId="12502A4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E，115m</w:t>
                  </w:r>
                </w:p>
              </w:tc>
              <w:tc>
                <w:tcPr>
                  <w:tcW w:w="796" w:type="dxa"/>
                  <w:vMerge w:val="continue"/>
                  <w:noWrap w:val="0"/>
                  <w:vAlign w:val="center"/>
                </w:tcPr>
                <w:p w14:paraId="0153FB7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D2C2C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50ED31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5989828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2FD05A5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花园小区</w:t>
                  </w:r>
                </w:p>
              </w:tc>
              <w:tc>
                <w:tcPr>
                  <w:tcW w:w="1146" w:type="dxa"/>
                  <w:noWrap w:val="0"/>
                  <w:vAlign w:val="center"/>
                </w:tcPr>
                <w:p w14:paraId="1492A37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116.340960</w:t>
                  </w:r>
                </w:p>
              </w:tc>
              <w:tc>
                <w:tcPr>
                  <w:tcW w:w="1176" w:type="dxa"/>
                  <w:noWrap w:val="0"/>
                  <w:vAlign w:val="center"/>
                </w:tcPr>
                <w:p w14:paraId="431E0347">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31.404547</w:t>
                  </w:r>
                </w:p>
              </w:tc>
              <w:tc>
                <w:tcPr>
                  <w:tcW w:w="668" w:type="dxa"/>
                  <w:noWrap w:val="0"/>
                  <w:vAlign w:val="center"/>
                </w:tcPr>
                <w:p w14:paraId="0693988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B23D03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约800人</w:t>
                  </w:r>
                </w:p>
              </w:tc>
              <w:tc>
                <w:tcPr>
                  <w:tcW w:w="894" w:type="dxa"/>
                  <w:noWrap w:val="0"/>
                  <w:vAlign w:val="center"/>
                </w:tcPr>
                <w:p w14:paraId="60072DC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N，33m</w:t>
                  </w:r>
                </w:p>
              </w:tc>
              <w:tc>
                <w:tcPr>
                  <w:tcW w:w="796" w:type="dxa"/>
                  <w:vMerge w:val="continue"/>
                  <w:noWrap w:val="0"/>
                  <w:vAlign w:val="center"/>
                </w:tcPr>
                <w:p w14:paraId="2FA9E32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2AF3FDF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14726C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1B08307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5FD114D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东湖兰庭</w:t>
                  </w:r>
                </w:p>
              </w:tc>
              <w:tc>
                <w:tcPr>
                  <w:tcW w:w="1146" w:type="dxa"/>
                  <w:noWrap w:val="0"/>
                  <w:vAlign w:val="center"/>
                </w:tcPr>
                <w:p w14:paraId="78CD3DB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116.338826</w:t>
                  </w:r>
                </w:p>
              </w:tc>
              <w:tc>
                <w:tcPr>
                  <w:tcW w:w="1176" w:type="dxa"/>
                  <w:noWrap w:val="0"/>
                  <w:vAlign w:val="center"/>
                </w:tcPr>
                <w:p w14:paraId="1AC01C1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31.405547</w:t>
                  </w:r>
                </w:p>
              </w:tc>
              <w:tc>
                <w:tcPr>
                  <w:tcW w:w="668" w:type="dxa"/>
                  <w:noWrap w:val="0"/>
                  <w:vAlign w:val="center"/>
                </w:tcPr>
                <w:p w14:paraId="53C62DC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2902730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约500人</w:t>
                  </w:r>
                </w:p>
              </w:tc>
              <w:tc>
                <w:tcPr>
                  <w:tcW w:w="894" w:type="dxa"/>
                  <w:noWrap w:val="0"/>
                  <w:vAlign w:val="center"/>
                </w:tcPr>
                <w:p w14:paraId="0EEA250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N，142m</w:t>
                  </w:r>
                </w:p>
              </w:tc>
              <w:tc>
                <w:tcPr>
                  <w:tcW w:w="796" w:type="dxa"/>
                  <w:vMerge w:val="continue"/>
                  <w:noWrap w:val="0"/>
                  <w:vAlign w:val="center"/>
                </w:tcPr>
                <w:p w14:paraId="35C11B0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83B8A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B69AC2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935541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1BFC19EB">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幽芳院</w:t>
                  </w:r>
                </w:p>
              </w:tc>
              <w:tc>
                <w:tcPr>
                  <w:tcW w:w="1146" w:type="dxa"/>
                  <w:noWrap w:val="0"/>
                  <w:vAlign w:val="center"/>
                </w:tcPr>
                <w:p w14:paraId="7A3827F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116.338681</w:t>
                  </w:r>
                </w:p>
              </w:tc>
              <w:tc>
                <w:tcPr>
                  <w:tcW w:w="1176" w:type="dxa"/>
                  <w:noWrap w:val="0"/>
                  <w:vAlign w:val="center"/>
                </w:tcPr>
                <w:p w14:paraId="6881F3D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31.402820</w:t>
                  </w:r>
                </w:p>
              </w:tc>
              <w:tc>
                <w:tcPr>
                  <w:tcW w:w="668" w:type="dxa"/>
                  <w:noWrap w:val="0"/>
                  <w:vAlign w:val="center"/>
                </w:tcPr>
                <w:p w14:paraId="09AF60C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52F3150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约600人</w:t>
                  </w:r>
                </w:p>
              </w:tc>
              <w:tc>
                <w:tcPr>
                  <w:tcW w:w="894" w:type="dxa"/>
                  <w:noWrap w:val="0"/>
                  <w:vAlign w:val="center"/>
                </w:tcPr>
                <w:p w14:paraId="51D0358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N，36m</w:t>
                  </w:r>
                </w:p>
              </w:tc>
              <w:tc>
                <w:tcPr>
                  <w:tcW w:w="796" w:type="dxa"/>
                  <w:vMerge w:val="continue"/>
                  <w:noWrap w:val="0"/>
                  <w:vAlign w:val="center"/>
                </w:tcPr>
                <w:p w14:paraId="347B624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173A62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872EBC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4C4B840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1DDADE3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幸福里</w:t>
                  </w:r>
                </w:p>
              </w:tc>
              <w:tc>
                <w:tcPr>
                  <w:tcW w:w="1146" w:type="dxa"/>
                  <w:noWrap w:val="0"/>
                  <w:vAlign w:val="center"/>
                </w:tcPr>
                <w:p w14:paraId="5785EBE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116.340584</w:t>
                  </w:r>
                </w:p>
              </w:tc>
              <w:tc>
                <w:tcPr>
                  <w:tcW w:w="1176" w:type="dxa"/>
                  <w:noWrap w:val="0"/>
                  <w:vAlign w:val="center"/>
                </w:tcPr>
                <w:p w14:paraId="0F332A5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31.402457</w:t>
                  </w:r>
                </w:p>
              </w:tc>
              <w:tc>
                <w:tcPr>
                  <w:tcW w:w="668" w:type="dxa"/>
                  <w:noWrap w:val="0"/>
                  <w:vAlign w:val="center"/>
                </w:tcPr>
                <w:p w14:paraId="40E25E7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B0ED0B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约180人</w:t>
                  </w:r>
                </w:p>
              </w:tc>
              <w:tc>
                <w:tcPr>
                  <w:tcW w:w="894" w:type="dxa"/>
                  <w:noWrap w:val="0"/>
                  <w:vAlign w:val="center"/>
                </w:tcPr>
                <w:p w14:paraId="38EAF95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S，44m</w:t>
                  </w:r>
                </w:p>
              </w:tc>
              <w:tc>
                <w:tcPr>
                  <w:tcW w:w="796" w:type="dxa"/>
                  <w:vMerge w:val="continue"/>
                  <w:noWrap w:val="0"/>
                  <w:vAlign w:val="center"/>
                </w:tcPr>
                <w:p w14:paraId="7897800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256C86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E4637C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906480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4E7C858D">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文峰学校</w:t>
                  </w:r>
                </w:p>
              </w:tc>
              <w:tc>
                <w:tcPr>
                  <w:tcW w:w="1146" w:type="dxa"/>
                  <w:noWrap w:val="0"/>
                  <w:vAlign w:val="center"/>
                </w:tcPr>
                <w:p w14:paraId="08C1010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116.333355</w:t>
                  </w:r>
                </w:p>
              </w:tc>
              <w:tc>
                <w:tcPr>
                  <w:tcW w:w="1176" w:type="dxa"/>
                  <w:noWrap w:val="0"/>
                  <w:vAlign w:val="center"/>
                </w:tcPr>
                <w:p w14:paraId="4B86F7F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31.403361</w:t>
                  </w:r>
                </w:p>
              </w:tc>
              <w:tc>
                <w:tcPr>
                  <w:tcW w:w="668" w:type="dxa"/>
                  <w:noWrap w:val="0"/>
                  <w:vAlign w:val="center"/>
                </w:tcPr>
                <w:p w14:paraId="6EB034D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师生</w:t>
                  </w:r>
                </w:p>
              </w:tc>
              <w:tc>
                <w:tcPr>
                  <w:tcW w:w="1042" w:type="dxa"/>
                  <w:noWrap w:val="0"/>
                  <w:vAlign w:val="center"/>
                </w:tcPr>
                <w:p w14:paraId="39E6295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约200人</w:t>
                  </w:r>
                </w:p>
              </w:tc>
              <w:tc>
                <w:tcPr>
                  <w:tcW w:w="894" w:type="dxa"/>
                  <w:noWrap w:val="0"/>
                  <w:vAlign w:val="center"/>
                </w:tcPr>
                <w:p w14:paraId="55B3B67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E，35m</w:t>
                  </w:r>
                </w:p>
              </w:tc>
              <w:tc>
                <w:tcPr>
                  <w:tcW w:w="796" w:type="dxa"/>
                  <w:vMerge w:val="continue"/>
                  <w:noWrap w:val="0"/>
                  <w:vAlign w:val="center"/>
                </w:tcPr>
                <w:p w14:paraId="79F5EB5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7D614A8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3C7A8B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484D9FB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3591806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居民点9</w:t>
                  </w:r>
                </w:p>
              </w:tc>
              <w:tc>
                <w:tcPr>
                  <w:tcW w:w="1146" w:type="dxa"/>
                  <w:noWrap w:val="0"/>
                  <w:vAlign w:val="center"/>
                </w:tcPr>
                <w:p w14:paraId="0CFB501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116.331965</w:t>
                  </w:r>
                </w:p>
              </w:tc>
              <w:tc>
                <w:tcPr>
                  <w:tcW w:w="1176" w:type="dxa"/>
                  <w:noWrap w:val="0"/>
                  <w:vAlign w:val="center"/>
                </w:tcPr>
                <w:p w14:paraId="280209F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31.402819</w:t>
                  </w:r>
                </w:p>
              </w:tc>
              <w:tc>
                <w:tcPr>
                  <w:tcW w:w="668" w:type="dxa"/>
                  <w:noWrap w:val="0"/>
                  <w:vAlign w:val="center"/>
                </w:tcPr>
                <w:p w14:paraId="4D2A244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D73E0C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约180人</w:t>
                  </w:r>
                </w:p>
              </w:tc>
              <w:tc>
                <w:tcPr>
                  <w:tcW w:w="894" w:type="dxa"/>
                  <w:noWrap w:val="0"/>
                  <w:vAlign w:val="center"/>
                </w:tcPr>
                <w:p w14:paraId="1D976D1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W，50m</w:t>
                  </w:r>
                </w:p>
              </w:tc>
              <w:tc>
                <w:tcPr>
                  <w:tcW w:w="796" w:type="dxa"/>
                  <w:vMerge w:val="continue"/>
                  <w:noWrap w:val="0"/>
                  <w:vAlign w:val="center"/>
                </w:tcPr>
                <w:p w14:paraId="0155EC9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46B46F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0E2165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2ADFA6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shd w:val="clear" w:color="auto" w:fill="auto"/>
                  <w:noWrap w:val="0"/>
                  <w:vAlign w:val="center"/>
                </w:tcPr>
                <w:p w14:paraId="73AEE1B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御景苑</w:t>
                  </w:r>
                </w:p>
              </w:tc>
              <w:tc>
                <w:tcPr>
                  <w:tcW w:w="1146" w:type="dxa"/>
                  <w:shd w:val="clear" w:color="auto" w:fill="auto"/>
                  <w:noWrap w:val="0"/>
                  <w:vAlign w:val="center"/>
                </w:tcPr>
                <w:p w14:paraId="09B4691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116.345464</w:t>
                  </w:r>
                </w:p>
              </w:tc>
              <w:tc>
                <w:tcPr>
                  <w:tcW w:w="1176" w:type="dxa"/>
                  <w:shd w:val="clear" w:color="auto" w:fill="auto"/>
                  <w:noWrap w:val="0"/>
                  <w:vAlign w:val="center"/>
                </w:tcPr>
                <w:p w14:paraId="168FB1E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31.392299</w:t>
                  </w:r>
                </w:p>
              </w:tc>
              <w:tc>
                <w:tcPr>
                  <w:tcW w:w="668" w:type="dxa"/>
                  <w:shd w:val="clear" w:color="auto" w:fill="auto"/>
                  <w:noWrap w:val="0"/>
                  <w:vAlign w:val="center"/>
                </w:tcPr>
                <w:p w14:paraId="6545CD4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shd w:val="clear" w:color="auto" w:fill="auto"/>
                  <w:noWrap w:val="0"/>
                  <w:vAlign w:val="center"/>
                </w:tcPr>
                <w:p w14:paraId="7F03F52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约220人</w:t>
                  </w:r>
                </w:p>
              </w:tc>
              <w:tc>
                <w:tcPr>
                  <w:tcW w:w="894" w:type="dxa"/>
                  <w:shd w:val="clear" w:color="auto" w:fill="auto"/>
                  <w:noWrap w:val="0"/>
                  <w:vAlign w:val="center"/>
                </w:tcPr>
                <w:p w14:paraId="039E048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E，24m</w:t>
                  </w:r>
                </w:p>
              </w:tc>
              <w:tc>
                <w:tcPr>
                  <w:tcW w:w="796" w:type="dxa"/>
                  <w:vMerge w:val="continue"/>
                  <w:noWrap w:val="0"/>
                  <w:vAlign w:val="center"/>
                </w:tcPr>
                <w:p w14:paraId="575D5A4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4FE0AE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C70D1A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F9E0A47">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top"/>
                </w:tcPr>
                <w:p w14:paraId="09D39F3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散户11</w:t>
                  </w:r>
                </w:p>
              </w:tc>
              <w:tc>
                <w:tcPr>
                  <w:tcW w:w="1146" w:type="dxa"/>
                  <w:noWrap w:val="0"/>
                  <w:vAlign w:val="center"/>
                </w:tcPr>
                <w:p w14:paraId="148DBA3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116.342517</w:t>
                  </w:r>
                </w:p>
              </w:tc>
              <w:tc>
                <w:tcPr>
                  <w:tcW w:w="1176" w:type="dxa"/>
                  <w:noWrap w:val="0"/>
                  <w:vAlign w:val="center"/>
                </w:tcPr>
                <w:p w14:paraId="58CC008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31.391039</w:t>
                  </w:r>
                </w:p>
              </w:tc>
              <w:tc>
                <w:tcPr>
                  <w:tcW w:w="668" w:type="dxa"/>
                  <w:noWrap w:val="0"/>
                  <w:vAlign w:val="center"/>
                </w:tcPr>
                <w:p w14:paraId="4252099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AA4D0E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约14人</w:t>
                  </w:r>
                </w:p>
              </w:tc>
              <w:tc>
                <w:tcPr>
                  <w:tcW w:w="894" w:type="dxa"/>
                  <w:noWrap w:val="0"/>
                  <w:vAlign w:val="center"/>
                </w:tcPr>
                <w:p w14:paraId="5871D1B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E，22m</w:t>
                  </w:r>
                </w:p>
              </w:tc>
              <w:tc>
                <w:tcPr>
                  <w:tcW w:w="796" w:type="dxa"/>
                  <w:vMerge w:val="continue"/>
                  <w:noWrap w:val="0"/>
                  <w:vAlign w:val="center"/>
                </w:tcPr>
                <w:p w14:paraId="13FACCA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5B8C9E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74925B4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02E3B10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top"/>
                </w:tcPr>
                <w:p w14:paraId="2BCCD69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散户12</w:t>
                  </w:r>
                </w:p>
              </w:tc>
              <w:tc>
                <w:tcPr>
                  <w:tcW w:w="1146" w:type="dxa"/>
                  <w:noWrap w:val="0"/>
                  <w:vAlign w:val="center"/>
                </w:tcPr>
                <w:p w14:paraId="1C3FF1E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116.343397</w:t>
                  </w:r>
                </w:p>
              </w:tc>
              <w:tc>
                <w:tcPr>
                  <w:tcW w:w="1176" w:type="dxa"/>
                  <w:noWrap w:val="0"/>
                  <w:vAlign w:val="center"/>
                </w:tcPr>
                <w:p w14:paraId="68B5311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31.389794</w:t>
                  </w:r>
                </w:p>
              </w:tc>
              <w:tc>
                <w:tcPr>
                  <w:tcW w:w="668" w:type="dxa"/>
                  <w:noWrap w:val="0"/>
                  <w:vAlign w:val="center"/>
                </w:tcPr>
                <w:p w14:paraId="6687B1F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B4B42C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约40人</w:t>
                  </w:r>
                </w:p>
              </w:tc>
              <w:tc>
                <w:tcPr>
                  <w:tcW w:w="894" w:type="dxa"/>
                  <w:noWrap w:val="0"/>
                  <w:vAlign w:val="center"/>
                </w:tcPr>
                <w:p w14:paraId="7922F32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E，16m</w:t>
                  </w:r>
                </w:p>
              </w:tc>
              <w:tc>
                <w:tcPr>
                  <w:tcW w:w="796" w:type="dxa"/>
                  <w:vMerge w:val="continue"/>
                  <w:noWrap w:val="0"/>
                  <w:vAlign w:val="center"/>
                </w:tcPr>
                <w:p w14:paraId="2573362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1AF43C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297DE9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93020D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0916EFC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柳树店</w:t>
                  </w:r>
                </w:p>
              </w:tc>
              <w:tc>
                <w:tcPr>
                  <w:tcW w:w="1146" w:type="dxa"/>
                  <w:noWrap w:val="0"/>
                  <w:vAlign w:val="center"/>
                </w:tcPr>
                <w:p w14:paraId="6078793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116.351542</w:t>
                  </w:r>
                </w:p>
              </w:tc>
              <w:tc>
                <w:tcPr>
                  <w:tcW w:w="1176" w:type="dxa"/>
                  <w:noWrap w:val="0"/>
                  <w:vAlign w:val="center"/>
                </w:tcPr>
                <w:p w14:paraId="3DDCD92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31.382507</w:t>
                  </w:r>
                </w:p>
              </w:tc>
              <w:tc>
                <w:tcPr>
                  <w:tcW w:w="668" w:type="dxa"/>
                  <w:noWrap w:val="0"/>
                  <w:vAlign w:val="center"/>
                </w:tcPr>
                <w:p w14:paraId="18DC705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D473187">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约40人</w:t>
                  </w:r>
                </w:p>
              </w:tc>
              <w:tc>
                <w:tcPr>
                  <w:tcW w:w="894" w:type="dxa"/>
                  <w:noWrap w:val="0"/>
                  <w:vAlign w:val="center"/>
                </w:tcPr>
                <w:p w14:paraId="7ED4880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W，31m</w:t>
                  </w:r>
                </w:p>
              </w:tc>
              <w:tc>
                <w:tcPr>
                  <w:tcW w:w="796" w:type="dxa"/>
                  <w:vMerge w:val="continue"/>
                  <w:noWrap w:val="0"/>
                  <w:vAlign w:val="center"/>
                </w:tcPr>
                <w:p w14:paraId="6730310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3CD7E4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3AD128E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EA95A4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top"/>
                </w:tcPr>
                <w:p w14:paraId="743C7AD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散户13</w:t>
                  </w:r>
                </w:p>
              </w:tc>
              <w:tc>
                <w:tcPr>
                  <w:tcW w:w="1146" w:type="dxa"/>
                  <w:noWrap w:val="0"/>
                  <w:vAlign w:val="center"/>
                </w:tcPr>
                <w:p w14:paraId="3E6F0E9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116.348708</w:t>
                  </w:r>
                </w:p>
              </w:tc>
              <w:tc>
                <w:tcPr>
                  <w:tcW w:w="1176" w:type="dxa"/>
                  <w:noWrap w:val="0"/>
                  <w:vAlign w:val="center"/>
                </w:tcPr>
                <w:p w14:paraId="202C27A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31.382826</w:t>
                  </w:r>
                </w:p>
              </w:tc>
              <w:tc>
                <w:tcPr>
                  <w:tcW w:w="668" w:type="dxa"/>
                  <w:noWrap w:val="0"/>
                  <w:vAlign w:val="center"/>
                </w:tcPr>
                <w:p w14:paraId="4E9EB3BA">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366CAE3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约42人</w:t>
                  </w:r>
                </w:p>
              </w:tc>
              <w:tc>
                <w:tcPr>
                  <w:tcW w:w="894" w:type="dxa"/>
                  <w:noWrap w:val="0"/>
                  <w:vAlign w:val="center"/>
                </w:tcPr>
                <w:p w14:paraId="3337A950">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W，12m</w:t>
                  </w:r>
                </w:p>
              </w:tc>
              <w:tc>
                <w:tcPr>
                  <w:tcW w:w="796" w:type="dxa"/>
                  <w:vMerge w:val="continue"/>
                  <w:noWrap w:val="0"/>
                  <w:vAlign w:val="center"/>
                </w:tcPr>
                <w:p w14:paraId="55C769E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43EFAC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CF7502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26B1E617">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top"/>
                </w:tcPr>
                <w:p w14:paraId="6DEB32D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散户14</w:t>
                  </w:r>
                </w:p>
              </w:tc>
              <w:tc>
                <w:tcPr>
                  <w:tcW w:w="1146" w:type="dxa"/>
                  <w:noWrap w:val="0"/>
                  <w:vAlign w:val="center"/>
                </w:tcPr>
                <w:p w14:paraId="1E04E6E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116.349555</w:t>
                  </w:r>
                </w:p>
              </w:tc>
              <w:tc>
                <w:tcPr>
                  <w:tcW w:w="1176" w:type="dxa"/>
                  <w:noWrap w:val="0"/>
                  <w:vAlign w:val="center"/>
                </w:tcPr>
                <w:p w14:paraId="2195170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31.380230</w:t>
                  </w:r>
                </w:p>
              </w:tc>
              <w:tc>
                <w:tcPr>
                  <w:tcW w:w="668" w:type="dxa"/>
                  <w:noWrap w:val="0"/>
                  <w:vAlign w:val="center"/>
                </w:tcPr>
                <w:p w14:paraId="15A76EF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633B98E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约35人</w:t>
                  </w:r>
                </w:p>
              </w:tc>
              <w:tc>
                <w:tcPr>
                  <w:tcW w:w="894" w:type="dxa"/>
                  <w:noWrap w:val="0"/>
                  <w:vAlign w:val="center"/>
                </w:tcPr>
                <w:p w14:paraId="3CA92F34">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W，18m</w:t>
                  </w:r>
                </w:p>
              </w:tc>
              <w:tc>
                <w:tcPr>
                  <w:tcW w:w="796" w:type="dxa"/>
                  <w:vMerge w:val="continue"/>
                  <w:noWrap w:val="0"/>
                  <w:vAlign w:val="center"/>
                </w:tcPr>
                <w:p w14:paraId="2D24ACA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2E68EA3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729EAAD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5417D1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top"/>
                </w:tcPr>
                <w:p w14:paraId="458DD17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散户15</w:t>
                  </w:r>
                </w:p>
              </w:tc>
              <w:tc>
                <w:tcPr>
                  <w:tcW w:w="1146" w:type="dxa"/>
                  <w:noWrap w:val="0"/>
                  <w:vAlign w:val="center"/>
                </w:tcPr>
                <w:p w14:paraId="35A9C253">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116.348579</w:t>
                  </w:r>
                </w:p>
              </w:tc>
              <w:tc>
                <w:tcPr>
                  <w:tcW w:w="1176" w:type="dxa"/>
                  <w:noWrap w:val="0"/>
                  <w:vAlign w:val="center"/>
                </w:tcPr>
                <w:p w14:paraId="2067676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31.376619</w:t>
                  </w:r>
                </w:p>
              </w:tc>
              <w:tc>
                <w:tcPr>
                  <w:tcW w:w="668" w:type="dxa"/>
                  <w:noWrap w:val="0"/>
                  <w:vAlign w:val="center"/>
                </w:tcPr>
                <w:p w14:paraId="4E3ED572">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7C80651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约16人</w:t>
                  </w:r>
                </w:p>
              </w:tc>
              <w:tc>
                <w:tcPr>
                  <w:tcW w:w="894" w:type="dxa"/>
                  <w:noWrap w:val="0"/>
                  <w:vAlign w:val="center"/>
                </w:tcPr>
                <w:p w14:paraId="24A8DEA5">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E，15m</w:t>
                  </w:r>
                </w:p>
              </w:tc>
              <w:tc>
                <w:tcPr>
                  <w:tcW w:w="796" w:type="dxa"/>
                  <w:vMerge w:val="continue"/>
                  <w:noWrap w:val="0"/>
                  <w:vAlign w:val="center"/>
                </w:tcPr>
                <w:p w14:paraId="640876C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4630C4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B6EBDF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72D797E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top"/>
                </w:tcPr>
                <w:p w14:paraId="40445AA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散户16</w:t>
                  </w:r>
                </w:p>
              </w:tc>
              <w:tc>
                <w:tcPr>
                  <w:tcW w:w="1146" w:type="dxa"/>
                  <w:noWrap w:val="0"/>
                  <w:vAlign w:val="center"/>
                </w:tcPr>
                <w:p w14:paraId="7D87094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116.345430</w:t>
                  </w:r>
                </w:p>
              </w:tc>
              <w:tc>
                <w:tcPr>
                  <w:tcW w:w="1176" w:type="dxa"/>
                  <w:noWrap w:val="0"/>
                  <w:vAlign w:val="center"/>
                </w:tcPr>
                <w:p w14:paraId="34FA57C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31.373132</w:t>
                  </w:r>
                </w:p>
              </w:tc>
              <w:tc>
                <w:tcPr>
                  <w:tcW w:w="668" w:type="dxa"/>
                  <w:noWrap w:val="0"/>
                  <w:vAlign w:val="center"/>
                </w:tcPr>
                <w:p w14:paraId="788DEB7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3542EF87">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约10人</w:t>
                  </w:r>
                </w:p>
              </w:tc>
              <w:tc>
                <w:tcPr>
                  <w:tcW w:w="894" w:type="dxa"/>
                  <w:noWrap w:val="0"/>
                  <w:vAlign w:val="center"/>
                </w:tcPr>
                <w:p w14:paraId="1FA9788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W，24m</w:t>
                  </w:r>
                </w:p>
              </w:tc>
              <w:tc>
                <w:tcPr>
                  <w:tcW w:w="796" w:type="dxa"/>
                  <w:vMerge w:val="continue"/>
                  <w:noWrap w:val="0"/>
                  <w:vAlign w:val="center"/>
                </w:tcPr>
                <w:p w14:paraId="3333D86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7771DD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06080C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46C4232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2DE602F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张家塝</w:t>
                  </w:r>
                </w:p>
              </w:tc>
              <w:tc>
                <w:tcPr>
                  <w:tcW w:w="1146" w:type="dxa"/>
                  <w:noWrap w:val="0"/>
                  <w:vAlign w:val="center"/>
                </w:tcPr>
                <w:p w14:paraId="48C89027">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116.349444</w:t>
                  </w:r>
                </w:p>
              </w:tc>
              <w:tc>
                <w:tcPr>
                  <w:tcW w:w="1176" w:type="dxa"/>
                  <w:noWrap w:val="0"/>
                  <w:vAlign w:val="center"/>
                </w:tcPr>
                <w:p w14:paraId="781F40A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31.366909</w:t>
                  </w:r>
                </w:p>
              </w:tc>
              <w:tc>
                <w:tcPr>
                  <w:tcW w:w="668" w:type="dxa"/>
                  <w:noWrap w:val="0"/>
                  <w:vAlign w:val="center"/>
                </w:tcPr>
                <w:p w14:paraId="2CCF14E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4564BCB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约26人</w:t>
                  </w:r>
                </w:p>
              </w:tc>
              <w:tc>
                <w:tcPr>
                  <w:tcW w:w="894" w:type="dxa"/>
                  <w:noWrap w:val="0"/>
                  <w:vAlign w:val="center"/>
                </w:tcPr>
                <w:p w14:paraId="2C74CFF9">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E，13m</w:t>
                  </w:r>
                </w:p>
              </w:tc>
              <w:tc>
                <w:tcPr>
                  <w:tcW w:w="796" w:type="dxa"/>
                  <w:vMerge w:val="continue"/>
                  <w:noWrap w:val="0"/>
                  <w:vAlign w:val="center"/>
                </w:tcPr>
                <w:p w14:paraId="7340FAE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2B162D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E85C84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12CBAFB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1004" w:type="dxa"/>
                  <w:noWrap w:val="0"/>
                  <w:vAlign w:val="center"/>
                </w:tcPr>
                <w:p w14:paraId="65AFDAB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散户17</w:t>
                  </w:r>
                </w:p>
              </w:tc>
              <w:tc>
                <w:tcPr>
                  <w:tcW w:w="1146" w:type="dxa"/>
                  <w:noWrap w:val="0"/>
                  <w:vAlign w:val="center"/>
                </w:tcPr>
                <w:p w14:paraId="2E4DBE0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116.345537</w:t>
                  </w:r>
                </w:p>
              </w:tc>
              <w:tc>
                <w:tcPr>
                  <w:tcW w:w="1176" w:type="dxa"/>
                  <w:noWrap w:val="0"/>
                  <w:vAlign w:val="center"/>
                </w:tcPr>
                <w:p w14:paraId="34D0166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31.364726</w:t>
                  </w:r>
                </w:p>
              </w:tc>
              <w:tc>
                <w:tcPr>
                  <w:tcW w:w="668" w:type="dxa"/>
                  <w:noWrap w:val="0"/>
                  <w:vAlign w:val="center"/>
                </w:tcPr>
                <w:p w14:paraId="3B179C9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6447843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约12人</w:t>
                  </w:r>
                </w:p>
              </w:tc>
              <w:tc>
                <w:tcPr>
                  <w:tcW w:w="894" w:type="dxa"/>
                  <w:noWrap w:val="0"/>
                  <w:vAlign w:val="center"/>
                </w:tcPr>
                <w:p w14:paraId="04978C5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E，26m</w:t>
                  </w:r>
                </w:p>
              </w:tc>
              <w:tc>
                <w:tcPr>
                  <w:tcW w:w="796" w:type="dxa"/>
                  <w:vMerge w:val="continue"/>
                  <w:noWrap w:val="0"/>
                  <w:vAlign w:val="center"/>
                </w:tcPr>
                <w:p w14:paraId="6EE3443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3C72BD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4F3B7E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3123BA2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p>
              </w:tc>
              <w:tc>
                <w:tcPr>
                  <w:tcW w:w="3326" w:type="dxa"/>
                  <w:gridSpan w:val="3"/>
                  <w:noWrap w:val="0"/>
                  <w:vAlign w:val="center"/>
                </w:tcPr>
                <w:p w14:paraId="332AB31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沿线两侧200m范围内敏感点</w:t>
                  </w:r>
                </w:p>
              </w:tc>
              <w:tc>
                <w:tcPr>
                  <w:tcW w:w="668" w:type="dxa"/>
                  <w:noWrap w:val="0"/>
                  <w:vAlign w:val="center"/>
                </w:tcPr>
                <w:p w14:paraId="1598087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小区、散户</w:t>
                  </w:r>
                </w:p>
              </w:tc>
              <w:tc>
                <w:tcPr>
                  <w:tcW w:w="1042" w:type="dxa"/>
                  <w:noWrap w:val="0"/>
                  <w:vAlign w:val="center"/>
                </w:tcPr>
                <w:p w14:paraId="6E4D962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t>
                  </w:r>
                </w:p>
              </w:tc>
              <w:tc>
                <w:tcPr>
                  <w:tcW w:w="894" w:type="dxa"/>
                  <w:noWrap w:val="0"/>
                  <w:vAlign w:val="center"/>
                </w:tcPr>
                <w:p w14:paraId="0DB8CB6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t>
                  </w:r>
                </w:p>
              </w:tc>
              <w:tc>
                <w:tcPr>
                  <w:tcW w:w="796" w:type="dxa"/>
                  <w:vMerge w:val="continue"/>
                  <w:noWrap w:val="0"/>
                  <w:vAlign w:val="center"/>
                </w:tcPr>
                <w:p w14:paraId="6219738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2FA9B1E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CF5BB9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restart"/>
                  <w:noWrap w:val="0"/>
                  <w:vAlign w:val="center"/>
                </w:tcPr>
                <w:p w14:paraId="60F78A4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高庙河</w:t>
                  </w:r>
                </w:p>
              </w:tc>
              <w:tc>
                <w:tcPr>
                  <w:tcW w:w="1004" w:type="dxa"/>
                  <w:noWrap w:val="0"/>
                  <w:vAlign w:val="top"/>
                </w:tcPr>
                <w:p w14:paraId="7D36009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散户18</w:t>
                  </w:r>
                </w:p>
              </w:tc>
              <w:tc>
                <w:tcPr>
                  <w:tcW w:w="1146" w:type="dxa"/>
                  <w:noWrap w:val="0"/>
                  <w:vAlign w:val="center"/>
                </w:tcPr>
                <w:p w14:paraId="3184EE9A">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116.3621454</w:t>
                  </w:r>
                </w:p>
              </w:tc>
              <w:tc>
                <w:tcPr>
                  <w:tcW w:w="1176" w:type="dxa"/>
                  <w:noWrap w:val="0"/>
                  <w:vAlign w:val="center"/>
                </w:tcPr>
                <w:p w14:paraId="4AE1A71C">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31.3907920</w:t>
                  </w:r>
                </w:p>
              </w:tc>
              <w:tc>
                <w:tcPr>
                  <w:tcW w:w="668" w:type="dxa"/>
                  <w:noWrap w:val="0"/>
                  <w:vAlign w:val="center"/>
                </w:tcPr>
                <w:p w14:paraId="22CE0F4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1789FAD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约20人</w:t>
                  </w:r>
                </w:p>
              </w:tc>
              <w:tc>
                <w:tcPr>
                  <w:tcW w:w="894" w:type="dxa"/>
                  <w:noWrap w:val="0"/>
                  <w:vAlign w:val="center"/>
                </w:tcPr>
                <w:p w14:paraId="530D7202">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E，42m</w:t>
                  </w:r>
                </w:p>
              </w:tc>
              <w:tc>
                <w:tcPr>
                  <w:tcW w:w="796" w:type="dxa"/>
                  <w:vMerge w:val="continue"/>
                  <w:noWrap w:val="0"/>
                  <w:vAlign w:val="center"/>
                </w:tcPr>
                <w:p w14:paraId="5835697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5ADD31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7296BF9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453E885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14:textFill>
                        <w14:solidFill>
                          <w14:schemeClr w14:val="tx1"/>
                        </w14:solidFill>
                      </w14:textFill>
                    </w:rPr>
                  </w:pPr>
                </w:p>
              </w:tc>
              <w:tc>
                <w:tcPr>
                  <w:tcW w:w="1004" w:type="dxa"/>
                  <w:noWrap w:val="0"/>
                  <w:vAlign w:val="top"/>
                </w:tcPr>
                <w:p w14:paraId="5128443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散户19</w:t>
                  </w:r>
                </w:p>
              </w:tc>
              <w:tc>
                <w:tcPr>
                  <w:tcW w:w="1146" w:type="dxa"/>
                  <w:noWrap w:val="0"/>
                  <w:vAlign w:val="center"/>
                </w:tcPr>
                <w:p w14:paraId="248B3918">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116.3610725</w:t>
                  </w:r>
                </w:p>
              </w:tc>
              <w:tc>
                <w:tcPr>
                  <w:tcW w:w="1176" w:type="dxa"/>
                  <w:noWrap w:val="0"/>
                  <w:vAlign w:val="center"/>
                </w:tcPr>
                <w:p w14:paraId="474EE04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31.3851165</w:t>
                  </w:r>
                </w:p>
              </w:tc>
              <w:tc>
                <w:tcPr>
                  <w:tcW w:w="668" w:type="dxa"/>
                  <w:noWrap w:val="0"/>
                  <w:vAlign w:val="center"/>
                </w:tcPr>
                <w:p w14:paraId="6EEC101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4FE78BD9">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约18人</w:t>
                  </w:r>
                </w:p>
              </w:tc>
              <w:tc>
                <w:tcPr>
                  <w:tcW w:w="894" w:type="dxa"/>
                  <w:noWrap w:val="0"/>
                  <w:vAlign w:val="center"/>
                </w:tcPr>
                <w:p w14:paraId="7969A91F">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W，41m</w:t>
                  </w:r>
                </w:p>
              </w:tc>
              <w:tc>
                <w:tcPr>
                  <w:tcW w:w="796" w:type="dxa"/>
                  <w:vMerge w:val="continue"/>
                  <w:noWrap w:val="0"/>
                  <w:vAlign w:val="center"/>
                </w:tcPr>
                <w:p w14:paraId="4235F96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680080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97F89D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FFFFFF" w:fill="D9D9D9"/>
                      <w:lang w:eastAsia="zh-CN"/>
                      <w14:textFill>
                        <w14:solidFill>
                          <w14:schemeClr w14:val="tx1"/>
                        </w14:solidFill>
                      </w14:textFill>
                    </w:rPr>
                  </w:pPr>
                </w:p>
              </w:tc>
              <w:tc>
                <w:tcPr>
                  <w:tcW w:w="590" w:type="dxa"/>
                  <w:vMerge w:val="continue"/>
                  <w:noWrap w:val="0"/>
                  <w:vAlign w:val="center"/>
                </w:tcPr>
                <w:p w14:paraId="2E6BBFAC">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14:textFill>
                        <w14:solidFill>
                          <w14:schemeClr w14:val="tx1"/>
                        </w14:solidFill>
                      </w14:textFill>
                    </w:rPr>
                  </w:pPr>
                </w:p>
              </w:tc>
              <w:tc>
                <w:tcPr>
                  <w:tcW w:w="1004" w:type="dxa"/>
                  <w:noWrap w:val="0"/>
                  <w:vAlign w:val="top"/>
                </w:tcPr>
                <w:p w14:paraId="470560B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散户20</w:t>
                  </w:r>
                </w:p>
              </w:tc>
              <w:tc>
                <w:tcPr>
                  <w:tcW w:w="1146" w:type="dxa"/>
                  <w:noWrap w:val="0"/>
                  <w:vAlign w:val="center"/>
                </w:tcPr>
                <w:p w14:paraId="3E57997E">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116.3633149</w:t>
                  </w:r>
                </w:p>
              </w:tc>
              <w:tc>
                <w:tcPr>
                  <w:tcW w:w="1176" w:type="dxa"/>
                  <w:noWrap w:val="0"/>
                  <w:vAlign w:val="center"/>
                </w:tcPr>
                <w:p w14:paraId="2137BF1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31.3786148</w:t>
                  </w:r>
                </w:p>
              </w:tc>
              <w:tc>
                <w:tcPr>
                  <w:tcW w:w="668" w:type="dxa"/>
                  <w:noWrap w:val="0"/>
                  <w:vAlign w:val="center"/>
                </w:tcPr>
                <w:p w14:paraId="52C5F0F1">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050C81D8">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约5人</w:t>
                  </w:r>
                </w:p>
              </w:tc>
              <w:tc>
                <w:tcPr>
                  <w:tcW w:w="894" w:type="dxa"/>
                  <w:noWrap w:val="0"/>
                  <w:vAlign w:val="center"/>
                </w:tcPr>
                <w:p w14:paraId="767C217E">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E，49m</w:t>
                  </w:r>
                </w:p>
              </w:tc>
              <w:tc>
                <w:tcPr>
                  <w:tcW w:w="796" w:type="dxa"/>
                  <w:vMerge w:val="continue"/>
                  <w:noWrap w:val="0"/>
                  <w:vAlign w:val="center"/>
                </w:tcPr>
                <w:p w14:paraId="6C80639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r>
            <w:tr w14:paraId="0B7FA1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6E67494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5CBD8C4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1004" w:type="dxa"/>
                  <w:noWrap w:val="0"/>
                  <w:vAlign w:val="top"/>
                </w:tcPr>
                <w:p w14:paraId="1B94D56D">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散户21</w:t>
                  </w:r>
                </w:p>
              </w:tc>
              <w:tc>
                <w:tcPr>
                  <w:tcW w:w="1146" w:type="dxa"/>
                  <w:noWrap w:val="0"/>
                  <w:vAlign w:val="center"/>
                </w:tcPr>
                <w:p w14:paraId="6C79B7EF">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116.35709559</w:t>
                  </w:r>
                </w:p>
              </w:tc>
              <w:tc>
                <w:tcPr>
                  <w:tcW w:w="1176" w:type="dxa"/>
                  <w:noWrap w:val="0"/>
                  <w:vAlign w:val="center"/>
                </w:tcPr>
                <w:p w14:paraId="66997CF6">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t>31.40321096</w:t>
                  </w:r>
                </w:p>
              </w:tc>
              <w:tc>
                <w:tcPr>
                  <w:tcW w:w="668" w:type="dxa"/>
                  <w:noWrap w:val="0"/>
                  <w:vAlign w:val="center"/>
                </w:tcPr>
                <w:p w14:paraId="7DBDF67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居民</w:t>
                  </w:r>
                </w:p>
              </w:tc>
              <w:tc>
                <w:tcPr>
                  <w:tcW w:w="1042" w:type="dxa"/>
                  <w:noWrap w:val="0"/>
                  <w:vAlign w:val="center"/>
                </w:tcPr>
                <w:p w14:paraId="24D11D3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约300人</w:t>
                  </w:r>
                </w:p>
              </w:tc>
              <w:tc>
                <w:tcPr>
                  <w:tcW w:w="894" w:type="dxa"/>
                  <w:noWrap w:val="0"/>
                  <w:vAlign w:val="center"/>
                </w:tcPr>
                <w:p w14:paraId="4CB611F5">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E，22m</w:t>
                  </w:r>
                </w:p>
              </w:tc>
              <w:tc>
                <w:tcPr>
                  <w:tcW w:w="796" w:type="dxa"/>
                  <w:vMerge w:val="continue"/>
                  <w:noWrap w:val="0"/>
                  <w:vAlign w:val="center"/>
                </w:tcPr>
                <w:p w14:paraId="2A5CCB9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p>
              </w:tc>
            </w:tr>
            <w:tr w14:paraId="215F4E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25681DD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vMerge w:val="continue"/>
                  <w:noWrap w:val="0"/>
                  <w:vAlign w:val="center"/>
                </w:tcPr>
                <w:p w14:paraId="0808D42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p>
              </w:tc>
              <w:tc>
                <w:tcPr>
                  <w:tcW w:w="3326" w:type="dxa"/>
                  <w:gridSpan w:val="3"/>
                  <w:noWrap w:val="0"/>
                  <w:vAlign w:val="center"/>
                </w:tcPr>
                <w:p w14:paraId="7AE456D1">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沿线两侧200m范围内敏感点</w:t>
                  </w:r>
                </w:p>
              </w:tc>
              <w:tc>
                <w:tcPr>
                  <w:tcW w:w="668" w:type="dxa"/>
                  <w:noWrap w:val="0"/>
                  <w:vAlign w:val="center"/>
                </w:tcPr>
                <w:p w14:paraId="2EF7A114">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小区、散户</w:t>
                  </w:r>
                </w:p>
              </w:tc>
              <w:tc>
                <w:tcPr>
                  <w:tcW w:w="1042" w:type="dxa"/>
                  <w:noWrap w:val="0"/>
                  <w:vAlign w:val="center"/>
                </w:tcPr>
                <w:p w14:paraId="4B21108B">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t>
                  </w:r>
                </w:p>
              </w:tc>
              <w:tc>
                <w:tcPr>
                  <w:tcW w:w="894" w:type="dxa"/>
                  <w:noWrap w:val="0"/>
                  <w:vAlign w:val="center"/>
                </w:tcPr>
                <w:p w14:paraId="1B4A03F0">
                  <w:pPr>
                    <w:keepNext w:val="0"/>
                    <w:keepLines w:val="0"/>
                    <w:pageBreakBefore w:val="0"/>
                    <w:suppressLineNumbers w:val="0"/>
                    <w:spacing w:before="0" w:beforeAutospacing="0" w:after="0" w:afterAutospacing="0" w:line="240" w:lineRule="auto"/>
                    <w:ind w:left="0" w:right="0" w:firstLine="0"/>
                    <w:jc w:val="center"/>
                    <w:rPr>
                      <w:rFonts w:hint="default" w:cs="Times New Roman"/>
                      <w:color w:val="000000" w:themeColor="text1"/>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sz w:val="21"/>
                      <w:szCs w:val="21"/>
                      <w:highlight w:val="none"/>
                      <w:shd w:val="clear" w:color="auto" w:fill="auto"/>
                      <w:lang w:val="en-US" w:eastAsia="zh-CN" w:bidi="ar-SA"/>
                      <w14:textFill>
                        <w14:solidFill>
                          <w14:schemeClr w14:val="tx1"/>
                        </w14:solidFill>
                      </w14:textFill>
                    </w:rPr>
                    <w:t>/</w:t>
                  </w:r>
                </w:p>
              </w:tc>
              <w:tc>
                <w:tcPr>
                  <w:tcW w:w="796" w:type="dxa"/>
                  <w:vMerge w:val="continue"/>
                  <w:noWrap w:val="0"/>
                  <w:vAlign w:val="center"/>
                </w:tcPr>
                <w:p w14:paraId="34B7AB9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p>
              </w:tc>
            </w:tr>
            <w:tr w14:paraId="1E8406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noWrap w:val="0"/>
                  <w:vAlign w:val="center"/>
                </w:tcPr>
                <w:p w14:paraId="6D962EF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590" w:type="dxa"/>
                  <w:noWrap w:val="0"/>
                  <w:vAlign w:val="center"/>
                </w:tcPr>
                <w:p w14:paraId="257E1F5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eastAsia" w:cs="Times New Roman"/>
                      <w:color w:val="000000" w:themeColor="text1"/>
                      <w:sz w:val="21"/>
                      <w:szCs w:val="21"/>
                      <w:highlight w:val="none"/>
                      <w:shd w:val="clear" w:color="auto" w:fill="auto"/>
                      <w:lang w:eastAsia="zh-CN"/>
                      <w14:textFill>
                        <w14:solidFill>
                          <w14:schemeClr w14:val="tx1"/>
                        </w14:solidFill>
                      </w14:textFill>
                    </w:rPr>
                    <w:t>泵站</w:t>
                  </w:r>
                </w:p>
              </w:tc>
              <w:tc>
                <w:tcPr>
                  <w:tcW w:w="3326" w:type="dxa"/>
                  <w:gridSpan w:val="3"/>
                  <w:noWrap w:val="0"/>
                  <w:vAlign w:val="center"/>
                </w:tcPr>
                <w:p w14:paraId="588B247B">
                  <w:pPr>
                    <w:keepNext w:val="0"/>
                    <w:keepLines w:val="0"/>
                    <w:pageBreakBefore w:val="0"/>
                    <w:suppressLineNumbers w:val="0"/>
                    <w:spacing w:before="0" w:beforeAutospacing="0" w:after="0" w:afterAutospacing="0" w:line="240" w:lineRule="auto"/>
                    <w:ind w:left="0" w:right="0" w:firstLine="0"/>
                    <w:jc w:val="center"/>
                    <w:rPr>
                      <w:rFonts w:hint="eastAsia"/>
                      <w:color w:val="000000" w:themeColor="text1"/>
                      <w:sz w:val="21"/>
                      <w:szCs w:val="21"/>
                      <w:highlight w:val="none"/>
                      <w:shd w:val="clear" w:color="auto" w:fill="auto"/>
                      <w:lang w:val="en-US" w:eastAsia="zh-CN"/>
                      <w14:textFill>
                        <w14:solidFill>
                          <w14:schemeClr w14:val="tx1"/>
                        </w14:solidFill>
                      </w14:textFill>
                    </w:rPr>
                  </w:pPr>
                </w:p>
              </w:tc>
              <w:tc>
                <w:tcPr>
                  <w:tcW w:w="668" w:type="dxa"/>
                  <w:noWrap w:val="0"/>
                  <w:vAlign w:val="center"/>
                </w:tcPr>
                <w:p w14:paraId="6BDB1996">
                  <w:pPr>
                    <w:keepNext w:val="0"/>
                    <w:keepLines w:val="0"/>
                    <w:pageBreakBefore w:val="0"/>
                    <w:suppressLineNumbers w:val="0"/>
                    <w:spacing w:before="0" w:beforeAutospacing="0" w:after="0" w:afterAutospacing="0" w:line="240" w:lineRule="auto"/>
                    <w:ind w:left="0" w:right="0" w:firstLine="0"/>
                    <w:jc w:val="center"/>
                    <w:rPr>
                      <w:rFonts w:hint="eastAsia"/>
                      <w:color w:val="000000" w:themeColor="text1"/>
                      <w:sz w:val="21"/>
                      <w:szCs w:val="21"/>
                      <w:highlight w:val="none"/>
                      <w:shd w:val="clear" w:color="auto" w:fill="auto"/>
                      <w:lang w:eastAsia="zh-CN"/>
                      <w14:textFill>
                        <w14:solidFill>
                          <w14:schemeClr w14:val="tx1"/>
                        </w14:solidFill>
                      </w14:textFill>
                    </w:rPr>
                  </w:pPr>
                </w:p>
              </w:tc>
              <w:tc>
                <w:tcPr>
                  <w:tcW w:w="1042" w:type="dxa"/>
                  <w:noWrap w:val="0"/>
                  <w:vAlign w:val="center"/>
                </w:tcPr>
                <w:p w14:paraId="209BC3D6">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14:textFill>
                        <w14:solidFill>
                          <w14:schemeClr w14:val="tx1"/>
                        </w14:solidFill>
                      </w14:textFill>
                    </w:rPr>
                  </w:pPr>
                </w:p>
              </w:tc>
              <w:tc>
                <w:tcPr>
                  <w:tcW w:w="894" w:type="dxa"/>
                  <w:noWrap w:val="0"/>
                  <w:vAlign w:val="center"/>
                </w:tcPr>
                <w:p w14:paraId="7C72F7CB">
                  <w:pPr>
                    <w:keepNext w:val="0"/>
                    <w:keepLines w:val="0"/>
                    <w:pageBreakBefore w:val="0"/>
                    <w:suppressLineNumbers w:val="0"/>
                    <w:spacing w:before="0" w:beforeAutospacing="0" w:after="0" w:afterAutospacing="0" w:line="240" w:lineRule="auto"/>
                    <w:ind w:left="0" w:right="0" w:firstLine="0"/>
                    <w:jc w:val="center"/>
                    <w:rPr>
                      <w:rFonts w:hint="eastAsia" w:cs="Times New Roman"/>
                      <w:color w:val="000000" w:themeColor="text1"/>
                      <w:sz w:val="21"/>
                      <w:szCs w:val="21"/>
                      <w:highlight w:val="none"/>
                      <w:shd w:val="clear" w:color="auto" w:fill="auto"/>
                      <w:lang w:val="en-US" w:eastAsia="zh-CN"/>
                      <w14:textFill>
                        <w14:solidFill>
                          <w14:schemeClr w14:val="tx1"/>
                        </w14:solidFill>
                      </w14:textFill>
                    </w:rPr>
                  </w:pPr>
                </w:p>
              </w:tc>
              <w:tc>
                <w:tcPr>
                  <w:tcW w:w="796" w:type="dxa"/>
                  <w:noWrap w:val="0"/>
                  <w:vAlign w:val="center"/>
                </w:tcPr>
                <w:p w14:paraId="7D4C5D3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p>
              </w:tc>
            </w:tr>
            <w:tr w14:paraId="3D5D5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noWrap w:val="0"/>
                  <w:vAlign w:val="center"/>
                </w:tcPr>
                <w:p w14:paraId="5F54EA6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声环境</w:t>
                  </w:r>
                </w:p>
              </w:tc>
              <w:tc>
                <w:tcPr>
                  <w:tcW w:w="3916" w:type="dxa"/>
                  <w:gridSpan w:val="4"/>
                  <w:noWrap w:val="0"/>
                  <w:vAlign w:val="center"/>
                </w:tcPr>
                <w:p w14:paraId="09F5368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eastAsia"/>
                      <w:color w:val="000000" w:themeColor="text1"/>
                      <w:sz w:val="21"/>
                      <w:szCs w:val="21"/>
                      <w:highlight w:val="none"/>
                      <w:shd w:val="clear" w:color="auto" w:fill="auto"/>
                      <w:lang w:val="en-US" w:eastAsia="zh-CN"/>
                      <w14:textFill>
                        <w14:solidFill>
                          <w14:schemeClr w14:val="tx1"/>
                        </w14:solidFill>
                      </w14:textFill>
                    </w:rPr>
                    <w:t>沿线两侧200m范围内敏感点</w:t>
                  </w:r>
                </w:p>
              </w:tc>
              <w:tc>
                <w:tcPr>
                  <w:tcW w:w="668" w:type="dxa"/>
                  <w:noWrap w:val="0"/>
                  <w:vAlign w:val="center"/>
                </w:tcPr>
                <w:p w14:paraId="2DED12A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eastAsia"/>
                      <w:color w:val="000000" w:themeColor="text1"/>
                      <w:sz w:val="21"/>
                      <w:szCs w:val="21"/>
                      <w:highlight w:val="none"/>
                      <w:shd w:val="clear" w:color="auto" w:fill="auto"/>
                      <w14:textFill>
                        <w14:solidFill>
                          <w14:schemeClr w14:val="tx1"/>
                        </w14:solidFill>
                      </w14:textFill>
                    </w:rPr>
                    <w:t>居民</w:t>
                  </w:r>
                  <w:r>
                    <w:rPr>
                      <w:rFonts w:hint="eastAsia"/>
                      <w:color w:val="000000" w:themeColor="text1"/>
                      <w:sz w:val="21"/>
                      <w:szCs w:val="21"/>
                      <w:highlight w:val="none"/>
                      <w:shd w:val="clear" w:color="auto" w:fill="auto"/>
                      <w:lang w:eastAsia="zh-CN"/>
                      <w14:textFill>
                        <w14:solidFill>
                          <w14:schemeClr w14:val="tx1"/>
                        </w14:solidFill>
                      </w14:textFill>
                    </w:rPr>
                    <w:t>、</w:t>
                  </w:r>
                  <w:r>
                    <w:rPr>
                      <w:rFonts w:hint="eastAsia"/>
                      <w:color w:val="000000" w:themeColor="text1"/>
                      <w:sz w:val="21"/>
                      <w:szCs w:val="21"/>
                      <w:highlight w:val="none"/>
                      <w:shd w:val="clear" w:color="auto" w:fill="auto"/>
                      <w:lang w:val="en-US" w:eastAsia="zh-CN"/>
                      <w14:textFill>
                        <w14:solidFill>
                          <w14:schemeClr w14:val="tx1"/>
                        </w14:solidFill>
                      </w14:textFill>
                    </w:rPr>
                    <w:t>师生</w:t>
                  </w:r>
                </w:p>
              </w:tc>
              <w:tc>
                <w:tcPr>
                  <w:tcW w:w="1042" w:type="dxa"/>
                  <w:noWrap w:val="0"/>
                  <w:vAlign w:val="center"/>
                </w:tcPr>
                <w:p w14:paraId="68E3428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w:t>
                  </w:r>
                </w:p>
              </w:tc>
              <w:tc>
                <w:tcPr>
                  <w:tcW w:w="894" w:type="dxa"/>
                  <w:noWrap w:val="0"/>
                  <w:vAlign w:val="center"/>
                </w:tcPr>
                <w:p w14:paraId="3FFBE9F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w:t>
                  </w:r>
                </w:p>
              </w:tc>
              <w:tc>
                <w:tcPr>
                  <w:tcW w:w="796" w:type="dxa"/>
                  <w:noWrap w:val="0"/>
                  <w:vAlign w:val="center"/>
                </w:tcPr>
                <w:p w14:paraId="43E49F98">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《声环境质量标准》（GB30192-2008）中的</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类</w:t>
                  </w:r>
                  <w:r>
                    <w:rPr>
                      <w:rFonts w:hint="eastAsia"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和2类区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标准</w:t>
                  </w:r>
                </w:p>
              </w:tc>
            </w:tr>
            <w:tr w14:paraId="056262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noWrap w:val="0"/>
                  <w:vAlign w:val="center"/>
                </w:tcPr>
                <w:p w14:paraId="74FFECC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地表水环境</w:t>
                  </w:r>
                </w:p>
              </w:tc>
              <w:tc>
                <w:tcPr>
                  <w:tcW w:w="1594" w:type="dxa"/>
                  <w:gridSpan w:val="2"/>
                  <w:noWrap w:val="0"/>
                  <w:vAlign w:val="center"/>
                </w:tcPr>
                <w:p w14:paraId="5FEE6D9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黑体"/>
                      <w:color w:val="000000" w:themeColor="text1"/>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sz w:val="21"/>
                      <w:szCs w:val="21"/>
                      <w:lang w:val="en-US" w:eastAsia="zh-CN" w:bidi="ar-SA"/>
                      <w14:textFill>
                        <w14:solidFill>
                          <w14:schemeClr w14:val="tx1"/>
                        </w14:solidFill>
                      </w14:textFill>
                    </w:rPr>
                    <w:t>东淠河</w:t>
                  </w:r>
                </w:p>
              </w:tc>
              <w:tc>
                <w:tcPr>
                  <w:tcW w:w="1146" w:type="dxa"/>
                  <w:noWrap w:val="0"/>
                  <w:vAlign w:val="center"/>
                </w:tcPr>
                <w:p w14:paraId="2B53F8F9">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noWrap w:val="0"/>
                  <w:vAlign w:val="center"/>
                </w:tcPr>
                <w:p w14:paraId="5B60C9CC">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noWrap w:val="0"/>
                  <w:vAlign w:val="center"/>
                </w:tcPr>
                <w:p w14:paraId="6B97CB5E">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noWrap w:val="0"/>
                  <w:vAlign w:val="center"/>
                </w:tcPr>
                <w:p w14:paraId="25B641D5">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中型</w:t>
                  </w:r>
                  <w:r>
                    <w:rPr>
                      <w:rFonts w:hint="default"/>
                      <w:color w:val="000000" w:themeColor="text1"/>
                      <w:sz w:val="21"/>
                      <w:szCs w:val="21"/>
                      <w14:textFill>
                        <w14:solidFill>
                          <w14:schemeClr w14:val="tx1"/>
                        </w14:solidFill>
                      </w14:textFill>
                    </w:rPr>
                    <w:t>河流</w:t>
                  </w:r>
                </w:p>
              </w:tc>
              <w:tc>
                <w:tcPr>
                  <w:tcW w:w="894" w:type="dxa"/>
                  <w:noWrap w:val="0"/>
                  <w:vAlign w:val="center"/>
                </w:tcPr>
                <w:p w14:paraId="5C9C0CB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6" w:type="dxa"/>
                  <w:vMerge w:val="restart"/>
                  <w:noWrap w:val="0"/>
                  <w:vAlign w:val="center"/>
                </w:tcPr>
                <w:p w14:paraId="35AAC911">
                  <w:pPr>
                    <w:keepNext w:val="0"/>
                    <w:keepLines w:val="0"/>
                    <w:pageBreakBefore w:val="0"/>
                    <w:widowControl w:val="0"/>
                    <w:suppressLineNumbers w:val="0"/>
                    <w:spacing w:before="0" w:beforeAutospacing="0" w:after="0" w:afterAutospacing="0" w:line="240" w:lineRule="exact"/>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《地表水环境质量标准》(GB3838-2002)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Ⅲ</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r>
            <w:tr w14:paraId="34176FF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42C0F1A5">
                  <w:pPr>
                    <w:keepNext w:val="0"/>
                    <w:keepLines w:val="0"/>
                    <w:pageBreakBefore w:val="0"/>
                    <w:suppressLineNumbers w:val="0"/>
                    <w:spacing w:before="0" w:beforeAutospacing="0" w:after="0" w:afterAutospacing="0" w:line="240" w:lineRule="auto"/>
                    <w:ind w:left="0" w:right="0" w:firstLine="0"/>
                    <w:jc w:val="center"/>
                    <w:rPr>
                      <w:rFonts w:hint="default"/>
                      <w:color w:val="000000" w:themeColor="text1"/>
                      <w14:textFill>
                        <w14:solidFill>
                          <w14:schemeClr w14:val="tx1"/>
                        </w14:solidFill>
                      </w14:textFill>
                    </w:rPr>
                  </w:pPr>
                </w:p>
              </w:tc>
              <w:tc>
                <w:tcPr>
                  <w:tcW w:w="1594" w:type="dxa"/>
                  <w:gridSpan w:val="2"/>
                  <w:noWrap w:val="0"/>
                  <w:vAlign w:val="center"/>
                </w:tcPr>
                <w:p w14:paraId="3B8F65E9">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黑体"/>
                      <w:color w:val="000000" w:themeColor="text1"/>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sz w:val="21"/>
                      <w:szCs w:val="21"/>
                      <w:lang w:val="en-US" w:eastAsia="zh-CN" w:bidi="ar-SA"/>
                      <w14:textFill>
                        <w14:solidFill>
                          <w14:schemeClr w14:val="tx1"/>
                        </w14:solidFill>
                      </w14:textFill>
                    </w:rPr>
                    <w:t>幽芳河</w:t>
                  </w:r>
                </w:p>
              </w:tc>
              <w:tc>
                <w:tcPr>
                  <w:tcW w:w="1146" w:type="dxa"/>
                  <w:noWrap w:val="0"/>
                  <w:vAlign w:val="center"/>
                </w:tcPr>
                <w:p w14:paraId="7C871591">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noWrap w:val="0"/>
                  <w:vAlign w:val="center"/>
                </w:tcPr>
                <w:p w14:paraId="2424C4FD">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noWrap w:val="0"/>
                  <w:vAlign w:val="center"/>
                </w:tcPr>
                <w:p w14:paraId="72221C2F">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noWrap w:val="0"/>
                  <w:vAlign w:val="center"/>
                </w:tcPr>
                <w:p w14:paraId="7D15F0E9">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noWrap w:val="0"/>
                  <w:vAlign w:val="center"/>
                </w:tcPr>
                <w:p w14:paraId="7424391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6" w:type="dxa"/>
                  <w:vMerge w:val="continue"/>
                  <w:noWrap w:val="0"/>
                  <w:vAlign w:val="center"/>
                </w:tcPr>
                <w:p w14:paraId="398133B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4DEDCC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1DC67C5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94" w:type="dxa"/>
                  <w:gridSpan w:val="2"/>
                  <w:noWrap w:val="0"/>
                  <w:vAlign w:val="center"/>
                </w:tcPr>
                <w:p w14:paraId="0FC476A5">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黑体"/>
                      <w:color w:val="000000" w:themeColor="text1"/>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sz w:val="21"/>
                      <w:szCs w:val="21"/>
                      <w:lang w:val="en-US" w:eastAsia="zh-CN" w:bidi="ar-SA"/>
                      <w14:textFill>
                        <w14:solidFill>
                          <w14:schemeClr w14:val="tx1"/>
                        </w14:solidFill>
                      </w14:textFill>
                    </w:rPr>
                    <w:t>高庙河</w:t>
                  </w:r>
                </w:p>
              </w:tc>
              <w:tc>
                <w:tcPr>
                  <w:tcW w:w="1146" w:type="dxa"/>
                  <w:noWrap w:val="0"/>
                  <w:vAlign w:val="center"/>
                </w:tcPr>
                <w:p w14:paraId="22BFA77F">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noWrap w:val="0"/>
                  <w:vAlign w:val="center"/>
                </w:tcPr>
                <w:p w14:paraId="48034E60">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noWrap w:val="0"/>
                  <w:vAlign w:val="center"/>
                </w:tcPr>
                <w:p w14:paraId="06C5623E">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noWrap w:val="0"/>
                  <w:vAlign w:val="center"/>
                </w:tcPr>
                <w:p w14:paraId="2C40176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noWrap w:val="0"/>
                  <w:vAlign w:val="center"/>
                </w:tcPr>
                <w:p w14:paraId="1E0C339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6" w:type="dxa"/>
                  <w:vMerge w:val="continue"/>
                  <w:noWrap w:val="0"/>
                  <w:vAlign w:val="center"/>
                </w:tcPr>
                <w:p w14:paraId="2F63B12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40D7BF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5FC6745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94" w:type="dxa"/>
                  <w:gridSpan w:val="2"/>
                  <w:noWrap w:val="0"/>
                  <w:vAlign w:val="center"/>
                </w:tcPr>
                <w:p w14:paraId="644CB02B">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黑体"/>
                      <w:color w:val="000000" w:themeColor="text1"/>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sz w:val="21"/>
                      <w:szCs w:val="21"/>
                      <w:lang w:val="en-US" w:eastAsia="zh-CN" w:bidi="ar-SA"/>
                      <w14:textFill>
                        <w14:solidFill>
                          <w14:schemeClr w14:val="tx1"/>
                        </w14:solidFill>
                      </w14:textFill>
                    </w:rPr>
                    <w:t>柳林河</w:t>
                  </w:r>
                </w:p>
              </w:tc>
              <w:tc>
                <w:tcPr>
                  <w:tcW w:w="1146" w:type="dxa"/>
                  <w:noWrap w:val="0"/>
                  <w:vAlign w:val="center"/>
                </w:tcPr>
                <w:p w14:paraId="178B2897">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noWrap w:val="0"/>
                  <w:vAlign w:val="center"/>
                </w:tcPr>
                <w:p w14:paraId="38B5ED60">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noWrap w:val="0"/>
                  <w:vAlign w:val="center"/>
                </w:tcPr>
                <w:p w14:paraId="2EF3D326">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noWrap w:val="0"/>
                  <w:vAlign w:val="center"/>
                </w:tcPr>
                <w:p w14:paraId="38873F3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noWrap w:val="0"/>
                  <w:vAlign w:val="center"/>
                </w:tcPr>
                <w:p w14:paraId="0087C1D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6" w:type="dxa"/>
                  <w:vMerge w:val="continue"/>
                  <w:noWrap w:val="0"/>
                  <w:vAlign w:val="center"/>
                </w:tcPr>
                <w:p w14:paraId="3BD8561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363DB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47AB561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94" w:type="dxa"/>
                  <w:gridSpan w:val="2"/>
                  <w:noWrap w:val="0"/>
                  <w:vAlign w:val="center"/>
                </w:tcPr>
                <w:p w14:paraId="5A1B615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黑体"/>
                      <w:color w:val="000000" w:themeColor="text1"/>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sz w:val="21"/>
                      <w:szCs w:val="21"/>
                      <w:lang w:val="en-US" w:eastAsia="zh-CN" w:bidi="ar-SA"/>
                      <w14:textFill>
                        <w14:solidFill>
                          <w14:schemeClr w14:val="tx1"/>
                        </w14:solidFill>
                      </w14:textFill>
                    </w:rPr>
                    <w:t>新店河</w:t>
                  </w:r>
                </w:p>
              </w:tc>
              <w:tc>
                <w:tcPr>
                  <w:tcW w:w="1146" w:type="dxa"/>
                  <w:noWrap w:val="0"/>
                  <w:vAlign w:val="center"/>
                </w:tcPr>
                <w:p w14:paraId="0EF06D9B">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noWrap w:val="0"/>
                  <w:vAlign w:val="center"/>
                </w:tcPr>
                <w:p w14:paraId="7E534BA6">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noWrap w:val="0"/>
                  <w:vAlign w:val="center"/>
                </w:tcPr>
                <w:p w14:paraId="4DC6BB68">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noWrap w:val="0"/>
                  <w:vAlign w:val="center"/>
                </w:tcPr>
                <w:p w14:paraId="6700E55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noWrap w:val="0"/>
                  <w:vAlign w:val="center"/>
                </w:tcPr>
                <w:p w14:paraId="04C5927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96" w:type="dxa"/>
                  <w:vMerge w:val="continue"/>
                  <w:noWrap w:val="0"/>
                  <w:vAlign w:val="center"/>
                </w:tcPr>
                <w:p w14:paraId="0532FBC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A3246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noWrap w:val="0"/>
                  <w:vAlign w:val="center"/>
                </w:tcPr>
                <w:p w14:paraId="406C79E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生态环境</w:t>
                  </w:r>
                </w:p>
              </w:tc>
              <w:tc>
                <w:tcPr>
                  <w:tcW w:w="1594" w:type="dxa"/>
                  <w:gridSpan w:val="2"/>
                  <w:noWrap w:val="0"/>
                  <w:vAlign w:val="center"/>
                </w:tcPr>
                <w:p w14:paraId="7599A41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陆域生态</w:t>
                  </w:r>
                </w:p>
              </w:tc>
              <w:tc>
                <w:tcPr>
                  <w:tcW w:w="5722" w:type="dxa"/>
                  <w:gridSpan w:val="6"/>
                  <w:noWrap w:val="0"/>
                  <w:vAlign w:val="center"/>
                </w:tcPr>
                <w:p w14:paraId="7D8BC44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项目评价范围内无自然保护区、风景名胜区、文物古迹等特殊生态保护区，生态环境保护</w:t>
                  </w:r>
                  <w:r>
                    <w:rPr>
                      <w:rFonts w:hint="eastAsia" w:cs="Times New Roman"/>
                      <w:color w:val="000000" w:themeColor="text1"/>
                      <w:sz w:val="21"/>
                      <w:szCs w:val="21"/>
                      <w:highlight w:val="none"/>
                      <w:lang w:val="en-US" w:eastAsia="zh-CN"/>
                      <w14:textFill>
                        <w14:solidFill>
                          <w14:schemeClr w14:val="tx1"/>
                        </w14:solidFill>
                      </w14:textFill>
                    </w:rPr>
                    <w:t>目标为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可能受项目施工活动影响及运输路线周边的植被</w:t>
                  </w:r>
                  <w:r>
                    <w:rPr>
                      <w:rFonts w:hint="eastAsia" w:cs="Times New Roman"/>
                      <w:color w:val="000000" w:themeColor="text1"/>
                      <w:sz w:val="21"/>
                      <w:szCs w:val="21"/>
                      <w:highlight w:val="none"/>
                      <w:lang w:val="en-US" w:eastAsia="zh-CN"/>
                      <w14:textFill>
                        <w14:solidFill>
                          <w14:schemeClr w14:val="tx1"/>
                        </w14:solidFill>
                      </w14:textFill>
                    </w:rPr>
                    <w:t>、动物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区域内的鸟类。施工过程中，为防止水土流失，不随意开挖，减少地表扰动，对临时占地区域，采取临时拦挡，排水措施，减少冲刷。施工结束后除采取水土保持措施外，还应从恢复和提高其生态、景观角度出发，选择该地区地带性植被类型植被群落的优势种类作为恢复植被的主要物种。加强对施工人员进行生态保护教育。在施工边界竖立防火、随意开挖，预防和杜绝森林火灾发生。</w:t>
                  </w:r>
                </w:p>
              </w:tc>
            </w:tr>
            <w:tr w14:paraId="1DBB0D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noWrap w:val="0"/>
                  <w:vAlign w:val="center"/>
                </w:tcPr>
                <w:p w14:paraId="081E1F3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p>
              </w:tc>
              <w:tc>
                <w:tcPr>
                  <w:tcW w:w="1594" w:type="dxa"/>
                  <w:gridSpan w:val="2"/>
                  <w:noWrap w:val="0"/>
                  <w:vAlign w:val="center"/>
                </w:tcPr>
                <w:p w14:paraId="3D6A341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水生生态</w:t>
                  </w:r>
                </w:p>
              </w:tc>
              <w:tc>
                <w:tcPr>
                  <w:tcW w:w="5722" w:type="dxa"/>
                  <w:gridSpan w:val="6"/>
                  <w:noWrap w:val="0"/>
                  <w:vAlign w:val="center"/>
                </w:tcPr>
                <w:p w14:paraId="5CD1CD7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施工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河道内的水生生物。对施工人员加强宣传，增强施工人员的环保意识。加强监管，严禁捕鱼，按环保要求施工，施工废水进行达标处理，不得随意排放，防止污染河道水质</w:t>
                  </w:r>
                </w:p>
              </w:tc>
            </w:tr>
          </w:tbl>
          <w:p w14:paraId="13AD7E4B">
            <w:pPr>
              <w:keepNext w:val="0"/>
              <w:keepLines w:val="0"/>
              <w:suppressLineNumbers w:val="0"/>
              <w:spacing w:before="0" w:beforeAutospacing="0" w:after="0" w:afterAutospacing="0"/>
              <w:ind w:left="0" w:right="0" w:firstLine="0"/>
              <w:rPr>
                <w:rFonts w:hint="default"/>
                <w:color w:val="000000" w:themeColor="text1"/>
                <w:lang w:val="en-US" w:eastAsia="zh-CN"/>
                <w14:textFill>
                  <w14:solidFill>
                    <w14:schemeClr w14:val="tx1"/>
                  </w14:solidFill>
                </w14:textFill>
              </w:rPr>
            </w:pPr>
          </w:p>
        </w:tc>
      </w:tr>
      <w:tr w14:paraId="47996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54B2175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评价标准</w:t>
            </w:r>
          </w:p>
        </w:tc>
        <w:tc>
          <w:tcPr>
            <w:tcW w:w="8026" w:type="dxa"/>
            <w:noWrap w:val="0"/>
            <w:vAlign w:val="center"/>
          </w:tcPr>
          <w:p w14:paraId="47ACF788">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1、环境质量标准</w:t>
            </w:r>
          </w:p>
          <w:p w14:paraId="254866AF">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）环境空气</w:t>
            </w:r>
          </w:p>
          <w:p w14:paraId="7E058347">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本项目环境空气质量标准遵循</w:t>
            </w:r>
            <w:r>
              <w:rPr>
                <w:rFonts w:hint="default" w:ascii="Times New Roman" w:hAnsi="Times New Roman" w:eastAsia="宋体" w:cs="Times New Roman"/>
                <w:color w:val="000000" w:themeColor="text1"/>
                <w:sz w:val="24"/>
                <w:highlight w:val="none"/>
                <w14:textFill>
                  <w14:solidFill>
                    <w14:schemeClr w14:val="tx1"/>
                  </w14:solidFill>
                </w14:textFill>
              </w:rPr>
              <w:t>《环境空气质量标准》（GB3095-2012）及修改单中二级标准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，见下表。</w:t>
            </w:r>
          </w:p>
          <w:p w14:paraId="66E685D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eastAsia" w:cs="Times New Roman"/>
                <w:b/>
                <w:bCs/>
                <w:color w:val="000000" w:themeColor="text1"/>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highlight w:val="none"/>
                <w14:textFill>
                  <w14:solidFill>
                    <w14:schemeClr w14:val="tx1"/>
                  </w14:solidFill>
                </w14:textFill>
              </w:rPr>
              <w:t>《环境空气质量标准》（GB3095-2012）及修改单中二级标准</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50"/>
              <w:gridCol w:w="995"/>
              <w:gridCol w:w="788"/>
              <w:gridCol w:w="1217"/>
              <w:gridCol w:w="745"/>
              <w:gridCol w:w="2073"/>
            </w:tblGrid>
            <w:tr w14:paraId="0F3D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noWrap w:val="0"/>
                  <w:vAlign w:val="center"/>
                </w:tcPr>
                <w:p w14:paraId="094E668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750" w:type="dxa"/>
                  <w:noWrap w:val="0"/>
                  <w:vAlign w:val="center"/>
                </w:tcPr>
                <w:p w14:paraId="31EC9C2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年平均</w:t>
                  </w:r>
                </w:p>
              </w:tc>
              <w:tc>
                <w:tcPr>
                  <w:tcW w:w="995" w:type="dxa"/>
                  <w:noWrap w:val="0"/>
                  <w:vAlign w:val="center"/>
                </w:tcPr>
                <w:p w14:paraId="69C38DF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24小时平均</w:t>
                  </w:r>
                </w:p>
              </w:tc>
              <w:tc>
                <w:tcPr>
                  <w:tcW w:w="788" w:type="dxa"/>
                  <w:noWrap w:val="0"/>
                  <w:vAlign w:val="center"/>
                </w:tcPr>
                <w:p w14:paraId="1A628B3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1小时平均</w:t>
                  </w:r>
                </w:p>
              </w:tc>
              <w:tc>
                <w:tcPr>
                  <w:tcW w:w="1217" w:type="dxa"/>
                  <w:noWrap w:val="0"/>
                  <w:vAlign w:val="center"/>
                </w:tcPr>
                <w:p w14:paraId="77306FA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日最大</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8小时平均</w:t>
                  </w:r>
                </w:p>
              </w:tc>
              <w:tc>
                <w:tcPr>
                  <w:tcW w:w="745" w:type="dxa"/>
                  <w:noWrap w:val="0"/>
                  <w:vAlign w:val="center"/>
                </w:tcPr>
                <w:p w14:paraId="17A14A4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单位</w:t>
                  </w:r>
                </w:p>
              </w:tc>
              <w:tc>
                <w:tcPr>
                  <w:tcW w:w="2073" w:type="dxa"/>
                  <w:noWrap w:val="0"/>
                  <w:vAlign w:val="center"/>
                </w:tcPr>
                <w:p w14:paraId="0A6AE3B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标准来源</w:t>
                  </w:r>
                </w:p>
              </w:tc>
            </w:tr>
            <w:tr w14:paraId="6566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noWrap w:val="0"/>
                  <w:vAlign w:val="center"/>
                </w:tcPr>
                <w:p w14:paraId="398AC8D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750" w:type="dxa"/>
                  <w:noWrap w:val="0"/>
                  <w:vAlign w:val="center"/>
                </w:tcPr>
                <w:p w14:paraId="509F1DF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995" w:type="dxa"/>
                  <w:noWrap w:val="0"/>
                  <w:vAlign w:val="center"/>
                </w:tcPr>
                <w:p w14:paraId="61C5CBF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788" w:type="dxa"/>
                  <w:noWrap w:val="0"/>
                  <w:vAlign w:val="center"/>
                </w:tcPr>
                <w:p w14:paraId="54C9636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p>
              </w:tc>
              <w:tc>
                <w:tcPr>
                  <w:tcW w:w="1217" w:type="dxa"/>
                  <w:noWrap w:val="0"/>
                  <w:vAlign w:val="center"/>
                </w:tcPr>
                <w:p w14:paraId="49AB8F5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restart"/>
                  <w:noWrap w:val="0"/>
                  <w:vAlign w:val="center"/>
                </w:tcPr>
                <w:p w14:paraId="39A069B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2073" w:type="dxa"/>
                  <w:vMerge w:val="restart"/>
                  <w:noWrap w:val="0"/>
                  <w:vAlign w:val="center"/>
                </w:tcPr>
                <w:p w14:paraId="4259005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《环境空气质量标准》（GB3095-2012）中二级标准</w:t>
                  </w:r>
                </w:p>
              </w:tc>
            </w:tr>
            <w:tr w14:paraId="5B97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noWrap w:val="0"/>
                  <w:vAlign w:val="center"/>
                </w:tcPr>
                <w:p w14:paraId="39801FC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750" w:type="dxa"/>
                  <w:noWrap w:val="0"/>
                  <w:vAlign w:val="center"/>
                </w:tcPr>
                <w:p w14:paraId="6F8D827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95" w:type="dxa"/>
                  <w:noWrap w:val="0"/>
                  <w:vAlign w:val="center"/>
                </w:tcPr>
                <w:p w14:paraId="3DE6914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c>
                <w:tcPr>
                  <w:tcW w:w="788" w:type="dxa"/>
                  <w:noWrap w:val="0"/>
                  <w:vAlign w:val="center"/>
                </w:tcPr>
                <w:p w14:paraId="0B5F4FB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1217" w:type="dxa"/>
                  <w:noWrap w:val="0"/>
                  <w:vAlign w:val="center"/>
                </w:tcPr>
                <w:p w14:paraId="51507FE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noWrap w:val="0"/>
                  <w:vAlign w:val="center"/>
                </w:tcPr>
                <w:p w14:paraId="3A7D1000">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noWrap w:val="0"/>
                  <w:vAlign w:val="center"/>
                </w:tcPr>
                <w:p w14:paraId="7BC1F78C">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7BA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noWrap w:val="0"/>
                  <w:vAlign w:val="center"/>
                </w:tcPr>
                <w:p w14:paraId="5586586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750" w:type="dxa"/>
                  <w:noWrap w:val="0"/>
                  <w:vAlign w:val="center"/>
                </w:tcPr>
                <w:p w14:paraId="02F1BFCC">
                  <w:pPr>
                    <w:keepNext w:val="0"/>
                    <w:keepLines w:val="0"/>
                    <w:pageBreakBefore w:val="0"/>
                    <w:suppressLineNumbers w:val="0"/>
                    <w:tabs>
                      <w:tab w:val="left" w:pos="720"/>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95" w:type="dxa"/>
                  <w:noWrap w:val="0"/>
                  <w:vAlign w:val="center"/>
                </w:tcPr>
                <w:p w14:paraId="1DA19FB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788" w:type="dxa"/>
                  <w:noWrap w:val="0"/>
                  <w:vAlign w:val="center"/>
                </w:tcPr>
                <w:p w14:paraId="3A4ECF1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217" w:type="dxa"/>
                  <w:noWrap w:val="0"/>
                  <w:vAlign w:val="center"/>
                </w:tcPr>
                <w:p w14:paraId="17BBAA0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noWrap w:val="0"/>
                  <w:vAlign w:val="center"/>
                </w:tcPr>
                <w:p w14:paraId="61339D74">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noWrap w:val="0"/>
                  <w:vAlign w:val="center"/>
                </w:tcPr>
                <w:p w14:paraId="2B077803">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759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noWrap w:val="0"/>
                  <w:vAlign w:val="center"/>
                </w:tcPr>
                <w:p w14:paraId="15BAC0F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750" w:type="dxa"/>
                  <w:noWrap w:val="0"/>
                  <w:vAlign w:val="center"/>
                </w:tcPr>
                <w:p w14:paraId="2C1DCAF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95" w:type="dxa"/>
                  <w:noWrap w:val="0"/>
                  <w:vAlign w:val="center"/>
                </w:tcPr>
                <w:p w14:paraId="0C9D06C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88" w:type="dxa"/>
                  <w:noWrap w:val="0"/>
                  <w:vAlign w:val="center"/>
                </w:tcPr>
                <w:p w14:paraId="0AD96A0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1217" w:type="dxa"/>
                  <w:noWrap w:val="0"/>
                  <w:vAlign w:val="center"/>
                </w:tcPr>
                <w:p w14:paraId="75F73AF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745" w:type="dxa"/>
                  <w:vMerge w:val="continue"/>
                  <w:noWrap w:val="0"/>
                  <w:vAlign w:val="center"/>
                </w:tcPr>
                <w:p w14:paraId="321DE6F1">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noWrap w:val="0"/>
                  <w:vAlign w:val="center"/>
                </w:tcPr>
                <w:p w14:paraId="02DD7845">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351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noWrap w:val="0"/>
                  <w:vAlign w:val="center"/>
                </w:tcPr>
                <w:p w14:paraId="113829C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750" w:type="dxa"/>
                  <w:noWrap w:val="0"/>
                  <w:vAlign w:val="center"/>
                </w:tcPr>
                <w:p w14:paraId="3663A5E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995" w:type="dxa"/>
                  <w:noWrap w:val="0"/>
                  <w:vAlign w:val="center"/>
                </w:tcPr>
                <w:p w14:paraId="1C262B8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788" w:type="dxa"/>
                  <w:noWrap w:val="0"/>
                  <w:vAlign w:val="center"/>
                </w:tcPr>
                <w:p w14:paraId="5E69730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17" w:type="dxa"/>
                  <w:noWrap w:val="0"/>
                  <w:vAlign w:val="center"/>
                </w:tcPr>
                <w:p w14:paraId="24384B1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noWrap w:val="0"/>
                  <w:vAlign w:val="center"/>
                </w:tcPr>
                <w:p w14:paraId="056F728E">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noWrap w:val="0"/>
                  <w:vAlign w:val="center"/>
                </w:tcPr>
                <w:p w14:paraId="602BAC23">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BC6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noWrap w:val="0"/>
                  <w:vAlign w:val="center"/>
                </w:tcPr>
                <w:p w14:paraId="09BD368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750" w:type="dxa"/>
                  <w:noWrap w:val="0"/>
                  <w:vAlign w:val="center"/>
                </w:tcPr>
                <w:p w14:paraId="0453368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995" w:type="dxa"/>
                  <w:noWrap w:val="0"/>
                  <w:vAlign w:val="center"/>
                </w:tcPr>
                <w:p w14:paraId="4A10BB8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w:t>
                  </w:r>
                </w:p>
              </w:tc>
              <w:tc>
                <w:tcPr>
                  <w:tcW w:w="788" w:type="dxa"/>
                  <w:noWrap w:val="0"/>
                  <w:vAlign w:val="center"/>
                </w:tcPr>
                <w:p w14:paraId="748E22A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17" w:type="dxa"/>
                  <w:noWrap w:val="0"/>
                  <w:vAlign w:val="center"/>
                </w:tcPr>
                <w:p w14:paraId="6B0A853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noWrap w:val="0"/>
                  <w:vAlign w:val="center"/>
                </w:tcPr>
                <w:p w14:paraId="4E05F24B">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noWrap w:val="0"/>
                  <w:vAlign w:val="center"/>
                </w:tcPr>
                <w:p w14:paraId="44518E56">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3F0D374C">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）地表水环境</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p>
          <w:p w14:paraId="4DEDAE2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项目评价区域内地表水幽芳河</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高庙河</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柳林河</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新店河</w:t>
            </w:r>
            <w:r>
              <w:rPr>
                <w:rFonts w:hint="eastAsia" w:cs="Times New Roman"/>
                <w:b w:val="0"/>
                <w:bCs/>
                <w:color w:val="000000" w:themeColor="text1"/>
                <w:highlight w:val="none"/>
                <w:lang w:val="en-US" w:eastAsia="zh-CN"/>
                <w14:textFill>
                  <w14:solidFill>
                    <w14:schemeClr w14:val="tx1"/>
                  </w14:solidFill>
                </w14:textFill>
              </w:rPr>
              <w:t>最终汇入至东淠河，</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幽芳河</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高庙河</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柳林河</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新店河</w:t>
            </w:r>
            <w:r>
              <w:rPr>
                <w:rFonts w:hint="eastAsia" w:cs="Times New Roman"/>
                <w:b w:val="0"/>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东淠河环境质量执行《地表水环境质量标准》（GB3838-2002）中Ⅲ类水质标准。其标准限值见下表：</w:t>
            </w:r>
          </w:p>
          <w:p w14:paraId="064FDE37">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highlight w:val="none"/>
                <w:lang w:val="zh-CN" w:eastAsia="zh-CN"/>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eastAsia" w:cs="Times New Roman"/>
                <w:b/>
                <w:bCs/>
                <w:color w:val="000000" w:themeColor="text1"/>
                <w:highlight w:val="none"/>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highlight w:val="none"/>
                <w:lang w:val="zh-CN" w:eastAsia="zh-CN"/>
                <w14:textFill>
                  <w14:solidFill>
                    <w14:schemeClr w14:val="tx1"/>
                  </w14:solidFill>
                </w14:textFill>
              </w:rPr>
              <w:t xml:space="preserve"> 《地表水环境质量标准》   单位：</w:t>
            </w:r>
            <w:r>
              <w:rPr>
                <w:rFonts w:hint="eastAsia" w:cs="Times New Roman"/>
                <w:b/>
                <w:bCs/>
                <w:color w:val="000000" w:themeColor="text1"/>
                <w:highlight w:val="none"/>
                <w:lang w:val="zh-CN" w:eastAsia="zh-CN"/>
                <w14:textFill>
                  <w14:solidFill>
                    <w14:schemeClr w14:val="tx1"/>
                  </w14:solidFill>
                </w14:textFill>
              </w:rPr>
              <w:t>m</w:t>
            </w:r>
            <w:r>
              <w:rPr>
                <w:rFonts w:hint="default" w:ascii="Times New Roman" w:hAnsi="Times New Roman" w:eastAsia="宋体" w:cs="Times New Roman"/>
                <w:b/>
                <w:bCs/>
                <w:color w:val="000000" w:themeColor="text1"/>
                <w:highlight w:val="none"/>
                <w:lang w:val="zh-CN" w:eastAsia="zh-CN"/>
                <w14:textFill>
                  <w14:solidFill>
                    <w14:schemeClr w14:val="tx1"/>
                  </w14:solidFill>
                </w14:textFill>
              </w:rPr>
              <w:t>g/L，pH除外</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653"/>
              <w:gridCol w:w="3475"/>
            </w:tblGrid>
            <w:tr w14:paraId="3B76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4AC4907B">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序号</w:t>
                  </w:r>
                </w:p>
              </w:tc>
              <w:tc>
                <w:tcPr>
                  <w:tcW w:w="1700" w:type="pct"/>
                  <w:noWrap w:val="0"/>
                  <w:vAlign w:val="center"/>
                </w:tcPr>
                <w:p w14:paraId="677FC322">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项目</w:t>
                  </w:r>
                </w:p>
              </w:tc>
              <w:tc>
                <w:tcPr>
                  <w:tcW w:w="2227" w:type="pct"/>
                  <w:noWrap w:val="0"/>
                  <w:vAlign w:val="center"/>
                </w:tcPr>
                <w:p w14:paraId="71EFFBF6">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2"/>
                      <w:u w:val="none"/>
                      <w14:textFill>
                        <w14:solidFill>
                          <w14:schemeClr w14:val="tx1"/>
                        </w14:solidFill>
                      </w14:textFill>
                    </w:rPr>
                  </w:pP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Ⅲ类</w:t>
                  </w:r>
                </w:p>
              </w:tc>
            </w:tr>
            <w:tr w14:paraId="0053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3C75379D">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1</w:t>
                  </w:r>
                </w:p>
              </w:tc>
              <w:tc>
                <w:tcPr>
                  <w:tcW w:w="1700" w:type="pct"/>
                  <w:noWrap w:val="0"/>
                  <w:vAlign w:val="center"/>
                </w:tcPr>
                <w:p w14:paraId="05C09587">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pH</w:t>
                  </w:r>
                </w:p>
              </w:tc>
              <w:tc>
                <w:tcPr>
                  <w:tcW w:w="2227" w:type="pct"/>
                  <w:noWrap w:val="0"/>
                  <w:vAlign w:val="center"/>
                </w:tcPr>
                <w:p w14:paraId="5B978DFF">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2"/>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6-9（无量纲）</w:t>
                  </w:r>
                </w:p>
              </w:tc>
            </w:tr>
            <w:tr w14:paraId="51C9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09B3A357">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2</w:t>
                  </w:r>
                </w:p>
              </w:tc>
              <w:tc>
                <w:tcPr>
                  <w:tcW w:w="1700" w:type="pct"/>
                  <w:noWrap w:val="0"/>
                  <w:vAlign w:val="center"/>
                </w:tcPr>
                <w:p w14:paraId="7E1E2DAD">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COD</w:t>
                  </w:r>
                </w:p>
              </w:tc>
              <w:tc>
                <w:tcPr>
                  <w:tcW w:w="2227" w:type="pct"/>
                  <w:noWrap w:val="0"/>
                  <w:vAlign w:val="center"/>
                </w:tcPr>
                <w:p w14:paraId="25E45AA7">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20</w:t>
                  </w:r>
                </w:p>
              </w:tc>
            </w:tr>
            <w:tr w14:paraId="261C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5BA722F2">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3</w:t>
                  </w:r>
                </w:p>
              </w:tc>
              <w:tc>
                <w:tcPr>
                  <w:tcW w:w="1700" w:type="pct"/>
                  <w:noWrap w:val="0"/>
                  <w:vAlign w:val="center"/>
                </w:tcPr>
                <w:p w14:paraId="17474EEF">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BODs</w:t>
                  </w:r>
                </w:p>
              </w:tc>
              <w:tc>
                <w:tcPr>
                  <w:tcW w:w="2227" w:type="pct"/>
                  <w:noWrap w:val="0"/>
                  <w:vAlign w:val="center"/>
                </w:tcPr>
                <w:p w14:paraId="28C0E954">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4</w:t>
                  </w:r>
                </w:p>
              </w:tc>
            </w:tr>
            <w:tr w14:paraId="1D12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2F3834EC">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4</w:t>
                  </w:r>
                </w:p>
              </w:tc>
              <w:tc>
                <w:tcPr>
                  <w:tcW w:w="1700" w:type="pct"/>
                  <w:noWrap w:val="0"/>
                  <w:vAlign w:val="center"/>
                </w:tcPr>
                <w:p w14:paraId="2AFE2A9E">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NH3-N</w:t>
                  </w:r>
                </w:p>
              </w:tc>
              <w:tc>
                <w:tcPr>
                  <w:tcW w:w="2227" w:type="pct"/>
                  <w:noWrap w:val="0"/>
                  <w:vAlign w:val="center"/>
                </w:tcPr>
                <w:p w14:paraId="1092F250">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w:t>
                  </w:r>
                </w:p>
              </w:tc>
            </w:tr>
            <w:tr w14:paraId="4B39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573807E9">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5</w:t>
                  </w:r>
                </w:p>
              </w:tc>
              <w:tc>
                <w:tcPr>
                  <w:tcW w:w="1700" w:type="pct"/>
                  <w:noWrap w:val="0"/>
                  <w:vAlign w:val="center"/>
                </w:tcPr>
                <w:p w14:paraId="577BF631">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TP</w:t>
                  </w:r>
                </w:p>
              </w:tc>
              <w:tc>
                <w:tcPr>
                  <w:tcW w:w="2227" w:type="pct"/>
                  <w:noWrap w:val="0"/>
                  <w:vAlign w:val="center"/>
                </w:tcPr>
                <w:p w14:paraId="51DC9335">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0.2</w:t>
                  </w:r>
                </w:p>
              </w:tc>
            </w:tr>
            <w:tr w14:paraId="6647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4C1AA9D6">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6</w:t>
                  </w:r>
                </w:p>
              </w:tc>
              <w:tc>
                <w:tcPr>
                  <w:tcW w:w="1700" w:type="pct"/>
                  <w:noWrap w:val="0"/>
                  <w:vAlign w:val="center"/>
                </w:tcPr>
                <w:p w14:paraId="74D30653">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TN</w:t>
                  </w:r>
                </w:p>
              </w:tc>
              <w:tc>
                <w:tcPr>
                  <w:tcW w:w="2227" w:type="pct"/>
                  <w:noWrap w:val="0"/>
                  <w:vAlign w:val="center"/>
                </w:tcPr>
                <w:p w14:paraId="7D849BD3">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1</w:t>
                  </w:r>
                </w:p>
              </w:tc>
            </w:tr>
          </w:tbl>
          <w:p w14:paraId="17C0E4B2">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p>
          <w:p w14:paraId="49334F24">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（3）声环境质量标准</w:t>
            </w:r>
          </w:p>
          <w:p w14:paraId="2D20FBF8">
            <w:pPr>
              <w:keepNext w:val="0"/>
              <w:keepLines w:val="0"/>
              <w:pageBreakBefore w:val="0"/>
              <w:widowControl w:val="0"/>
              <w:suppressLineNumbers w:val="0"/>
              <w:spacing w:before="0" w:beforeAutospacing="0" w:after="0" w:afterAutospacing="0" w:line="360" w:lineRule="auto"/>
              <w:ind w:left="0" w:right="0" w:firstLine="480"/>
              <w:jc w:val="left"/>
              <w:rPr>
                <w:rFonts w:hint="default"/>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本工程涉及区域主要包括集镇和农村，拟建项目所在区域包括1类区、2类区，</w:t>
            </w:r>
            <w:r>
              <w:rPr>
                <w:rFonts w:hint="eastAsia" w:cs="Times New Roman"/>
                <w:color w:val="000000" w:themeColor="text1"/>
                <w:sz w:val="24"/>
                <w:highlight w:val="none"/>
                <w:lang w:val="en-US" w:eastAsia="zh-CN"/>
                <w14:textFill>
                  <w14:solidFill>
                    <w14:schemeClr w14:val="tx1"/>
                  </w14:solidFill>
                </w14:textFill>
              </w:rPr>
              <w:t>城市主干道道路</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35</w:t>
            </w:r>
            <w:r>
              <w:rPr>
                <w:rFonts w:hint="eastAsia"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区域执行《声环境质量标准》（GB3096-2008）4a类声环境质量标准，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本项目声环境质量标准遵循</w:t>
            </w:r>
            <w:r>
              <w:rPr>
                <w:rFonts w:hint="default" w:ascii="Times New Roman" w:hAnsi="Times New Roman" w:eastAsia="宋体" w:cs="Times New Roman"/>
                <w:color w:val="000000" w:themeColor="text1"/>
                <w:sz w:val="24"/>
                <w:highlight w:val="none"/>
                <w14:textFill>
                  <w14:solidFill>
                    <w14:schemeClr w14:val="tx1"/>
                  </w14:solidFill>
                </w14:textFill>
              </w:rPr>
              <w:t>《声环境质量标准》（GB30192-2008）中的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类</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2类</w:t>
            </w:r>
            <w:r>
              <w:rPr>
                <w:rFonts w:hint="default" w:ascii="Times New Roman" w:hAnsi="Times New Roman" w:eastAsia="宋体" w:cs="Times New Roman"/>
                <w:color w:val="000000" w:themeColor="text1"/>
                <w:sz w:val="24"/>
                <w:highlight w:val="none"/>
                <w14:textFill>
                  <w14:solidFill>
                    <w14:schemeClr w14:val="tx1"/>
                  </w14:solidFill>
                </w14:textFill>
              </w:rPr>
              <w:t>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，见下表。</w:t>
            </w:r>
          </w:p>
          <w:p w14:paraId="5B882567">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eastAsia" w:cs="Times New Roman"/>
                <w:b/>
                <w:bCs/>
                <w:color w:val="000000" w:themeColor="text1"/>
                <w:highlight w:val="none"/>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highlight w:val="none"/>
                <w14:textFill>
                  <w14:solidFill>
                    <w14:schemeClr w14:val="tx1"/>
                  </w14:solidFill>
                </w14:textFill>
              </w:rPr>
              <w:t>《声环境质量标准》（GB30192-2008）中的</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highlight w:val="none"/>
                <w14:textFill>
                  <w14:solidFill>
                    <w14:schemeClr w14:val="tx1"/>
                  </w14:solidFill>
                </w14:textFill>
              </w:rPr>
              <w:t>类标准</w:t>
            </w:r>
          </w:p>
          <w:tbl>
            <w:tblPr>
              <w:tblStyle w:val="3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3167"/>
              <w:gridCol w:w="3213"/>
            </w:tblGrid>
            <w:tr w14:paraId="59DB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noWrap w:val="0"/>
                  <w:vAlign w:val="center"/>
                </w:tcPr>
                <w:p w14:paraId="06944B8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类别</w:t>
                  </w:r>
                </w:p>
              </w:tc>
              <w:tc>
                <w:tcPr>
                  <w:tcW w:w="3167" w:type="dxa"/>
                  <w:noWrap w:val="0"/>
                  <w:vAlign w:val="center"/>
                </w:tcPr>
                <w:p w14:paraId="3315B8A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昼间</w:t>
                  </w:r>
                  <w:r>
                    <w:rPr>
                      <w:rFonts w:hint="default" w:ascii="Times New Roman" w:hAnsi="Times New Roman" w:eastAsia="宋体" w:cs="Times New Roman"/>
                      <w:bCs/>
                      <w:color w:val="000000" w:themeColor="text1"/>
                      <w:sz w:val="21"/>
                      <w:szCs w:val="21"/>
                      <w:highlight w:val="none"/>
                      <w14:textFill>
                        <w14:solidFill>
                          <w14:schemeClr w14:val="tx1"/>
                        </w14:solidFill>
                      </w14:textFill>
                    </w:rPr>
                    <w:t>dB(A)</w:t>
                  </w:r>
                </w:p>
              </w:tc>
              <w:tc>
                <w:tcPr>
                  <w:tcW w:w="3213" w:type="dxa"/>
                  <w:noWrap w:val="0"/>
                  <w:vAlign w:val="center"/>
                </w:tcPr>
                <w:p w14:paraId="4B421EA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夜间</w:t>
                  </w:r>
                  <w:r>
                    <w:rPr>
                      <w:rFonts w:hint="default" w:ascii="Times New Roman" w:hAnsi="Times New Roman" w:eastAsia="宋体" w:cs="Times New Roman"/>
                      <w:bCs/>
                      <w:color w:val="000000" w:themeColor="text1"/>
                      <w:sz w:val="21"/>
                      <w:szCs w:val="21"/>
                      <w:highlight w:val="none"/>
                      <w14:textFill>
                        <w14:solidFill>
                          <w14:schemeClr w14:val="tx1"/>
                        </w14:solidFill>
                      </w14:textFill>
                    </w:rPr>
                    <w:t>dB(A)</w:t>
                  </w:r>
                </w:p>
              </w:tc>
            </w:tr>
            <w:tr w14:paraId="7616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noWrap w:val="0"/>
                  <w:vAlign w:val="center"/>
                </w:tcPr>
                <w:p w14:paraId="2F4FDD0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14:textFill>
                        <w14:solidFill>
                          <w14:schemeClr w14:val="tx1"/>
                        </w14:solidFill>
                      </w14:textFill>
                    </w:rPr>
                    <w:t>类</w:t>
                  </w:r>
                </w:p>
              </w:tc>
              <w:tc>
                <w:tcPr>
                  <w:tcW w:w="3167" w:type="dxa"/>
                  <w:noWrap w:val="0"/>
                  <w:vAlign w:val="center"/>
                </w:tcPr>
                <w:p w14:paraId="701DFCE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55</w:t>
                  </w:r>
                </w:p>
              </w:tc>
              <w:tc>
                <w:tcPr>
                  <w:tcW w:w="3213" w:type="dxa"/>
                  <w:noWrap w:val="0"/>
                  <w:vAlign w:val="center"/>
                </w:tcPr>
                <w:p w14:paraId="5CDCD7A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45</w:t>
                  </w:r>
                </w:p>
              </w:tc>
            </w:tr>
            <w:tr w14:paraId="2A12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noWrap w:val="0"/>
                  <w:vAlign w:val="center"/>
                </w:tcPr>
                <w:p w14:paraId="3CD7BC6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2类</w:t>
                  </w:r>
                </w:p>
              </w:tc>
              <w:tc>
                <w:tcPr>
                  <w:tcW w:w="3167" w:type="dxa"/>
                  <w:noWrap w:val="0"/>
                  <w:vAlign w:val="center"/>
                </w:tcPr>
                <w:p w14:paraId="2CE200F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60</w:t>
                  </w:r>
                </w:p>
              </w:tc>
              <w:tc>
                <w:tcPr>
                  <w:tcW w:w="3213" w:type="dxa"/>
                  <w:noWrap w:val="0"/>
                  <w:vAlign w:val="center"/>
                </w:tcPr>
                <w:p w14:paraId="6C6ACF3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55</w:t>
                  </w:r>
                </w:p>
              </w:tc>
            </w:tr>
            <w:tr w14:paraId="5977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noWrap w:val="0"/>
                  <w:vAlign w:val="center"/>
                </w:tcPr>
                <w:p w14:paraId="6B3AFB29">
                  <w:pPr>
                    <w:keepNext w:val="0"/>
                    <w:keepLines w:val="0"/>
                    <w:pageBreakBefore w:val="0"/>
                    <w:suppressLineNumbers w:val="0"/>
                    <w:spacing w:before="0" w:beforeAutospacing="0" w:after="0" w:afterAutospacing="0" w:line="240" w:lineRule="auto"/>
                    <w:ind w:left="0" w:right="0" w:firstLine="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4a类</w:t>
                  </w:r>
                </w:p>
              </w:tc>
              <w:tc>
                <w:tcPr>
                  <w:tcW w:w="3167" w:type="dxa"/>
                  <w:noWrap w:val="0"/>
                  <w:vAlign w:val="center"/>
                </w:tcPr>
                <w:p w14:paraId="5AE27C44">
                  <w:pPr>
                    <w:keepNext w:val="0"/>
                    <w:keepLines w:val="0"/>
                    <w:pageBreakBefore w:val="0"/>
                    <w:suppressLineNumbers w:val="0"/>
                    <w:spacing w:before="0" w:beforeAutospacing="0" w:after="0" w:afterAutospacing="0" w:line="240" w:lineRule="auto"/>
                    <w:ind w:left="0" w:right="0" w:firstLine="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70</w:t>
                  </w:r>
                </w:p>
              </w:tc>
              <w:tc>
                <w:tcPr>
                  <w:tcW w:w="3213" w:type="dxa"/>
                  <w:noWrap w:val="0"/>
                  <w:vAlign w:val="center"/>
                </w:tcPr>
                <w:p w14:paraId="1A4BBA72">
                  <w:pPr>
                    <w:keepNext w:val="0"/>
                    <w:keepLines w:val="0"/>
                    <w:pageBreakBefore w:val="0"/>
                    <w:suppressLineNumbers w:val="0"/>
                    <w:spacing w:before="0" w:beforeAutospacing="0" w:after="0" w:afterAutospacing="0" w:line="240" w:lineRule="auto"/>
                    <w:ind w:left="0" w:right="0" w:firstLine="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55</w:t>
                  </w:r>
                </w:p>
              </w:tc>
            </w:tr>
          </w:tbl>
          <w:p w14:paraId="6578BD11">
            <w:pPr>
              <w:keepNext w:val="0"/>
              <w:keepLines w:val="0"/>
              <w:pageBreakBefore w:val="0"/>
              <w:widowControl w:val="0"/>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、污染物排放标准</w:t>
            </w:r>
          </w:p>
          <w:p w14:paraId="3166D4A0">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大气污染物排放标准</w:t>
            </w:r>
          </w:p>
          <w:p w14:paraId="125F770F">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本项目施工期大气污染物排放标准执行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《施工场地颗粒物排放标准》（DB34/4811-2024）表1中监测点颗粒物排放要求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营运期无废气排放</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见下表。</w:t>
            </w:r>
          </w:p>
          <w:p w14:paraId="3A4B889E">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表3-</w:t>
            </w:r>
            <w:r>
              <w:rPr>
                <w:rFonts w:hint="eastAsia" w:cs="Times New Roman"/>
                <w:b/>
                <w:bCs/>
                <w:color w:val="000000" w:themeColor="text1"/>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 施工期监测点</w:t>
            </w:r>
            <w:r>
              <w:rPr>
                <w:rFonts w:hint="default" w:ascii="Times New Roman" w:hAnsi="Times New Roman" w:eastAsia="宋体" w:cs="Times New Roman"/>
                <w:b/>
                <w:bCs/>
                <w:color w:val="000000" w:themeColor="text1"/>
                <w:highlight w:val="none"/>
                <w14:textFill>
                  <w14:solidFill>
                    <w14:schemeClr w14:val="tx1"/>
                  </w14:solidFill>
                </w14:textFill>
              </w:rPr>
              <w:t>排放限值</w:t>
            </w:r>
          </w:p>
          <w:tbl>
            <w:tblPr>
              <w:tblStyle w:val="40"/>
              <w:tblW w:w="7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230"/>
              <w:gridCol w:w="2145"/>
              <w:gridCol w:w="2948"/>
            </w:tblGrid>
            <w:tr w14:paraId="201E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dxa"/>
                  <w:noWrap w:val="0"/>
                  <w:vAlign w:val="center"/>
                </w:tcPr>
                <w:p w14:paraId="50EBE1F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t>控制项目</w:t>
                  </w:r>
                </w:p>
              </w:tc>
              <w:tc>
                <w:tcPr>
                  <w:tcW w:w="1230" w:type="dxa"/>
                  <w:noWrap w:val="0"/>
                  <w:vAlign w:val="center"/>
                </w:tcPr>
                <w:p w14:paraId="7AE1AD8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t>单位</w:t>
                  </w:r>
                </w:p>
              </w:tc>
              <w:tc>
                <w:tcPr>
                  <w:tcW w:w="2145" w:type="dxa"/>
                  <w:noWrap w:val="0"/>
                  <w:vAlign w:val="center"/>
                </w:tcPr>
                <w:p w14:paraId="7958FCE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t>监测点浓度限值</w:t>
                  </w:r>
                </w:p>
              </w:tc>
              <w:tc>
                <w:tcPr>
                  <w:tcW w:w="2948" w:type="dxa"/>
                  <w:noWrap w:val="0"/>
                  <w:vAlign w:val="center"/>
                </w:tcPr>
                <w:p w14:paraId="3115D7C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eastAsia="zh-CN"/>
                      <w14:textFill>
                        <w14:solidFill>
                          <w14:schemeClr w14:val="tx1"/>
                        </w14:solidFill>
                      </w14:textFill>
                    </w:rPr>
                    <w:t>达标判定依据</w:t>
                  </w:r>
                </w:p>
              </w:tc>
            </w:tr>
            <w:tr w14:paraId="3A92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dxa"/>
                  <w:vMerge w:val="restart"/>
                  <w:noWrap w:val="0"/>
                  <w:vAlign w:val="center"/>
                </w:tcPr>
                <w:p w14:paraId="4C4D818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TSP</w:t>
                  </w:r>
                </w:p>
              </w:tc>
              <w:tc>
                <w:tcPr>
                  <w:tcW w:w="1230" w:type="dxa"/>
                  <w:vMerge w:val="restart"/>
                  <w:noWrap w:val="0"/>
                  <w:vAlign w:val="center"/>
                </w:tcPr>
                <w:p w14:paraId="70F3A0A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2145" w:type="dxa"/>
                  <w:noWrap w:val="0"/>
                  <w:vAlign w:val="center"/>
                </w:tcPr>
                <w:p w14:paraId="2615BF4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w:t>
                  </w:r>
                </w:p>
              </w:tc>
              <w:tc>
                <w:tcPr>
                  <w:tcW w:w="2948" w:type="dxa"/>
                  <w:noWrap w:val="0"/>
                  <w:vAlign w:val="center"/>
                </w:tcPr>
                <w:p w14:paraId="3FF21E8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超标次数≤1次/日</w:t>
                  </w:r>
                </w:p>
              </w:tc>
            </w:tr>
            <w:tr w14:paraId="19D0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dxa"/>
                  <w:vMerge w:val="continue"/>
                  <w:noWrap w:val="0"/>
                  <w:vAlign w:val="center"/>
                </w:tcPr>
                <w:p w14:paraId="36DC8B2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30" w:type="dxa"/>
                  <w:vMerge w:val="continue"/>
                  <w:noWrap w:val="0"/>
                  <w:vAlign w:val="center"/>
                </w:tcPr>
                <w:p w14:paraId="324377F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145" w:type="dxa"/>
                  <w:noWrap w:val="0"/>
                  <w:vAlign w:val="center"/>
                </w:tcPr>
                <w:p w14:paraId="6D20433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500</w:t>
                  </w:r>
                </w:p>
              </w:tc>
              <w:tc>
                <w:tcPr>
                  <w:tcW w:w="2948" w:type="dxa"/>
                  <w:noWrap w:val="0"/>
                  <w:vAlign w:val="center"/>
                </w:tcPr>
                <w:p w14:paraId="00CB050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超标次数≤1次/日</w:t>
                  </w:r>
                </w:p>
              </w:tc>
            </w:tr>
          </w:tbl>
          <w:p w14:paraId="53F7F040">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噪声排放标准</w:t>
            </w:r>
          </w:p>
          <w:p w14:paraId="18DF5043">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本项目施工期厂界噪声排放标准执行《建筑施工场界环境噪声排放标准》（GB12523-20</w:t>
            </w:r>
            <w:r>
              <w:rPr>
                <w:rFonts w:hint="eastAsia" w:cs="Times New Roman"/>
                <w:color w:val="000000" w:themeColor="text1"/>
                <w:sz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），见下表。</w:t>
            </w:r>
          </w:p>
          <w:p w14:paraId="38C3BC85">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eastAsia" w:cs="Times New Roman"/>
                <w:b/>
                <w:bCs/>
                <w:color w:val="000000" w:themeColor="text1"/>
                <w:highlight w:val="none"/>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highlight w:val="none"/>
                <w14:textFill>
                  <w14:solidFill>
                    <w14:schemeClr w14:val="tx1"/>
                  </w14:solidFill>
                </w14:textFill>
              </w:rPr>
              <w:t>《建筑施工场界环境噪声排放标准》（GB12523-20</w:t>
            </w:r>
            <w:r>
              <w:rPr>
                <w:rFonts w:hint="eastAsia" w:cs="Times New Roman"/>
                <w:b/>
                <w:bCs/>
                <w:color w:val="000000" w:themeColor="text1"/>
                <w:highlight w:val="none"/>
                <w:lang w:val="en-US" w:eastAsia="zh-CN"/>
                <w14:textFill>
                  <w14:solidFill>
                    <w14:schemeClr w14:val="tx1"/>
                  </w14:solidFill>
                </w14:textFill>
              </w:rPr>
              <w:t>25</w:t>
            </w:r>
            <w:r>
              <w:rPr>
                <w:rFonts w:hint="default" w:ascii="Times New Roman" w:hAnsi="Times New Roman" w:eastAsia="宋体" w:cs="Times New Roman"/>
                <w:b/>
                <w:bCs/>
                <w:color w:val="000000" w:themeColor="text1"/>
                <w:highlight w:val="none"/>
                <w14:textFill>
                  <w14:solidFill>
                    <w14:schemeClr w14:val="tx1"/>
                  </w14:solidFill>
                </w14:textFill>
              </w:rPr>
              <w:t>）</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3987"/>
              <w:gridCol w:w="2016"/>
            </w:tblGrid>
            <w:tr w14:paraId="68E2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865" w:type="dxa"/>
                  <w:vMerge w:val="restart"/>
                  <w:noWrap w:val="0"/>
                  <w:vAlign w:val="center"/>
                </w:tcPr>
                <w:p w14:paraId="121B9CFB">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施工阶段</w:t>
                  </w:r>
                </w:p>
              </w:tc>
              <w:tc>
                <w:tcPr>
                  <w:tcW w:w="6242" w:type="dxa"/>
                  <w:gridSpan w:val="2"/>
                  <w:noWrap w:val="0"/>
                  <w:vAlign w:val="center"/>
                </w:tcPr>
                <w:p w14:paraId="0444E693">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噪声限值〔dB(A)〕</w:t>
                  </w:r>
                </w:p>
              </w:tc>
            </w:tr>
            <w:tr w14:paraId="109B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5" w:type="dxa"/>
                  <w:vMerge w:val="continue"/>
                  <w:noWrap w:val="0"/>
                  <w:vAlign w:val="center"/>
                </w:tcPr>
                <w:p w14:paraId="75E28C80">
                  <w:pPr>
                    <w:keepNext w:val="0"/>
                    <w:keepLines w:val="0"/>
                    <w:pageBreakBefore w:val="0"/>
                    <w:widowControl/>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49" w:type="dxa"/>
                  <w:noWrap w:val="0"/>
                  <w:vAlign w:val="center"/>
                </w:tcPr>
                <w:p w14:paraId="2B9E64D1">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昼间70</w:t>
                  </w:r>
                </w:p>
              </w:tc>
              <w:tc>
                <w:tcPr>
                  <w:tcW w:w="2093" w:type="dxa"/>
                  <w:noWrap w:val="0"/>
                  <w:vAlign w:val="center"/>
                </w:tcPr>
                <w:p w14:paraId="64B2EA50">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夜间55</w:t>
                  </w:r>
                </w:p>
              </w:tc>
            </w:tr>
          </w:tbl>
          <w:p w14:paraId="32FBFE1F">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废水污染物排放标准</w:t>
            </w:r>
          </w:p>
          <w:p w14:paraId="48C01CA5">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项目施工废水经隔油、沉淀后回用，不外排；施工生活区租赁周边民房，生活污水经化粪池预处理后厌氧沤肥后农用或接管市政污水管网；</w:t>
            </w:r>
            <w:r>
              <w:rPr>
                <w:rFonts w:hint="default" w:ascii="Times New Roman" w:hAnsi="Times New Roman" w:cs="Times New Roman"/>
                <w:color w:val="000000" w:themeColor="text1"/>
                <w:lang w:val="en-US" w:eastAsia="zh-CN"/>
                <w14:textFill>
                  <w14:solidFill>
                    <w14:schemeClr w14:val="tx1"/>
                  </w14:solidFill>
                </w14:textFill>
              </w:rPr>
              <w:t>运营期废水主要为收集的收集的沿河居民生活污水，除纳管的部分村庄外，较为集中的村庄采用集中污水处理，集中污水处理设施选用净化槽工艺，对于村庄较为分散的采用资源化利用工艺，出水达到安徽省地方标准《农村生活污水处理设施水污染物排放标准》(DB34/3527-2019)一级标准B标准。</w:t>
            </w:r>
          </w:p>
          <w:p w14:paraId="1E964A20">
            <w:pPr>
              <w:keepNext w:val="0"/>
              <w:keepLines w:val="0"/>
              <w:pageBreakBefore w:val="0"/>
              <w:widowControl/>
              <w:suppressLineNumbers w:val="0"/>
              <w:spacing w:before="0" w:beforeAutospacing="0" w:after="0" w:afterAutospacing="0" w:line="360" w:lineRule="auto"/>
              <w:ind w:left="0" w:right="0"/>
              <w:jc w:val="left"/>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结合周边情况，可排入农灌沟进行农用回灌，或者进行林地漫灌</w:t>
            </w:r>
            <w:r>
              <w:rPr>
                <w:rFonts w:hint="eastAsia"/>
                <w:color w:val="000000" w:themeColor="text1"/>
                <w:lang w:val="en-US" w:eastAsia="zh-CN"/>
                <w14:textFill>
                  <w14:solidFill>
                    <w14:schemeClr w14:val="tx1"/>
                  </w14:solidFill>
                </w14:textFill>
              </w:rPr>
              <w:t>，不直接排放至地表水环境。</w:t>
            </w:r>
          </w:p>
          <w:p w14:paraId="511B95C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themeColor="text1"/>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highlight w:val="none"/>
                <w:lang w:val="zh-CN" w:eastAsia="zh-CN"/>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eastAsia" w:cs="Times New Roman"/>
                <w:b/>
                <w:bCs/>
                <w:color w:val="000000" w:themeColor="text1"/>
                <w:highlight w:val="none"/>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highlight w:val="none"/>
                <w:lang w:val="zh-CN" w:eastAsia="zh-CN"/>
                <w14:textFill>
                  <w14:solidFill>
                    <w14:schemeClr w14:val="tx1"/>
                  </w14:solidFill>
                </w14:textFill>
              </w:rPr>
              <w:t xml:space="preserve"> 《农村生活污水处理设施水污染物排放标准》(DB34/3527-2019)</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731"/>
              <w:gridCol w:w="1731"/>
              <w:gridCol w:w="2666"/>
            </w:tblGrid>
            <w:tr w14:paraId="5E27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32028A4F">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u w:val="none"/>
                      <w:lang w:val="en-US" w:eastAsia="zh-CN" w:bidi="ar"/>
                      <w14:textFill>
                        <w14:solidFill>
                          <w14:schemeClr w14:val="tx1"/>
                        </w14:solidFill>
                      </w14:textFill>
                    </w:rPr>
                    <w:t>序号</w:t>
                  </w:r>
                </w:p>
              </w:tc>
              <w:tc>
                <w:tcPr>
                  <w:tcW w:w="1109" w:type="pct"/>
                  <w:noWrap w:val="0"/>
                  <w:vAlign w:val="center"/>
                </w:tcPr>
                <w:p w14:paraId="4DFB2C4E">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u w:val="none"/>
                      <w:lang w:val="en-US" w:eastAsia="zh-CN" w:bidi="ar"/>
                      <w14:textFill>
                        <w14:solidFill>
                          <w14:schemeClr w14:val="tx1"/>
                        </w14:solidFill>
                      </w14:textFill>
                    </w:rPr>
                    <w:t>项目</w:t>
                  </w:r>
                </w:p>
              </w:tc>
              <w:tc>
                <w:tcPr>
                  <w:tcW w:w="1109" w:type="pct"/>
                  <w:noWrap w:val="0"/>
                  <w:vAlign w:val="center"/>
                </w:tcPr>
                <w:p w14:paraId="3F28E0B5">
                  <w:pPr>
                    <w:keepNext w:val="0"/>
                    <w:keepLines w:val="0"/>
                    <w:widowControl/>
                    <w:suppressLineNumbers w:val="0"/>
                    <w:spacing w:before="0" w:beforeAutospacing="0" w:after="0" w:afterAutospacing="0" w:line="240" w:lineRule="auto"/>
                    <w:ind w:left="0" w:right="0" w:firstLine="0"/>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default" w:cs="Times New Roman"/>
                      <w:b/>
                      <w:bCs/>
                      <w:i w:val="0"/>
                      <w:iCs w:val="0"/>
                      <w:color w:val="000000" w:themeColor="text1"/>
                      <w:sz w:val="21"/>
                      <w:szCs w:val="21"/>
                      <w:u w:val="none"/>
                      <w:lang w:val="en-US" w:eastAsia="zh-CN"/>
                      <w14:textFill>
                        <w14:solidFill>
                          <w14:schemeClr w14:val="tx1"/>
                        </w14:solidFill>
                      </w14:textFill>
                    </w:rPr>
                    <w:t>单位</w:t>
                  </w:r>
                </w:p>
              </w:tc>
              <w:tc>
                <w:tcPr>
                  <w:tcW w:w="1708" w:type="pct"/>
                  <w:noWrap w:val="0"/>
                  <w:vAlign w:val="center"/>
                </w:tcPr>
                <w:p w14:paraId="127637EB">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zh-CN"/>
                      <w14:textFill>
                        <w14:solidFill>
                          <w14:schemeClr w14:val="tx1"/>
                        </w14:solidFill>
                      </w14:textFill>
                    </w:rPr>
                    <w:t>一级标准B标准</w:t>
                  </w:r>
                </w:p>
              </w:tc>
            </w:tr>
            <w:tr w14:paraId="765B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1C7996DB">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1</w:t>
                  </w:r>
                </w:p>
              </w:tc>
              <w:tc>
                <w:tcPr>
                  <w:tcW w:w="1109" w:type="pct"/>
                  <w:noWrap w:val="0"/>
                  <w:vAlign w:val="center"/>
                </w:tcPr>
                <w:p w14:paraId="69BD6B25">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pH</w:t>
                  </w:r>
                  <w:r>
                    <w:rPr>
                      <w:rFonts w:hint="eastAsia" w:cs="Times New Roman"/>
                      <w:i w:val="0"/>
                      <w:iCs w:val="0"/>
                      <w:color w:val="000000" w:themeColor="text1"/>
                      <w:sz w:val="21"/>
                      <w:szCs w:val="21"/>
                      <w:u w:val="none"/>
                      <w:lang w:val="en-US" w:eastAsia="zh-CN" w:bidi="ar"/>
                      <w14:textFill>
                        <w14:solidFill>
                          <w14:schemeClr w14:val="tx1"/>
                        </w14:solidFill>
                      </w14:textFill>
                    </w:rPr>
                    <w:t>值</w:t>
                  </w:r>
                </w:p>
              </w:tc>
              <w:tc>
                <w:tcPr>
                  <w:tcW w:w="1109" w:type="pct"/>
                  <w:noWrap w:val="0"/>
                  <w:vAlign w:val="center"/>
                </w:tcPr>
                <w:p w14:paraId="7F188427">
                  <w:pPr>
                    <w:keepNext w:val="0"/>
                    <w:keepLines w:val="0"/>
                    <w:widowControl/>
                    <w:suppressLineNumbers w:val="0"/>
                    <w:spacing w:before="0" w:beforeAutospacing="0" w:after="0" w:afterAutospacing="0" w:line="240" w:lineRule="auto"/>
                    <w:ind w:left="0" w:right="0" w:firstLine="0"/>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无量纲</w:t>
                  </w:r>
                </w:p>
              </w:tc>
              <w:tc>
                <w:tcPr>
                  <w:tcW w:w="1708" w:type="pct"/>
                  <w:noWrap w:val="0"/>
                  <w:vAlign w:val="center"/>
                </w:tcPr>
                <w:p w14:paraId="59EA4E1C">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2"/>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6-9（无量纲）</w:t>
                  </w:r>
                </w:p>
              </w:tc>
            </w:tr>
            <w:tr w14:paraId="58A1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1072FB43">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2</w:t>
                  </w:r>
                </w:p>
              </w:tc>
              <w:tc>
                <w:tcPr>
                  <w:tcW w:w="1109" w:type="pct"/>
                  <w:noWrap w:val="0"/>
                  <w:vAlign w:val="center"/>
                </w:tcPr>
                <w:p w14:paraId="36AF71B7">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COD</w:t>
                  </w:r>
                </w:p>
              </w:tc>
              <w:tc>
                <w:tcPr>
                  <w:tcW w:w="1109" w:type="pct"/>
                  <w:noWrap w:val="0"/>
                  <w:vAlign w:val="center"/>
                </w:tcPr>
                <w:p w14:paraId="52598820">
                  <w:pPr>
                    <w:keepNext w:val="0"/>
                    <w:keepLines w:val="0"/>
                    <w:widowControl/>
                    <w:suppressLineNumbers w:val="0"/>
                    <w:spacing w:before="0" w:beforeAutospacing="0" w:after="0" w:afterAutospacing="0" w:line="240" w:lineRule="auto"/>
                    <w:ind w:left="0" w:right="0" w:firstLine="0"/>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3CA52DDB">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60</w:t>
                  </w:r>
                </w:p>
              </w:tc>
            </w:tr>
            <w:tr w14:paraId="69D6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0EA7AF64">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3</w:t>
                  </w:r>
                </w:p>
              </w:tc>
              <w:tc>
                <w:tcPr>
                  <w:tcW w:w="1109" w:type="pct"/>
                  <w:noWrap w:val="0"/>
                  <w:vAlign w:val="center"/>
                </w:tcPr>
                <w:p w14:paraId="78E32500">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SS</w:t>
                  </w:r>
                </w:p>
              </w:tc>
              <w:tc>
                <w:tcPr>
                  <w:tcW w:w="1109" w:type="pct"/>
                  <w:noWrap w:val="0"/>
                  <w:vAlign w:val="center"/>
                </w:tcPr>
                <w:p w14:paraId="654C1DF2">
                  <w:pPr>
                    <w:keepNext w:val="0"/>
                    <w:keepLines w:val="0"/>
                    <w:widowControl/>
                    <w:suppressLineNumbers w:val="0"/>
                    <w:spacing w:before="0" w:beforeAutospacing="0" w:after="0" w:afterAutospacing="0" w:line="240" w:lineRule="auto"/>
                    <w:ind w:left="0" w:right="0" w:firstLine="0"/>
                    <w:jc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5158CF5F">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30</w:t>
                  </w:r>
                </w:p>
              </w:tc>
            </w:tr>
            <w:tr w14:paraId="3AFE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1A3EC25E">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4</w:t>
                  </w:r>
                </w:p>
              </w:tc>
              <w:tc>
                <w:tcPr>
                  <w:tcW w:w="1109" w:type="pct"/>
                  <w:noWrap w:val="0"/>
                  <w:vAlign w:val="center"/>
                </w:tcPr>
                <w:p w14:paraId="0BCDA4D4">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sz w:val="21"/>
                      <w:szCs w:val="21"/>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-N</w:t>
                  </w:r>
                </w:p>
              </w:tc>
              <w:tc>
                <w:tcPr>
                  <w:tcW w:w="1109" w:type="pct"/>
                  <w:noWrap w:val="0"/>
                  <w:vAlign w:val="center"/>
                </w:tcPr>
                <w:p w14:paraId="3F6A89C4">
                  <w:pPr>
                    <w:keepNext w:val="0"/>
                    <w:keepLines w:val="0"/>
                    <w:widowControl/>
                    <w:suppressLineNumbers w:val="0"/>
                    <w:spacing w:before="0" w:beforeAutospacing="0" w:after="0" w:afterAutospacing="0" w:line="240" w:lineRule="auto"/>
                    <w:ind w:left="0" w:right="0" w:firstLine="0"/>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1ED1206A">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15(25)</w:t>
                  </w:r>
                </w:p>
              </w:tc>
            </w:tr>
            <w:tr w14:paraId="428B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48CC6EC9">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5</w:t>
                  </w:r>
                </w:p>
              </w:tc>
              <w:tc>
                <w:tcPr>
                  <w:tcW w:w="1109" w:type="pct"/>
                  <w:noWrap w:val="0"/>
                  <w:vAlign w:val="center"/>
                </w:tcPr>
                <w:p w14:paraId="581DD008">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TP</w:t>
                  </w:r>
                </w:p>
              </w:tc>
              <w:tc>
                <w:tcPr>
                  <w:tcW w:w="1109" w:type="pct"/>
                  <w:noWrap w:val="0"/>
                  <w:vAlign w:val="center"/>
                </w:tcPr>
                <w:p w14:paraId="13941D1D">
                  <w:pPr>
                    <w:keepNext w:val="0"/>
                    <w:keepLines w:val="0"/>
                    <w:widowControl/>
                    <w:suppressLineNumbers w:val="0"/>
                    <w:spacing w:before="0" w:beforeAutospacing="0" w:after="0" w:afterAutospacing="0" w:line="240" w:lineRule="auto"/>
                    <w:ind w:left="0" w:right="0" w:firstLine="0"/>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50B0ABEA">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3</w:t>
                  </w:r>
                </w:p>
              </w:tc>
            </w:tr>
            <w:tr w14:paraId="2957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3FCADEBF">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6</w:t>
                  </w:r>
                </w:p>
              </w:tc>
              <w:tc>
                <w:tcPr>
                  <w:tcW w:w="1109" w:type="pct"/>
                  <w:noWrap w:val="0"/>
                  <w:vAlign w:val="center"/>
                </w:tcPr>
                <w:p w14:paraId="4D8C86F6">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t>TN</w:t>
                  </w:r>
                </w:p>
              </w:tc>
              <w:tc>
                <w:tcPr>
                  <w:tcW w:w="1109" w:type="pct"/>
                  <w:noWrap w:val="0"/>
                  <w:vAlign w:val="center"/>
                </w:tcPr>
                <w:p w14:paraId="5FFBD586">
                  <w:pPr>
                    <w:keepNext w:val="0"/>
                    <w:keepLines w:val="0"/>
                    <w:widowControl/>
                    <w:suppressLineNumbers w:val="0"/>
                    <w:spacing w:before="0" w:beforeAutospacing="0" w:after="0" w:afterAutospacing="0" w:line="240" w:lineRule="auto"/>
                    <w:ind w:left="0" w:right="0" w:firstLine="0"/>
                    <w:jc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3FA9BEDC">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30</w:t>
                  </w:r>
                </w:p>
              </w:tc>
            </w:tr>
            <w:tr w14:paraId="0A67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21EC39A9">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7</w:t>
                  </w:r>
                </w:p>
              </w:tc>
              <w:tc>
                <w:tcPr>
                  <w:tcW w:w="1109" w:type="pct"/>
                  <w:noWrap w:val="0"/>
                  <w:vAlign w:val="center"/>
                </w:tcPr>
                <w:p w14:paraId="57129A22">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i w:val="0"/>
                      <w:iCs w:val="0"/>
                      <w:color w:val="000000" w:themeColor="text1"/>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动植物油</w:t>
                  </w:r>
                </w:p>
              </w:tc>
              <w:tc>
                <w:tcPr>
                  <w:tcW w:w="1109" w:type="pct"/>
                  <w:noWrap w:val="0"/>
                  <w:vAlign w:val="center"/>
                </w:tcPr>
                <w:p w14:paraId="23AC6938">
                  <w:pPr>
                    <w:keepNext w:val="0"/>
                    <w:keepLines w:val="0"/>
                    <w:widowControl/>
                    <w:suppressLineNumbers w:val="0"/>
                    <w:spacing w:before="0" w:beforeAutospacing="0" w:after="0" w:afterAutospacing="0" w:line="240" w:lineRule="auto"/>
                    <w:ind w:left="0" w:right="0" w:firstLine="0"/>
                    <w:jc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78EA2CB6">
                  <w:pPr>
                    <w:keepNext w:val="0"/>
                    <w:keepLines w:val="0"/>
                    <w:widowControl/>
                    <w:suppressLineNumbers w:val="0"/>
                    <w:spacing w:before="0" w:beforeAutospacing="0" w:after="0" w:afterAutospacing="0" w:line="240" w:lineRule="auto"/>
                    <w:ind w:left="0" w:right="0" w:firstLine="0"/>
                    <w:jc w:val="center"/>
                    <w:rPr>
                      <w:rFonts w:hint="default" w:cs="Times New Roman"/>
                      <w:i w:val="0"/>
                      <w:iCs w:val="0"/>
                      <w:color w:val="000000" w:themeColor="text1"/>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5</w:t>
                  </w:r>
                </w:p>
              </w:tc>
            </w:tr>
            <w:tr w14:paraId="21B3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14:paraId="06497FE3">
                  <w:pPr>
                    <w:keepNext w:val="0"/>
                    <w:keepLines w:val="0"/>
                    <w:widowControl/>
                    <w:suppressLineNumbers w:val="0"/>
                    <w:spacing w:before="0" w:beforeAutospacing="0" w:after="0" w:afterAutospacing="0" w:line="240" w:lineRule="auto"/>
                    <w:ind w:left="0" w:right="0" w:firstLine="0"/>
                    <w:jc w:val="left"/>
                    <w:rPr>
                      <w:rFonts w:hint="eastAsia" w:cs="Times New Roman"/>
                      <w:i w:val="0"/>
                      <w:iCs w:val="0"/>
                      <w:color w:val="000000" w:themeColor="text1"/>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bidi="ar"/>
                      <w14:textFill>
                        <w14:solidFill>
                          <w14:schemeClr w14:val="tx1"/>
                        </w14:solidFill>
                      </w14:textFill>
                    </w:rPr>
                    <w:t>注1:氨氮指标括号外的数值为水温&gt;12°C的控制指标，括号内的数值为水温≤12°C的控制指标。</w:t>
                  </w:r>
                </w:p>
              </w:tc>
            </w:tr>
          </w:tbl>
          <w:p w14:paraId="7646599C">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固体废弃物执行标准</w:t>
            </w:r>
          </w:p>
          <w:p w14:paraId="1438A071">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一般固废执行《一般工业固体废物储存和填埋污染控制标准》（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GB18599</w:t>
            </w:r>
            <w:r>
              <w:rPr>
                <w:rFonts w:hint="eastAsia"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-2020</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）中的相关规定</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0FE0147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根据《中华人民共和国固体废物污染环境防治法》第十六条规定：收集、贮存、运输、利用、处置固体废物的单位和个人，必须采取防扬散、防流失、防渗漏或者其他防止污染环境的措施。</w:t>
            </w:r>
          </w:p>
        </w:tc>
      </w:tr>
      <w:tr w14:paraId="1E960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4B2BF10E">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其他</w:t>
            </w:r>
          </w:p>
        </w:tc>
        <w:tc>
          <w:tcPr>
            <w:tcW w:w="8026" w:type="dxa"/>
            <w:noWrap w:val="0"/>
            <w:vAlign w:val="center"/>
          </w:tcPr>
          <w:p w14:paraId="0053D138">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p>
          <w:p w14:paraId="55195E6A">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p>
          <w:p w14:paraId="09930CC4">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本项目为生态环境影响类建设项目，</w:t>
            </w:r>
            <w:r>
              <w:rPr>
                <w:rFonts w:hint="default" w:ascii="Times New Roman" w:hAnsi="Times New Roman" w:cs="Times New Roman"/>
                <w:color w:val="000000" w:themeColor="text1"/>
                <w14:textFill>
                  <w14:solidFill>
                    <w14:schemeClr w14:val="tx1"/>
                  </w14:solidFill>
                </w14:textFill>
              </w:rPr>
              <w:t>运营期废</w:t>
            </w:r>
            <w:r>
              <w:rPr>
                <w:rFonts w:hint="default" w:ascii="Times New Roman" w:hAnsi="Times New Roman" w:cs="Times New Roman"/>
                <w:color w:val="000000" w:themeColor="text1"/>
                <w:lang w:val="en-US" w:eastAsia="zh-CN"/>
                <w14:textFill>
                  <w14:solidFill>
                    <w14:schemeClr w14:val="tx1"/>
                  </w14:solidFill>
                </w14:textFill>
              </w:rPr>
              <w:t>不设定点管理人员，运营期废水主要为收集的收集的沿河居民生活污水，除纳管的部分村庄外，较为集中的村庄采用集中污水处理，集中污水处理设施选用净化槽工艺，对于村庄较为分散的采用资源化利用工艺，结合周边情况，可排入农灌沟进行农用回灌，或者进行林地漫灌</w:t>
            </w:r>
            <w:r>
              <w:rPr>
                <w:rFonts w:hint="default" w:ascii="Times New Roman" w:hAnsi="Times New Roman" w:cs="Times New Roman"/>
                <w:color w:val="000000" w:themeColor="text1"/>
                <w14:textFill>
                  <w14:solidFill>
                    <w14:schemeClr w14:val="tx1"/>
                  </w14:solidFill>
                </w14:textFill>
              </w:rPr>
              <w:t>；废气无有组织排放源，故不需要申请总量指标。</w:t>
            </w:r>
          </w:p>
          <w:p w14:paraId="57E77335">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cs="Times New Roman"/>
                <w:color w:val="000000" w:themeColor="text1"/>
                <w14:textFill>
                  <w14:solidFill>
                    <w14:schemeClr w14:val="tx1"/>
                  </w14:solidFill>
                </w14:textFill>
              </w:rPr>
            </w:pPr>
          </w:p>
          <w:p w14:paraId="1A73C02A">
            <w:pPr>
              <w:keepNext w:val="0"/>
              <w:keepLines w:val="0"/>
              <w:pageBreakBefore w:val="0"/>
              <w:widowControl w:val="0"/>
              <w:suppressLineNumbers w:val="0"/>
              <w:spacing w:before="0" w:beforeAutospacing="0" w:after="0" w:afterAutospacing="0" w:line="360" w:lineRule="auto"/>
              <w:ind w:left="0" w:right="0" w:firstLine="0"/>
              <w:jc w:val="left"/>
              <w:rPr>
                <w:rFonts w:hint="default" w:ascii="Times New Roman" w:hAnsi="Times New Roman" w:eastAsia="宋体" w:cs="Times New Roman"/>
                <w:color w:val="000000" w:themeColor="text1"/>
                <w:sz w:val="24"/>
                <w:highlight w:val="none"/>
                <w:lang w:eastAsia="zh-CN"/>
                <w14:textFill>
                  <w14:solidFill>
                    <w14:schemeClr w14:val="tx1"/>
                  </w14:solidFill>
                </w14:textFill>
              </w:rPr>
            </w:pPr>
          </w:p>
          <w:p w14:paraId="698474EC">
            <w:pPr>
              <w:pStyle w:val="2"/>
              <w:keepNext w:val="0"/>
              <w:keepLines w:val="0"/>
              <w:suppressLineNumbers w:val="0"/>
              <w:spacing w:before="0" w:beforeAutospacing="0" w:after="0" w:afterAutospacing="0"/>
              <w:ind w:left="0" w:right="0"/>
              <w:rPr>
                <w:rFonts w:hint="default"/>
                <w:color w:val="000000" w:themeColor="text1"/>
                <w:lang w:eastAsia="zh-CN"/>
                <w14:textFill>
                  <w14:solidFill>
                    <w14:schemeClr w14:val="tx1"/>
                  </w14:solidFill>
                </w14:textFill>
              </w:rPr>
            </w:pPr>
          </w:p>
        </w:tc>
      </w:tr>
    </w:tbl>
    <w:p w14:paraId="4C0C25BC">
      <w:pPr>
        <w:keepNext w:val="0"/>
        <w:keepLines w:val="0"/>
        <w:pageBreakBefore w:val="0"/>
        <w:widowControl/>
        <w:spacing w:before="313" w:beforeAutospacing="0" w:after="313" w:afterAutospacing="0" w:line="360" w:lineRule="auto"/>
        <w:ind w:left="0" w:right="0" w:firstLine="420"/>
        <w:jc w:val="center"/>
        <w:outlineLvl w:val="0"/>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br w:type="page" w:clear="all"/>
      </w:r>
      <w:r>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t>四、生态环境影响分析</w:t>
      </w:r>
    </w:p>
    <w:tbl>
      <w:tblPr>
        <w:tblStyle w:val="39"/>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104"/>
      </w:tblGrid>
      <w:tr w14:paraId="1B6BB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2" w:type="dxa"/>
            <w:noWrap w:val="0"/>
            <w:tcMar>
              <w:left w:w="28" w:type="dxa"/>
              <w:right w:w="28" w:type="dxa"/>
            </w:tcMar>
            <w:vAlign w:val="center"/>
          </w:tcPr>
          <w:p w14:paraId="652FAA61">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val="0"/>
                <w:color w:val="000000" w:themeColor="text1"/>
                <w:sz w:val="24"/>
                <w:szCs w:val="24"/>
                <w:lang w:val="en-US" w:eastAsia="zh-CN" w:bidi="ar-SA"/>
                <w14:textFill>
                  <w14:solidFill>
                    <w14:schemeClr w14:val="tx1"/>
                  </w14:solidFill>
                </w14:textFill>
              </w:rPr>
            </w:pPr>
            <w:bookmarkStart w:id="32" w:name="_Hlk49796138"/>
            <w:r>
              <w:rPr>
                <w:rFonts w:hint="default" w:ascii="Times New Roman" w:hAnsi="Times New Roman" w:cs="Times New Roman" w:eastAsiaTheme="minorEastAsia"/>
                <w:b/>
                <w:bCs w:val="0"/>
                <w:color w:val="000000" w:themeColor="text1"/>
                <w:spacing w:val="10"/>
                <w:sz w:val="24"/>
                <w:szCs w:val="24"/>
                <w:lang w:val="en-US" w:eastAsia="zh-CN" w:bidi="ar-SA"/>
                <w14:textFill>
                  <w14:solidFill>
                    <w14:schemeClr w14:val="tx1"/>
                  </w14:solidFill>
                </w14:textFill>
              </w:rPr>
              <w:t>施工期生态环境影响分析</w:t>
            </w:r>
            <w:bookmarkEnd w:id="32"/>
          </w:p>
        </w:tc>
        <w:tc>
          <w:tcPr>
            <w:tcW w:w="8696" w:type="dxa"/>
            <w:noWrap w:val="0"/>
            <w:vAlign w:val="top"/>
          </w:tcPr>
          <w:p w14:paraId="08F74307">
            <w:pPr>
              <w:keepNext w:val="0"/>
              <w:keepLines w:val="0"/>
              <w:pageBreakBefore w:val="0"/>
              <w:widowControl w:val="0"/>
              <w:suppressLineNumbers w:val="0"/>
              <w:spacing w:before="0" w:beforeAutospacing="0" w:after="0" w:afterAutospacing="0" w:line="360" w:lineRule="auto"/>
              <w:ind w:left="0" w:right="0" w:firstLine="241"/>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lang w:val="en-US" w:eastAsia="zh-CN"/>
                <w14:textFill>
                  <w14:solidFill>
                    <w14:schemeClr w14:val="tx1"/>
                  </w14:solidFill>
                </w14:textFill>
              </w:rPr>
              <w:t>工程施工期各工序产生的环境影响如下：</w:t>
            </w:r>
          </w:p>
          <w:p w14:paraId="0CF34C55">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drawing>
                <wp:inline distT="0" distB="0" distL="0" distR="0">
                  <wp:extent cx="4905375" cy="1409700"/>
                  <wp:effectExtent l="0" t="0" r="9525" b="0"/>
                  <wp:docPr id="39" name="图片 25" descr="27f24f0d-227a-4bef-80c5-d8def39fb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27f24f0d-227a-4bef-80c5-d8def39fb77a"/>
                          <pic:cNvPicPr>
                            <a:picLocks noChangeAspect="1"/>
                          </pic:cNvPicPr>
                        </pic:nvPicPr>
                        <pic:blipFill>
                          <a:blip r:embed="rId43"/>
                          <a:stretch>
                            <a:fillRect/>
                          </a:stretch>
                        </pic:blipFill>
                        <pic:spPr>
                          <a:xfrm>
                            <a:off x="0" y="0"/>
                            <a:ext cx="4905375" cy="1409700"/>
                          </a:xfrm>
                          <a:prstGeom prst="rect">
                            <a:avLst/>
                          </a:prstGeom>
                        </pic:spPr>
                      </pic:pic>
                    </a:graphicData>
                  </a:graphic>
                </wp:inline>
              </w:drawing>
            </w:r>
          </w:p>
          <w:p w14:paraId="705EE0BD">
            <w:pPr>
              <w:keepNext w:val="0"/>
              <w:keepLines w:val="0"/>
              <w:widowControl/>
              <w:suppressLineNumbers w:val="0"/>
              <w:spacing w:before="0" w:beforeAutospacing="0" w:after="0" w:afterAutospacing="0" w:line="240" w:lineRule="auto"/>
              <w:ind w:left="0" w:right="0" w:firstLine="0"/>
              <w:jc w:val="center"/>
              <w:rPr>
                <w:rFonts w:hint="default" w:ascii="宋体" w:hAnsi="宋体" w:eastAsia="宋体" w:cs="宋体"/>
                <w:b/>
                <w:bCs/>
                <w:color w:val="000000" w:themeColor="text1"/>
                <w:sz w:val="24"/>
                <w:szCs w:val="24"/>
                <w:lang w:val="en-US" w:eastAsia="zh-CN" w:bidi="ar"/>
                <w14:textFill>
                  <w14:solidFill>
                    <w14:schemeClr w14:val="tx1"/>
                  </w14:solidFill>
                </w14:textFill>
              </w:rPr>
            </w:pPr>
            <w:r>
              <w:rPr>
                <w:rFonts w:hint="eastAsia" w:ascii="宋体" w:hAnsi="宋体" w:eastAsia="宋体" w:cs="宋体"/>
                <w:b/>
                <w:bCs/>
                <w:color w:val="000000" w:themeColor="text1"/>
                <w:sz w:val="24"/>
                <w:szCs w:val="24"/>
                <w:lang w:val="en-US" w:eastAsia="zh-CN" w:bidi="ar"/>
                <w14:textFill>
                  <w14:solidFill>
                    <w14:schemeClr w14:val="tx1"/>
                  </w14:solidFill>
                </w14:textFill>
              </w:rPr>
              <w:t>图4</w:t>
            </w:r>
            <w:r>
              <w:rPr>
                <w:rFonts w:hint="default" w:ascii="宋体" w:hAnsi="宋体" w:eastAsia="宋体" w:cs="宋体"/>
                <w:b/>
                <w:bCs/>
                <w:color w:val="000000" w:themeColor="text1"/>
                <w:sz w:val="24"/>
                <w:szCs w:val="24"/>
                <w:lang w:val="en-US" w:eastAsia="zh-CN" w:bidi="ar"/>
                <w14:textFill>
                  <w14:solidFill>
                    <w14:schemeClr w14:val="tx1"/>
                  </w14:solidFill>
                </w14:textFill>
              </w:rPr>
              <w:t xml:space="preserve">-1 </w:t>
            </w:r>
            <w:r>
              <w:rPr>
                <w:rFonts w:hint="eastAsia" w:ascii="宋体" w:hAnsi="宋体" w:cs="宋体"/>
                <w:b/>
                <w:bCs/>
                <w:color w:val="000000" w:themeColor="text1"/>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bidi="ar"/>
                <w14:textFill>
                  <w14:solidFill>
                    <w14:schemeClr w14:val="tx1"/>
                  </w14:solidFill>
                </w14:textFill>
              </w:rPr>
              <w:t>建筑物工程施工过程和产污节点图</w:t>
            </w:r>
          </w:p>
          <w:p w14:paraId="10303FF5">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drawing>
                <wp:inline distT="0" distB="0" distL="0" distR="0">
                  <wp:extent cx="5007610" cy="1598295"/>
                  <wp:effectExtent l="0" t="0" r="2540" b="1905"/>
                  <wp:docPr id="40" name="图片 19" descr="63ac6ffa-58ad-40e2-9794-ceff499d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63ac6ffa-58ad-40e2-9794-ceff499d9499"/>
                          <pic:cNvPicPr>
                            <a:picLocks noChangeAspect="1"/>
                          </pic:cNvPicPr>
                        </pic:nvPicPr>
                        <pic:blipFill>
                          <a:blip r:embed="rId44"/>
                          <a:stretch>
                            <a:fillRect/>
                          </a:stretch>
                        </pic:blipFill>
                        <pic:spPr>
                          <a:xfrm>
                            <a:off x="0" y="0"/>
                            <a:ext cx="5007610" cy="1598295"/>
                          </a:xfrm>
                          <a:prstGeom prst="rect">
                            <a:avLst/>
                          </a:prstGeom>
                        </pic:spPr>
                      </pic:pic>
                    </a:graphicData>
                  </a:graphic>
                </wp:inline>
              </w:drawing>
            </w:r>
          </w:p>
          <w:p w14:paraId="379B79B1">
            <w:pPr>
              <w:keepNext w:val="0"/>
              <w:keepLines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bidi="ar"/>
                <w14:textFill>
                  <w14:solidFill>
                    <w14:schemeClr w14:val="tx1"/>
                  </w14:solidFill>
                </w14:textFill>
              </w:rPr>
              <w:t xml:space="preserve"> </w:t>
            </w:r>
            <w:r>
              <w:rPr>
                <w:rFonts w:hint="eastAsia" w:cs="Times New Roman"/>
                <w:b/>
                <w:bCs/>
                <w:color w:val="000000" w:themeColor="text1"/>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bidi="ar"/>
                <w14:textFill>
                  <w14:solidFill>
                    <w14:schemeClr w14:val="tx1"/>
                  </w14:solidFill>
                </w14:textFill>
              </w:rPr>
              <w:t>临时道路工程产污环节图</w:t>
            </w:r>
          </w:p>
          <w:p w14:paraId="57835DE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1）施工噪声：主要由施工机械噪声和运输车辆交通噪声，其中施工机械噪声主要是由施工时物件碰撞产生的，噪声排放具有瞬间性和不定性；运输车辆交通噪声主要是车辆发动机及车辆鸣笛产生的噪声，具有短暂性特点。</w:t>
            </w:r>
          </w:p>
          <w:p w14:paraId="49F6545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（2）施工废气：施工开挖、土石方回填、施工现场的清理平整，以及施工车辆行驶产生的二次扬尘和对环境空气质量造成的暂时性的和局部的影响；清淤过程产生的淤泥恶臭废气。</w:t>
            </w:r>
          </w:p>
          <w:p w14:paraId="5D74E4C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（3）施工废污水：施工废水及施工人员的生活污水。</w:t>
            </w:r>
          </w:p>
          <w:p w14:paraId="21B4CF4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（4）固体废弃物：施工过程中可能产生的余方及淤泥、弃渣、施工人员产生的生活垃圾等。</w:t>
            </w:r>
          </w:p>
          <w:p w14:paraId="10796F6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（5）生态环境：施工期对生态环境的影响主要为工程建设导致水土流失的影响。施工开挖、平整、土方临时堆放等将造成植被面积减少，对原地貌的扰动、损坏有可能引起水土流失。</w:t>
            </w:r>
          </w:p>
          <w:p w14:paraId="25FC79C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1、生态环境影响分析</w:t>
            </w:r>
          </w:p>
          <w:p w14:paraId="28AF975E">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eastAsia" w:ascii="宋体" w:hAnsi="宋体" w:eastAsia="宋体" w:cs="宋体"/>
                <w:b/>
                <w:bCs/>
                <w:color w:val="000000" w:themeColor="text1"/>
                <w:sz w:val="24"/>
                <w:szCs w:val="24"/>
                <w:lang w:val="en-US" w:eastAsia="zh-CN" w:bidi="ar"/>
                <w14:textFill>
                  <w14:solidFill>
                    <w14:schemeClr w14:val="tx1"/>
                  </w14:solidFill>
                </w14:textFill>
              </w:rPr>
              <w:t>详见生态环境影响专项评价。</w:t>
            </w:r>
          </w:p>
          <w:p w14:paraId="407E3D84">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2、大气环境影响分析</w:t>
            </w:r>
          </w:p>
          <w:p w14:paraId="1F8C618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本项目施工废气主要为施工扬尘</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机械运行产生的机械尾气</w:t>
            </w:r>
            <w:r>
              <w:rPr>
                <w:rFonts w:hint="eastAsia" w:cs="Times New Roman" w:eastAsiaTheme="minorEastAsia"/>
                <w:color w:val="000000" w:themeColor="text1"/>
                <w:sz w:val="24"/>
                <w:lang w:eastAsia="zh-CN"/>
                <w14:textFill>
                  <w14:solidFill>
                    <w14:schemeClr w14:val="tx1"/>
                  </w14:solidFill>
                </w14:textFill>
              </w:rPr>
              <w:t>、</w:t>
            </w:r>
            <w:r>
              <w:rPr>
                <w:rFonts w:hint="eastAsia" w:cs="Times New Roman" w:eastAsiaTheme="minorEastAsia"/>
                <w:color w:val="000000" w:themeColor="text1"/>
                <w:sz w:val="24"/>
                <w:lang w:val="en-US" w:eastAsia="zh-CN"/>
                <w14:textFill>
                  <w14:solidFill>
                    <w14:schemeClr w14:val="tx1"/>
                  </w14:solidFill>
                </w14:textFill>
              </w:rPr>
              <w:t>疏浚、</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清淤恶臭等。</w:t>
            </w:r>
          </w:p>
          <w:p w14:paraId="438B56A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施工扬尘</w:t>
            </w:r>
          </w:p>
          <w:p w14:paraId="08CE5A7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施工作业面扬尘：施工作业面的裸露地面，在干燥天气，尤其是在大风时容易产生扬尘；开挖面、开挖场、推整点和利用料堆放场等施工作业面均会产生扬尘；扬尘产生量与作业面大小、施工机械、施工方法、天气状况及洒水频率等都有关系。工程区主要是土方开挖、临时料堆放等施工过程会产生粉尘。根据施工工程的调查资料，工程施工期间施工现场近地面粉尘浓度可达1.5～30</w:t>
            </w:r>
            <w:r>
              <w:rPr>
                <w:rFonts w:hint="eastAsia" w:cs="Times New Roman" w:eastAsiaTheme="minorEastAsia"/>
                <w:color w:val="000000" w:themeColor="text1"/>
                <w:sz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14:textFill>
                  <w14:solidFill>
                    <w14:schemeClr w14:val="tx1"/>
                  </w14:solidFill>
                </w14:textFill>
              </w:rPr>
              <w:t>g/</w:t>
            </w:r>
            <w:r>
              <w:rPr>
                <w:rFonts w:hint="eastAsia" w:cs="Times New Roman" w:eastAsiaTheme="minorEastAsia"/>
                <w:color w:val="000000" w:themeColor="text1"/>
                <w:sz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。施工中土石方开挖等产生的扬尘，基本上都是间歇式排放。一般只要定时洒水，施工作业面扬尘即可得到有效控制，对环境影响较小。</w:t>
            </w:r>
          </w:p>
          <w:p w14:paraId="3E69A1A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交通运输扬尘：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w:t>
            </w:r>
          </w:p>
          <w:p w14:paraId="5E0DB00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机械尾气</w:t>
            </w:r>
          </w:p>
          <w:p w14:paraId="2CBC1FD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项目施工期间，使用液体燃料的施工机械及运输车辆排放的尾气中含有CO、NOx以及未完全燃烧的THC等，</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一般来说，这部分废气产生量较小，属间断性、分散性排放。由于这部分污染物排放强度很小，加之施工区域开阔，空气流动条件好，有利于废气稀释、扩散。此外，项目施工过程中，施工方案采用分段施工，施工场地为线状分布，同一施工区域中不同工程内容施工时间不同，施工扬尘和尾气排放源密度不大，因此，施工机械和运输车辆所产生污染在空气中经自然扩散和稀释后，对评价区域的空气环境质量影响不大。</w:t>
            </w:r>
          </w:p>
          <w:p w14:paraId="4FD819F2">
            <w:pPr>
              <w:pStyle w:val="2"/>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EA2518D">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（3）</w:t>
            </w:r>
            <w:r>
              <w:rPr>
                <w:rFonts w:hint="eastAsia" w:cs="Times New Roman" w:eastAsiaTheme="minorEastAsia"/>
                <w:b w:val="0"/>
                <w:bCs/>
                <w:color w:val="000000" w:themeColor="text1"/>
                <w:sz w:val="24"/>
                <w:lang w:val="en-US" w:eastAsia="zh-CN"/>
                <w14:textFill>
                  <w14:solidFill>
                    <w14:schemeClr w14:val="tx1"/>
                  </w14:solidFill>
                </w14:textFill>
              </w:rPr>
              <w:t>疏浚、</w:t>
            </w: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清淤恶臭</w:t>
            </w:r>
          </w:p>
          <w:p w14:paraId="24CB5F0E">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河道</w:t>
            </w:r>
            <w:r>
              <w:rPr>
                <w:rFonts w:hint="eastAsia" w:cs="Times New Roman" w:eastAsiaTheme="minorEastAsia"/>
                <w:b w:val="0"/>
                <w:bCs/>
                <w:color w:val="000000" w:themeColor="text1"/>
                <w:sz w:val="24"/>
                <w:lang w:val="en-US" w:eastAsia="zh-CN"/>
                <w14:textFill>
                  <w14:solidFill>
                    <w14:schemeClr w14:val="tx1"/>
                  </w14:solidFill>
                </w14:textFill>
              </w:rPr>
              <w:t>疏浚、</w:t>
            </w: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清淤时底泥散发的恶臭气体是多种低浓度混合气体，其主要成分有氨、硫化氢和甲硫醇，它们的性质如下：氨：无色气体，有强烈刺激气味；硫化氢：无色气体，有强烈刺激气味；甲硫醇：有特殊臭味的气体。河道底泥疏挖的各恶臭源的恶臭散发多以无组织的自然扩散为主，散发到大气环境后又以气体、气溶胶和雾三种形式存在，故对其进行采样分析和定量预测相对而言是较困难的，加之施工时是完全敞开式，其排放量和影响程度及范围受气象条件、水温、水质、pH值及操作与管理水平等多种因素的影响。</w:t>
            </w:r>
          </w:p>
          <w:p w14:paraId="10C79BFB">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本项目清淤工程在枯水期进行，底泥的气味不易扩散。同时，清淤的淤泥及时清运，在岸边停留的时间很短，清淤过程中在岸边将不会有较为明显的臭味</w:t>
            </w:r>
            <w:r>
              <w:rPr>
                <w:rFonts w:hint="eastAsia" w:cs="Times New Roman" w:eastAsiaTheme="minorEastAsia"/>
                <w:b w:val="0"/>
                <w:bCs/>
                <w:color w:val="000000" w:themeColor="text1"/>
                <w:sz w:val="24"/>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据现场调查，河道周边有少量居民点与项目区距离小于50m，清淤过程产生的淤泥臭味对周围居民有一定的影响，但恶臭对周边居民影响只是暂时的，随着施工期的结束影响也随之消失。因此，清淤过程散发的恶臭气体对环境和周围居民生活环境影响不大。</w:t>
            </w:r>
          </w:p>
          <w:p w14:paraId="55AE639B">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lang w:val="en-US" w:eastAsia="zh-CN"/>
                <w14:textFill>
                  <w14:solidFill>
                    <w14:schemeClr w14:val="tx1"/>
                  </w14:solidFill>
                </w14:textFill>
              </w:rPr>
              <w:t>为避免底泥臭气对周围环境的影响，通过强化作业管理，保证设备运行稳定，可减少疏浚过程臭气的产生。如发现部分清淤点有明显臭气产生时，采取建挡板、加强对施工工人的保护、把受影响人群降至最少。此外，淤泥产生恶臭主要是对施工人员有一定的影响，但是施工期较短，影响是短期的，在施工过程中应注意施工人员的防护措施。</w:t>
            </w:r>
          </w:p>
          <w:p w14:paraId="03C1922D">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3、水环境影响分析</w:t>
            </w:r>
          </w:p>
          <w:p w14:paraId="0C82A06D">
            <w:pPr>
              <w:keepNext w:val="0"/>
              <w:keepLines w:val="0"/>
              <w:pageBreakBefore w:val="0"/>
              <w:widowControl w:val="0"/>
              <w:suppressLineNumbers w:val="0"/>
              <w:spacing w:before="0" w:beforeAutospacing="0" w:after="0" w:afterAutospacing="0" w:line="360" w:lineRule="auto"/>
              <w:ind w:left="0" w:right="0" w:firstLine="480"/>
              <w:rPr>
                <w:rFonts w:hint="eastAsia"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施工期废水主要包括施工废水和施工人员的生活污水。</w:t>
            </w:r>
          </w:p>
          <w:p w14:paraId="34F73AF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w:t>
            </w:r>
            <w:r>
              <w:rPr>
                <w:rFonts w:hint="eastAsia"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施工废水环境影响</w:t>
            </w:r>
          </w:p>
          <w:p w14:paraId="6DCE52E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①机械冲洗废水</w:t>
            </w:r>
          </w:p>
          <w:p w14:paraId="6A35F5A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施工现场严禁进行机械、设备的维修工作。因此不产生含油机修废水。施工期间产生的废水主要为施工机械冲洗产生的废水等，主要污染物是SS。施工现场设置临时沉淀池，对施工废水进行沉淀处理。经沉淀处理后，回用于施工场地洒水降尘等，不外排</w:t>
            </w:r>
            <w:r>
              <w:rPr>
                <w:rFonts w:hint="default" w:ascii="Times New Roman" w:hAnsi="Times New Roman" w:cs="Times New Roman" w:eastAsiaTheme="minorEastAsia"/>
                <w:color w:val="000000" w:themeColor="text1"/>
                <w:lang w:val="en-US" w:eastAsia="zh-CN"/>
                <w14:textFill>
                  <w14:solidFill>
                    <w14:schemeClr w14:val="tx1"/>
                  </w14:solidFill>
                </w14:textFill>
              </w:rPr>
              <w:t>，对水环境影响很小。</w:t>
            </w:r>
          </w:p>
          <w:p w14:paraId="1AEFFC8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②</w:t>
            </w:r>
            <w:r>
              <w:rPr>
                <w:rFonts w:hint="default" w:ascii="Times New Roman" w:hAnsi="Times New Roman" w:cs="Times New Roman" w:eastAsiaTheme="minorEastAsia"/>
                <w:color w:val="000000" w:themeColor="text1"/>
                <w14:textFill>
                  <w14:solidFill>
                    <w14:schemeClr w14:val="tx1"/>
                  </w14:solidFill>
                </w14:textFill>
              </w:rPr>
              <w:t>围堰及基坑排水</w:t>
            </w:r>
          </w:p>
          <w:p w14:paraId="6FA8A61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根据施工组织设计，施工时需要进行施工围堰导流，会产生基坑排水，基坑排水主要为地下渗水和降雨，污染物单一，且较易沉降。</w:t>
            </w:r>
          </w:p>
          <w:p w14:paraId="3388A62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根据建设单位提供的资料可知，围堰采用袋装土围堰，围堰最大高度为1.5m，放坡波比均为1：1.5。袋装土进行人工抛投，抛填时根据设计围堰断面尺寸进行均匀抛填，待围堰出水后人工叠实袋装土。</w:t>
            </w:r>
          </w:p>
          <w:p w14:paraId="693E807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围堰拆除采用挖掘机进行。先用挖掘机拆除至河水位高程，再用挖掘机退挖。自卸汽车运输至弃土场。围堰修建过程中仅造成围堰附近河道水体中SS浓度增高，一旦围堰修建结束，其对水环境的不利影响也将随之结束；挖掘机进行围堰拆除作业施工时，其造成的水体SS浓度增高仅限于施工作业期间的局部区域，随着围堰拆除作业的结束这一不利影响也将随之消失。</w:t>
            </w:r>
          </w:p>
          <w:p w14:paraId="6C554A6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基坑排水分初期排水和经常性排水，初期排水主要对象是原来的河水、地下渗水和降水，SS浓度相对较低；基坑经常性排水主要来自围堰渗水及雨水等，主要污染物为SS。</w:t>
            </w:r>
          </w:p>
          <w:p w14:paraId="692170E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根据水利工程经验，基坑初期排水水量相对较大、水质与河流水质基本相同，不会增加对所在</w:t>
            </w:r>
            <w:r>
              <w:rPr>
                <w:rFonts w:hint="eastAsia" w:cs="Times New Roman" w:eastAsiaTheme="minorEastAsia"/>
                <w:color w:val="000000" w:themeColor="text1"/>
                <w:lang w:eastAsia="zh-CN"/>
                <w14:textFill>
                  <w14:solidFill>
                    <w14:schemeClr w14:val="tx1"/>
                  </w14:solidFill>
                </w14:textFill>
              </w:rPr>
              <w:t>河流</w:t>
            </w:r>
            <w:r>
              <w:rPr>
                <w:rFonts w:hint="default" w:ascii="Times New Roman" w:hAnsi="Times New Roman" w:cs="Times New Roman" w:eastAsiaTheme="minorEastAsia"/>
                <w:color w:val="000000" w:themeColor="text1"/>
                <w14:textFill>
                  <w14:solidFill>
                    <w14:schemeClr w14:val="tx1"/>
                  </w14:solidFill>
                </w14:textFill>
              </w:rPr>
              <w:t>水质的污染。</w:t>
            </w:r>
            <w:r>
              <w:rPr>
                <w:rFonts w:hint="default" w:ascii="Times New Roman" w:hAnsi="Times New Roman" w:cs="Times New Roman" w:eastAsiaTheme="minorEastAsia"/>
                <w:color w:val="000000" w:themeColor="text1"/>
                <w:lang w:val="en-US" w:eastAsia="zh-CN"/>
                <w14:textFill>
                  <w14:solidFill>
                    <w14:schemeClr w14:val="tx1"/>
                  </w14:solidFill>
                </w14:textFill>
              </w:rPr>
              <w:t>根据施工进度安排，施工时段选择11~3月完成，基坑经常性排水为间歇排放，每次水量较小，根据工程经验，基坑水经沉淀2个小时后，悬浮物浓度可降到200mg/L以下，可回用作运输道路洒水和施工场地洒水，不外排。另外，禁止在雨季开挖施工。基坑排水回用于洒水降尘、施工生产，不得直接排入渠道，对水环境影响很小。</w:t>
            </w:r>
          </w:p>
          <w:p w14:paraId="6CCBF68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③</w:t>
            </w:r>
            <w:r>
              <w:rPr>
                <w:rFonts w:hint="default" w:ascii="Times New Roman" w:hAnsi="Times New Roman" w:cs="Times New Roman" w:eastAsiaTheme="minorEastAsia"/>
                <w:color w:val="000000" w:themeColor="text1"/>
                <w:lang w:val="en-US" w:eastAsia="zh-CN"/>
                <w14:textFill>
                  <w14:solidFill>
                    <w14:schemeClr w14:val="tx1"/>
                  </w14:solidFill>
                </w14:textFill>
              </w:rPr>
              <w:t>清淤作业对水质的影响</w:t>
            </w:r>
          </w:p>
          <w:p w14:paraId="5D46FB4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施工</w:t>
            </w:r>
            <w:r>
              <w:rPr>
                <w:rFonts w:hint="default" w:ascii="Times New Roman" w:hAnsi="Times New Roman" w:cs="Times New Roman" w:eastAsiaTheme="minorEastAsia"/>
                <w:color w:val="000000" w:themeColor="text1"/>
                <w:sz w:val="24"/>
                <w14:textFill>
                  <w14:solidFill>
                    <w14:schemeClr w14:val="tx1"/>
                  </w14:solidFill>
                </w14:textFill>
              </w:rPr>
              <w:t>过程主要</w:t>
            </w:r>
            <w:r>
              <w:rPr>
                <w:rFonts w:hint="eastAsia" w:cs="Times New Roman" w:eastAsiaTheme="minorEastAsia"/>
                <w:color w:val="000000" w:themeColor="text1"/>
                <w:sz w:val="24"/>
                <w:lang w:eastAsia="zh-CN"/>
                <w14:textFill>
                  <w14:solidFill>
                    <w14:schemeClr w14:val="tx1"/>
                  </w14:solidFill>
                </w14:textFill>
              </w:rPr>
              <w:t>对</w:t>
            </w:r>
            <w:r>
              <w:rPr>
                <w:rFonts w:hint="default" w:ascii="Times New Roman" w:hAnsi="Times New Roman" w:cs="Times New Roman" w:eastAsiaTheme="minorEastAsia"/>
                <w:color w:val="000000" w:themeColor="text1"/>
                <w14:textFill>
                  <w14:solidFill>
                    <w14:schemeClr w14:val="tx1"/>
                  </w14:solidFill>
                </w14:textFill>
              </w:rPr>
              <w:t>城区幽芳河、高庙河、柳林河、新店河等4条排涝通道</w:t>
            </w:r>
            <w:r>
              <w:rPr>
                <w:rFonts w:hint="eastAsia" w:ascii="Times New Roman" w:hAnsi="Times New Roman" w:cs="Times New Roman" w:eastAsiaTheme="minorEastAsia"/>
                <w:color w:val="000000" w:themeColor="text1"/>
                <w:lang w:eastAsia="zh-CN"/>
                <w14:textFill>
                  <w14:solidFill>
                    <w14:schemeClr w14:val="tx1"/>
                  </w14:solidFill>
                </w14:textFill>
              </w:rPr>
              <w:t>进行疏浚、</w:t>
            </w:r>
            <w:r>
              <w:rPr>
                <w:rFonts w:hint="default" w:ascii="Times New Roman" w:hAnsi="Times New Roman" w:cs="Times New Roman" w:eastAsiaTheme="minorEastAsia"/>
                <w:color w:val="000000" w:themeColor="text1"/>
                <w:lang w:val="en-US" w:eastAsia="zh-CN"/>
                <w14:textFill>
                  <w14:solidFill>
                    <w14:schemeClr w14:val="tx1"/>
                  </w14:solidFill>
                </w14:textFill>
              </w:rPr>
              <w:t>清淤过程中，挖掘和抽水过程中会搅动河道中的部分淤泥，使其中的污染物散发，</w:t>
            </w:r>
            <w:r>
              <w:rPr>
                <w:rFonts w:hint="default" w:ascii="Times New Roman" w:hAnsi="Times New Roman" w:cs="Times New Roman" w:eastAsiaTheme="minorEastAsia"/>
                <w:color w:val="000000" w:themeColor="text1"/>
                <w:sz w:val="24"/>
                <w14:textFill>
                  <w14:solidFill>
                    <w14:schemeClr w14:val="tx1"/>
                  </w14:solidFill>
                </w14:textFill>
              </w:rPr>
              <w:t>施工引起的悬浮物均会在短时间内造成水质超标，对工程位置附近的水环境造成一定影响</w:t>
            </w:r>
            <w:r>
              <w:rPr>
                <w:rFonts w:hint="default" w:ascii="Times New Roman" w:hAnsi="Times New Roman" w:cs="Times New Roman" w:eastAsiaTheme="minorEastAsia"/>
                <w:color w:val="000000" w:themeColor="text1"/>
                <w:lang w:val="en-US" w:eastAsia="zh-CN"/>
                <w14:textFill>
                  <w14:solidFill>
                    <w14:schemeClr w14:val="tx1"/>
                  </w14:solidFill>
                </w14:textFill>
              </w:rPr>
              <w:t>。根据类似清淤工程监测资料可知，在作业点附近，底层水体中悬浮物含量在300～400mg/L之间，表层水体中悬浮物含量在100～180mg/L之间，悬浮物含量升高，对项目范围内的水质影响较明显，但悬浮物质为颗粒态，它随着河水运动的同时在河水中沉降，并最终淤积于河底，这一特性决定了它的影响范围和影响时间是有限的，清淤引起的悬浮物扩散的影响将随施工结束而消失。</w:t>
            </w:r>
            <w:r>
              <w:rPr>
                <w:rFonts w:hint="eastAsia" w:cs="Times New Roman" w:eastAsiaTheme="minorEastAsia"/>
                <w:color w:val="000000" w:themeColor="text1"/>
                <w:sz w:val="24"/>
                <w:lang w:eastAsia="zh-CN"/>
                <w14:textFill>
                  <w14:solidFill>
                    <w14:schemeClr w14:val="tx1"/>
                  </w14:solidFill>
                </w14:textFill>
              </w:rPr>
              <w:t>且</w: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施工主</w:t>
            </w:r>
            <w:r>
              <w:rPr>
                <w:rFonts w:hint="eastAsia" w:cs="Times New Roman" w:eastAsiaTheme="minorEastAsia"/>
                <w:color w:val="000000" w:themeColor="text1"/>
                <w:sz w:val="24"/>
                <w:szCs w:val="24"/>
                <w:highlight w:val="none"/>
                <w:lang w:val="en-US" w:eastAsia="zh-CN" w:bidi="ar-SA"/>
                <w14:textFill>
                  <w14:solidFill>
                    <w14:schemeClr w14:val="tx1"/>
                  </w14:solidFill>
                </w14:textFill>
              </w:rPr>
              <w:t>要</w: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安排在非汛期</w:t>
            </w:r>
            <w:r>
              <w:rPr>
                <w:rFonts w:hint="default" w:ascii="Times New Roman" w:hAnsi="Times New Roman" w:cs="Times New Roman" w:eastAsiaTheme="minorEastAsia"/>
                <w:color w:val="000000" w:themeColor="text1"/>
                <w:lang w:val="en-US" w:eastAsia="zh-CN"/>
                <w14:textFill>
                  <w14:solidFill>
                    <w14:schemeClr w14:val="tx1"/>
                  </w14:solidFill>
                </w14:textFill>
              </w:rPr>
              <w:t>，对河道水质影响较小，仅仅是在围堰的初期和拆除围堰时会产生暂时性的影响。</w:t>
            </w:r>
          </w:p>
          <w:p w14:paraId="70BDFC7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生活污水</w:t>
            </w:r>
          </w:p>
          <w:p w14:paraId="3DBACD8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本项目施工人员为附近居民，</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施工生活区租赁周边民房，</w:t>
            </w:r>
            <w:r>
              <w:rPr>
                <w:rFonts w:hint="default" w:ascii="Times New Roman" w:hAnsi="Times New Roman" w:cs="Times New Roman" w:eastAsiaTheme="minorEastAsia"/>
                <w:color w:val="000000" w:themeColor="text1"/>
                <w14:textFill>
                  <w14:solidFill>
                    <w14:schemeClr w14:val="tx1"/>
                  </w14:solidFill>
                </w14:textFill>
              </w:rPr>
              <w:t>生活污水主要污染物为BOD</w:t>
            </w:r>
            <w:r>
              <w:rPr>
                <w:rFonts w:hint="default" w:ascii="Times New Roman" w:hAnsi="Times New Roman" w:cs="Times New Roman" w:eastAsiaTheme="minorEastAsia"/>
                <w:color w:val="000000" w:themeColor="text1"/>
                <w:vertAlign w:val="subscript"/>
                <w14:textFill>
                  <w14:solidFill>
                    <w14:schemeClr w14:val="tx1"/>
                  </w14:solidFill>
                </w14:textFill>
              </w:rPr>
              <w:t>5</w:t>
            </w:r>
            <w:r>
              <w:rPr>
                <w:rFonts w:hint="default" w:ascii="Times New Roman" w:hAnsi="Times New Roman" w:cs="Times New Roman" w:eastAsiaTheme="minorEastAsia"/>
                <w:color w:val="000000" w:themeColor="text1"/>
                <w14:textFill>
                  <w14:solidFill>
                    <w14:schemeClr w14:val="tx1"/>
                  </w14:solidFill>
                </w14:textFill>
              </w:rPr>
              <w:t>、COD、氨氮和SS。</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生活污水经化粪池预处理后厌氧沤肥后农用或接管市政污水管网</w:t>
            </w:r>
            <w:r>
              <w:rPr>
                <w:rFonts w:hint="eastAsia"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施工期应加强施工管理，加强施工人员的环保意识，禁止随意在街道倾倒废水及残渣废物。</w:t>
            </w:r>
          </w:p>
          <w:p w14:paraId="632FDF3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综上，项目施工期产生的</w:t>
            </w:r>
            <w:r>
              <w:rPr>
                <w:rFonts w:hint="eastAsia" w:ascii="Times New Roman" w:hAnsi="Times New Roman" w:cs="Times New Roman" w:eastAsiaTheme="minorEastAsia"/>
                <w:color w:val="000000" w:themeColor="text1"/>
                <w:lang w:eastAsia="zh-CN"/>
                <w14:textFill>
                  <w14:solidFill>
                    <w14:schemeClr w14:val="tx1"/>
                  </w14:solidFill>
                </w14:textFill>
              </w:rPr>
              <w:t>废水</w:t>
            </w:r>
            <w:r>
              <w:rPr>
                <w:rFonts w:hint="default" w:ascii="Times New Roman" w:hAnsi="Times New Roman" w:cs="Times New Roman" w:eastAsiaTheme="minorEastAsia"/>
                <w:color w:val="000000" w:themeColor="text1"/>
                <w14:textFill>
                  <w14:solidFill>
                    <w14:schemeClr w14:val="tx1"/>
                  </w14:solidFill>
                </w14:textFill>
              </w:rPr>
              <w:t>和生活</w:t>
            </w:r>
            <w:r>
              <w:rPr>
                <w:rFonts w:hint="eastAsia" w:ascii="Times New Roman" w:hAnsi="Times New Roman" w:cs="Times New Roman" w:eastAsiaTheme="minorEastAsia"/>
                <w:color w:val="000000" w:themeColor="text1"/>
                <w:lang w:eastAsia="zh-CN"/>
                <w14:textFill>
                  <w14:solidFill>
                    <w14:schemeClr w14:val="tx1"/>
                  </w14:solidFill>
                </w14:textFill>
              </w:rPr>
              <w:t>污</w:t>
            </w:r>
            <w:r>
              <w:rPr>
                <w:rFonts w:hint="default" w:ascii="Times New Roman" w:hAnsi="Times New Roman" w:cs="Times New Roman" w:eastAsiaTheme="minorEastAsia"/>
                <w:color w:val="000000" w:themeColor="text1"/>
                <w14:textFill>
                  <w14:solidFill>
                    <w14:schemeClr w14:val="tx1"/>
                  </w14:solidFill>
                </w14:textFill>
              </w:rPr>
              <w:t>水均能得到合理处置时，将不会对区域地表水体产生明显不利影响。</w:t>
            </w:r>
          </w:p>
          <w:p w14:paraId="6B288722">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4、声环境影响分析</w:t>
            </w:r>
          </w:p>
          <w:p w14:paraId="67BA78C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施工期噪声主要为施工机械产生噪声。施工期噪声包括各建筑机械和运输车辆噪声，声级值一般在85~100dB(A)。施工过程采用的钻机、振捣棒等机械设备以及运输车辆在运行时会产生一定量的噪声施工期噪声影响来源于施工机械作业噪声、运输车辆噪声等，均为间歇性噪声源。根据同类型施工的噪声监测数据，施工器械的噪声源强大多处于70~105dB</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A</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之间，噪声较高的噪声源分布在土方开挖施工区和施工道路交通运输，噪声影响随施工结束而结束。</w:t>
            </w:r>
          </w:p>
          <w:p w14:paraId="0F1C5906">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5、固体废物环境影响分析及防治措施</w:t>
            </w:r>
          </w:p>
          <w:p w14:paraId="22084543">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本项目施工期产生的固体废物主要为施工场所产生施工人员活动产生的生活垃圾</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多余土方及排洪渠清理产生的垃圾及沟道清淤等</w:t>
            </w:r>
            <w:r>
              <w:rPr>
                <w:rFonts w:hint="default" w:ascii="Times New Roman" w:hAnsi="Times New Roman" w:cs="Times New Roman" w:eastAsiaTheme="minorEastAsia"/>
                <w:color w:val="000000" w:themeColor="text1"/>
                <w:sz w:val="24"/>
                <w14:textFill>
                  <w14:solidFill>
                    <w14:schemeClr w14:val="tx1"/>
                  </w14:solidFill>
                </w14:textFill>
              </w:rPr>
              <w:t>。</w:t>
            </w:r>
          </w:p>
          <w:p w14:paraId="082B5E3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w:t>
            </w:r>
            <w:r>
              <w:rPr>
                <w:rFonts w:hint="eastAsia"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生活垃圾</w:t>
            </w:r>
          </w:p>
          <w:p w14:paraId="7D28245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生活垃圾：施工期高峰人数为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0人，按每人每天产生生活垃圾量</w:t>
            </w:r>
            <w:r>
              <w:rPr>
                <w:rFonts w:hint="eastAsia"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kg计算，则生活垃圾产生量为0.0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14:textFill>
                  <w14:solidFill>
                    <w14:schemeClr w14:val="tx1"/>
                  </w14:solidFill>
                </w14:textFill>
              </w:rPr>
              <w:t>t/d，整个施工期约</w:t>
            </w:r>
            <w:r>
              <w:rPr>
                <w:rFonts w:hint="eastAsia" w:cs="Times New Roman" w:eastAsiaTheme="minorEastAsia"/>
                <w:color w:val="000000" w:themeColor="text1"/>
                <w:sz w:val="24"/>
                <w:lang w:val="en-US" w:eastAsia="zh-CN"/>
                <w14:textFill>
                  <w14:solidFill>
                    <w14:schemeClr w14:val="tx1"/>
                  </w14:solidFill>
                </w14:textFill>
              </w:rPr>
              <w:t>14个月</w:t>
            </w:r>
            <w:r>
              <w:rPr>
                <w:rFonts w:hint="default" w:ascii="Times New Roman" w:hAnsi="Times New Roman" w:cs="Times New Roman" w:eastAsiaTheme="minorEastAsia"/>
                <w:color w:val="000000" w:themeColor="text1"/>
                <w:sz w:val="24"/>
                <w14:textFill>
                  <w14:solidFill>
                    <w14:schemeClr w14:val="tx1"/>
                  </w14:solidFill>
                </w14:textFill>
              </w:rPr>
              <w:t>，产生生活垃圾</w:t>
            </w:r>
            <w:r>
              <w:rPr>
                <w:rFonts w:hint="eastAsia" w:cs="Times New Roman" w:eastAsiaTheme="minorEastAsia"/>
                <w:color w:val="000000" w:themeColor="text1"/>
                <w:sz w:val="24"/>
                <w:lang w:val="en-US" w:eastAsia="zh-CN"/>
                <w14:textFill>
                  <w14:solidFill>
                    <w14:schemeClr w14:val="tx1"/>
                  </w14:solidFill>
                </w14:textFill>
              </w:rPr>
              <w:t>21</w:t>
            </w:r>
            <w:r>
              <w:rPr>
                <w:rFonts w:hint="default" w:ascii="Times New Roman" w:hAnsi="Times New Roman" w:cs="Times New Roman" w:eastAsiaTheme="minorEastAsia"/>
                <w:color w:val="000000" w:themeColor="text1"/>
                <w:sz w:val="24"/>
                <w14:textFill>
                  <w14:solidFill>
                    <w14:schemeClr w14:val="tx1"/>
                  </w14:solidFill>
                </w14:textFill>
              </w:rPr>
              <w:t>t。主要污染物为垃圾袋、果核、矿泉水瓶等，集中收集后由施工单位清运至垃圾中转站，由环卫部门统一处理。</w:t>
            </w:r>
          </w:p>
          <w:p w14:paraId="0C5206C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w:t>
            </w:r>
            <w:r>
              <w:rPr>
                <w:rFonts w:hint="eastAsia" w:cs="Times New Roman" w:eastAsiaTheme="minorEastAsia"/>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土石方弃土</w:t>
            </w:r>
          </w:p>
          <w:p w14:paraId="2EC927C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bidi="ar"/>
                <w14:textFill>
                  <w14:solidFill>
                    <w14:schemeClr w14:val="tx1"/>
                  </w14:solidFill>
                </w14:textFill>
              </w:rPr>
              <w:t>本项目建设期土石方开挖总量为</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；土方填筑总量</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bidi="ar"/>
                <w14:textFill>
                  <w14:solidFill>
                    <w14:schemeClr w14:val="tx1"/>
                  </w14:solidFill>
                </w14:textFill>
              </w:rPr>
              <w:t>，</w:t>
            </w:r>
            <w:r>
              <w:rPr>
                <w:rFonts w:hint="eastAsia" w:cs="Times New Roman" w:eastAsiaTheme="minorEastAsia"/>
                <w:color w:val="000000" w:themeColor="text1"/>
                <w:sz w:val="24"/>
                <w:szCs w:val="24"/>
                <w:highlight w:val="none"/>
                <w:lang w:val="en-US" w:eastAsia="zh-CN" w:bidi="ar"/>
                <w14:textFill>
                  <w14:solidFill>
                    <w14:schemeClr w14:val="tx1"/>
                  </w14:solidFill>
                </w14:textFill>
              </w:rPr>
              <w:t>不产生</w:t>
            </w:r>
            <w:r>
              <w:rPr>
                <w:rFonts w:hint="default" w:ascii="Times New Roman" w:hAnsi="Times New Roman" w:cs="Times New Roman" w:eastAsiaTheme="minorEastAsia"/>
                <w:color w:val="000000" w:themeColor="text1"/>
                <w:sz w:val="24"/>
                <w14:textFill>
                  <w14:solidFill>
                    <w14:schemeClr w14:val="tx1"/>
                  </w14:solidFill>
                </w14:textFill>
              </w:rPr>
              <w:t>废弃土方</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43505FBE">
            <w:pPr>
              <w:keepNext w:val="0"/>
              <w:keepLines w:val="0"/>
              <w:pageBreakBefore w:val="0"/>
              <w:widowControl w:val="0"/>
              <w:numPr>
                <w:ilvl w:val="0"/>
                <w:numId w:val="3"/>
              </w:numPr>
              <w:suppressLineNumbers w:val="0"/>
              <w:spacing w:before="0" w:beforeAutospacing="0" w:after="0" w:afterAutospacing="0" w:line="360" w:lineRule="auto"/>
              <w:ind w:left="0" w:right="0" w:firstLine="480"/>
              <w:rPr>
                <w:rFonts w:hint="eastAsia"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河道疏浚、清淤</w:t>
            </w:r>
          </w:p>
          <w:p w14:paraId="66B98794">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bidi="ar"/>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本</w:t>
            </w:r>
            <w:r>
              <w:rPr>
                <w:rFonts w:hint="eastAsia" w:cs="Times New Roman" w:eastAsiaTheme="minorEastAsia"/>
                <w:color w:val="000000" w:themeColor="text1"/>
                <w:sz w:val="24"/>
                <w:lang w:val="en-US" w:eastAsia="zh-CN" w:bidi="ar"/>
                <w14:textFill>
                  <w14:solidFill>
                    <w14:schemeClr w14:val="tx1"/>
                  </w14:solidFill>
                </w14:textFill>
              </w:rPr>
              <w:t>项目河道疏浚、清淤</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采用挖掘机干式</w:t>
            </w:r>
            <w:r>
              <w:rPr>
                <w:rFonts w:hint="eastAsia" w:cs="Times New Roman" w:eastAsiaTheme="minorEastAsia"/>
                <w:color w:val="000000" w:themeColor="text1"/>
                <w:sz w:val="24"/>
                <w:lang w:val="en-US" w:eastAsia="zh-CN" w:bidi="ar"/>
                <w14:textFill>
                  <w14:solidFill>
                    <w14:schemeClr w14:val="tx1"/>
                  </w14:solidFill>
                </w14:textFill>
              </w:rPr>
              <w:t>挖掘</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随挖随运，不在项目区堆放。运输将严格按照六安市有关渣土运输的有关规定，选用性能良好、车厢封闭较好、证件齐全的车辆，严格按照指定的线路行驶。做到运输车辆不超载，车厢上部全部用篷布覆盖，避免运输过程中渣土散落污染周边道路及环境。同时需在运输的区间段内安排清洁人员，随时对车辆散落下来的土块、泥块进行清扫，并安排专人进行巡视、值班、组织路口交通。</w:t>
            </w:r>
          </w:p>
          <w:p w14:paraId="3CF9E4E8">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bidi="ar"/>
                <w14:textFill>
                  <w14:solidFill>
                    <w14:schemeClr w14:val="tx1"/>
                  </w14:solidFill>
                </w14:textFill>
              </w:rPr>
              <w:t>根据项目实地考察，</w:t>
            </w:r>
            <w:r>
              <w:rPr>
                <w:rFonts w:hint="eastAsia" w:cs="Times New Roman" w:eastAsiaTheme="minorEastAsia"/>
                <w:color w:val="000000" w:themeColor="text1"/>
                <w:sz w:val="24"/>
                <w:lang w:eastAsia="zh-CN" w:bidi="ar"/>
                <w14:textFill>
                  <w14:solidFill>
                    <w14:schemeClr w14:val="tx1"/>
                  </w14:solidFill>
                </w14:textFill>
              </w:rPr>
              <w:t>河道</w:t>
            </w:r>
            <w:r>
              <w:rPr>
                <w:rFonts w:hint="default" w:ascii="Times New Roman" w:hAnsi="Times New Roman" w:cs="Times New Roman" w:eastAsiaTheme="minorEastAsia"/>
                <w:color w:val="000000" w:themeColor="text1"/>
                <w:sz w:val="24"/>
                <w:lang w:eastAsia="zh-CN" w:bidi="ar"/>
                <w14:textFill>
                  <w14:solidFill>
                    <w14:schemeClr w14:val="tx1"/>
                  </w14:solidFill>
                </w14:textFill>
              </w:rPr>
              <w:t>产生的固体废弃物为雨水冲刷山体产生的植物枯叶和沙土，对环境无影响，由建设单位</w:t>
            </w:r>
            <w:r>
              <w:rPr>
                <w:rFonts w:hint="default" w:ascii="Times New Roman" w:hAnsi="Times New Roman" w:cs="Times New Roman" w:eastAsiaTheme="minorEastAsia"/>
                <w:color w:val="000000" w:themeColor="text1"/>
                <w:sz w:val="24"/>
                <w:lang w:eastAsia="zh-CN"/>
                <w14:textFill>
                  <w14:solidFill>
                    <w14:schemeClr w14:val="tx1"/>
                  </w14:solidFill>
                </w14:textFill>
              </w:rPr>
              <w:t>清理。</w:t>
            </w:r>
          </w:p>
          <w:p w14:paraId="2E9CA3E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（4）建筑垃圾</w:t>
            </w:r>
          </w:p>
          <w:p w14:paraId="22B15894">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本项目在建设过程中产生的建筑垃圾主要为建材损耗产生的垃圾，主要产生在施工场地修建过程中。在施工过程中产生的建筑垃圾包括砂土、石块、水泥、碎木料、锯木屑、废金属、钢筋、铁丝、土石方等杂物。工程施工过程中产生的各类建渣，</w:t>
            </w:r>
            <w:r>
              <w:rPr>
                <w:rFonts w:hint="default" w:ascii="Times New Roman" w:hAnsi="Times New Roman" w:cs="Times New Roman" w:eastAsiaTheme="minorEastAsia"/>
                <w:color w:val="000000" w:themeColor="text1"/>
                <w:sz w:val="24"/>
                <w:lang w:eastAsia="zh-CN" w:bidi="ar"/>
                <w14:textFill>
                  <w14:solidFill>
                    <w14:schemeClr w14:val="tx1"/>
                  </w14:solidFill>
                </w14:textFill>
              </w:rPr>
              <w:t>由建设单位</w:t>
            </w:r>
            <w:r>
              <w:rPr>
                <w:rFonts w:hint="default" w:ascii="Times New Roman" w:hAnsi="Times New Roman" w:cs="Times New Roman" w:eastAsiaTheme="minorEastAsia"/>
                <w:color w:val="000000" w:themeColor="text1"/>
                <w:sz w:val="24"/>
                <w:lang w:eastAsia="zh-CN"/>
                <w14:textFill>
                  <w14:solidFill>
                    <w14:schemeClr w14:val="tx1"/>
                  </w14:solidFill>
                </w14:textFill>
              </w:rPr>
              <w:t>清理至建筑垃圾填埋场处理。</w:t>
            </w:r>
          </w:p>
          <w:p w14:paraId="10CCA5E5">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建设单位应要求施工单位规范处理，首先将建筑垃圾分类，尽量回收其中尚可利用的部分建筑材料，对没有利用价值以及不能回填的废弃物应妥善堆放、及时处理，委托外运至城市指定建筑垃圾填埋场。施工产生的各类垃圾废弃物应堆置在规定的地点，在对其进行清运和回收处理前要进行围挡、遮盖，防止被雨水冲刷或大风刮起，进入水体，影响水质。在施工期间，施工车辆要按照指定路线行驶，不允许车辆进入水体，污染水体，严禁向水体中倾倒建筑废料，施工中不得随意抛弃建筑材料、残土、旧料和其他杂物。</w:t>
            </w:r>
          </w:p>
          <w:p w14:paraId="5056DFF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4"/>
                <w:lang w:val="en-US" w:eastAsia="zh-CN"/>
                <w14:textFill>
                  <w14:solidFill>
                    <w14:schemeClr w14:val="tx1"/>
                  </w14:solidFill>
                </w14:textFill>
              </w:rPr>
              <w:t>6、</w:t>
            </w:r>
            <w:r>
              <w:rPr>
                <w:rFonts w:hint="default" w:ascii="Times New Roman" w:hAnsi="Times New Roman" w:cs="Times New Roman" w:eastAsiaTheme="minorEastAsia"/>
                <w:b/>
                <w:color w:val="000000" w:themeColor="text1"/>
                <w:sz w:val="24"/>
                <w:lang w:val="en-US" w:eastAsia="zh-CN"/>
                <w14:textFill>
                  <w14:solidFill>
                    <w14:schemeClr w14:val="tx1"/>
                  </w14:solidFill>
                </w14:textFill>
              </w:rPr>
              <w:t>水文情势影响分析</w:t>
            </w:r>
          </w:p>
          <w:p w14:paraId="67B8040E">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本工程施工选择在枯水期，河道水量较小，工程施工不会影响水流的宣泄，故不会对河道上、下游水域的水文情势形成明显的影响。随着项目建设投入运行后，原河道水文情势的变化将得以恢复</w:t>
            </w:r>
            <w:r>
              <w:rPr>
                <w:rFonts w:hint="eastAsia" w:cs="Times New Roman" w:eastAsiaTheme="minorEastAsia"/>
                <w:color w:val="000000" w:themeColor="text1"/>
                <w:sz w:val="24"/>
                <w:szCs w:val="24"/>
                <w:lang w:val="en-US" w:eastAsia="zh-CN" w:bidi="ar"/>
                <w14:textFill>
                  <w14:solidFill>
                    <w14:schemeClr w14:val="tx1"/>
                  </w14:solidFill>
                </w14:textFill>
              </w:rPr>
              <w:t>。</w:t>
            </w:r>
          </w:p>
        </w:tc>
      </w:tr>
      <w:tr w14:paraId="7AEE7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2" w:type="dxa"/>
            <w:noWrap w:val="0"/>
            <w:tcMar>
              <w:left w:w="28" w:type="dxa"/>
              <w:right w:w="28" w:type="dxa"/>
            </w:tcMar>
            <w:vAlign w:val="center"/>
          </w:tcPr>
          <w:p w14:paraId="285FD2DC">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val="0"/>
                <w:color w:val="000000" w:themeColor="text1"/>
                <w:spacing w:val="10"/>
                <w:sz w:val="24"/>
                <w:szCs w:val="24"/>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szCs w:val="24"/>
                <w:lang w:val="en-US" w:eastAsia="zh-CN" w:bidi="ar-SA"/>
                <w14:textFill>
                  <w14:solidFill>
                    <w14:schemeClr w14:val="tx1"/>
                  </w14:solidFill>
                </w14:textFill>
              </w:rPr>
              <w:t>运营期生态环境影响分析</w:t>
            </w:r>
          </w:p>
        </w:tc>
        <w:tc>
          <w:tcPr>
            <w:tcW w:w="8696" w:type="dxa"/>
            <w:noWrap w:val="0"/>
            <w:vAlign w:val="top"/>
          </w:tcPr>
          <w:p w14:paraId="42A618EC">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本项目主要是排水防涝能力提升项目，通过</w:t>
            </w:r>
            <w:r>
              <w:rPr>
                <w:rFonts w:hint="default"/>
                <w:color w:val="000000" w:themeColor="text1"/>
                <w14:textFill>
                  <w14:solidFill>
                    <w14:schemeClr w14:val="tx1"/>
                  </w14:solidFill>
                </w14:textFill>
              </w:rPr>
              <w:t>新建排水管网</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增设西部新城排涝泵站</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改造排涝沟</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整治城区柳林河、幽芳河、高庙河、新店河四条排涝通道</w:t>
            </w:r>
            <w:r>
              <w:rPr>
                <w:rFonts w:hint="eastAsia"/>
                <w:color w:val="000000" w:themeColor="text1"/>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完善必要的排水防涝能力，增加项目区抵抗自然灾害的能力，改善项目区生态环境。</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工程建成之后，将解决管网服务范围内的路面积水问题，减少了城市内涝的问题，并改善区域内居民生活环境，对</w:t>
            </w:r>
            <w:r>
              <w:rPr>
                <w:rFonts w:hint="eastAsia" w:cs="Times New Roman" w:eastAsiaTheme="minorEastAsia"/>
                <w:color w:val="000000" w:themeColor="text1"/>
                <w:sz w:val="24"/>
                <w:lang w:val="en-US" w:eastAsia="zh-CN"/>
                <w14:textFill>
                  <w14:solidFill>
                    <w14:schemeClr w14:val="tx1"/>
                  </w14:solidFill>
                </w14:textFill>
              </w:rPr>
              <w:t>霍山县</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城市建设的建设有着积极的意义。</w:t>
            </w:r>
          </w:p>
          <w:p w14:paraId="582E746F">
            <w:pPr>
              <w:keepNext w:val="0"/>
              <w:keepLines w:val="0"/>
              <w:pageBreakBefore w:val="0"/>
              <w:widowControl/>
              <w:numPr>
                <w:ilvl w:val="0"/>
                <w:numId w:val="4"/>
              </w:numPr>
              <w:suppressLineNumbers w:val="0"/>
              <w:spacing w:before="0" w:beforeAutospacing="0" w:after="0" w:afterAutospacing="0" w:line="360" w:lineRule="auto"/>
              <w:ind w:left="0" w:right="0" w:firstLine="482"/>
              <w:jc w:val="left"/>
              <w:rPr>
                <w:rFonts w:hint="eastAsia" w:ascii="Times New Roman" w:hAnsi="Times New Roman" w:cs="Times New Roman" w:eastAsiaTheme="minorEastAsia"/>
                <w:b/>
                <w:bCs/>
                <w:color w:val="000000" w:themeColor="text1"/>
                <w:sz w:val="24"/>
                <w:szCs w:val="24"/>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bidi="ar"/>
                <w14:textFill>
                  <w14:solidFill>
                    <w14:schemeClr w14:val="tx1"/>
                  </w14:solidFill>
                </w14:textFill>
              </w:rPr>
              <w:t>运营期大气影响分析</w:t>
            </w:r>
          </w:p>
          <w:p w14:paraId="60D5226B">
            <w:pPr>
              <w:keepNext w:val="0"/>
              <w:keepLines w:val="0"/>
              <w:pageBreakBefore w:val="0"/>
              <w:widowControl/>
              <w:numPr>
                <w:ilvl w:val="0"/>
                <w:numId w:val="0"/>
              </w:numPr>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本工程为排水防涝工程，运营期无废气污染源，工程实施后，对施工后的场地进行覆土绿化，可有效减少扬尘，从而减轻了扬尘对大气环境的影响。</w:t>
            </w:r>
          </w:p>
          <w:p w14:paraId="2E3D5871">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bidi="ar"/>
                <w14:textFill>
                  <w14:solidFill>
                    <w14:schemeClr w14:val="tx1"/>
                  </w14:solidFill>
                </w14:textFill>
              </w:rPr>
              <w:t>2、运营期对水环境影响分析</w:t>
            </w:r>
          </w:p>
          <w:p w14:paraId="7A2CB4D5">
            <w:pPr>
              <w:keepNext w:val="0"/>
              <w:keepLines w:val="0"/>
              <w:pageBreakBefore w:val="0"/>
              <w:widowControl/>
              <w:suppressLineNumbers w:val="0"/>
              <w:spacing w:before="0" w:beforeAutospacing="0" w:after="0" w:afterAutospacing="0" w:line="360" w:lineRule="auto"/>
              <w:ind w:left="0" w:right="0" w:firstLine="480"/>
              <w:jc w:val="left"/>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本工程为排水防涝工程，运行期废水</w:t>
            </w:r>
            <w:r>
              <w:rPr>
                <w:rFonts w:hint="eastAsia" w:cs="Times New Roman" w:eastAsiaTheme="minorEastAsia"/>
                <w:color w:val="000000" w:themeColor="text1"/>
                <w:sz w:val="24"/>
                <w:szCs w:val="24"/>
                <w:lang w:val="en-US" w:eastAsia="zh-CN" w:bidi="ar"/>
                <w14:textFill>
                  <w14:solidFill>
                    <w14:schemeClr w14:val="tx1"/>
                  </w14:solidFill>
                </w14:textFill>
              </w:rPr>
              <w:t>主要为收集的</w:t>
            </w:r>
            <w:r>
              <w:rPr>
                <w:rFonts w:hint="eastAsia"/>
                <w:color w:val="000000" w:themeColor="text1"/>
                <w:lang w:val="en-US" w:eastAsia="zh-CN"/>
                <w14:textFill>
                  <w14:solidFill>
                    <w14:schemeClr w14:val="tx1"/>
                  </w14:solidFill>
                </w14:textFill>
              </w:rPr>
              <w:t>沿河居民生活污水</w:t>
            </w: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w:t>
            </w:r>
          </w:p>
          <w:p w14:paraId="15255B35">
            <w:pPr>
              <w:keepNext w:val="0"/>
              <w:keepLines w:val="0"/>
              <w:pageBreakBefore w:val="0"/>
              <w:widowControl/>
              <w:suppressLineNumbers w:val="0"/>
              <w:spacing w:before="0" w:beforeAutospacing="0" w:after="0" w:afterAutospacing="0" w:line="360" w:lineRule="auto"/>
              <w:ind w:left="0" w:right="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运营期污水管网布置方案如下：</w:t>
            </w:r>
          </w:p>
          <w:p w14:paraId="336C1D29">
            <w:pPr>
              <w:keepNext w:val="0"/>
              <w:keepLines w:val="0"/>
              <w:pageBreakBefore w:val="0"/>
              <w:widowControl/>
              <w:suppressLineNumbers w:val="0"/>
              <w:spacing w:before="0" w:beforeAutospacing="0" w:after="0" w:afterAutospacing="0" w:line="360" w:lineRule="auto"/>
              <w:ind w:left="0" w:right="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沿柳林河西侧布置De315主管，接沿河居民住宅污水，由南向北接入现状市政管道至污水厂；沿幽芳河西侧布置De315主管，接沿河居民住宅污水，由南向北接入现状市政管道至污水厂，幽芳河上游段因地形起伏及河道隔断，采用一体化设施集中处理及资源化利用分散处理方式，收集东土路、三斑路两岸居民生活污水。</w:t>
            </w:r>
          </w:p>
          <w:p w14:paraId="3B6F7CF6">
            <w:pPr>
              <w:keepNext w:val="0"/>
              <w:keepLines w:val="0"/>
              <w:pageBreakBefore w:val="0"/>
              <w:widowControl/>
              <w:suppressLineNumbers w:val="0"/>
              <w:spacing w:before="0" w:beforeAutospacing="0" w:after="0" w:afterAutospacing="0" w:line="360" w:lineRule="auto"/>
              <w:ind w:left="0" w:right="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除纳管的部分村庄外，较为集中的村庄采用集中污水处理，集中污水处理设施选用净化槽工艺，对于村庄较为分散的采用资源化利用工艺，出水达到安徽省地方标准《农村生活污水处理设施水污染物排放标准》(DB34/3527 -2019)一级标准B标准。</w:t>
            </w:r>
          </w:p>
          <w:p w14:paraId="2CB2E5C6">
            <w:pPr>
              <w:keepNext w:val="0"/>
              <w:keepLines w:val="0"/>
              <w:pageBreakBefore w:val="0"/>
              <w:widowControl/>
              <w:suppressLineNumbers w:val="0"/>
              <w:spacing w:before="0" w:beforeAutospacing="0" w:after="0" w:afterAutospacing="0" w:line="360" w:lineRule="auto"/>
              <w:ind w:left="0" w:right="0"/>
              <w:jc w:val="left"/>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集中收集模式是针对生活污水无法纳入城镇污水处理厂的居民区，将单个或多个居民的生活污水进行统一收集，再排至村级污水独立处理设施进行处理的污水收集模式。这种方式主要适用于居民较为集中，在</w:t>
            </w:r>
            <w:r>
              <w:rPr>
                <w:rFonts w:hint="default" w:ascii="Times New Roman" w:hAnsi="Times New Roman" w:eastAsia="宋体" w:cs="宋体"/>
                <w:color w:val="000000" w:themeColor="text1"/>
                <w:lang w:val="en-US" w:eastAsia="zh-CN"/>
                <w14:textFill>
                  <w14:solidFill>
                    <w14:schemeClr w14:val="tx1"/>
                  </w14:solidFill>
                </w14:textFill>
              </w:rPr>
              <w:t>15</w:t>
            </w:r>
            <w:r>
              <w:rPr>
                <w:rFonts w:hint="eastAsia" w:ascii="Times New Roman" w:hAnsi="Times New Roman" w:eastAsia="宋体" w:cs="宋体"/>
                <w:color w:val="000000" w:themeColor="text1"/>
                <w:lang w:val="en-US" w:eastAsia="zh-CN"/>
                <w14:textFill>
                  <w14:solidFill>
                    <w14:schemeClr w14:val="tx1"/>
                  </w14:solidFill>
                </w14:textFill>
              </w:rPr>
              <w:t>户以上的，地形条件有利于生活污水依靠重力统一流入污水处理设施的居民区。处理后废水排至人工</w:t>
            </w:r>
            <w:r>
              <w:rPr>
                <w:rFonts w:hint="eastAsia" w:cs="宋体"/>
                <w:color w:val="000000" w:themeColor="text1"/>
                <w:lang w:val="en-US" w:eastAsia="zh-CN"/>
                <w14:textFill>
                  <w14:solidFill>
                    <w14:schemeClr w14:val="tx1"/>
                  </w14:solidFill>
                </w14:textFill>
              </w:rPr>
              <w:t>塘</w:t>
            </w:r>
            <w:r>
              <w:rPr>
                <w:rFonts w:hint="eastAsia" w:ascii="Times New Roman" w:hAnsi="Times New Roman" w:eastAsia="宋体" w:cs="宋体"/>
                <w:color w:val="000000" w:themeColor="text1"/>
                <w:lang w:val="en-US" w:eastAsia="zh-CN"/>
                <w14:textFill>
                  <w14:solidFill>
                    <w14:schemeClr w14:val="tx1"/>
                  </w14:solidFill>
                </w14:textFill>
              </w:rPr>
              <w:t>。</w:t>
            </w:r>
          </w:p>
          <w:p w14:paraId="31EBEC5A">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资源化利用模式指对单户或多户居民住户产生的生活污水就近处理，一般日处理能力小于</w:t>
            </w:r>
            <w:r>
              <w:rPr>
                <w:rFonts w:hint="default" w:ascii="Times New Roman" w:hAnsi="Times New Roman" w:eastAsia="宋体" w:cs="宋体"/>
                <w:color w:val="000000" w:themeColor="text1"/>
                <w:lang w:val="en-US" w:eastAsia="zh-CN"/>
                <w14:textFill>
                  <w14:solidFill>
                    <w14:schemeClr w14:val="tx1"/>
                  </w14:solidFill>
                </w14:textFill>
              </w:rPr>
              <w:t>2</w:t>
            </w:r>
            <w:r>
              <w:rPr>
                <w:rFonts w:hint="eastAsia" w:cs="宋体"/>
                <w:color w:val="000000" w:themeColor="text1"/>
                <w:lang w:val="en-US" w:eastAsia="zh-CN"/>
                <w14:textFill>
                  <w14:solidFill>
                    <w14:schemeClr w14:val="tx1"/>
                  </w14:solidFill>
                </w14:textFill>
              </w:rPr>
              <w:t>m</w:t>
            </w:r>
            <w:r>
              <w:rPr>
                <w:rFonts w:hint="default" w:ascii="Times New Roman" w:hAnsi="Times New Roman" w:eastAsia="宋体" w:cs="宋体"/>
                <w:color w:val="000000" w:themeColor="text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lang w:val="en-US" w:eastAsia="zh-CN"/>
                <w14:textFill>
                  <w14:solidFill>
                    <w14:schemeClr w14:val="tx1"/>
                  </w14:solidFill>
                </w14:textFill>
              </w:rPr>
              <w:t>。这种方式主要适用于无法集中铺设管网或集中收集处理的居民区，住户较为分散、小于</w:t>
            </w:r>
            <w:r>
              <w:rPr>
                <w:rFonts w:hint="default" w:ascii="Times New Roman" w:hAnsi="Times New Roman" w:eastAsia="宋体" w:cs="宋体"/>
                <w:color w:val="000000" w:themeColor="text1"/>
                <w:lang w:val="en-US" w:eastAsia="zh-CN"/>
                <w14:textFill>
                  <w14:solidFill>
                    <w14:schemeClr w14:val="tx1"/>
                  </w14:solidFill>
                </w14:textFill>
              </w:rPr>
              <w:t>15</w:t>
            </w:r>
            <w:r>
              <w:rPr>
                <w:rFonts w:hint="eastAsia" w:ascii="Times New Roman" w:hAnsi="Times New Roman" w:eastAsia="宋体" w:cs="宋体"/>
                <w:color w:val="000000" w:themeColor="text1"/>
                <w:lang w:val="en-US" w:eastAsia="zh-CN"/>
                <w14:textFill>
                  <w14:solidFill>
                    <w14:schemeClr w14:val="tx1"/>
                  </w14:solidFill>
                </w14:textFill>
              </w:rPr>
              <w:t>户的，地形条件限制等因素难以统一收集、统一处理的乡镇地区特别是居住较为分散的山区、丘陵地带。收集污水经过处理后进行资源化利用，结合周边情况，可排入农灌沟进行农用回灌，或者进行林地漫灌。</w:t>
            </w:r>
            <w:r>
              <w:rPr>
                <w:rFonts w:hint="eastAsia"/>
                <w:color w:val="000000" w:themeColor="text1"/>
                <w:lang w:val="en-US" w:eastAsia="zh-CN"/>
                <w14:textFill>
                  <w14:solidFill>
                    <w14:schemeClr w14:val="tx1"/>
                  </w14:solidFill>
                </w14:textFill>
              </w:rPr>
              <w:t>运营期收集的生活污水处理后不直接排放入地表水体，对地表水影响较小。</w:t>
            </w:r>
          </w:p>
          <w:p w14:paraId="71320F8D">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bidi="ar"/>
                <w14:textFill>
                  <w14:solidFill>
                    <w14:schemeClr w14:val="tx1"/>
                  </w14:solidFill>
                </w14:textFill>
              </w:rPr>
              <w:t>3、运营期声环境影响分析</w:t>
            </w:r>
          </w:p>
          <w:p w14:paraId="26F0B9E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项目运营后，主要噪声设备有排涝泵站设备，根据国内类比调查分析，本项目配套的水泵等动力设备，噪声源强约75~80dB。考虑到区域整体的协调性和降噪要求，泵房均设置在地下层内，经过墙体隔声和距离衰减后，噪声级可降至50dB。因此，地下层配套的水泵房运行噪声不会对周围环境造成明显的不利影响。并以灌木绿化屏蔽，可确保其运行噪声对周边居民无影响。</w:t>
            </w:r>
          </w:p>
          <w:p w14:paraId="3688F03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综上所述，项目营运期产生的噪声经过隔声、距离衰减及绿化带降噪后，噪声排放可以满足《工业企业厂界环境噪声排放标准》（GB12348-2008）</w:t>
            </w:r>
            <w:r>
              <w:rPr>
                <w:rFonts w:hint="eastAsia" w:cs="Times New Roman" w:eastAsiaTheme="minorEastAsia"/>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类标准</w:t>
            </w:r>
            <w:r>
              <w:rPr>
                <w:rFonts w:hint="eastAsia" w:cs="Times New Roman" w:eastAsiaTheme="minorEastAsia"/>
                <w:color w:val="000000" w:themeColor="text1"/>
                <w:sz w:val="24"/>
                <w:lang w:val="en-US" w:eastAsia="zh-CN"/>
                <w14:textFill>
                  <w14:solidFill>
                    <w14:schemeClr w14:val="tx1"/>
                  </w14:solidFill>
                </w14:textFill>
              </w:rPr>
              <w:t>。</w:t>
            </w:r>
          </w:p>
          <w:p w14:paraId="04FB5D17">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pPr>
            <w:r>
              <w:rPr>
                <w:rFonts w:hint="eastAsia" w:cs="Times New Roman" w:eastAsiaTheme="minorEastAsia"/>
                <w:b/>
                <w:bCs/>
                <w:color w:val="000000" w:themeColor="text1"/>
                <w:sz w:val="24"/>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sz w:val="24"/>
                <w:szCs w:val="24"/>
                <w:lang w:val="en-US" w:eastAsia="zh-CN" w:bidi="ar"/>
                <w14:textFill>
                  <w14:solidFill>
                    <w14:schemeClr w14:val="tx1"/>
                  </w14:solidFill>
                </w14:textFill>
              </w:rPr>
              <w:t>运营期固废影响分析</w:t>
            </w:r>
          </w:p>
          <w:p w14:paraId="25C1F254">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本项目运营期产生的固废主要为一般固废和危废。</w:t>
            </w:r>
          </w:p>
          <w:p w14:paraId="3820BD6A">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一般固废主要为截留杂物，其产生量受其排涝片区环境质量影响，加强片区城市环境卫生，可减少该部分垃圾量。拦截的垃圾量应打捞后由环卫部门运至垃圾填埋场处理。</w:t>
            </w:r>
          </w:p>
          <w:p w14:paraId="34F90C64">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本项目运营期产生的危废主要为泵站、闸门检修产生的废矿物油及沾染物，按危险废物管理要求进行集中回收处理，不会对环境造成影响。</w:t>
            </w:r>
          </w:p>
          <w:p w14:paraId="18328982">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5、运营期生态环境影响分析</w:t>
            </w:r>
          </w:p>
          <w:p w14:paraId="5F2FFF92">
            <w:pPr>
              <w:keepNext w:val="0"/>
              <w:keepLines w:val="0"/>
              <w:widowControl/>
              <w:suppressLineNumbers w:val="0"/>
              <w:spacing w:before="0" w:beforeAutospacing="0" w:after="0" w:afterAutospacing="0" w:line="360" w:lineRule="auto"/>
              <w:ind w:left="0" w:right="0"/>
              <w:jc w:val="left"/>
              <w:rPr>
                <w:rFonts w:hint="default"/>
                <w:color w:val="000000" w:themeColor="text1"/>
                <w14:textFill>
                  <w14:solidFill>
                    <w14:schemeClr w14:val="tx1"/>
                  </w14:solidFill>
                </w14:textFill>
              </w:rPr>
            </w:pPr>
            <w:r>
              <w:rPr>
                <w:rFonts w:hint="eastAsia" w:ascii="宋体" w:hAnsi="宋体" w:eastAsia="宋体" w:cs="宋体"/>
                <w:b/>
                <w:bCs/>
                <w:color w:val="000000" w:themeColor="text1"/>
                <w:sz w:val="24"/>
                <w:szCs w:val="24"/>
                <w:lang w:val="en-US" w:eastAsia="zh-CN" w:bidi="ar"/>
                <w14:textFill>
                  <w14:solidFill>
                    <w14:schemeClr w14:val="tx1"/>
                  </w14:solidFill>
                </w14:textFill>
              </w:rPr>
              <w:t>详见生态环境影响专项评价。</w:t>
            </w:r>
          </w:p>
          <w:p w14:paraId="0AA57E9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p>
        </w:tc>
      </w:tr>
      <w:tr w14:paraId="682A3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2" w:type="dxa"/>
            <w:noWrap w:val="0"/>
            <w:vAlign w:val="center"/>
          </w:tcPr>
          <w:p w14:paraId="67E027D3">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val="0"/>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sz w:val="24"/>
                <w:szCs w:val="24"/>
                <w:lang w:val="en-US" w:eastAsia="zh-CN" w:bidi="ar-SA"/>
                <w14:textFill>
                  <w14:solidFill>
                    <w14:schemeClr w14:val="tx1"/>
                  </w14:solidFill>
                </w14:textFill>
              </w:rPr>
              <w:t>选址选线环境合理性分析</w:t>
            </w:r>
          </w:p>
        </w:tc>
        <w:tc>
          <w:tcPr>
            <w:tcW w:w="8696" w:type="dxa"/>
            <w:noWrap w:val="0"/>
            <w:vAlign w:val="top"/>
          </w:tcPr>
          <w:p w14:paraId="52D3A67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1、项目选址合理性分析</w:t>
            </w:r>
          </w:p>
          <w:p w14:paraId="63F5D8E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lang w:eastAsia="zh-CN"/>
                <w14:textFill>
                  <w14:solidFill>
                    <w14:schemeClr w14:val="tx1"/>
                  </w14:solidFill>
                </w14:textFill>
              </w:rPr>
            </w:pPr>
            <w:r>
              <w:rPr>
                <w:rFonts w:hint="default" w:ascii="Times New Roman" w:hAnsi="Times New Roman" w:cs="Times New Roman" w:eastAsiaTheme="minorEastAsia"/>
                <w:bCs/>
                <w:color w:val="000000" w:themeColor="text1"/>
                <w:lang w:eastAsia="zh-CN"/>
                <w14:textFill>
                  <w14:solidFill>
                    <w14:schemeClr w14:val="tx1"/>
                  </w14:solidFill>
                </w14:textFill>
              </w:rPr>
              <w:t>①环境制约因素</w:t>
            </w:r>
          </w:p>
          <w:p w14:paraId="1A060FE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本次</w:t>
            </w:r>
            <w:r>
              <w:rPr>
                <w:rFonts w:hint="default" w:ascii="Times New Roman" w:hAnsi="Times New Roman" w:cs="Times New Roman" w:eastAsiaTheme="minorEastAsia"/>
                <w:color w:val="000000" w:themeColor="text1"/>
                <w:sz w:val="24"/>
                <w14:textFill>
                  <w14:solidFill>
                    <w14:schemeClr w14:val="tx1"/>
                  </w14:solidFill>
                </w14:textFill>
              </w:rPr>
              <w:t>工程</w:t>
            </w:r>
            <w:r>
              <w:rPr>
                <w:rFonts w:hint="default" w:ascii="Times New Roman" w:hAnsi="Times New Roman" w:cs="Times New Roman" w:eastAsiaTheme="minorEastAsia"/>
                <w:bCs/>
                <w:color w:val="000000" w:themeColor="text1"/>
                <w14:textFill>
                  <w14:solidFill>
                    <w14:schemeClr w14:val="tx1"/>
                  </w14:solidFill>
                </w14:textFill>
              </w:rPr>
              <w:t>通过项目实施可以加强</w:t>
            </w:r>
            <w:r>
              <w:rPr>
                <w:rFonts w:hint="eastAsia" w:ascii="Times New Roman" w:hAnsi="Times New Roman" w:cs="Times New Roman" w:eastAsiaTheme="minorEastAsia"/>
                <w:bCs/>
                <w:color w:val="000000" w:themeColor="text1"/>
                <w:lang w:eastAsia="zh-CN"/>
                <w14:textFill>
                  <w14:solidFill>
                    <w14:schemeClr w14:val="tx1"/>
                  </w14:solidFill>
                </w14:textFill>
              </w:rPr>
              <w:t>霍山</w:t>
            </w:r>
            <w:r>
              <w:rPr>
                <w:rFonts w:hint="default" w:ascii="Times New Roman" w:hAnsi="Times New Roman" w:cs="Times New Roman" w:eastAsiaTheme="minorEastAsia"/>
                <w:bCs/>
                <w:color w:val="000000" w:themeColor="text1"/>
                <w14:textFill>
                  <w14:solidFill>
                    <w14:schemeClr w14:val="tx1"/>
                  </w14:solidFill>
                </w14:textFill>
              </w:rPr>
              <w:t>县的生态建设，减缓地表径流、减少冲刷、防止水土流失、保持和恢复土地肥力；绿化工程的实施以恢复并扩大林地面积，涵养水源、调节气候、维护碳循环和保护生物多样性、增强</w:t>
            </w:r>
            <w:r>
              <w:rPr>
                <w:rFonts w:hint="eastAsia" w:ascii="Times New Roman" w:hAnsi="Times New Roman" w:cs="Times New Roman" w:eastAsiaTheme="minorEastAsia"/>
                <w:bCs/>
                <w:color w:val="000000" w:themeColor="text1"/>
                <w:lang w:eastAsia="zh-CN"/>
                <w14:textFill>
                  <w14:solidFill>
                    <w14:schemeClr w14:val="tx1"/>
                  </w14:solidFill>
                </w14:textFill>
              </w:rPr>
              <w:t>霍山</w:t>
            </w:r>
            <w:r>
              <w:rPr>
                <w:rFonts w:hint="default" w:ascii="Times New Roman" w:hAnsi="Times New Roman" w:cs="Times New Roman" w:eastAsiaTheme="minorEastAsia"/>
                <w:bCs/>
                <w:color w:val="000000" w:themeColor="text1"/>
                <w14:textFill>
                  <w14:solidFill>
                    <w14:schemeClr w14:val="tx1"/>
                  </w14:solidFill>
                </w14:textFill>
              </w:rPr>
              <w:t>县生态系统的自然性、完整性、稳定性，全面提升生态保护管理与合理利用水平。</w:t>
            </w:r>
          </w:p>
          <w:p w14:paraId="64BF7FA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项目红线范围及施工作业带不涉及国家及安徽省、六安市、霍山县划定的生态保护红线范围</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lang w:eastAsia="zh-CN"/>
                <w14:textFill>
                  <w14:solidFill>
                    <w14:schemeClr w14:val="tx1"/>
                  </w14:solidFill>
                </w14:textFill>
              </w:rPr>
              <w:t>项目区</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涉及国家和安徽省重点保护哺乳动物</w:t>
            </w:r>
            <w:r>
              <w:rPr>
                <w:rFonts w:hint="eastAsia" w:cs="Times New Roman"/>
                <w:bCs/>
                <w:color w:val="000000" w:themeColor="text1"/>
                <w:highlight w:val="none"/>
                <w:lang w:val="en-US" w:eastAsia="zh-CN"/>
                <w14:textFill>
                  <w14:solidFill>
                    <w14:schemeClr w14:val="tx1"/>
                  </w14:solidFill>
                </w14:textFill>
              </w:rPr>
              <w:t>主要为小灵猫，</w:t>
            </w:r>
            <w:r>
              <w:rPr>
                <w:rFonts w:hint="default" w:ascii="Times New Roman" w:hAnsi="Times New Roman" w:cs="Times New Roman" w:eastAsiaTheme="minorEastAsia"/>
                <w:bCs/>
                <w:color w:val="000000" w:themeColor="text1"/>
                <w14:textFill>
                  <w14:solidFill>
                    <w14:schemeClr w14:val="tx1"/>
                  </w14:solidFill>
                </w14:textFill>
              </w:rPr>
              <w:t>未发现</w:t>
            </w:r>
            <w:r>
              <w:rPr>
                <w:rFonts w:hint="eastAsia" w:cs="Times New Roman" w:eastAsiaTheme="minorEastAsia"/>
                <w:bCs/>
                <w:color w:val="000000" w:themeColor="text1"/>
                <w:lang w:eastAsia="zh-CN"/>
                <w14:textFill>
                  <w14:solidFill>
                    <w14:schemeClr w14:val="tx1"/>
                  </w14:solidFill>
                </w14:textFill>
              </w:rPr>
              <w:t>其他</w:t>
            </w:r>
            <w:r>
              <w:rPr>
                <w:rFonts w:hint="default" w:ascii="Times New Roman" w:hAnsi="Times New Roman" w:cs="Times New Roman" w:eastAsiaTheme="minorEastAsia"/>
                <w:bCs/>
                <w:color w:val="000000" w:themeColor="text1"/>
                <w14:textFill>
                  <w14:solidFill>
                    <w14:schemeClr w14:val="tx1"/>
                  </w14:solidFill>
                </w14:textFill>
              </w:rPr>
              <w:t>珍稀野生动植物和古树名木分布</w:t>
            </w:r>
            <w:r>
              <w:rPr>
                <w:rFonts w:hint="eastAsia" w:cs="Times New Roman" w:eastAsiaTheme="minorEastAsia"/>
                <w:bCs/>
                <w:color w:val="000000" w:themeColor="text1"/>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小灵猫发现点位于西门畈村，西门畈村位于柳林河东侧位置约60m。</w:t>
            </w:r>
            <w:r>
              <w:rPr>
                <w:rFonts w:hint="eastAsia" w:ascii="Times New Roman" w:hAnsi="Times New Roman" w:cs="Times New Roman" w:eastAsiaTheme="minorEastAsia"/>
                <w:color w:val="000000" w:themeColor="text1"/>
                <w:sz w:val="24"/>
                <w:szCs w:val="24"/>
                <w:lang w:val="en-US" w:eastAsia="zh-CN" w:bidi="ar"/>
                <w14:textFill>
                  <w14:solidFill>
                    <w14:schemeClr w14:val="tx1"/>
                  </w14:solidFill>
                </w14:textFill>
              </w:rPr>
              <w:t>本项目为霍山县排水防涝能力提升项目，建设内容包括柳林河排涝通道整治，</w:t>
            </w:r>
            <w:r>
              <w:rPr>
                <w:rFonts w:hint="eastAsia"/>
                <w:color w:val="000000" w:themeColor="text1"/>
                <w:lang w:val="en-US" w:eastAsia="zh-CN"/>
                <w14:textFill>
                  <w14:solidFill>
                    <w14:schemeClr w14:val="tx1"/>
                  </w14:solidFill>
                </w14:textFill>
              </w:rPr>
              <w:t>选址唯一性，不可调整。</w:t>
            </w:r>
            <w:r>
              <w:rPr>
                <w:rFonts w:hint="eastAsia" w:cs="Times New Roman" w:eastAsiaTheme="minorEastAsia"/>
                <w:bCs/>
                <w:color w:val="000000" w:themeColor="text1"/>
                <w:lang w:eastAsia="zh-CN"/>
                <w14:textFill>
                  <w14:solidFill>
                    <w14:schemeClr w14:val="tx1"/>
                  </w14:solidFill>
                </w14:textFill>
              </w:rPr>
              <w:t>且施工期较短，</w:t>
            </w:r>
            <w:r>
              <w:rPr>
                <w:rFonts w:hint="default" w:ascii="Times New Roman" w:hAnsi="Times New Roman" w:cs="Times New Roman" w:eastAsiaTheme="minorEastAsia"/>
                <w:bCs/>
                <w:color w:val="000000" w:themeColor="text1"/>
                <w14:textFill>
                  <w14:solidFill>
                    <w14:schemeClr w14:val="tx1"/>
                  </w14:solidFill>
                </w14:textFill>
              </w:rPr>
              <w:t>施工活动对周围环境的影响也较小</w:t>
            </w:r>
            <w:r>
              <w:rPr>
                <w:rFonts w:hint="default" w:ascii="Times New Roman" w:hAnsi="Times New Roman" w:cs="Times New Roman" w:eastAsiaTheme="minorEastAsia"/>
                <w:bCs/>
                <w:color w:val="000000" w:themeColor="text1"/>
                <w:lang w:eastAsia="zh-CN"/>
                <w14:textFill>
                  <w14:solidFill>
                    <w14:schemeClr w14:val="tx1"/>
                  </w14:solidFill>
                </w14:textFill>
              </w:rPr>
              <w:t>，</w:t>
            </w:r>
            <w:r>
              <w:rPr>
                <w:rFonts w:hint="default" w:ascii="Times New Roman" w:hAnsi="Times New Roman" w:cs="Times New Roman" w:eastAsiaTheme="minorEastAsia"/>
                <w:bCs/>
                <w:color w:val="000000" w:themeColor="text1"/>
                <w14:textFill>
                  <w14:solidFill>
                    <w14:schemeClr w14:val="tx1"/>
                  </w14:solidFill>
                </w14:textFill>
              </w:rPr>
              <w:t>项目建设对地表</w:t>
            </w:r>
            <w:r>
              <w:rPr>
                <w:rFonts w:hint="eastAsia" w:cs="Times New Roman" w:eastAsiaTheme="minorEastAsia"/>
                <w:bCs/>
                <w:color w:val="000000" w:themeColor="text1"/>
                <w:lang w:eastAsia="zh-CN"/>
                <w14:textFill>
                  <w14:solidFill>
                    <w14:schemeClr w14:val="tx1"/>
                  </w14:solidFill>
                </w14:textFill>
              </w:rPr>
              <w:t>动物、</w:t>
            </w:r>
            <w:r>
              <w:rPr>
                <w:rFonts w:hint="default" w:ascii="Times New Roman" w:hAnsi="Times New Roman" w:cs="Times New Roman" w:eastAsiaTheme="minorEastAsia"/>
                <w:bCs/>
                <w:color w:val="000000" w:themeColor="text1"/>
                <w14:textFill>
                  <w14:solidFill>
                    <w14:schemeClr w14:val="tx1"/>
                  </w14:solidFill>
                </w14:textFill>
              </w:rPr>
              <w:t>植被的破坏较小</w:t>
            </w:r>
            <w:r>
              <w:rPr>
                <w:rFonts w:hint="default" w:ascii="Times New Roman" w:hAnsi="Times New Roman" w:cs="Times New Roman" w:eastAsiaTheme="minorEastAsia"/>
                <w:bCs/>
                <w:color w:val="000000" w:themeColor="text1"/>
                <w:lang w:eastAsia="zh-CN"/>
                <w14:textFill>
                  <w14:solidFill>
                    <w14:schemeClr w14:val="tx1"/>
                  </w14:solidFill>
                </w14:textFill>
              </w:rPr>
              <w:t>。</w:t>
            </w:r>
          </w:p>
          <w:p w14:paraId="3FED058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32"/>
                <w14:textFill>
                  <w14:solidFill>
                    <w14:schemeClr w14:val="tx1"/>
                  </w14:solidFill>
                </w14:textFill>
              </w:rPr>
              <w:t>综上所述，从环境保护角度分析</w:t>
            </w:r>
            <w:r>
              <w:rPr>
                <w:rFonts w:hint="default" w:ascii="Times New Roman" w:hAnsi="Times New Roman" w:cs="Times New Roman" w:eastAsiaTheme="minorEastAsia"/>
                <w:color w:val="000000" w:themeColor="text1"/>
                <w:sz w:val="24"/>
                <w:szCs w:val="32"/>
                <w:lang w:eastAsia="zh-CN"/>
                <w14:textFill>
                  <w14:solidFill>
                    <w14:schemeClr w14:val="tx1"/>
                  </w14:solidFill>
                </w14:textFill>
              </w:rPr>
              <w:t>，</w:t>
            </w:r>
            <w:r>
              <w:rPr>
                <w:rFonts w:hint="default" w:ascii="Times New Roman" w:hAnsi="Times New Roman" w:cs="Times New Roman" w:eastAsiaTheme="minorEastAsia"/>
                <w:bCs/>
                <w:color w:val="000000" w:themeColor="text1"/>
                <w14:textFill>
                  <w14:solidFill>
                    <w14:schemeClr w14:val="tx1"/>
                  </w14:solidFill>
                </w14:textFill>
              </w:rPr>
              <w:t>选址唯一。</w:t>
            </w:r>
          </w:p>
          <w:p w14:paraId="5A1DE666">
            <w:pPr>
              <w:pStyle w:val="195"/>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lang w:eastAsia="zh-CN"/>
                <w14:textFill>
                  <w14:solidFill>
                    <w14:schemeClr w14:val="tx1"/>
                  </w14:solidFill>
                </w14:textFill>
              </w:rPr>
            </w:pPr>
            <w:r>
              <w:rPr>
                <w:rFonts w:hint="default" w:ascii="Times New Roman" w:hAnsi="Times New Roman" w:cs="Times New Roman" w:eastAsiaTheme="minorEastAsia"/>
                <w:bCs/>
                <w:color w:val="000000" w:themeColor="text1"/>
                <w:lang w:eastAsia="zh-CN"/>
                <w14:textFill>
                  <w14:solidFill>
                    <w14:schemeClr w14:val="tx1"/>
                  </w14:solidFill>
                </w14:textFill>
              </w:rPr>
              <w:t>②环境影响程度</w:t>
            </w:r>
          </w:p>
          <w:p w14:paraId="179D2AE0">
            <w:pPr>
              <w:pStyle w:val="195"/>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bCs/>
                <w:color w:val="000000" w:themeColor="text1"/>
                <w14:textFill>
                  <w14:solidFill>
                    <w14:schemeClr w14:val="tx1"/>
                  </w14:solidFill>
                </w14:textFill>
              </w:rPr>
              <w:t>本项目施工过程中产生一定的污染物，其主要表现在施工期</w:t>
            </w:r>
            <w:r>
              <w:rPr>
                <w:rFonts w:hint="eastAsia"/>
                <w:color w:val="000000" w:themeColor="text1"/>
                <w:lang w:val="en-US" w:eastAsia="zh-CN"/>
                <w14:textFill>
                  <w14:solidFill>
                    <w14:schemeClr w14:val="tx1"/>
                  </w14:solidFill>
                </w14:textFill>
              </w:rPr>
              <w:t>开挖、疏浚等行为</w:t>
            </w:r>
            <w:r>
              <w:rPr>
                <w:rFonts w:hint="default" w:ascii="Times New Roman" w:hAnsi="Times New Roman" w:cs="Times New Roman" w:eastAsiaTheme="minorEastAsia"/>
                <w:bCs/>
                <w:color w:val="000000" w:themeColor="text1"/>
                <w14:textFill>
                  <w14:solidFill>
                    <w14:schemeClr w14:val="tx1"/>
                  </w14:solidFill>
                </w14:textFill>
              </w:rPr>
              <w:t>。施工期</w:t>
            </w:r>
            <w:r>
              <w:rPr>
                <w:rFonts w:hint="eastAsia" w:ascii="Times New Roman" w:hAnsi="Times New Roman" w:cs="Times New Roman" w:eastAsiaTheme="minorEastAsia"/>
                <w:bCs/>
                <w:color w:val="000000" w:themeColor="text1"/>
                <w:lang w:eastAsia="zh-CN"/>
                <w14:textFill>
                  <w14:solidFill>
                    <w14:schemeClr w14:val="tx1"/>
                  </w14:solidFill>
                </w14:textFill>
              </w:rPr>
              <w:t>通过减少</w:t>
            </w:r>
            <w:r>
              <w:rPr>
                <w:rFonts w:hint="eastAsia"/>
                <w:color w:val="000000" w:themeColor="text1"/>
                <w:lang w:val="en-US" w:eastAsia="zh-CN"/>
                <w14:textFill>
                  <w14:solidFill>
                    <w14:schemeClr w14:val="tx1"/>
                  </w14:solidFill>
                </w14:textFill>
              </w:rPr>
              <w:t>开挖面积、合理安排疏浚工期，减少扬尘产生；</w:t>
            </w:r>
            <w:r>
              <w:rPr>
                <w:rFonts w:hint="default" w:ascii="Times New Roman" w:hAnsi="Times New Roman" w:cs="Times New Roman" w:eastAsiaTheme="minorEastAsia"/>
                <w:bCs/>
                <w:color w:val="000000" w:themeColor="text1"/>
                <w14:textFill>
                  <w14:solidFill>
                    <w14:schemeClr w14:val="tx1"/>
                  </w14:solidFill>
                </w14:textFill>
              </w:rPr>
              <w:t>施工扬尘采取对施工现场采取洒水、铺装防尘网、竣工后要及时清理施工场地；加强施工机械的使用管理和保养维修，合理降低使用次数，提高机械使用效率，以降低运输车辆及作业机械尾气排放。机械设备及汽车轮胎冲洗废水</w:t>
            </w:r>
            <w:r>
              <w:rPr>
                <w:rFonts w:hint="default" w:ascii="Times New Roman" w:hAnsi="Times New Roman" w:cs="Times New Roman" w:eastAsiaTheme="minorEastAsia"/>
                <w:bCs/>
                <w:color w:val="000000" w:themeColor="text1"/>
                <w:lang w:eastAsia="zh-CN"/>
                <w14:textFill>
                  <w14:solidFill>
                    <w14:schemeClr w14:val="tx1"/>
                  </w14:solidFill>
                </w14:textFill>
              </w:rPr>
              <w:t>沉淀池</w:t>
            </w:r>
            <w:r>
              <w:rPr>
                <w:rFonts w:hint="default" w:ascii="Times New Roman" w:hAnsi="Times New Roman" w:cs="Times New Roman" w:eastAsiaTheme="minorEastAsia"/>
                <w:bCs/>
                <w:color w:val="000000" w:themeColor="text1"/>
                <w14:textFill>
                  <w14:solidFill>
                    <w14:schemeClr w14:val="tx1"/>
                  </w14:solidFill>
                </w14:textFill>
              </w:rPr>
              <w:t>1座5</w:t>
            </w:r>
            <w:r>
              <w:rPr>
                <w:rFonts w:hint="eastAsia" w:cs="Times New Roman" w:eastAsiaTheme="minorEastAsia"/>
                <w:bCs/>
                <w:color w:val="000000" w:themeColor="text1"/>
                <w:lang w:eastAsia="zh-CN"/>
                <w14:textFill>
                  <w14:solidFill>
                    <w14:schemeClr w14:val="tx1"/>
                  </w14:solidFill>
                </w14:textFill>
              </w:rPr>
              <w:t>m</w:t>
            </w:r>
            <w:r>
              <w:rPr>
                <w:rFonts w:hint="default" w:ascii="Times New Roman" w:hAnsi="Times New Roman" w:cs="Times New Roman" w:eastAsiaTheme="minorEastAsia"/>
                <w:bCs/>
                <w:color w:val="000000" w:themeColor="text1"/>
                <w:vertAlign w:val="superscript"/>
                <w14:textFill>
                  <w14:solidFill>
                    <w14:schemeClr w14:val="tx1"/>
                  </w14:solidFill>
                </w14:textFill>
              </w:rPr>
              <w:t>3</w:t>
            </w:r>
            <w:r>
              <w:rPr>
                <w:rFonts w:hint="default" w:ascii="Times New Roman" w:hAnsi="Times New Roman" w:cs="Times New Roman" w:eastAsiaTheme="minorEastAsia"/>
                <w:bCs/>
                <w:color w:val="000000" w:themeColor="text1"/>
                <w14:textFill>
                  <w14:solidFill>
                    <w14:schemeClr w14:val="tx1"/>
                  </w14:solidFill>
                </w14:textFill>
              </w:rPr>
              <w:t>临时沉淀处理后回用或泼洒抑尘</w:t>
            </w:r>
            <w:r>
              <w:rPr>
                <w:rFonts w:hint="default" w:ascii="Times New Roman" w:hAnsi="Times New Roman" w:cs="Times New Roman" w:eastAsiaTheme="minorEastAsia"/>
                <w:color w:val="000000" w:themeColor="text1"/>
                <w14:textFill>
                  <w14:solidFill>
                    <w14:schemeClr w14:val="tx1"/>
                  </w14:solidFill>
                </w14:textFill>
              </w:rPr>
              <w:t>；施工人员生活污水</w:t>
            </w:r>
            <w:r>
              <w:rPr>
                <w:rFonts w:hint="default" w:ascii="Times New Roman" w:hAnsi="Times New Roman" w:cs="Times New Roman" w:eastAsiaTheme="minorEastAsia"/>
                <w:color w:val="000000" w:themeColor="text1"/>
                <w:lang w:eastAsia="zh-CN"/>
                <w14:textFill>
                  <w14:solidFill>
                    <w14:schemeClr w14:val="tx1"/>
                  </w14:solidFill>
                </w14:textFill>
              </w:rPr>
              <w:t>依托</w:t>
            </w:r>
            <w:r>
              <w:rPr>
                <w:rFonts w:hint="default" w:ascii="Times New Roman" w:hAnsi="Times New Roman" w:cs="Times New Roman" w:eastAsiaTheme="minorEastAsia"/>
                <w:color w:val="000000" w:themeColor="text1"/>
                <w:sz w:val="24"/>
                <w:highlight w:val="none"/>
                <w14:textFill>
                  <w14:solidFill>
                    <w14:schemeClr w14:val="tx1"/>
                  </w14:solidFill>
                </w14:textFill>
              </w:rPr>
              <w:t>附近村民设施</w:t>
            </w:r>
            <w:r>
              <w:rPr>
                <w:rFonts w:hint="default" w:ascii="Times New Roman" w:hAnsi="Times New Roman" w:cs="Times New Roman" w:eastAsiaTheme="minorEastAsia"/>
                <w:bCs/>
                <w:color w:val="000000" w:themeColor="text1"/>
                <w14:textFill>
                  <w14:solidFill>
                    <w14:schemeClr w14:val="tx1"/>
                  </w14:solidFill>
                </w14:textFill>
              </w:rPr>
              <w:t>；采用低噪声设备、对机械、设备加强定期检修、养护，加强施工管理等措施降低噪声对周围环境的影响；施工期固废合理处置。因此，项目建设对周围环境影响较小。</w:t>
            </w:r>
          </w:p>
          <w:p w14:paraId="206A717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综上所述，本项目选址合理、可行。</w:t>
            </w:r>
          </w:p>
          <w:p w14:paraId="44CEDDC7">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2、施工</w:t>
            </w:r>
            <w:r>
              <w:rPr>
                <w:rFonts w:hint="default" w:ascii="Times New Roman" w:hAnsi="Times New Roman" w:cs="Times New Roman" w:eastAsiaTheme="minorEastAsia"/>
                <w:b/>
                <w:color w:val="000000" w:themeColor="text1"/>
                <w:sz w:val="24"/>
                <w:lang w:eastAsia="zh-CN"/>
                <w14:textFill>
                  <w14:solidFill>
                    <w14:schemeClr w14:val="tx1"/>
                  </w14:solidFill>
                </w14:textFill>
              </w:rPr>
              <w:t>区</w:t>
            </w:r>
            <w:r>
              <w:rPr>
                <w:rFonts w:hint="default" w:ascii="Times New Roman" w:hAnsi="Times New Roman" w:cs="Times New Roman" w:eastAsiaTheme="minorEastAsia"/>
                <w:b/>
                <w:color w:val="000000" w:themeColor="text1"/>
                <w:sz w:val="24"/>
                <w14:textFill>
                  <w14:solidFill>
                    <w14:schemeClr w14:val="tx1"/>
                  </w14:solidFill>
                </w14:textFill>
              </w:rPr>
              <w:t>选址合理性分析</w:t>
            </w:r>
          </w:p>
          <w:p w14:paraId="304E13A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根据实施方案本项目无需设置取土场，弃土、弃渣场</w:t>
            </w:r>
            <w:r>
              <w:rPr>
                <w:rFonts w:hint="eastAsia" w:cs="Times New Roman" w:eastAsiaTheme="minorEastAsia"/>
                <w:bCs/>
                <w:color w:val="000000" w:themeColor="text1"/>
                <w:sz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余方土由县矿产公司统一运输安置。</w:t>
            </w:r>
            <w:r>
              <w:rPr>
                <w:rFonts w:hint="default" w:ascii="Times New Roman" w:hAnsi="Times New Roman" w:cs="Times New Roman" w:eastAsiaTheme="minorEastAsia"/>
                <w:color w:val="000000" w:themeColor="text1"/>
                <w:sz w:val="24"/>
                <w:lang w:bidi="ar"/>
                <w14:textFill>
                  <w14:solidFill>
                    <w14:schemeClr w14:val="tx1"/>
                  </w14:solidFill>
                </w14:textFill>
              </w:rPr>
              <w:t>本工程</w:t>
            </w:r>
            <w:r>
              <w:rPr>
                <w:rFonts w:hint="default" w:ascii="Times New Roman" w:hAnsi="Times New Roman" w:cs="Times New Roman" w:eastAsiaTheme="minorEastAsia"/>
                <w:color w:val="000000" w:themeColor="text1"/>
                <w:sz w:val="24"/>
                <w:lang w:eastAsia="zh-CN" w:bidi="ar"/>
                <w14:textFill>
                  <w14:solidFill>
                    <w14:schemeClr w14:val="tx1"/>
                  </w14:solidFill>
                </w14:textFill>
              </w:rPr>
              <w:t>排洪</w:t>
            </w:r>
            <w:r>
              <w:rPr>
                <w:rFonts w:hint="default" w:ascii="Times New Roman" w:hAnsi="Times New Roman" w:cs="Times New Roman" w:eastAsiaTheme="minorEastAsia"/>
                <w:color w:val="000000" w:themeColor="text1"/>
                <w:sz w:val="24"/>
                <w:lang w:bidi="ar"/>
                <w14:textFill>
                  <w14:solidFill>
                    <w14:schemeClr w14:val="tx1"/>
                  </w14:solidFill>
                </w14:textFill>
              </w:rPr>
              <w:t>沟为原址翻建，无新增永久征地。施工</w:t>
            </w:r>
            <w:r>
              <w:rPr>
                <w:rFonts w:hint="default" w:ascii="Times New Roman" w:hAnsi="Times New Roman" w:cs="Times New Roman" w:eastAsiaTheme="minorEastAsia"/>
                <w:color w:val="000000" w:themeColor="text1"/>
                <w:sz w:val="24"/>
                <w:lang w:eastAsia="zh-CN" w:bidi="ar"/>
                <w14:textFill>
                  <w14:solidFill>
                    <w14:schemeClr w14:val="tx1"/>
                  </w14:solidFill>
                </w14:textFill>
              </w:rPr>
              <w:t>区</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租用沟道附近闲置房屋</w:t>
            </w:r>
            <w:r>
              <w:rPr>
                <w:rFonts w:hint="default" w:ascii="Times New Roman" w:hAnsi="Times New Roman" w:cs="Times New Roman" w:eastAsiaTheme="minorEastAsia"/>
                <w:color w:val="000000" w:themeColor="text1"/>
                <w:sz w:val="24"/>
                <w:lang w:bidi="ar"/>
                <w14:textFill>
                  <w14:solidFill>
                    <w14:schemeClr w14:val="tx1"/>
                  </w14:solidFill>
                </w14:textFill>
              </w:rPr>
              <w:t>，施工</w:t>
            </w:r>
            <w:r>
              <w:rPr>
                <w:rFonts w:hint="default" w:ascii="Times New Roman" w:hAnsi="Times New Roman" w:cs="Times New Roman" w:eastAsiaTheme="minorEastAsia"/>
                <w:color w:val="000000" w:themeColor="text1"/>
                <w:sz w:val="24"/>
                <w:lang w:eastAsia="zh-CN" w:bidi="ar"/>
                <w14:textFill>
                  <w14:solidFill>
                    <w14:schemeClr w14:val="tx1"/>
                  </w14:solidFill>
                </w14:textFill>
              </w:rPr>
              <w:t>区</w:t>
            </w:r>
            <w:r>
              <w:rPr>
                <w:rFonts w:hint="default" w:ascii="Times New Roman" w:hAnsi="Times New Roman" w:cs="Times New Roman" w:eastAsiaTheme="minorEastAsia"/>
                <w:color w:val="000000" w:themeColor="text1"/>
                <w:sz w:val="24"/>
                <w:lang w:bidi="ar"/>
                <w14:textFill>
                  <w14:solidFill>
                    <w14:schemeClr w14:val="tx1"/>
                  </w14:solidFill>
                </w14:textFill>
              </w:rPr>
              <w:t>主要</w:t>
            </w:r>
            <w:r>
              <w:rPr>
                <w:rFonts w:hint="default" w:ascii="Times New Roman" w:hAnsi="Times New Roman" w:cs="Times New Roman" w:eastAsiaTheme="minorEastAsia"/>
                <w:color w:val="000000" w:themeColor="text1"/>
                <w:sz w:val="24"/>
                <w:lang w:val="en-US" w:eastAsia="zh-CN" w:bidi="ar"/>
                <w14:textFill>
                  <w14:solidFill>
                    <w14:schemeClr w14:val="tx1"/>
                  </w14:solidFill>
                </w14:textFill>
              </w:rPr>
              <w:t>用于</w:t>
            </w:r>
            <w:r>
              <w:rPr>
                <w:rFonts w:hint="default" w:ascii="Times New Roman" w:hAnsi="Times New Roman" w:cs="Times New Roman" w:eastAsiaTheme="minorEastAsia"/>
                <w:color w:val="000000" w:themeColor="text1"/>
                <w:sz w:val="24"/>
                <w:lang w:bidi="ar"/>
                <w14:textFill>
                  <w14:solidFill>
                    <w14:schemeClr w14:val="tx1"/>
                  </w14:solidFill>
                </w14:textFill>
              </w:rPr>
              <w:t>机械设备停放、块石等建</w:t>
            </w:r>
            <w:r>
              <w:rPr>
                <w:rFonts w:hint="default" w:ascii="Times New Roman" w:hAnsi="Times New Roman" w:cs="Times New Roman" w:eastAsiaTheme="minorEastAsia"/>
                <w:bCs/>
                <w:color w:val="000000" w:themeColor="text1"/>
                <w:sz w:val="24"/>
                <w14:textFill>
                  <w14:solidFill>
                    <w14:schemeClr w14:val="tx1"/>
                  </w14:solidFill>
                </w14:textFill>
              </w:rPr>
              <w:t>筑材料堆放。施工营地不涉及地表开挖等活动，仅为简单的材料堆放，不会对施工营地内土壤结构产生影响</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本项目施工布置基本合理</w:t>
            </w:r>
            <w:r>
              <w:rPr>
                <w:rFonts w:hint="default" w:ascii="Times New Roman" w:hAnsi="Times New Roman" w:cs="Times New Roman" w:eastAsiaTheme="minorEastAsia"/>
                <w:bCs/>
                <w:color w:val="000000" w:themeColor="text1"/>
                <w:sz w:val="24"/>
                <w14:textFill>
                  <w14:solidFill>
                    <w14:schemeClr w14:val="tx1"/>
                  </w14:solidFill>
                </w14:textFill>
              </w:rPr>
              <w:t>。</w:t>
            </w:r>
          </w:p>
          <w:p w14:paraId="6F02327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本项目大临工程选址选线、施工布置等不占用自然保护区、风景名胜区、世界文化和自然遗产地、生态保护红线以及其他法律法规禁止占用的区域。本项目施工期落实相关环境保护措施条件下，周边环境影响。项目建成运行后经济效益、环保效益和社会效益显著。</w:t>
            </w:r>
          </w:p>
          <w:p w14:paraId="1F04B169">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1C55B00B">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1B9FA282">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15BCF3DE">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36FF2476">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16879D7B">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tc>
      </w:tr>
    </w:tbl>
    <w:p w14:paraId="7528B3D0">
      <w:pPr>
        <w:pageBreakBefore w:val="0"/>
        <w:spacing w:beforeAutospacing="0" w:afterAutospacing="0" w:line="360" w:lineRule="auto"/>
        <w:ind w:left="0" w:right="0"/>
        <w:jc w:val="center"/>
        <w:outlineLvl w:val="0"/>
        <w:rPr>
          <w:rFonts w:hint="default" w:ascii="Times New Roman" w:hAnsi="Times New Roman" w:cs="Times New Roman" w:eastAsiaTheme="minorEastAsia"/>
          <w:color w:val="000000" w:themeColor="text1"/>
          <w:sz w:val="30"/>
          <w:szCs w:val="30"/>
          <w14:textFill>
            <w14:solidFill>
              <w14:schemeClr w14:val="tx1"/>
            </w14:solidFill>
          </w14:textFill>
        </w:rPr>
        <w:sectPr>
          <w:pgSz w:w="11907" w:h="16840" w:orient="landscape"/>
          <w:pgMar w:top="1440" w:right="1800" w:bottom="1440" w:left="1800" w:header="851" w:footer="1077" w:gutter="0"/>
          <w:cols w:space="0" w:num="1"/>
        </w:sectPr>
      </w:pPr>
    </w:p>
    <w:p w14:paraId="76285E7D">
      <w:pPr>
        <w:keepNext w:val="0"/>
        <w:keepLines w:val="0"/>
        <w:pageBreakBefore w:val="0"/>
        <w:widowControl/>
        <w:spacing w:before="313" w:beforeAutospacing="0" w:after="313" w:afterAutospacing="0" w:line="360" w:lineRule="auto"/>
        <w:ind w:left="0" w:right="0" w:firstLine="602"/>
        <w:jc w:val="center"/>
        <w:outlineLvl w:val="0"/>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t>五、主要生态环境保护措施</w:t>
      </w:r>
    </w:p>
    <w:tbl>
      <w:tblPr>
        <w:tblStyle w:val="39"/>
        <w:tblW w:w="90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371"/>
      </w:tblGrid>
      <w:tr w14:paraId="53671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noWrap w:val="0"/>
            <w:tcMar>
              <w:left w:w="28" w:type="dxa"/>
              <w:right w:w="28" w:type="dxa"/>
            </w:tcMar>
            <w:vAlign w:val="center"/>
          </w:tcPr>
          <w:p w14:paraId="603E8C4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val="0"/>
                <w:color w:val="000000" w:themeColor="text1"/>
                <w:sz w:val="24"/>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14:textFill>
                  <w14:solidFill>
                    <w14:schemeClr w14:val="tx1"/>
                  </w14:solidFill>
                </w14:textFill>
              </w:rPr>
              <w:t>施工期生态环境保护措施</w:t>
            </w:r>
          </w:p>
        </w:tc>
        <w:tc>
          <w:tcPr>
            <w:tcW w:w="8371" w:type="dxa"/>
            <w:noWrap w:val="0"/>
            <w:vAlign w:val="top"/>
          </w:tcPr>
          <w:p w14:paraId="4725F466">
            <w:pPr>
              <w:keepNext w:val="0"/>
              <w:keepLines w:val="0"/>
              <w:pageBreakBefore w:val="0"/>
              <w:widowControl w:val="0"/>
              <w:numPr>
                <w:ilvl w:val="0"/>
                <w:numId w:val="5"/>
              </w:numPr>
              <w:suppressLineNumbers w:val="0"/>
              <w:spacing w:before="0" w:beforeAutospacing="0" w:after="0" w:afterAutospacing="0" w:line="360" w:lineRule="auto"/>
              <w:ind w:left="0" w:right="0" w:firstLine="522"/>
              <w:rPr>
                <w:rFonts w:hint="default" w:ascii="Times New Roman" w:hAnsi="Times New Roman" w:cs="Times New Roman" w:eastAsiaTheme="minorEastAsia"/>
                <w:b/>
                <w:bCs/>
                <w:color w:val="000000" w:themeColor="text1"/>
                <w:spacing w:val="10"/>
                <w:sz w:val="24"/>
                <w14:textFill>
                  <w14:solidFill>
                    <w14:schemeClr w14:val="tx1"/>
                  </w14:solidFill>
                </w14:textFill>
              </w:rPr>
            </w:pPr>
            <w:r>
              <w:rPr>
                <w:rFonts w:hint="default" w:ascii="Times New Roman" w:hAnsi="Times New Roman" w:cs="Times New Roman" w:eastAsiaTheme="minorEastAsia"/>
                <w:b/>
                <w:bCs/>
                <w:color w:val="000000" w:themeColor="text1"/>
                <w:spacing w:val="10"/>
                <w:sz w:val="24"/>
                <w14:textFill>
                  <w14:solidFill>
                    <w14:schemeClr w14:val="tx1"/>
                  </w14:solidFill>
                </w14:textFill>
              </w:rPr>
              <w:t>生态环境</w:t>
            </w:r>
            <w:r>
              <w:rPr>
                <w:rFonts w:hint="default" w:ascii="Times New Roman" w:hAnsi="Times New Roman" w:cs="Times New Roman" w:eastAsiaTheme="minorEastAsia"/>
                <w:b/>
                <w:bCs/>
                <w:color w:val="000000" w:themeColor="text1"/>
                <w:spacing w:val="10"/>
                <w:sz w:val="24"/>
                <w:lang w:val="en-US" w:eastAsia="zh-CN"/>
                <w14:textFill>
                  <w14:solidFill>
                    <w14:schemeClr w14:val="tx1"/>
                  </w14:solidFill>
                </w14:textFill>
              </w:rPr>
              <w:t>保护</w:t>
            </w:r>
            <w:r>
              <w:rPr>
                <w:rFonts w:hint="default" w:ascii="Times New Roman" w:hAnsi="Times New Roman" w:cs="Times New Roman" w:eastAsiaTheme="minorEastAsia"/>
                <w:b/>
                <w:bCs/>
                <w:color w:val="000000" w:themeColor="text1"/>
                <w:spacing w:val="10"/>
                <w:sz w:val="24"/>
                <w14:textFill>
                  <w14:solidFill>
                    <w14:schemeClr w14:val="tx1"/>
                  </w14:solidFill>
                </w14:textFill>
              </w:rPr>
              <w:t>措施</w:t>
            </w:r>
          </w:p>
          <w:p w14:paraId="24B4BBEC">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color w:val="000000" w:themeColor="text1"/>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sz w:val="24"/>
                <w:szCs w:val="24"/>
                <w:lang w:val="en-US" w:eastAsia="zh-CN" w:bidi="ar"/>
                <w14:textFill>
                  <w14:solidFill>
                    <w14:schemeClr w14:val="tx1"/>
                  </w14:solidFill>
                </w14:textFill>
              </w:rPr>
              <w:t>详见生态环境影响专项评价。</w:t>
            </w:r>
          </w:p>
          <w:p w14:paraId="1BD6D503">
            <w:pPr>
              <w:keepNext w:val="0"/>
              <w:keepLines w:val="0"/>
              <w:pageBreakBefore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2、大气环境保护措施</w:t>
            </w:r>
          </w:p>
          <w:p w14:paraId="3CFACDE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施工期的大气污染物主要为施工扬尘、施工机械和车辆尾气</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p w14:paraId="42FEC6B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扬尘</w:t>
            </w:r>
          </w:p>
          <w:p w14:paraId="021E95F6">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为减少施工扬尘，施工时须满足《关于进一步加强施工工地和道路扬尘管控工作的通知》（建办质[2019]23号）相关要求：出入口100%设置冲洗设施，驶出车辆100%冲洗，沙石渣土车辆100%遮盖，施工区域裸露堆场100%遮盖防尘网或喷洒水。在采取上述措施后，施工作业现场产生的扬尘对周围环境影响较小。</w:t>
            </w:r>
          </w:p>
          <w:p w14:paraId="40DDE2E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针对本项目的施工特点，主要采取如下防治措施：</w:t>
            </w:r>
          </w:p>
          <w:p w14:paraId="64819363">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①施工现场扬尘防治：</w:t>
            </w:r>
          </w:p>
          <w:p w14:paraId="5B0FFED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a.施工区设置标志牌。施工期间，施工单位根据《建设工程施工现场管理规定》等规定设置现场平面布置图、工程概况牌、安全生产牌、消防保卫牌、文明施工牌、环境保护牌、管理人员名单及监督电话牌等。</w:t>
            </w:r>
          </w:p>
          <w:p w14:paraId="02C2DDC2">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b.施工场界设置围挡，围挡高度不低于2.5m，一般路段不低于1.8m。</w:t>
            </w:r>
          </w:p>
          <w:p w14:paraId="1B6E5ECE">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c.施工现场的道路、营地实施硬化并配备车辆冲洗设施及配套的排水、沉淀设施，裸露场地应当采取覆盖或绿化措施。</w:t>
            </w:r>
          </w:p>
          <w:p w14:paraId="5B45BDE2">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d.施工现场的道路、营地等易产生扬尘的区域，根据不同季节、气温、湿度等综合因素，安排洒水抑尘，施工生产区配备洒水设备，每天洒水应不少于5次，距离居民点较近的工程增加洒水次数，减小扬尘污染范围。</w:t>
            </w:r>
          </w:p>
          <w:p w14:paraId="1AEDBDE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当敏感点处于下风向、施工扬尘对敏感点影响较大时，应增加洒水次数或停止施工。</w:t>
            </w:r>
          </w:p>
          <w:p w14:paraId="1CE7B050">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e.建筑垃圾、土方、砂石等材料应分类堆放，严密覆盖。</w:t>
            </w:r>
          </w:p>
          <w:p w14:paraId="751D0150">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f.施工现场土方开挖后尽快完成回填，不能及时回填的场地，应采取覆盖等防尘措施。遇到5级及以上大风天气，应停止土方作业，同时作业处覆以防尘网。</w:t>
            </w:r>
          </w:p>
          <w:p w14:paraId="4837B46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g.</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不在大风天气下施工，风速超过四级时停止施工作业；本项目沟道施工过程中采取分段施工方法进行，所以施工扬尘对沿线周围环境影响周期较短，影响程度较小。</w:t>
            </w:r>
          </w:p>
          <w:p w14:paraId="639063A3">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②交通运输扬尘防治：</w:t>
            </w:r>
          </w:p>
          <w:p w14:paraId="71627EE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a.运输车辆在出入施工场地时，对车辆轮胎进行冲洗，避免运输扬尘；对运输物料的车辆不装载过满，对运输车辆采取遮盖、密闭措施，避免沿途物料抛洒。散装车辆装运货物的高度不超过马槽的高度，文明装卸和驾驶，在装卸点对散落在车顶、篷布外部等处的物料进行清扫；</w:t>
            </w:r>
          </w:p>
          <w:p w14:paraId="6E07D729">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b.运输车辆进出选择合适的运输路线，尽量避开居民区等环境敏感点；运输车辆靠近或穿过村庄等环境敏感点时，采用封闭性车辆或采取覆盖防尘网等措施，尽可能减少运输扬尘对附近居民的影响。</w:t>
            </w:r>
          </w:p>
          <w:p w14:paraId="5ACEF710">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c.加强大型车辆和施工机械的管理和维护，保持设备的完好运行，既节约能源又可减少污染物的产生；加强运输车辆的合理调配，尽量压缩施工区汽车数量与行车密度，以减少汽车尾气的排放。</w:t>
            </w:r>
          </w:p>
          <w:p w14:paraId="077121E3">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在项目施工期，采取上述防治措施后，扬尘对周围环境的影响可得到有效控制，对周围大气环境影响较小。</w:t>
            </w:r>
          </w:p>
          <w:p w14:paraId="2DBDBFB0">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eastAsia="zh-CN"/>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施工机械和车辆尾气</w:t>
            </w:r>
          </w:p>
          <w:p w14:paraId="47E7E5E2">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施工机械和车辆尾气主要含有HC、NOx、CO等，根据本项目初步设计，尾气排放量较小，属于间歇性排放，经扩散稀释后对周围环境影响较小。</w:t>
            </w:r>
          </w:p>
          <w:p w14:paraId="040C32B1">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为使施工期尾气对周围环境的影响降至最低，应采取如下措施：</w:t>
            </w:r>
          </w:p>
          <w:p w14:paraId="2400F9E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①加强对施工机械及车辆使用管理和保养维修，合理降低使用次数，提高使用效率，禁止施工机械超负荷工作和运输车辆超载；不得使用劣质燃料。</w:t>
            </w:r>
          </w:p>
          <w:p w14:paraId="666EAF4F">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②施工现场应合理布置运输车辆行驶路线，配合有关部门搞好施工期周围道路的交通组织，保证行驶速度，减少怠速时间，以及车辆尾气的排放。</w:t>
            </w:r>
          </w:p>
          <w:p w14:paraId="337AD2FE">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（3）淤恶恶臭防治措施</w:t>
            </w:r>
          </w:p>
          <w:p w14:paraId="005ACA04">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本项目</w:t>
            </w:r>
            <w:r>
              <w:rPr>
                <w:rFonts w:hint="eastAsia" w:cs="Times New Roman" w:eastAsiaTheme="minorEastAsia"/>
                <w:color w:val="000000" w:themeColor="text1"/>
                <w:sz w:val="24"/>
                <w:lang w:val="en-US" w:eastAsia="zh-CN"/>
                <w14:textFill>
                  <w14:solidFill>
                    <w14:schemeClr w14:val="tx1"/>
                  </w14:solidFill>
                </w14:textFill>
              </w:rPr>
              <w:t>河道治理</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涉及少量清淤，清淤过程中会造成恶臭污染，因此需要进行妥善处置。</w:t>
            </w:r>
          </w:p>
          <w:p w14:paraId="1401E5DC">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①应在非汛期进行</w:t>
            </w:r>
            <w:r>
              <w:rPr>
                <w:rFonts w:hint="eastAsia" w:cs="Times New Roman" w:eastAsiaTheme="minorEastAsia"/>
                <w:color w:val="000000" w:themeColor="text1"/>
                <w:sz w:val="24"/>
                <w:lang w:val="en-US" w:eastAsia="zh-CN"/>
                <w14:textFill>
                  <w14:solidFill>
                    <w14:schemeClr w14:val="tx1"/>
                  </w14:solidFill>
                </w14:textFill>
              </w:rPr>
              <w:t>河</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道清淤疏浚工作，</w:t>
            </w:r>
            <w:r>
              <w:rPr>
                <w:rFonts w:hint="eastAsia" w:cs="Times New Roman" w:eastAsiaTheme="minorEastAsia"/>
                <w:color w:val="000000" w:themeColor="text1"/>
                <w:sz w:val="24"/>
                <w:lang w:val="en-US" w:eastAsia="zh-CN"/>
                <w14:textFill>
                  <w14:solidFill>
                    <w14:schemeClr w14:val="tx1"/>
                  </w14:solidFill>
                </w14:textFill>
              </w:rPr>
              <w:t>尽量安排在低温季节进行，</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由于温度较低，污泥中恶臭挥发影响范围较小。</w:t>
            </w:r>
          </w:p>
          <w:p w14:paraId="51A0494C">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②河道清淤和除臭工作应同时开展，减少底泥在空气中的暴露时间，减少对周边环境的影响。</w:t>
            </w:r>
          </w:p>
          <w:p w14:paraId="44F25206">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③清淤淤泥及时清运，随挖随运，不在项目区堆放。</w:t>
            </w:r>
          </w:p>
          <w:p w14:paraId="2D91F213">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综上所述，施工期大气影响是暂时的，随着施工期的结束，影响也随之结束。建设单位应加强施工管理，采取相应措施，尽可能减少对周围环境的影响。</w:t>
            </w:r>
          </w:p>
          <w:p w14:paraId="24E51415">
            <w:pPr>
              <w:keepNext w:val="0"/>
              <w:keepLines w:val="0"/>
              <w:pageBreakBefore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3、水环境保护措施</w:t>
            </w:r>
          </w:p>
          <w:p w14:paraId="0EBFC67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项目生产废水产生及排放量均不大。经过沉淀池沉淀后循环使用，不排放（沉淀池数量根据各施工阶段情况分别配置），该部分废水对环境影响不大。</w:t>
            </w:r>
          </w:p>
          <w:p w14:paraId="11D709AD">
            <w:pPr>
              <w:keepNext w:val="0"/>
              <w:keepLines w:val="0"/>
              <w:pageBreakBefore w:val="0"/>
              <w:suppressLineNumbers w:val="0"/>
              <w:spacing w:before="0" w:beforeAutospacing="0" w:after="0" w:afterAutospacing="0" w:line="240" w:lineRule="auto"/>
              <w:ind w:left="0" w:right="0" w:firstLine="422"/>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表</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5-</w:t>
            </w:r>
            <w:r>
              <w:rPr>
                <w:rFonts w:hint="eastAsia" w:cs="Times New Roman" w:eastAsiaTheme="minorEastAsia"/>
                <w:b/>
                <w:bCs/>
                <w:color w:val="000000" w:themeColor="text1"/>
                <w:sz w:val="21"/>
                <w:szCs w:val="21"/>
                <w:lang w:val="en-US" w:eastAsia="zh-CN"/>
                <w14:textFill>
                  <w14:solidFill>
                    <w14:schemeClr w14:val="tx1"/>
                  </w14:solidFill>
                </w14:textFill>
              </w:rPr>
              <w:t xml:space="preserve">1  </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沉淀池</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设计参数</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574"/>
              <w:gridCol w:w="2117"/>
              <w:gridCol w:w="3448"/>
            </w:tblGrid>
            <w:tr w14:paraId="659E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top"/>
                </w:tcPr>
                <w:p w14:paraId="2173670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sz w:val="21"/>
                      <w:szCs w:val="21"/>
                      <w:vertAlign w:val="baseline"/>
                      <w:lang w:val="en-US" w:eastAsia="zh-CN"/>
                      <w14:textFill>
                        <w14:solidFill>
                          <w14:schemeClr w14:val="tx1"/>
                        </w14:solidFill>
                      </w14:textFill>
                    </w:rPr>
                    <w:t>序号</w:t>
                  </w:r>
                </w:p>
              </w:tc>
              <w:tc>
                <w:tcPr>
                  <w:tcW w:w="1574" w:type="dxa"/>
                  <w:noWrap w:val="0"/>
                  <w:vAlign w:val="top"/>
                </w:tcPr>
                <w:p w14:paraId="2080907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sz w:val="21"/>
                      <w:szCs w:val="21"/>
                      <w:vertAlign w:val="baseline"/>
                      <w:lang w:val="en-US" w:eastAsia="zh-CN"/>
                      <w14:textFill>
                        <w14:solidFill>
                          <w14:schemeClr w14:val="tx1"/>
                        </w14:solidFill>
                      </w14:textFill>
                    </w:rPr>
                    <w:t>名称</w:t>
                  </w:r>
                </w:p>
              </w:tc>
              <w:tc>
                <w:tcPr>
                  <w:tcW w:w="2117" w:type="dxa"/>
                  <w:noWrap w:val="0"/>
                  <w:vAlign w:val="top"/>
                </w:tcPr>
                <w:p w14:paraId="2877381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sz w:val="21"/>
                      <w:szCs w:val="21"/>
                      <w:vertAlign w:val="baseline"/>
                      <w:lang w:val="en-US" w:eastAsia="zh-CN"/>
                      <w14:textFill>
                        <w14:solidFill>
                          <w14:schemeClr w14:val="tx1"/>
                        </w14:solidFill>
                      </w14:textFill>
                    </w:rPr>
                    <w:t>规格</w:t>
                  </w:r>
                </w:p>
              </w:tc>
              <w:tc>
                <w:tcPr>
                  <w:tcW w:w="3448" w:type="dxa"/>
                  <w:noWrap w:val="0"/>
                  <w:vAlign w:val="top"/>
                </w:tcPr>
                <w:p w14:paraId="48CB0E2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sz w:val="21"/>
                      <w:szCs w:val="21"/>
                      <w:vertAlign w:val="baseline"/>
                      <w:lang w:val="en-US" w:eastAsia="zh-CN"/>
                      <w14:textFill>
                        <w14:solidFill>
                          <w14:schemeClr w14:val="tx1"/>
                        </w14:solidFill>
                      </w14:textFill>
                    </w:rPr>
                    <w:t>工艺参数</w:t>
                  </w:r>
                </w:p>
              </w:tc>
            </w:tr>
            <w:tr w14:paraId="6D35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top"/>
                </w:tcPr>
                <w:p w14:paraId="32E2F16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w:t>
                  </w:r>
                </w:p>
              </w:tc>
              <w:tc>
                <w:tcPr>
                  <w:tcW w:w="1574" w:type="dxa"/>
                  <w:noWrap w:val="0"/>
                  <w:vAlign w:val="top"/>
                </w:tcPr>
                <w:p w14:paraId="208F352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沉淀池</w:t>
                  </w:r>
                </w:p>
              </w:tc>
              <w:tc>
                <w:tcPr>
                  <w:tcW w:w="2117" w:type="dxa"/>
                  <w:noWrap w:val="0"/>
                  <w:vAlign w:val="top"/>
                </w:tcPr>
                <w:p w14:paraId="58E2CEF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5m</w:t>
                  </w:r>
                  <w:r>
                    <w:rPr>
                      <w:rFonts w:hint="eastAsia" w:cs="Times New Roman" w:eastAsiaTheme="minorEastAsia"/>
                      <w:color w:val="000000" w:themeColor="text1"/>
                      <w:sz w:val="21"/>
                      <w:szCs w:val="21"/>
                      <w:vertAlign w:val="superscript"/>
                      <w:lang w:val="en-US" w:eastAsia="zh-CN"/>
                      <w14:textFill>
                        <w14:solidFill>
                          <w14:schemeClr w14:val="tx1"/>
                        </w14:solidFill>
                      </w14:textFill>
                    </w:rPr>
                    <w:t>3</w:t>
                  </w:r>
                </w:p>
              </w:tc>
              <w:tc>
                <w:tcPr>
                  <w:tcW w:w="3448" w:type="dxa"/>
                  <w:noWrap w:val="0"/>
                  <w:vAlign w:val="top"/>
                </w:tcPr>
                <w:p w14:paraId="58E0C78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停留时间1d</w:t>
                  </w:r>
                </w:p>
              </w:tc>
            </w:tr>
          </w:tbl>
          <w:p w14:paraId="7F1C871E">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项目不设置施工营地，租用沿线民房进行办公生活，施工人员产生的生活废水经化粪池预处理后厌氧沤肥后农用或接管市政污水管网。</w:t>
            </w:r>
          </w:p>
          <w:p w14:paraId="22100842">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城区排涝整治工程施工主要安排在非汛期，</w:t>
            </w:r>
            <w:r>
              <w:rPr>
                <w:rFonts w:hint="eastAsia" w:cs="Times New Roman" w:eastAsiaTheme="minorEastAsia"/>
                <w:color w:val="000000" w:themeColor="text1"/>
                <w:sz w:val="24"/>
                <w:lang w:val="en-US" w:eastAsia="zh-CN"/>
                <w14:textFill>
                  <w14:solidFill>
                    <w14:schemeClr w14:val="tx1"/>
                  </w14:solidFill>
                </w14:textFill>
              </w:rPr>
              <w:t>减少</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河道来水较少，同时利用上游水库溢洪道控泄，区域少量降雨临时架机抽排</w:t>
            </w:r>
            <w:r>
              <w:rPr>
                <w:rFonts w:hint="eastAsia" w:cs="Times New Roman" w:eastAsiaTheme="minorEastAsia"/>
                <w:color w:val="000000" w:themeColor="text1"/>
                <w:sz w:val="24"/>
                <w:lang w:val="en-US" w:eastAsia="zh-CN"/>
                <w14:textFill>
                  <w14:solidFill>
                    <w14:schemeClr w14:val="tx1"/>
                  </w14:solidFill>
                </w14:textFill>
              </w:rPr>
              <w:t>，减少</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对</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水生态</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环境影响。</w:t>
            </w:r>
          </w:p>
          <w:p w14:paraId="03C8E099">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施工时要求施工人员加强环保意识，严禁向渠道内抛洒固废及废水。沉淀池、原料堆场等场地不得在防洪渠范围内设置，生活垃圾不得在防洪渠周边堆放，采取以上措施后，本项目施工期对周边水环境影响较小</w:t>
            </w:r>
            <w:r>
              <w:rPr>
                <w:rFonts w:hint="eastAsia" w:cs="Times New Roman" w:eastAsiaTheme="minorEastAsia"/>
                <w:color w:val="000000" w:themeColor="text1"/>
                <w:sz w:val="24"/>
                <w:lang w:val="en-US" w:eastAsia="zh-CN"/>
                <w14:textFill>
                  <w14:solidFill>
                    <w14:schemeClr w14:val="tx1"/>
                  </w14:solidFill>
                </w14:textFill>
              </w:rPr>
              <w:t>。</w:t>
            </w:r>
          </w:p>
          <w:p w14:paraId="59367C9A">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为了降低施工期对项目区水环境的影响，本次环评提出以下措施：</w:t>
            </w:r>
          </w:p>
          <w:p w14:paraId="1C853850">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施工过程中应严格加强对机械设备的检修和维护力度与频次，发现问题，及时解决，严禁运输车辆和施工机械满身油污进行施工，杜绝施工机械和运输车辆在施工过程中的跑、冒、滴、漏现象的发生。施工机械和车辆一旦出现漏油现象，应立即停止施工并进行机械维修或更换设备。</w:t>
            </w:r>
          </w:p>
          <w:p w14:paraId="375086F8">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（2）在施工中应根据不同筑路材料的特点，有针对性的加强保护管理措施，尽可能减少物料的流失量，通过加强管理，可有效地减轻对水环境的影响。</w:t>
            </w:r>
          </w:p>
          <w:p w14:paraId="0B37BD29">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（3）施工过程材料如不妥善放置，遇大风、暴雨冲刷会造成水土流失，因此各类堆放场、挖方、填方四周应挖截留沟，以尽可能减少水土流失，截留沟废水汇入沉淀池。</w:t>
            </w:r>
          </w:p>
          <w:p w14:paraId="065B89F7">
            <w:pPr>
              <w:keepNext w:val="0"/>
              <w:keepLines w:val="0"/>
              <w:pageBreakBefore w:val="0"/>
              <w:suppressLineNumbers w:val="0"/>
              <w:spacing w:before="0" w:beforeAutospacing="0" w:after="0" w:afterAutospacing="0" w:line="360" w:lineRule="auto"/>
              <w:ind w:left="0" w:right="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废水治理责任主体为建设单位，施工期及时足额支付废水治理费用；施工单位应建立健全施工废水治理责任制，设专职管理人员负责落实废水治理措施，建立建设单位、项目部、专职管理人员“三级检查制度”。</w:t>
            </w:r>
          </w:p>
          <w:p w14:paraId="5955877E">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综上所述，施工期废水妥善处理，对本项目</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沟</w:t>
            </w:r>
            <w:r>
              <w:rPr>
                <w:rFonts w:hint="default" w:ascii="Times New Roman" w:hAnsi="Times New Roman" w:cs="Times New Roman" w:eastAsiaTheme="minorEastAsia"/>
                <w:color w:val="000000" w:themeColor="text1"/>
                <w:sz w:val="24"/>
                <w14:textFill>
                  <w14:solidFill>
                    <w14:schemeClr w14:val="tx1"/>
                  </w14:solidFill>
                </w14:textFill>
              </w:rPr>
              <w:t>道及周围水环境影响较小，防治措施合理可行。</w:t>
            </w:r>
          </w:p>
          <w:p w14:paraId="0CB94EE9">
            <w:pPr>
              <w:keepNext w:val="0"/>
              <w:keepLines w:val="0"/>
              <w:pageBreakBefore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4、声环境影响分析及防治措施</w:t>
            </w:r>
          </w:p>
          <w:p w14:paraId="58BCF682">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本项目施工期的噪声主要来源于施工现场的各类机械设备噪声和运输车辆噪声。对施工期产生的噪声应采取以下措施，减轻影响。</w:t>
            </w:r>
          </w:p>
          <w:p w14:paraId="3E8B0B73">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（1）一般保护措施</w:t>
            </w:r>
          </w:p>
          <w:p w14:paraId="5D0FE89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1）在施工过程中，施工单位应严格执行《建筑施工场界环境噪声排放标准》（GB12523-20</w:t>
            </w:r>
            <w:r>
              <w:rPr>
                <w:rFonts w:hint="eastAsia" w:cs="Times New Roman" w:eastAsiaTheme="minorEastAsia"/>
                <w:color w:val="000000" w:themeColor="text1"/>
                <w:sz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）中有关规定，加强管理，文明施工，避免施工扰民事件的发生。</w:t>
            </w:r>
          </w:p>
          <w:p w14:paraId="53A9539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2）施工单位要合理安排施工作业时间，施工尽量安排在白天，尽量减小施工噪声的影响，原则</w:t>
            </w:r>
            <w:r>
              <w:rPr>
                <w:rFonts w:hint="eastAsia" w:cs="Times New Roman" w:eastAsiaTheme="minorEastAsia"/>
                <w:color w:val="000000" w:themeColor="text1"/>
                <w:sz w:val="24"/>
                <w:lang w:val="en-US" w:eastAsia="zh-CN"/>
                <w14:textFill>
                  <w14:solidFill>
                    <w14:schemeClr w14:val="tx1"/>
                  </w14:solidFill>
                </w14:textFill>
              </w:rPr>
              <w:t>上</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12:00—14:00与夜间不允许施工，若午间和夜间需要施工，需向当地生态环境主管部门申请取得许可后方可施工。</w:t>
            </w:r>
          </w:p>
          <w:p w14:paraId="7240719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3）通过施工布置、选择环保材料、减振设备、设置隔声间等从源头控制噪声。施工布置时高噪声设备尽量远离居民点和施工人员生活营地等布置；选用低噪声机械设备和工艺，对振动大的机械设备使用减振机座或减振垫，可从根本上降低噪声源强。运用吸声、消声、隔声等技术措施降低施工噪声，对使用中的一些噪声较高的机械，在施工过程中要合理布局其位置；加强施工设备的维护和保养，保持机械润滑，减少运行噪声；封闭施工应在施工场界设置简易围墙。</w:t>
            </w:r>
          </w:p>
          <w:p w14:paraId="3812587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4）设备选型上应采用低噪声设备，如混凝土振捣机采用高频振捣器；采用消音、隔音手段降低噪声；对动力机械设备进行定期维修和养护；闲置的设备及时关闭。</w:t>
            </w:r>
          </w:p>
          <w:p w14:paraId="5AB6876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5）对于施工期间的材料运输、敲击、人的喊叫等噪声源，要求施工单位文明施工，进出运输建材车辆禁止鸣笛，加强有效管理以缓解其对周围环境敏感点的影响。</w:t>
            </w:r>
          </w:p>
          <w:p w14:paraId="6AE59D8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6）在施工阶段，对固定设备的外部采用围挡，以减轻设备噪声对周围环境影响。</w:t>
            </w:r>
          </w:p>
          <w:p w14:paraId="7EF2C4A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7）对施工运输车辆行驶时间、行驶路线进行严格控制和管理，途经沿线各村庄时减速慢行并禁止鸣笛。</w:t>
            </w:r>
          </w:p>
          <w:p w14:paraId="7EA4A6C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8）加强交通噪声的管理和控制，进入施工营地和其他非施工作业的车辆，不使用高音喇叭和低音喇叭，尽量减少鸣笛次数，在居民区和营地附近路段设置限速、禁鸣标牌及减速带等。预计每个施工区在进入居民区和驶出居民区处分别设置1块警示牌。</w:t>
            </w:r>
          </w:p>
          <w:p w14:paraId="1479013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9）对淤泥等运输车辆加强管理，途经敏感点时限速禁鸣，减小运输车辆对敏感点的影响。</w:t>
            </w:r>
          </w:p>
          <w:p w14:paraId="6751A95E">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bCs/>
                <w:color w:val="000000" w:themeColor="text1"/>
                <w:sz w:val="24"/>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（2）受体保护措施</w:t>
            </w:r>
          </w:p>
          <w:p w14:paraId="437E7C4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1）居民敏感点保护措施</w:t>
            </w:r>
          </w:p>
          <w:p w14:paraId="13ADB95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I、交通运行噪声影响居民点保护措施：施工运输道路经过村庄及集中居民点时，在居民区前50m处设置限速标志，控制车速，并禁止鸣笛，同时尽量避免在居民午休时间及夜间进行运输活动。</w:t>
            </w:r>
          </w:p>
          <w:p w14:paraId="4A56FEF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Ⅱ、施工影响居民点保护措施：对施工位于小区旁的，应在靠近居民点的一侧设置移动隔声屏障。隔声屏障选用当地常用的金属或者合成材料结构，根据各工程施工进度安排，隔声屏障可采用可拆卸式结构以便重复利用，高度应不小于2m。</w:t>
            </w:r>
          </w:p>
          <w:p w14:paraId="7D345C7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Ⅲ、本环评要求建筑物工程施工时必须设置施工围挡，郊区围挡高度不低于1.8m，城市围挡高度不低于2.5m。同时在建筑物附近的敏感点设置移动隔声屏障，以进一步消减噪声。移动声屏障考虑重复利用，不再另计。</w:t>
            </w:r>
          </w:p>
          <w:p w14:paraId="4F2BC5E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考虑到本项目施工周期较短，项目施工噪声对</w:t>
            </w:r>
            <w:r>
              <w:rPr>
                <w:rFonts w:hint="eastAsia" w:cs="Times New Roman" w:eastAsiaTheme="minorEastAsia"/>
                <w:color w:val="000000" w:themeColor="text1"/>
                <w:sz w:val="24"/>
                <w:lang w:val="en-US" w:eastAsia="zh-CN"/>
                <w14:textFill>
                  <w14:solidFill>
                    <w14:schemeClr w14:val="tx1"/>
                  </w14:solidFill>
                </w14:textFill>
              </w:rPr>
              <w:t>周边</w:t>
            </w:r>
            <w:r>
              <w:rPr>
                <w:rFonts w:hint="default" w:ascii="Times New Roman" w:hAnsi="Times New Roman" w:cs="Times New Roman" w:eastAsiaTheme="minorEastAsia"/>
                <w:color w:val="000000" w:themeColor="text1"/>
                <w:sz w:val="24"/>
                <w14:textFill>
                  <w14:solidFill>
                    <w14:schemeClr w14:val="tx1"/>
                  </w14:solidFill>
                </w14:textFill>
              </w:rPr>
              <w:t>的影响周期很短，施工单位通过合理安排施工机械设备的位置，并对高噪声设备采取减振、隔音、选择合理施工时间等措施，保证项目施工期产生的噪声对敏感点的影响降到最低。</w:t>
            </w:r>
          </w:p>
          <w:p w14:paraId="6506211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2）施工人员保护措施</w:t>
            </w:r>
          </w:p>
          <w:p w14:paraId="44968A4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高噪声环境下的施工作业人员、每人每天的工作时间不超过6h。给受噪声影响大的施工人员配发噪声防护用具，常用的个人防护用具有耳塞、防声棉、耳罩和头盔等。如柱状耳塞，重量3～5g，噪声衰减可达20～30dB（A）；棉花，重量1～5g，噪声衰减可达5～10dB（A）。</w:t>
            </w:r>
          </w:p>
          <w:p w14:paraId="5F1A09B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通过采取上述综合降噪措施，可有效降低施工过程噪声对周围环境的影响，确保施工期各项施工活动产生的噪声达到《建筑施工场界环境噪声排放标准》（GB12523-20</w:t>
            </w:r>
            <w:r>
              <w:rPr>
                <w:rFonts w:hint="eastAsia" w:cs="Times New Roman" w:eastAsiaTheme="minorEastAsia"/>
                <w:color w:val="000000" w:themeColor="text1"/>
                <w:sz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14:textFill>
                  <w14:solidFill>
                    <w14:schemeClr w14:val="tx1"/>
                  </w14:solidFill>
                </w14:textFill>
              </w:rPr>
              <w:t>）中的相关规定限值要求，对周围环境影响较小。</w:t>
            </w:r>
          </w:p>
          <w:p w14:paraId="36F8E21E">
            <w:pPr>
              <w:keepNext w:val="0"/>
              <w:keepLines w:val="0"/>
              <w:pageBreakBefore w:val="0"/>
              <w:suppressLineNumbers w:val="0"/>
              <w:spacing w:before="0" w:beforeAutospacing="0" w:after="0" w:afterAutospacing="0" w:line="360" w:lineRule="auto"/>
              <w:ind w:left="0" w:right="0" w:firstLine="482"/>
              <w:rPr>
                <w:rFonts w:hint="default" w:ascii="Times New Roman" w:hAnsi="Times New Roman" w:cs="Times New Roman" w:eastAsiaTheme="minorEastAsia"/>
                <w:b/>
                <w:color w:val="000000" w:themeColor="text1"/>
                <w:sz w:val="24"/>
                <w:highlight w:val="none"/>
                <w14:textFill>
                  <w14:solidFill>
                    <w14:schemeClr w14:val="tx1"/>
                  </w14:solidFill>
                </w14:textFill>
              </w:rPr>
            </w:pPr>
            <w:r>
              <w:rPr>
                <w:rFonts w:hint="default" w:ascii="Times New Roman" w:hAnsi="Times New Roman" w:cs="Times New Roman" w:eastAsiaTheme="minorEastAsia"/>
                <w:b/>
                <w:color w:val="000000" w:themeColor="text1"/>
                <w:sz w:val="24"/>
                <w:highlight w:val="none"/>
                <w14:textFill>
                  <w14:solidFill>
                    <w14:schemeClr w14:val="tx1"/>
                  </w14:solidFill>
                </w14:textFill>
              </w:rPr>
              <w:t>5、固体废物环境影响分析及防治措施</w:t>
            </w:r>
          </w:p>
          <w:p w14:paraId="22C48954">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本项目施工期产生的固体废物主要为施工场所产生施工人员活动产生的生活垃圾</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多余土方及排洪渠清理产生的植物枯叶和少量沙土</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p w14:paraId="537B515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none"/>
                <w:lang w:eastAsia="zh-CN" w:bidi="ar"/>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剩余土方和</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排洪渠沙土</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bidi="ar"/>
                <w14:textFill>
                  <w14:solidFill>
                    <w14:schemeClr w14:val="tx1"/>
                  </w14:solidFill>
                </w14:textFill>
              </w:rPr>
              <w:t>本项目建设期土石方开挖总量为</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；土方填筑总量52.2508万</w:t>
            </w:r>
            <w:r>
              <w:rPr>
                <w:rFonts w:hint="eastAsia" w:cs="Times New Roman" w:eastAsiaTheme="minorEastAsia"/>
                <w:color w:val="000000" w:themeColor="text1"/>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共计余方土约</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5.1753</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，余方土由县矿产公司统一运输安置</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p w14:paraId="2C0518D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highlight w:val="yellow"/>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生活垃圾：生活垃圾主要污染物为垃圾袋、果核、矿泉水瓶等，集中收集后由施工单位清运至垃圾中转站，由环卫部门统一处理。</w:t>
            </w:r>
          </w:p>
          <w:p w14:paraId="0AFD1DE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采取上述固体废物处置措施后，项目施工期产生的固体废物对主要环境保护目标的影响较小。</w:t>
            </w:r>
          </w:p>
          <w:p w14:paraId="5FBFF86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cs="Times New Roman" w:eastAsiaTheme="minorEastAsia"/>
                <w:b/>
                <w:bCs/>
                <w:color w:val="000000" w:themeColor="text1"/>
                <w:sz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6、水土流失防治措施</w:t>
            </w:r>
          </w:p>
          <w:p w14:paraId="1179A6E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（1）基坑开挖填筑前应建好两侧的排水措施和拦挡措施，基坑土石方施工完成一段，应立即采取护坡措施，尽量缩短坡面裸露时间。</w:t>
            </w:r>
          </w:p>
          <w:p w14:paraId="5670CE0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（2）雨季施工应采取临时排水、临时覆盖措施。</w:t>
            </w:r>
          </w:p>
          <w:p w14:paraId="5B61711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建设单位在采取上述措施后，施工期水土流失将得到有效控制，水土流失量很小，对区域环境影响很小。</w:t>
            </w:r>
          </w:p>
          <w:p w14:paraId="0DB591DE">
            <w:pPr>
              <w:keepNext w:val="0"/>
              <w:keepLines w:val="0"/>
              <w:pageBreakBefore w:val="0"/>
              <w:widowControl w:val="0"/>
              <w:suppressLineNumbers w:val="0"/>
              <w:spacing w:before="0" w:beforeAutospacing="0" w:after="0" w:afterAutospacing="0" w:line="360" w:lineRule="auto"/>
              <w:ind w:left="0" w:right="0" w:firstLine="0"/>
              <w:rPr>
                <w:rFonts w:hint="default" w:ascii="Times New Roman" w:hAnsi="Times New Roman" w:cs="Times New Roman" w:eastAsiaTheme="minorEastAsia"/>
                <w:color w:val="000000" w:themeColor="text1"/>
                <w:sz w:val="24"/>
                <w:lang w:eastAsia="zh-CN"/>
                <w14:textFill>
                  <w14:solidFill>
                    <w14:schemeClr w14:val="tx1"/>
                  </w14:solidFill>
                </w14:textFill>
              </w:rPr>
            </w:pPr>
          </w:p>
        </w:tc>
      </w:tr>
      <w:tr w14:paraId="592B5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noWrap w:val="0"/>
            <w:tcMar>
              <w:left w:w="28" w:type="dxa"/>
              <w:right w:w="28" w:type="dxa"/>
            </w:tcMar>
            <w:vAlign w:val="center"/>
          </w:tcPr>
          <w:p w14:paraId="74E04ED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val="0"/>
                <w:color w:val="000000" w:themeColor="text1"/>
                <w:spacing w:val="10"/>
                <w:sz w:val="24"/>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14:textFill>
                  <w14:solidFill>
                    <w14:schemeClr w14:val="tx1"/>
                  </w14:solidFill>
                </w14:textFill>
              </w:rPr>
              <w:t>运营期生态环境保护措施</w:t>
            </w:r>
          </w:p>
        </w:tc>
        <w:tc>
          <w:tcPr>
            <w:tcW w:w="8371" w:type="dxa"/>
            <w:noWrap w:val="0"/>
            <w:vAlign w:val="center"/>
          </w:tcPr>
          <w:p w14:paraId="2385884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32B39BC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本工程建成后，可改善项目所在区域排水情况，缓解城市防洪压力，缓解城区淹积水问题，对保护水环境和居民生活环境有利。针对运营期产生的污染提出如下保护措施：</w:t>
            </w:r>
          </w:p>
          <w:p w14:paraId="0E2325C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①加强排水管网的检修，及时对产生破损、泄漏的管（沟）进行维修，保障其正常排水功能。</w:t>
            </w:r>
          </w:p>
          <w:p w14:paraId="4575CC17">
            <w:pPr>
              <w:keepNext w:val="0"/>
              <w:keepLines w:val="0"/>
              <w:pageBreakBefore w:val="0"/>
              <w:widowControl w:val="0"/>
              <w:suppressLineNumbers w:val="0"/>
              <w:spacing w:before="0" w:beforeAutospacing="0" w:after="0" w:afterAutospacing="0" w:line="360" w:lineRule="auto"/>
              <w:ind w:left="0" w:right="0" w:firstLine="480"/>
              <w:rPr>
                <w:rFonts w:hint="default"/>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②</w:t>
            </w:r>
            <w:r>
              <w:rPr>
                <w:rFonts w:hint="eastAsia" w:cs="Times New Roman" w:eastAsiaTheme="minorEastAsia"/>
                <w:color w:val="000000" w:themeColor="text1"/>
                <w:sz w:val="24"/>
                <w:lang w:val="en-US" w:eastAsia="zh-CN"/>
                <w14:textFill>
                  <w14:solidFill>
                    <w14:schemeClr w14:val="tx1"/>
                  </w14:solidFill>
                </w14:textFill>
              </w:rPr>
              <w:t>一体式水处理设施</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污泥及时由环卫部门清掏清运，减少其滞留时间。</w:t>
            </w:r>
          </w:p>
          <w:p w14:paraId="721EB06E">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③</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加强对排水泵站管理，确保设施设备正常运行，减少噪声、固废产生。</w:t>
            </w:r>
          </w:p>
          <w:p w14:paraId="2C04D987">
            <w:pPr>
              <w:keepNext w:val="0"/>
              <w:keepLines w:val="0"/>
              <w:pageBreakBefore w:val="0"/>
              <w:widowControl w:val="0"/>
              <w:suppressLineNumbers w:val="0"/>
              <w:spacing w:before="0" w:beforeAutospacing="0" w:after="0" w:afterAutospacing="0" w:line="360" w:lineRule="auto"/>
              <w:ind w:left="0" w:right="0" w:firstLine="0"/>
              <w:jc w:val="both"/>
              <w:rPr>
                <w:rFonts w:hint="default" w:ascii="Times New Roman" w:hAnsi="Times New Roman" w:cs="Times New Roman" w:eastAsiaTheme="minorEastAsia"/>
                <w:bCs/>
                <w:color w:val="000000" w:themeColor="text1"/>
                <w:spacing w:val="10"/>
                <w:sz w:val="24"/>
                <w:lang w:eastAsia="zh-CN"/>
                <w14:textFill>
                  <w14:solidFill>
                    <w14:schemeClr w14:val="tx1"/>
                  </w14:solidFill>
                </w14:textFill>
              </w:rPr>
            </w:pPr>
          </w:p>
        </w:tc>
      </w:tr>
      <w:tr w14:paraId="6F769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noWrap w:val="0"/>
            <w:tcMar>
              <w:left w:w="28" w:type="dxa"/>
              <w:right w:w="28" w:type="dxa"/>
            </w:tcMar>
            <w:vAlign w:val="center"/>
          </w:tcPr>
          <w:p w14:paraId="05C55B9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val="0"/>
                <w:color w:val="000000" w:themeColor="text1"/>
                <w:spacing w:val="10"/>
                <w:sz w:val="24"/>
                <w:lang w:eastAsia="zh-CN"/>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lang w:eastAsia="zh-CN"/>
                <w14:textFill>
                  <w14:solidFill>
                    <w14:schemeClr w14:val="tx1"/>
                  </w14:solidFill>
                </w14:textFill>
              </w:rPr>
              <w:t>环境管理</w:t>
            </w:r>
          </w:p>
        </w:tc>
        <w:tc>
          <w:tcPr>
            <w:tcW w:w="8371" w:type="dxa"/>
            <w:noWrap w:val="0"/>
            <w:vAlign w:val="center"/>
          </w:tcPr>
          <w:p w14:paraId="1CC40414">
            <w:pPr>
              <w:keepNext w:val="0"/>
              <w:keepLines w:val="0"/>
              <w:pageBreakBefore w:val="0"/>
              <w:widowControl/>
              <w:suppressLineNumbers w:val="0"/>
              <w:spacing w:before="0" w:beforeAutospacing="0" w:after="0" w:afterAutospacing="0" w:line="360" w:lineRule="auto"/>
              <w:ind w:left="0" w:right="0" w:firstLine="48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环境管理是工程管理的一部分，是工程环境保护工作有效实施的重要环节。环境管理目的主要是保证本工程各项环境保护措施的顺利落实，符合环保“三同时”的要求，使工程建设对环境的不利影响得以减免和控制，保护好评价区自然环境和生态环境，以保持工程地区生态系统的良性发展。</w:t>
            </w:r>
          </w:p>
          <w:p w14:paraId="6029624B">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1、施工期环境管理</w:t>
            </w:r>
          </w:p>
          <w:p w14:paraId="35F170C7">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项目应安排一名熟悉环保政策和法规的专业技术人员负责落实环保措施，同时组成一个由指挥长为组长的环境管理小组，以协调施工单位的环保工作。监理公司配置环保专业人员，负责施工过程中的环保工程监理，并检查“三同时”的落实情况。环境监理部门应充分了解本项目施工计划，制定详细的监理计划，施工中环境监理人员可根据情况，对重要地段或敏感点提出环境监测计划，掌握施工期的环境状况，确保不发生重大的环境事故。</w:t>
            </w:r>
          </w:p>
          <w:p w14:paraId="397A0B1E">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项目施工期会对环境造成一定影响，在加强施工期的环境管理并采取环评建议和要求的环保措施的基础上，可将其影响控制在最低程度。</w:t>
            </w:r>
          </w:p>
          <w:p w14:paraId="6EFACF2A">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2、营运期环境管理</w:t>
            </w:r>
          </w:p>
          <w:p w14:paraId="7EB8E056">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工程实施完成后，运营期监督管理环境恢复监测和环境恢复计划的落实情况及环保处理设施运行情况。检查生态恢复和污染防治措施的落实情况。参与环境工程验收活动，协助建设单位组织人员的环境保护培训，负责工程环境监理工作计划和总结</w:t>
            </w:r>
            <w:r>
              <w:rPr>
                <w:rFonts w:hint="eastAsia" w:cs="Times New Roman" w:eastAsiaTheme="minorEastAsia"/>
                <w:color w:val="000000" w:themeColor="text1"/>
                <w:sz w:val="24"/>
                <w:szCs w:val="24"/>
                <w:lang w:val="en-US" w:eastAsia="zh-CN" w:bidi="ar"/>
                <w14:textFill>
                  <w14:solidFill>
                    <w14:schemeClr w14:val="tx1"/>
                  </w14:solidFill>
                </w14:textFill>
              </w:rPr>
              <w:t>。</w:t>
            </w:r>
          </w:p>
          <w:p w14:paraId="76836365">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
                <w14:textFill>
                  <w14:solidFill>
                    <w14:schemeClr w14:val="tx1"/>
                  </w14:solidFill>
                </w14:textFill>
              </w:rPr>
              <w:t>3、环境监测计划</w:t>
            </w:r>
          </w:p>
          <w:p w14:paraId="698AA19A">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根据《排污单位自行监测技术指南总则》（HJ819-2017）的相关规定，并参照其他同类型项目制定本项目的监测计划，建设单位可委托具有资质的检（监）测机构开展监测。</w:t>
            </w:r>
          </w:p>
          <w:p w14:paraId="5D072C14">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t>具体监测计划详见表5-1。</w:t>
            </w:r>
          </w:p>
          <w:p w14:paraId="4E9BD8EE">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3401D0CD">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0D1AD685">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06AC2B28">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2DA05E74">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3EF6035E">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273C666B">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7CDECED3">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0E38CDF4">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szCs w:val="24"/>
                <w:lang w:val="en-US" w:eastAsia="zh-CN" w:bidi="ar"/>
                <w14:textFill>
                  <w14:solidFill>
                    <w14:schemeClr w14:val="tx1"/>
                  </w14:solidFill>
                </w14:textFill>
              </w:rPr>
            </w:pPr>
          </w:p>
          <w:p w14:paraId="503F7B9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表</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5-1</w:t>
            </w:r>
            <w:bookmarkStart w:id="33" w:name="OLE_LINK16"/>
            <w:r>
              <w:rPr>
                <w:rFonts w:hint="eastAsia"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环境监测计划表</w:t>
            </w:r>
            <w:bookmarkEnd w:id="33"/>
          </w:p>
          <w:tbl>
            <w:tblPr>
              <w:tblStyle w:val="3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53"/>
              <w:gridCol w:w="2306"/>
              <w:gridCol w:w="2256"/>
              <w:gridCol w:w="1798"/>
            </w:tblGrid>
            <w:tr w14:paraId="79AE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noWrap w:val="0"/>
                  <w:vAlign w:val="center"/>
                </w:tcPr>
                <w:p w14:paraId="34F4706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监测时期</w:t>
                  </w:r>
                </w:p>
              </w:tc>
              <w:tc>
                <w:tcPr>
                  <w:tcW w:w="1153" w:type="dxa"/>
                  <w:noWrap w:val="0"/>
                  <w:vAlign w:val="center"/>
                </w:tcPr>
                <w:p w14:paraId="63ECE28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监测项目</w:t>
                  </w:r>
                </w:p>
              </w:tc>
              <w:tc>
                <w:tcPr>
                  <w:tcW w:w="2306" w:type="dxa"/>
                  <w:noWrap w:val="0"/>
                  <w:vAlign w:val="center"/>
                </w:tcPr>
                <w:p w14:paraId="6C62958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指标</w:t>
                  </w:r>
                </w:p>
              </w:tc>
              <w:tc>
                <w:tcPr>
                  <w:tcW w:w="2256" w:type="dxa"/>
                  <w:noWrap w:val="0"/>
                  <w:vAlign w:val="center"/>
                </w:tcPr>
                <w:p w14:paraId="27C107E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频次</w:t>
                  </w:r>
                </w:p>
              </w:tc>
              <w:tc>
                <w:tcPr>
                  <w:tcW w:w="1798" w:type="dxa"/>
                  <w:noWrap w:val="0"/>
                  <w:vAlign w:val="center"/>
                </w:tcPr>
                <w:p w14:paraId="04C7F15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监测点</w:t>
                  </w:r>
                </w:p>
              </w:tc>
            </w:tr>
            <w:tr w14:paraId="7B2A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noWrap w:val="0"/>
                  <w:vAlign w:val="center"/>
                </w:tcPr>
                <w:p w14:paraId="2D8909D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w:t>
                  </w:r>
                </w:p>
              </w:tc>
              <w:tc>
                <w:tcPr>
                  <w:tcW w:w="1153" w:type="dxa"/>
                  <w:noWrap w:val="0"/>
                  <w:vAlign w:val="center"/>
                </w:tcPr>
                <w:p w14:paraId="65FB2A3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大气监测</w:t>
                  </w:r>
                </w:p>
              </w:tc>
              <w:tc>
                <w:tcPr>
                  <w:tcW w:w="2306" w:type="dxa"/>
                  <w:noWrap w:val="0"/>
                  <w:vAlign w:val="center"/>
                </w:tcPr>
                <w:p w14:paraId="7583D59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TSP</w:t>
                  </w:r>
                </w:p>
              </w:tc>
              <w:tc>
                <w:tcPr>
                  <w:tcW w:w="2256" w:type="dxa"/>
                  <w:noWrap w:val="0"/>
                  <w:vAlign w:val="center"/>
                </w:tcPr>
                <w:p w14:paraId="1CE5BC8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高峰期监测1次，每次连续监测3天，每天分4个时段监测</w:t>
                  </w:r>
                </w:p>
              </w:tc>
              <w:tc>
                <w:tcPr>
                  <w:tcW w:w="1798" w:type="dxa"/>
                  <w:noWrap w:val="0"/>
                  <w:vAlign w:val="center"/>
                </w:tcPr>
                <w:p w14:paraId="35D209D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施工现场</w:t>
                  </w:r>
                </w:p>
              </w:tc>
            </w:tr>
            <w:tr w14:paraId="1D46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06079006">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noWrap w:val="0"/>
                  <w:vAlign w:val="center"/>
                </w:tcPr>
                <w:p w14:paraId="6FB52CEE">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水</w:t>
                  </w:r>
                  <w:r>
                    <w:rPr>
                      <w:rFonts w:hint="default" w:ascii="Times New Roman" w:hAnsi="Times New Roman" w:cs="Times New Roman" w:eastAsiaTheme="minorEastAsia"/>
                      <w:color w:val="000000" w:themeColor="text1"/>
                      <w:sz w:val="21"/>
                      <w:szCs w:val="21"/>
                      <w14:textFill>
                        <w14:solidFill>
                          <w14:schemeClr w14:val="tx1"/>
                        </w14:solidFill>
                      </w14:textFill>
                    </w:rPr>
                    <w:t>环境监测</w:t>
                  </w:r>
                </w:p>
              </w:tc>
              <w:tc>
                <w:tcPr>
                  <w:tcW w:w="2306" w:type="dxa"/>
                  <w:noWrap w:val="0"/>
                  <w:vAlign w:val="center"/>
                </w:tcPr>
                <w:p w14:paraId="6A43B33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河流水质监测项目水温、pH、DO、SS、COD、</w:t>
                  </w:r>
                </w:p>
                <w:p w14:paraId="165061E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-N、总磷、六价铬、挥发酚、氟化物、粪大肠菌群和锌等；生活污水监测项目主要为流量、SS、BOD</w:t>
                  </w:r>
                </w:p>
                <w:p w14:paraId="22051D2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、COD、粪大肠菌群、阴离子表面活性剂和氨氮等；施工废水仅监测流量和SS。</w:t>
                  </w:r>
                </w:p>
              </w:tc>
              <w:tc>
                <w:tcPr>
                  <w:tcW w:w="2256" w:type="dxa"/>
                  <w:noWrap w:val="0"/>
                  <w:vAlign w:val="center"/>
                </w:tcPr>
                <w:p w14:paraId="7990FEC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施工期内至少一次，连续监测</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天</w:t>
                  </w:r>
                </w:p>
              </w:tc>
              <w:tc>
                <w:tcPr>
                  <w:tcW w:w="1798" w:type="dxa"/>
                  <w:noWrap w:val="0"/>
                  <w:vAlign w:val="center"/>
                </w:tcPr>
                <w:p w14:paraId="5688653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河道施工下游处、各个配套建筑物、生活废水处理末端和生活区生活污水处理末端等处各设1个监测点位。</w:t>
                  </w:r>
                </w:p>
                <w:p w14:paraId="3BDAC5F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120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51A09848">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noWrap w:val="0"/>
                  <w:vAlign w:val="center"/>
                </w:tcPr>
                <w:p w14:paraId="42A7A26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声环境监测</w:t>
                  </w:r>
                </w:p>
              </w:tc>
              <w:tc>
                <w:tcPr>
                  <w:tcW w:w="2306" w:type="dxa"/>
                  <w:noWrap w:val="0"/>
                  <w:vAlign w:val="center"/>
                </w:tcPr>
                <w:p w14:paraId="225D15F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等效连续A声级</w:t>
                  </w:r>
                </w:p>
              </w:tc>
              <w:tc>
                <w:tcPr>
                  <w:tcW w:w="2256" w:type="dxa"/>
                  <w:noWrap w:val="0"/>
                  <w:vAlign w:val="center"/>
                </w:tcPr>
                <w:p w14:paraId="560C63F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施工期内至少一次，连续监测2天，每天昼、夜间监测1次</w:t>
                  </w:r>
                </w:p>
              </w:tc>
              <w:tc>
                <w:tcPr>
                  <w:tcW w:w="1798" w:type="dxa"/>
                  <w:noWrap w:val="0"/>
                  <w:vAlign w:val="center"/>
                </w:tcPr>
                <w:p w14:paraId="16C848B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施工现场边界</w:t>
                  </w:r>
                </w:p>
              </w:tc>
            </w:tr>
            <w:tr w14:paraId="72BF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2DE0D57A">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noWrap w:val="0"/>
                  <w:vAlign w:val="center"/>
                </w:tcPr>
                <w:p w14:paraId="42D44DC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2306" w:type="dxa"/>
                  <w:noWrap w:val="0"/>
                  <w:vAlign w:val="center"/>
                </w:tcPr>
                <w:p w14:paraId="108C607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排洪渠沙土</w:t>
                  </w:r>
                  <w:r>
                    <w:rPr>
                      <w:rFonts w:hint="default" w:ascii="Times New Roman" w:hAnsi="Times New Roman" w:cs="Times New Roman" w:eastAsiaTheme="minorEastAsia"/>
                      <w:color w:val="000000" w:themeColor="text1"/>
                      <w:sz w:val="21"/>
                      <w:szCs w:val="21"/>
                      <w14:textFill>
                        <w14:solidFill>
                          <w14:schemeClr w14:val="tx1"/>
                        </w14:solidFill>
                      </w14:textFill>
                    </w:rPr>
                    <w:t>土方量</w:t>
                  </w:r>
                </w:p>
              </w:tc>
              <w:tc>
                <w:tcPr>
                  <w:tcW w:w="2256" w:type="dxa"/>
                  <w:noWrap w:val="0"/>
                  <w:vAlign w:val="center"/>
                </w:tcPr>
                <w:p w14:paraId="5F21B41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每天进行统计</w:t>
                  </w:r>
                </w:p>
              </w:tc>
              <w:tc>
                <w:tcPr>
                  <w:tcW w:w="1798" w:type="dxa"/>
                  <w:noWrap w:val="0"/>
                  <w:vAlign w:val="center"/>
                </w:tcPr>
                <w:p w14:paraId="14D0B6B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施工现场</w:t>
                  </w:r>
                </w:p>
              </w:tc>
            </w:tr>
            <w:tr w14:paraId="1482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noWrap w:val="0"/>
                  <w:vAlign w:val="center"/>
                </w:tcPr>
                <w:p w14:paraId="2F5488CB">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运营期</w:t>
                  </w:r>
                </w:p>
              </w:tc>
              <w:tc>
                <w:tcPr>
                  <w:tcW w:w="1153" w:type="dxa"/>
                  <w:noWrap w:val="0"/>
                  <w:vAlign w:val="center"/>
                </w:tcPr>
                <w:p w14:paraId="0522433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2306" w:type="dxa"/>
                  <w:noWrap w:val="0"/>
                  <w:vAlign w:val="center"/>
                </w:tcPr>
                <w:p w14:paraId="34935A0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排洪渠植物枯叶及沙土方量</w:t>
                  </w:r>
                </w:p>
              </w:tc>
              <w:tc>
                <w:tcPr>
                  <w:tcW w:w="2256" w:type="dxa"/>
                  <w:noWrap w:val="0"/>
                  <w:vAlign w:val="center"/>
                </w:tcPr>
                <w:p w14:paraId="4101DFC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定期统计</w:t>
                  </w:r>
                </w:p>
              </w:tc>
              <w:tc>
                <w:tcPr>
                  <w:tcW w:w="1798" w:type="dxa"/>
                  <w:noWrap w:val="0"/>
                  <w:vAlign w:val="center"/>
                </w:tcPr>
                <w:p w14:paraId="5940E5C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项目现场</w:t>
                  </w:r>
                </w:p>
              </w:tc>
            </w:tr>
            <w:tr w14:paraId="1B6A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4FC86F7A">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noWrap w:val="0"/>
                  <w:vAlign w:val="center"/>
                </w:tcPr>
                <w:p w14:paraId="504ED28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生态</w:t>
                  </w:r>
                </w:p>
              </w:tc>
              <w:tc>
                <w:tcPr>
                  <w:tcW w:w="2306" w:type="dxa"/>
                  <w:noWrap w:val="0"/>
                  <w:vAlign w:val="center"/>
                </w:tcPr>
                <w:p w14:paraId="65140FF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w:t>
                  </w:r>
                  <w:r>
                    <w:rPr>
                      <w:rFonts w:hint="default" w:ascii="Times New Roman" w:hAnsi="Times New Roman" w:cs="Times New Roman" w:eastAsiaTheme="minorEastAsia"/>
                      <w:color w:val="000000" w:themeColor="text1"/>
                      <w:sz w:val="21"/>
                      <w:szCs w:val="21"/>
                      <w14:textFill>
                        <w14:solidFill>
                          <w14:schemeClr w14:val="tx1"/>
                        </w14:solidFill>
                      </w14:textFill>
                    </w:rPr>
                    <w:t>周围绿化区域</w:t>
                  </w:r>
                </w:p>
              </w:tc>
              <w:tc>
                <w:tcPr>
                  <w:tcW w:w="2256" w:type="dxa"/>
                  <w:noWrap w:val="0"/>
                  <w:vAlign w:val="center"/>
                </w:tcPr>
                <w:p w14:paraId="488056C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生物损失量，植被覆盖率及水土流失恢复率</w:t>
                  </w:r>
                </w:p>
              </w:tc>
              <w:tc>
                <w:tcPr>
                  <w:tcW w:w="1798" w:type="dxa"/>
                  <w:noWrap w:val="0"/>
                  <w:vAlign w:val="center"/>
                </w:tcPr>
                <w:p w14:paraId="43592A6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土质边坡和右堤堤顶</w:t>
                  </w:r>
                </w:p>
              </w:tc>
            </w:tr>
          </w:tbl>
          <w:p w14:paraId="656B1EDD">
            <w:pPr>
              <w:keepNext w:val="0"/>
              <w:keepLines w:val="0"/>
              <w:pageBreakBefore w:val="0"/>
              <w:widowControl w:val="0"/>
              <w:suppressLineNumbers w:val="0"/>
              <w:spacing w:before="0" w:beforeAutospacing="0" w:after="0" w:afterAutospacing="0" w:line="360" w:lineRule="auto"/>
              <w:ind w:left="0" w:right="0" w:firstLine="522"/>
              <w:rPr>
                <w:rFonts w:hint="default" w:ascii="Times New Roman" w:hAnsi="Times New Roman" w:cs="Times New Roman" w:eastAsiaTheme="minorEastAsia"/>
                <w:b/>
                <w:bCs/>
                <w:color w:val="000000" w:themeColor="text1"/>
                <w:spacing w:val="10"/>
                <w:sz w:val="24"/>
                <w14:textFill>
                  <w14:solidFill>
                    <w14:schemeClr w14:val="tx1"/>
                  </w14:solidFill>
                </w14:textFill>
              </w:rPr>
            </w:pPr>
            <w:r>
              <w:rPr>
                <w:rFonts w:hint="default" w:ascii="Times New Roman" w:hAnsi="Times New Roman" w:cs="Times New Roman" w:eastAsiaTheme="minorEastAsia"/>
                <w:b/>
                <w:bCs/>
                <w:color w:val="000000" w:themeColor="text1"/>
                <w:spacing w:val="10"/>
                <w:sz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pacing w:val="10"/>
                <w:sz w:val="24"/>
                <w14:textFill>
                  <w14:solidFill>
                    <w14:schemeClr w14:val="tx1"/>
                  </w14:solidFill>
                </w14:textFill>
              </w:rPr>
              <w:t>、环境污染防治设施竣工验收管理</w:t>
            </w:r>
          </w:p>
          <w:p w14:paraId="119859E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对施工期“三废”、噪声的防治均通过设置合理可行的环保设施，采取行之有效的防治措施来降低对环境的污染影响及危害程度，因此，本项目制定环境污染防治设施竣工验收清单，通过此竣工验收清单来确保本项目环保设施及污染防治措施的顺利进行。</w:t>
            </w:r>
          </w:p>
          <w:p w14:paraId="12257B2B">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42FF8617">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6334DC29">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5E632BE4">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0AB3145F">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0B3C60CC">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384BEA51">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1086DE0F">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093BF420">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036E24D3">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sz w:val="24"/>
                <w14:textFill>
                  <w14:solidFill>
                    <w14:schemeClr w14:val="tx1"/>
                  </w14:solidFill>
                </w14:textFill>
              </w:rPr>
            </w:pPr>
          </w:p>
          <w:p w14:paraId="62DF2F36">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default" w:ascii="Times New Roman" w:hAnsi="Times New Roman" w:cs="Times New Roman" w:eastAsiaTheme="minorEastAsia"/>
                <w:b/>
                <w:bCs/>
                <w:color w:val="000000" w:themeColor="text1"/>
                <w:lang w:val="en-US" w:eastAsia="zh-CN"/>
                <w14:textFill>
                  <w14:solidFill>
                    <w14:schemeClr w14:val="tx1"/>
                  </w14:solidFill>
                </w14:textFill>
              </w:rPr>
              <w:t>表5-2</w:t>
            </w:r>
            <w:bookmarkStart w:id="34" w:name="OLE_LINK14"/>
            <w:r>
              <w:rPr>
                <w:rFonts w:hint="default" w:ascii="Times New Roman" w:hAnsi="Times New Roman" w:cs="Times New Roman" w:eastAsiaTheme="minorEastAsia"/>
                <w:b/>
                <w:bCs/>
                <w:color w:val="000000" w:themeColor="text1"/>
                <w:lang w:val="en-US" w:eastAsia="zh-CN"/>
                <w14:textFill>
                  <w14:solidFill>
                    <w14:schemeClr w14:val="tx1"/>
                  </w14:solidFill>
                </w14:textFill>
              </w:rPr>
              <w:t>环保设施“三同时”验收内容一览表</w:t>
            </w:r>
            <w:bookmarkEnd w:id="34"/>
          </w:p>
          <w:tbl>
            <w:tblPr>
              <w:tblStyle w:val="39"/>
              <w:tblW w:w="8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683"/>
              <w:gridCol w:w="1057"/>
              <w:gridCol w:w="4162"/>
              <w:gridCol w:w="1569"/>
            </w:tblGrid>
            <w:tr w14:paraId="5677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noWrap w:val="0"/>
                  <w:vAlign w:val="center"/>
                </w:tcPr>
                <w:p w14:paraId="603C74D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时段</w:t>
                  </w:r>
                </w:p>
              </w:tc>
              <w:tc>
                <w:tcPr>
                  <w:tcW w:w="1740" w:type="dxa"/>
                  <w:gridSpan w:val="2"/>
                  <w:noWrap w:val="0"/>
                  <w:vAlign w:val="center"/>
                </w:tcPr>
                <w:p w14:paraId="5E93D21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项目</w:t>
                  </w:r>
                </w:p>
              </w:tc>
              <w:tc>
                <w:tcPr>
                  <w:tcW w:w="4162" w:type="dxa"/>
                  <w:noWrap w:val="0"/>
                  <w:vAlign w:val="center"/>
                </w:tcPr>
                <w:p w14:paraId="35C43A7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环保措施及设施</w:t>
                  </w:r>
                </w:p>
              </w:tc>
              <w:tc>
                <w:tcPr>
                  <w:tcW w:w="1569" w:type="dxa"/>
                  <w:noWrap w:val="0"/>
                  <w:vAlign w:val="center"/>
                </w:tcPr>
                <w:p w14:paraId="2A817EF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执行标准</w:t>
                  </w:r>
                </w:p>
              </w:tc>
            </w:tr>
            <w:tr w14:paraId="4078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restart"/>
                  <w:noWrap w:val="0"/>
                  <w:vAlign w:val="center"/>
                </w:tcPr>
                <w:p w14:paraId="5950F4B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w:t>
                  </w:r>
                </w:p>
              </w:tc>
              <w:tc>
                <w:tcPr>
                  <w:tcW w:w="683" w:type="dxa"/>
                  <w:noWrap w:val="0"/>
                  <w:vAlign w:val="center"/>
                </w:tcPr>
                <w:p w14:paraId="6567E2A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w:t>
                  </w:r>
                </w:p>
              </w:tc>
              <w:tc>
                <w:tcPr>
                  <w:tcW w:w="1057" w:type="dxa"/>
                  <w:noWrap w:val="0"/>
                  <w:vAlign w:val="center"/>
                </w:tcPr>
                <w:p w14:paraId="2B0CD8A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扬尘</w:t>
                  </w:r>
                </w:p>
              </w:tc>
              <w:tc>
                <w:tcPr>
                  <w:tcW w:w="4162" w:type="dxa"/>
                  <w:noWrap w:val="0"/>
                  <w:vAlign w:val="center"/>
                </w:tcPr>
                <w:p w14:paraId="4457751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每日定时洒水</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施工区设置标志牌；施工场界设置围挡；施工现场的道路、加工区实施硬化；物料分类堆放，严密覆盖；大风天气，停止土方作业，覆盖防尘网；运输车辆上路前冲洗，物料遮盖。</w:t>
                  </w:r>
                  <w:r>
                    <w:rPr>
                      <w:rFonts w:hint="default" w:ascii="Times New Roman" w:hAnsi="Times New Roman" w:cs="Times New Roman" w:eastAsiaTheme="minorEastAsia"/>
                      <w:color w:val="000000" w:themeColor="text1"/>
                      <w:sz w:val="21"/>
                      <w:szCs w:val="21"/>
                      <w14:textFill>
                        <w14:solidFill>
                          <w14:schemeClr w14:val="tx1"/>
                        </w14:solidFill>
                      </w14:textFill>
                    </w:rPr>
                    <w:t>施工机械采用符合国家标准的设备，施工期加强管理，确保尾气排放达标</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河道疏浚、</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清淤、随挖随运，不在项目区堆放，施工结束后及时植被恢复</w:t>
                  </w:r>
                </w:p>
              </w:tc>
              <w:tc>
                <w:tcPr>
                  <w:tcW w:w="1569" w:type="dxa"/>
                  <w:noWrap w:val="0"/>
                  <w:vAlign w:val="center"/>
                </w:tcPr>
                <w:p w14:paraId="3F5A928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《大气污染物综合排放标准》（GB16297</w:t>
                  </w:r>
                  <w:r>
                    <w:rPr>
                      <w:rFonts w:hint="eastAsia" w:cs="Times New Roman" w:eastAsiaTheme="minorEastAsia"/>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14:textFill>
                        <w14:solidFill>
                          <w14:schemeClr w14:val="tx1"/>
                        </w14:solidFill>
                      </w14:textFill>
                    </w:rPr>
                    <w:t>-1996）二级标准中无组织排放监控浓度限值</w:t>
                  </w:r>
                </w:p>
              </w:tc>
            </w:tr>
            <w:tr w14:paraId="635F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82" w:type="dxa"/>
                  <w:vMerge w:val="continue"/>
                  <w:noWrap w:val="0"/>
                  <w:vAlign w:val="center"/>
                </w:tcPr>
                <w:p w14:paraId="67052CBB">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noWrap w:val="0"/>
                  <w:vAlign w:val="center"/>
                </w:tcPr>
                <w:p w14:paraId="5B6A2F9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w:t>
                  </w:r>
                </w:p>
              </w:tc>
              <w:tc>
                <w:tcPr>
                  <w:tcW w:w="1057" w:type="dxa"/>
                  <w:noWrap w:val="0"/>
                  <w:vAlign w:val="center"/>
                </w:tcPr>
                <w:p w14:paraId="05FAD50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施工废水</w:t>
                  </w:r>
                </w:p>
              </w:tc>
              <w:tc>
                <w:tcPr>
                  <w:tcW w:w="4162" w:type="dxa"/>
                  <w:noWrap w:val="0"/>
                  <w:vAlign w:val="center"/>
                </w:tcPr>
                <w:p w14:paraId="669C99E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设置</w:t>
                  </w:r>
                  <w:r>
                    <w:rPr>
                      <w:rFonts w:hint="eastAsia" w:cs="Times New Roman" w:eastAsiaTheme="minorEastAsia"/>
                      <w:color w:val="000000" w:themeColor="text1"/>
                      <w:sz w:val="21"/>
                      <w:szCs w:val="21"/>
                      <w:lang w:eastAsia="zh-CN"/>
                      <w14:textFill>
                        <w14:solidFill>
                          <w14:schemeClr w14:val="tx1"/>
                        </w14:solidFill>
                      </w14:textFill>
                    </w:rPr>
                    <w:t>诺干</w:t>
                  </w:r>
                  <w:r>
                    <w:rPr>
                      <w:rFonts w:hint="default" w:ascii="Times New Roman" w:hAnsi="Times New Roman" w:cs="Times New Roman" w:eastAsiaTheme="minorEastAsia"/>
                      <w:color w:val="000000" w:themeColor="text1"/>
                      <w:sz w:val="21"/>
                      <w:szCs w:val="21"/>
                      <w14:textFill>
                        <w14:solidFill>
                          <w14:schemeClr w14:val="tx1"/>
                        </w14:solidFill>
                      </w14:textFill>
                    </w:rPr>
                    <w:t>沉淀池（</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cs="Times New Roman" w:eastAsiaTheme="minorEastAsia"/>
                      <w:color w:val="000000" w:themeColor="text1"/>
                      <w:sz w:val="21"/>
                      <w:szCs w:val="21"/>
                      <w:lang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），废水沉淀后用于洒水降尘</w:t>
                  </w:r>
                </w:p>
              </w:tc>
              <w:tc>
                <w:tcPr>
                  <w:tcW w:w="1569" w:type="dxa"/>
                  <w:vMerge w:val="restart"/>
                  <w:noWrap w:val="0"/>
                  <w:vAlign w:val="center"/>
                </w:tcPr>
                <w:p w14:paraId="33B967B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全部综合利用不外排</w:t>
                  </w:r>
                </w:p>
              </w:tc>
            </w:tr>
            <w:tr w14:paraId="0916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82" w:type="dxa"/>
                  <w:vMerge w:val="continue"/>
                  <w:noWrap w:val="0"/>
                  <w:vAlign w:val="center"/>
                </w:tcPr>
                <w:p w14:paraId="78B553F8">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noWrap w:val="0"/>
                  <w:vAlign w:val="center"/>
                </w:tcPr>
                <w:p w14:paraId="09A23CCD">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noWrap w:val="0"/>
                  <w:vAlign w:val="center"/>
                </w:tcPr>
                <w:p w14:paraId="1F6BEDD1">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生活污水</w:t>
                  </w:r>
                </w:p>
              </w:tc>
              <w:tc>
                <w:tcPr>
                  <w:tcW w:w="4162" w:type="dxa"/>
                  <w:noWrap w:val="0"/>
                  <w:vAlign w:val="center"/>
                </w:tcPr>
                <w:p w14:paraId="34BA519B">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施工期施工人员依托周边村庄居住，不设生活营地</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施工人员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如厕</w:t>
                  </w:r>
                  <w:r>
                    <w:rPr>
                      <w:rFonts w:hint="default" w:ascii="Times New Roman" w:hAnsi="Times New Roman" w:cs="Times New Roman" w:eastAsiaTheme="minorEastAsia"/>
                      <w:color w:val="000000" w:themeColor="text1"/>
                      <w:sz w:val="21"/>
                      <w:szCs w:val="21"/>
                      <w14:textFill>
                        <w14:solidFill>
                          <w14:schemeClr w14:val="tx1"/>
                        </w14:solidFill>
                      </w14:textFill>
                    </w:rPr>
                    <w:t>依托附近村民设施</w:t>
                  </w:r>
                </w:p>
              </w:tc>
              <w:tc>
                <w:tcPr>
                  <w:tcW w:w="1569" w:type="dxa"/>
                  <w:vMerge w:val="continue"/>
                  <w:noWrap w:val="0"/>
                  <w:vAlign w:val="center"/>
                </w:tcPr>
                <w:p w14:paraId="2F75D4ED">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0208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noWrap w:val="0"/>
                  <w:vAlign w:val="center"/>
                </w:tcPr>
                <w:p w14:paraId="2F94903A">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noWrap w:val="0"/>
                  <w:vAlign w:val="center"/>
                </w:tcPr>
                <w:p w14:paraId="2650787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w:t>
                  </w:r>
                </w:p>
              </w:tc>
              <w:tc>
                <w:tcPr>
                  <w:tcW w:w="1057" w:type="dxa"/>
                  <w:noWrap w:val="0"/>
                  <w:vAlign w:val="center"/>
                </w:tcPr>
                <w:p w14:paraId="1A42425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机械噪声、施工作业噪声和施工车辆噪声</w:t>
                  </w:r>
                </w:p>
              </w:tc>
              <w:tc>
                <w:tcPr>
                  <w:tcW w:w="4162" w:type="dxa"/>
                  <w:noWrap w:val="0"/>
                  <w:vAlign w:val="center"/>
                </w:tcPr>
                <w:p w14:paraId="1795936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合理安排施工作业时间，采用先进的施工设备，对高噪设备加装减震垫</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，设立专人对设备进行定期保养和维护；在居民点附近施工需采取设置隔声屏障、加强施工管理等相关的降噪措施。</w:t>
                  </w:r>
                </w:p>
              </w:tc>
              <w:tc>
                <w:tcPr>
                  <w:tcW w:w="1569" w:type="dxa"/>
                  <w:noWrap w:val="0"/>
                  <w:vAlign w:val="center"/>
                </w:tcPr>
                <w:p w14:paraId="4EE2399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满足《建筑施工场界环境噪声排放标准》（GB12523-20</w:t>
                  </w:r>
                  <w:r>
                    <w:rPr>
                      <w:rFonts w:hint="eastAsia" w:cs="Times New Roman" w:eastAsiaTheme="minorEastAsia"/>
                      <w:color w:val="000000" w:themeColor="text1"/>
                      <w:sz w:val="21"/>
                      <w:szCs w:val="21"/>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1"/>
                      <w:szCs w:val="21"/>
                      <w14:textFill>
                        <w14:solidFill>
                          <w14:schemeClr w14:val="tx1"/>
                        </w14:solidFill>
                      </w14:textFill>
                    </w:rPr>
                    <w:t>）标准限值</w:t>
                  </w:r>
                </w:p>
              </w:tc>
            </w:tr>
            <w:tr w14:paraId="65CF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noWrap w:val="0"/>
                  <w:vAlign w:val="center"/>
                </w:tcPr>
                <w:p w14:paraId="0DF52CD3">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noWrap w:val="0"/>
                  <w:vAlign w:val="center"/>
                </w:tcPr>
                <w:p w14:paraId="1B3A58E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1057" w:type="dxa"/>
                  <w:noWrap w:val="0"/>
                  <w:vAlign w:val="center"/>
                </w:tcPr>
                <w:p w14:paraId="5A23BF6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泥沙</w:t>
                  </w:r>
                </w:p>
              </w:tc>
              <w:tc>
                <w:tcPr>
                  <w:tcW w:w="4162" w:type="dxa"/>
                  <w:noWrap w:val="0"/>
                  <w:vAlign w:val="center"/>
                </w:tcPr>
                <w:p w14:paraId="4AF43657">
                  <w:pPr>
                    <w:keepNext w:val="0"/>
                    <w:keepLines w:val="0"/>
                    <w:pageBreakBefore w:val="0"/>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河道</w:t>
                  </w:r>
                  <w:r>
                    <w:rPr>
                      <w:rFonts w:hint="eastAsia" w:cs="Times New Roman" w:eastAsiaTheme="minorEastAsia"/>
                      <w:color w:val="000000" w:themeColor="text1"/>
                      <w:sz w:val="21"/>
                      <w:szCs w:val="21"/>
                      <w:lang w:val="en-US" w:eastAsia="zh-CN"/>
                      <w14:textFill>
                        <w14:solidFill>
                          <w14:schemeClr w14:val="tx1"/>
                        </w14:solidFill>
                      </w14:textFill>
                    </w:rPr>
                    <w:t>疏浚、</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清於产生的植物枯叶及沙土</w:t>
                  </w:r>
                  <w:r>
                    <w:rPr>
                      <w:rFonts w:hint="eastAsia" w:cs="Times New Roman" w:eastAsiaTheme="minorEastAsia"/>
                      <w:color w:val="000000" w:themeColor="text1"/>
                      <w:sz w:val="21"/>
                      <w:szCs w:val="21"/>
                      <w:lang w:val="en-US" w:eastAsia="zh-CN"/>
                      <w14:textFill>
                        <w14:solidFill>
                          <w14:schemeClr w14:val="tx1"/>
                        </w14:solidFill>
                      </w14:textFill>
                    </w:rPr>
                    <w:t>及时清运</w:t>
                  </w:r>
                </w:p>
              </w:tc>
              <w:tc>
                <w:tcPr>
                  <w:tcW w:w="1569" w:type="dxa"/>
                  <w:noWrap w:val="0"/>
                  <w:vAlign w:val="center"/>
                </w:tcPr>
                <w:p w14:paraId="5F8F7AE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无害化处置</w:t>
                  </w:r>
                </w:p>
              </w:tc>
            </w:tr>
            <w:tr w14:paraId="2B36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noWrap w:val="0"/>
                  <w:vAlign w:val="center"/>
                </w:tcPr>
                <w:p w14:paraId="05A30F16">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noWrap w:val="0"/>
                  <w:vAlign w:val="center"/>
                </w:tcPr>
                <w:p w14:paraId="62D747C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noWrap w:val="0"/>
                  <w:vAlign w:val="center"/>
                </w:tcPr>
                <w:p w14:paraId="7B052E1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建筑弃渣</w:t>
                  </w:r>
                </w:p>
              </w:tc>
              <w:tc>
                <w:tcPr>
                  <w:tcW w:w="4162" w:type="dxa"/>
                  <w:noWrap w:val="0"/>
                  <w:vAlign w:val="center"/>
                </w:tcPr>
                <w:p w14:paraId="2B308528">
                  <w:pPr>
                    <w:keepNext w:val="0"/>
                    <w:keepLines w:val="0"/>
                    <w:pageBreakBefore w:val="0"/>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施工期具有回收利用价值建筑垃圾的尽可能回收利用，不能回收利用的建筑垃圾运至相关建筑垃圾处理单位综合利用。</w:t>
                  </w:r>
                </w:p>
              </w:tc>
              <w:tc>
                <w:tcPr>
                  <w:tcW w:w="1569" w:type="dxa"/>
                  <w:noWrap w:val="0"/>
                  <w:vAlign w:val="center"/>
                </w:tcPr>
                <w:p w14:paraId="6842536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无害化处置</w:t>
                  </w:r>
                </w:p>
              </w:tc>
            </w:tr>
            <w:tr w14:paraId="4A92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noWrap w:val="0"/>
                  <w:vAlign w:val="center"/>
                </w:tcPr>
                <w:p w14:paraId="1F59955A">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noWrap w:val="0"/>
                  <w:vAlign w:val="center"/>
                </w:tcPr>
                <w:p w14:paraId="6E59E66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noWrap w:val="0"/>
                  <w:vAlign w:val="center"/>
                </w:tcPr>
                <w:p w14:paraId="12E48B8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生活垃圾</w:t>
                  </w:r>
                </w:p>
              </w:tc>
              <w:tc>
                <w:tcPr>
                  <w:tcW w:w="4162" w:type="dxa"/>
                  <w:noWrap w:val="0"/>
                  <w:vAlign w:val="center"/>
                </w:tcPr>
                <w:p w14:paraId="42B45500">
                  <w:pPr>
                    <w:keepNext w:val="0"/>
                    <w:keepLines w:val="0"/>
                    <w:pageBreakBefore w:val="0"/>
                    <w:suppressLineNumbers w:val="0"/>
                    <w:spacing w:before="0" w:beforeAutospacing="0" w:after="0" w:afterAutospacing="0" w:line="240" w:lineRule="auto"/>
                    <w:ind w:left="0" w:right="0" w:firstLine="0"/>
                    <w:jc w:val="left"/>
                    <w:rPr>
                      <w:rFonts w:hint="eastAsia"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设置生活垃圾桶</w:t>
                  </w:r>
                  <w:r>
                    <w:rPr>
                      <w:rFonts w:hint="default" w:ascii="Times New Roman" w:hAnsi="Times New Roman" w:cs="Times New Roman" w:eastAsiaTheme="minorEastAsia"/>
                      <w:color w:val="000000" w:themeColor="text1"/>
                      <w:sz w:val="21"/>
                      <w:szCs w:val="21"/>
                      <w14:textFill>
                        <w14:solidFill>
                          <w14:schemeClr w14:val="tx1"/>
                        </w14:solidFill>
                      </w14:textFill>
                    </w:rPr>
                    <w:t>，交环卫部门统一</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清理</w:t>
                  </w:r>
                </w:p>
              </w:tc>
              <w:tc>
                <w:tcPr>
                  <w:tcW w:w="1569" w:type="dxa"/>
                  <w:noWrap w:val="0"/>
                  <w:vAlign w:val="center"/>
                </w:tcPr>
                <w:p w14:paraId="6E015EF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r>
            <w:tr w14:paraId="7A37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noWrap w:val="0"/>
                  <w:vAlign w:val="center"/>
                </w:tcPr>
                <w:p w14:paraId="358612E9">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noWrap w:val="0"/>
                  <w:vAlign w:val="center"/>
                </w:tcPr>
                <w:p w14:paraId="71FD8D5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生态环境</w:t>
                  </w:r>
                </w:p>
              </w:tc>
              <w:tc>
                <w:tcPr>
                  <w:tcW w:w="1057" w:type="dxa"/>
                  <w:noWrap w:val="0"/>
                  <w:vAlign w:val="center"/>
                </w:tcPr>
                <w:p w14:paraId="666F2DA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水土保持</w:t>
                  </w:r>
                </w:p>
              </w:tc>
              <w:tc>
                <w:tcPr>
                  <w:tcW w:w="4162" w:type="dxa"/>
                  <w:noWrap w:val="0"/>
                  <w:vAlign w:val="center"/>
                </w:tcPr>
                <w:p w14:paraId="1E1ECEF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表土剥离、土地整治、草皮护坡、撒播草籽、临时排水沟、临时沉淀池、彩布条苫盖等。</w:t>
                  </w:r>
                </w:p>
              </w:tc>
              <w:tc>
                <w:tcPr>
                  <w:tcW w:w="1569" w:type="dxa"/>
                  <w:vMerge w:val="restart"/>
                  <w:noWrap w:val="0"/>
                  <w:vAlign w:val="center"/>
                </w:tcPr>
                <w:p w14:paraId="263341A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r>
            <w:tr w14:paraId="6BB3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noWrap w:val="0"/>
                  <w:vAlign w:val="center"/>
                </w:tcPr>
                <w:p w14:paraId="60C47BF9">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noWrap w:val="0"/>
                  <w:vAlign w:val="center"/>
                </w:tcPr>
                <w:p w14:paraId="4FD3215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noWrap w:val="0"/>
                  <w:vAlign w:val="center"/>
                </w:tcPr>
                <w:p w14:paraId="3065085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绿化</w:t>
                  </w:r>
                </w:p>
              </w:tc>
              <w:tc>
                <w:tcPr>
                  <w:tcW w:w="4162" w:type="dxa"/>
                  <w:noWrap w:val="0"/>
                  <w:vAlign w:val="center"/>
                </w:tcPr>
                <w:p w14:paraId="31AE5231">
                  <w:pPr>
                    <w:keepNext w:val="0"/>
                    <w:keepLines w:val="0"/>
                    <w:pageBreakBefore w:val="0"/>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施工结束，恢复人行道、绿化带、行道树</w:t>
                  </w:r>
                </w:p>
              </w:tc>
              <w:tc>
                <w:tcPr>
                  <w:tcW w:w="1569" w:type="dxa"/>
                  <w:vMerge w:val="continue"/>
                  <w:noWrap w:val="0"/>
                  <w:vAlign w:val="center"/>
                </w:tcPr>
                <w:p w14:paraId="4B87F5A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B38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82" w:type="dxa"/>
                  <w:vMerge w:val="restart"/>
                  <w:noWrap w:val="0"/>
                  <w:vAlign w:val="center"/>
                </w:tcPr>
                <w:p w14:paraId="7C19BAE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运营期</w:t>
                  </w:r>
                </w:p>
              </w:tc>
              <w:tc>
                <w:tcPr>
                  <w:tcW w:w="683" w:type="dxa"/>
                  <w:noWrap w:val="0"/>
                  <w:vAlign w:val="center"/>
                </w:tcPr>
                <w:p w14:paraId="6B7E5E5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噪声</w:t>
                  </w:r>
                </w:p>
              </w:tc>
              <w:tc>
                <w:tcPr>
                  <w:tcW w:w="1057" w:type="dxa"/>
                  <w:noWrap w:val="0"/>
                  <w:vAlign w:val="center"/>
                </w:tcPr>
                <w:p w14:paraId="5FAB80E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4162" w:type="dxa"/>
                  <w:noWrap w:val="0"/>
                  <w:vAlign w:val="center"/>
                </w:tcPr>
                <w:p w14:paraId="5C984AB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泵房设置在地下层内，墙壁采用隔声材料，设备优先选用低噪声设备，基础减震、加强机电设备修及保养等措施。</w:t>
                  </w:r>
                </w:p>
              </w:tc>
              <w:tc>
                <w:tcPr>
                  <w:tcW w:w="1569" w:type="dxa"/>
                  <w:noWrap w:val="0"/>
                  <w:vAlign w:val="center"/>
                </w:tcPr>
                <w:p w14:paraId="76F8AA1B">
                  <w:pPr>
                    <w:keepNext w:val="0"/>
                    <w:keepLines w:val="0"/>
                    <w:pageBreakBefore w:val="0"/>
                    <w:widowControl/>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w:t>
                  </w:r>
                </w:p>
              </w:tc>
            </w:tr>
            <w:tr w14:paraId="10C6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82" w:type="dxa"/>
                  <w:vMerge w:val="continue"/>
                  <w:noWrap w:val="0"/>
                  <w:vAlign w:val="center"/>
                </w:tcPr>
                <w:p w14:paraId="66FDAB0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noWrap w:val="0"/>
                  <w:vAlign w:val="center"/>
                </w:tcPr>
                <w:p w14:paraId="314FADD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生态环境</w:t>
                  </w:r>
                </w:p>
              </w:tc>
              <w:tc>
                <w:tcPr>
                  <w:tcW w:w="1057" w:type="dxa"/>
                  <w:noWrap w:val="0"/>
                  <w:vAlign w:val="center"/>
                </w:tcPr>
                <w:p w14:paraId="7EEAE9A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w:t>
                  </w:r>
                </w:p>
              </w:tc>
              <w:tc>
                <w:tcPr>
                  <w:tcW w:w="4162" w:type="dxa"/>
                  <w:noWrap w:val="0"/>
                  <w:vAlign w:val="center"/>
                </w:tcPr>
                <w:p w14:paraId="73F9642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泵站、闸门检修产生的废矿物油及沾染物</w:t>
                  </w:r>
                </w:p>
              </w:tc>
              <w:tc>
                <w:tcPr>
                  <w:tcW w:w="1569" w:type="dxa"/>
                  <w:noWrap w:val="0"/>
                  <w:vAlign w:val="center"/>
                </w:tcPr>
                <w:p w14:paraId="7EEE1DA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委托有资质单位处置</w:t>
                  </w:r>
                </w:p>
              </w:tc>
            </w:tr>
            <w:tr w14:paraId="492C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2" w:type="dxa"/>
                  <w:vMerge w:val="continue"/>
                  <w:noWrap w:val="0"/>
                  <w:vAlign w:val="center"/>
                </w:tcPr>
                <w:p w14:paraId="0BAC61A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noWrap w:val="0"/>
                  <w:vAlign w:val="center"/>
                </w:tcPr>
                <w:p w14:paraId="3B47868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noWrap w:val="0"/>
                  <w:vAlign w:val="center"/>
                </w:tcPr>
                <w:p w14:paraId="417213A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排洪渠泥沙</w:t>
                  </w:r>
                </w:p>
              </w:tc>
              <w:tc>
                <w:tcPr>
                  <w:tcW w:w="4162" w:type="dxa"/>
                  <w:noWrap w:val="0"/>
                  <w:vAlign w:val="center"/>
                </w:tcPr>
                <w:p w14:paraId="57D80D6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排洪渠产生的植物枯叶及沙土建设单位不定期清理至建筑垃圾填埋场</w:t>
                  </w:r>
                </w:p>
              </w:tc>
              <w:tc>
                <w:tcPr>
                  <w:tcW w:w="1569" w:type="dxa"/>
                  <w:noWrap w:val="0"/>
                  <w:vAlign w:val="center"/>
                </w:tcPr>
                <w:p w14:paraId="2D55363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14:paraId="272E6304">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2A5059FA">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237B05CE">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395152CA">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4B1FA3BD">
            <w:pPr>
              <w:keepNext w:val="0"/>
              <w:keepLines w:val="0"/>
              <w:pageBreakBefore w:val="0"/>
              <w:suppressLineNumbers w:val="0"/>
              <w:spacing w:before="0" w:beforeAutospacing="0" w:after="0" w:afterAutospacing="0" w:line="360" w:lineRule="auto"/>
              <w:ind w:left="0" w:right="0" w:firstLine="0"/>
              <w:jc w:val="both"/>
              <w:rPr>
                <w:rFonts w:hint="default" w:ascii="Times New Roman" w:hAnsi="Times New Roman" w:cs="Times New Roman" w:eastAsiaTheme="minorEastAsia"/>
                <w:bCs/>
                <w:color w:val="000000" w:themeColor="text1"/>
                <w:spacing w:val="10"/>
                <w:sz w:val="24"/>
                <w14:textFill>
                  <w14:solidFill>
                    <w14:schemeClr w14:val="tx1"/>
                  </w14:solidFill>
                </w14:textFill>
              </w:rPr>
            </w:pPr>
          </w:p>
        </w:tc>
      </w:tr>
      <w:tr w14:paraId="76225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noWrap w:val="0"/>
            <w:vAlign w:val="center"/>
          </w:tcPr>
          <w:p w14:paraId="5D68DA3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bCs w:val="0"/>
                <w:color w:val="000000" w:themeColor="text1"/>
                <w:spacing w:val="10"/>
                <w:sz w:val="24"/>
                <w14:textFill>
                  <w14:solidFill>
                    <w14:schemeClr w14:val="tx1"/>
                  </w14:solidFill>
                </w14:textFill>
              </w:rPr>
            </w:pPr>
            <w:r>
              <w:rPr>
                <w:rFonts w:hint="default" w:ascii="Times New Roman" w:hAnsi="Times New Roman" w:cs="Times New Roman" w:eastAsiaTheme="minorEastAsia"/>
                <w:b/>
                <w:bCs w:val="0"/>
                <w:color w:val="000000" w:themeColor="text1"/>
                <w:sz w:val="24"/>
                <w14:textFill>
                  <w14:solidFill>
                    <w14:schemeClr w14:val="tx1"/>
                  </w14:solidFill>
                </w14:textFill>
              </w:rPr>
              <w:t>环保投资</w:t>
            </w:r>
          </w:p>
        </w:tc>
        <w:tc>
          <w:tcPr>
            <w:tcW w:w="8371" w:type="dxa"/>
            <w:noWrap w:val="0"/>
            <w:vAlign w:val="top"/>
          </w:tcPr>
          <w:p w14:paraId="3739746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项目总投资为</w:t>
            </w:r>
            <w:r>
              <w:rPr>
                <w:rFonts w:hint="eastAsia" w:cs="Times New Roman" w:eastAsiaTheme="minorEastAsia"/>
                <w:color w:val="000000" w:themeColor="text1"/>
                <w:sz w:val="24"/>
                <w:lang w:val="en-US" w:eastAsia="zh-CN"/>
                <w14:textFill>
                  <w14:solidFill>
                    <w14:schemeClr w14:val="tx1"/>
                  </w14:solidFill>
                </w14:textFill>
              </w:rPr>
              <w:t>39550.68</w:t>
            </w:r>
            <w:r>
              <w:rPr>
                <w:rFonts w:hint="default" w:ascii="Times New Roman" w:hAnsi="Times New Roman" w:cs="Times New Roman" w:eastAsiaTheme="minorEastAsia"/>
                <w:color w:val="000000" w:themeColor="text1"/>
                <w:sz w:val="24"/>
                <w14:textFill>
                  <w14:solidFill>
                    <w14:schemeClr w14:val="tx1"/>
                  </w14:solidFill>
                </w14:textFill>
              </w:rPr>
              <w:t>万元，其中环保投资</w:t>
            </w:r>
            <w:r>
              <w:rPr>
                <w:rFonts w:hint="eastAsia" w:cs="Times New Roman" w:eastAsiaTheme="minorEastAsia"/>
                <w:color w:val="000000" w:themeColor="text1"/>
                <w:sz w:val="24"/>
                <w:lang w:val="en-US" w:eastAsia="zh-CN"/>
                <w14:textFill>
                  <w14:solidFill>
                    <w14:schemeClr w14:val="tx1"/>
                  </w14:solidFill>
                </w14:textFill>
              </w:rPr>
              <w:t>490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万元</w:t>
            </w:r>
            <w:r>
              <w:rPr>
                <w:rFonts w:hint="default" w:ascii="Times New Roman" w:hAnsi="Times New Roman" w:cs="Times New Roman" w:eastAsiaTheme="minorEastAsia"/>
                <w:color w:val="000000" w:themeColor="text1"/>
                <w:sz w:val="24"/>
                <w14:textFill>
                  <w14:solidFill>
                    <w14:schemeClr w14:val="tx1"/>
                  </w14:solidFill>
                </w14:textFill>
              </w:rPr>
              <w:t>，占总投资的</w:t>
            </w:r>
            <w:r>
              <w:rPr>
                <w:rFonts w:hint="eastAsia" w:cs="Times New Roman" w:eastAsiaTheme="minorEastAsia"/>
                <w:color w:val="000000" w:themeColor="text1"/>
                <w:sz w:val="24"/>
                <w:lang w:val="en-US" w:eastAsia="zh-CN"/>
                <w14:textFill>
                  <w14:solidFill>
                    <w14:schemeClr w14:val="tx1"/>
                  </w14:solidFill>
                </w14:textFill>
              </w:rPr>
              <w:t>1.24</w:t>
            </w:r>
            <w:r>
              <w:rPr>
                <w:rFonts w:hint="default" w:ascii="Times New Roman" w:hAnsi="Times New Roman" w:cs="Times New Roman" w:eastAsiaTheme="minorEastAsia"/>
                <w:color w:val="000000" w:themeColor="text1"/>
                <w:sz w:val="24"/>
                <w14:textFill>
                  <w14:solidFill>
                    <w14:schemeClr w14:val="tx1"/>
                  </w14:solidFill>
                </w14:textFill>
              </w:rPr>
              <w:t>%，工程环保投资见表</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5-3</w:t>
            </w:r>
            <w:r>
              <w:rPr>
                <w:rFonts w:hint="default" w:ascii="Times New Roman" w:hAnsi="Times New Roman" w:cs="Times New Roman" w:eastAsiaTheme="minorEastAsia"/>
                <w:color w:val="000000" w:themeColor="text1"/>
                <w:sz w:val="24"/>
                <w14:textFill>
                  <w14:solidFill>
                    <w14:schemeClr w14:val="tx1"/>
                  </w14:solidFill>
                </w14:textFill>
              </w:rPr>
              <w:t>。</w:t>
            </w:r>
          </w:p>
          <w:p w14:paraId="22621ABE">
            <w:pPr>
              <w:keepNext w:val="0"/>
              <w:keepLines w:val="0"/>
              <w:pageBreakBefore w:val="0"/>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b/>
                <w:bCs/>
                <w:color w:val="000000" w:themeColor="text1"/>
                <w:lang w:val="en-US" w:eastAsia="zh-CN"/>
                <w14:textFill>
                  <w14:solidFill>
                    <w14:schemeClr w14:val="tx1"/>
                  </w14:solidFill>
                </w14:textFill>
              </w:rPr>
              <w:t>表5-3工程</w:t>
            </w:r>
            <w:bookmarkStart w:id="35" w:name="OLE_LINK6"/>
            <w:r>
              <w:rPr>
                <w:rFonts w:hint="default" w:ascii="Times New Roman" w:hAnsi="Times New Roman" w:cs="Times New Roman" w:eastAsiaTheme="minorEastAsia"/>
                <w:b/>
                <w:bCs/>
                <w:color w:val="000000" w:themeColor="text1"/>
                <w:lang w:val="en-US" w:eastAsia="zh-CN"/>
                <w14:textFill>
                  <w14:solidFill>
                    <w14:schemeClr w14:val="tx1"/>
                  </w14:solidFill>
                </w14:textFill>
              </w:rPr>
              <w:t>环保投资一览表</w:t>
            </w:r>
            <w:bookmarkEnd w:id="35"/>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661"/>
              <w:gridCol w:w="1317"/>
              <w:gridCol w:w="4603"/>
              <w:gridCol w:w="962"/>
            </w:tblGrid>
            <w:tr w14:paraId="6CF1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noWrap w:val="0"/>
                  <w:vAlign w:val="center"/>
                </w:tcPr>
                <w:p w14:paraId="08BABEB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时段</w:t>
                  </w:r>
                </w:p>
              </w:tc>
              <w:tc>
                <w:tcPr>
                  <w:tcW w:w="1978" w:type="dxa"/>
                  <w:gridSpan w:val="2"/>
                  <w:noWrap w:val="0"/>
                  <w:vAlign w:val="center"/>
                </w:tcPr>
                <w:p w14:paraId="684FDDF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项目</w:t>
                  </w:r>
                </w:p>
              </w:tc>
              <w:tc>
                <w:tcPr>
                  <w:tcW w:w="4603" w:type="dxa"/>
                  <w:noWrap w:val="0"/>
                  <w:vAlign w:val="center"/>
                </w:tcPr>
                <w:p w14:paraId="1A6A407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环保措施及设施</w:t>
                  </w:r>
                </w:p>
              </w:tc>
              <w:tc>
                <w:tcPr>
                  <w:tcW w:w="962" w:type="dxa"/>
                  <w:noWrap w:val="0"/>
                  <w:vAlign w:val="center"/>
                </w:tcPr>
                <w:p w14:paraId="7FD5411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投资</w:t>
                  </w:r>
                </w:p>
                <w:p w14:paraId="3A2AE9A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（万元）</w:t>
                  </w:r>
                </w:p>
              </w:tc>
            </w:tr>
            <w:tr w14:paraId="3A56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restart"/>
                  <w:noWrap w:val="0"/>
                  <w:vAlign w:val="center"/>
                </w:tcPr>
                <w:p w14:paraId="04C5810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w:t>
                  </w:r>
                </w:p>
              </w:tc>
              <w:tc>
                <w:tcPr>
                  <w:tcW w:w="661" w:type="dxa"/>
                  <w:vMerge w:val="restart"/>
                  <w:noWrap w:val="0"/>
                  <w:vAlign w:val="center"/>
                </w:tcPr>
                <w:p w14:paraId="1FCE9C3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w:t>
                  </w:r>
                </w:p>
              </w:tc>
              <w:tc>
                <w:tcPr>
                  <w:tcW w:w="1317" w:type="dxa"/>
                  <w:noWrap w:val="0"/>
                  <w:vAlign w:val="center"/>
                </w:tcPr>
                <w:p w14:paraId="39C673C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施工扬尘</w:t>
                  </w:r>
                </w:p>
              </w:tc>
              <w:tc>
                <w:tcPr>
                  <w:tcW w:w="4603" w:type="dxa"/>
                  <w:noWrap w:val="0"/>
                  <w:vAlign w:val="center"/>
                </w:tcPr>
                <w:p w14:paraId="327AABF9">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每日定时洒水</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施工区设置标志牌；施工场界设置围挡；施工现场的道路、加工区实施硬化；物料分类堆放，严密覆盖；大风天气，停止土方作业，覆盖防尘网；</w:t>
                  </w:r>
                </w:p>
              </w:tc>
              <w:tc>
                <w:tcPr>
                  <w:tcW w:w="962" w:type="dxa"/>
                  <w:noWrap w:val="0"/>
                  <w:vAlign w:val="center"/>
                </w:tcPr>
                <w:p w14:paraId="275F3120">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90</w:t>
                  </w:r>
                </w:p>
              </w:tc>
            </w:tr>
            <w:tr w14:paraId="2B13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448EADB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noWrap w:val="0"/>
                  <w:vAlign w:val="center"/>
                </w:tcPr>
                <w:p w14:paraId="5E042A3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noWrap w:val="0"/>
                  <w:vAlign w:val="center"/>
                </w:tcPr>
                <w:p w14:paraId="22B87A2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机械废气</w:t>
                  </w:r>
                </w:p>
              </w:tc>
              <w:tc>
                <w:tcPr>
                  <w:tcW w:w="4603" w:type="dxa"/>
                  <w:noWrap w:val="0"/>
                  <w:vAlign w:val="center"/>
                </w:tcPr>
                <w:p w14:paraId="11B37BC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施工机械采用符合国家标准的设备，施工期加强管理，确保尾气排放达标</w:t>
                  </w:r>
                  <w:r>
                    <w:rPr>
                      <w:rFonts w:hint="eastAsia" w:cs="Times New Roman" w:eastAsiaTheme="minorEastAsia"/>
                      <w:color w:val="000000" w:themeColor="text1"/>
                      <w:sz w:val="21"/>
                      <w:szCs w:val="21"/>
                      <w:lang w:eastAsia="zh-CN"/>
                      <w14:textFill>
                        <w14:solidFill>
                          <w14:schemeClr w14:val="tx1"/>
                        </w14:solidFill>
                      </w14:textFill>
                    </w:rPr>
                    <w:t>。</w:t>
                  </w:r>
                </w:p>
              </w:tc>
              <w:tc>
                <w:tcPr>
                  <w:tcW w:w="962" w:type="dxa"/>
                  <w:noWrap w:val="0"/>
                  <w:vAlign w:val="center"/>
                </w:tcPr>
                <w:p w14:paraId="631FC58B">
                  <w:pPr>
                    <w:keepNext w:val="0"/>
                    <w:keepLines w:val="0"/>
                    <w:pageBreakBefore w:val="0"/>
                    <w:widowControl/>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20</w:t>
                  </w:r>
                </w:p>
              </w:tc>
            </w:tr>
            <w:tr w14:paraId="3BAC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37F2061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noWrap w:val="0"/>
                  <w:vAlign w:val="center"/>
                </w:tcPr>
                <w:p w14:paraId="7D6DE0D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noWrap w:val="0"/>
                  <w:vAlign w:val="center"/>
                </w:tcPr>
                <w:p w14:paraId="441E412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臭气</w:t>
                  </w:r>
                </w:p>
              </w:tc>
              <w:tc>
                <w:tcPr>
                  <w:tcW w:w="4603" w:type="dxa"/>
                  <w:noWrap w:val="0"/>
                  <w:vAlign w:val="center"/>
                </w:tcPr>
                <w:p w14:paraId="742D7FD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河道疏浚、</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清淤、随挖随运，不在项目区堆放，施工结束后及时植被恢复。</w:t>
                  </w:r>
                </w:p>
              </w:tc>
              <w:tc>
                <w:tcPr>
                  <w:tcW w:w="962" w:type="dxa"/>
                  <w:noWrap w:val="0"/>
                  <w:vAlign w:val="center"/>
                </w:tcPr>
                <w:p w14:paraId="261E4376">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10</w:t>
                  </w:r>
                </w:p>
              </w:tc>
            </w:tr>
            <w:tr w14:paraId="5730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4A843EF2">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restart"/>
                  <w:noWrap w:val="0"/>
                  <w:vAlign w:val="center"/>
                </w:tcPr>
                <w:p w14:paraId="263BB26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w:t>
                  </w:r>
                </w:p>
              </w:tc>
              <w:tc>
                <w:tcPr>
                  <w:tcW w:w="1317" w:type="dxa"/>
                  <w:noWrap w:val="0"/>
                  <w:vAlign w:val="center"/>
                </w:tcPr>
                <w:p w14:paraId="42F7BB7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施工废水</w:t>
                  </w:r>
                </w:p>
              </w:tc>
              <w:tc>
                <w:tcPr>
                  <w:tcW w:w="4603" w:type="dxa"/>
                  <w:noWrap w:val="0"/>
                  <w:vAlign w:val="center"/>
                </w:tcPr>
                <w:p w14:paraId="24EDBD9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设置</w:t>
                  </w:r>
                  <w:r>
                    <w:rPr>
                      <w:rFonts w:hint="eastAsia" w:cs="Times New Roman" w:eastAsiaTheme="minorEastAsia"/>
                      <w:color w:val="000000" w:themeColor="text1"/>
                      <w:sz w:val="21"/>
                      <w:szCs w:val="21"/>
                      <w:lang w:eastAsia="zh-CN"/>
                      <w14:textFill>
                        <w14:solidFill>
                          <w14:schemeClr w14:val="tx1"/>
                        </w14:solidFill>
                      </w14:textFill>
                    </w:rPr>
                    <w:t>诺干</w:t>
                  </w:r>
                  <w:r>
                    <w:rPr>
                      <w:rFonts w:hint="default" w:ascii="Times New Roman" w:hAnsi="Times New Roman" w:cs="Times New Roman" w:eastAsiaTheme="minorEastAsia"/>
                      <w:color w:val="000000" w:themeColor="text1"/>
                      <w:sz w:val="21"/>
                      <w:szCs w:val="21"/>
                      <w14:textFill>
                        <w14:solidFill>
                          <w14:schemeClr w14:val="tx1"/>
                        </w14:solidFill>
                      </w14:textFill>
                    </w:rPr>
                    <w:t>沉淀池（</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cs="Times New Roman" w:eastAsiaTheme="minorEastAsia"/>
                      <w:color w:val="000000" w:themeColor="text1"/>
                      <w:sz w:val="21"/>
                      <w:szCs w:val="21"/>
                      <w:lang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），废水沉淀后用于洒水降尘</w:t>
                  </w:r>
                </w:p>
              </w:tc>
              <w:tc>
                <w:tcPr>
                  <w:tcW w:w="962" w:type="dxa"/>
                  <w:noWrap w:val="0"/>
                  <w:vAlign w:val="center"/>
                </w:tcPr>
                <w:p w14:paraId="24D89A11">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20</w:t>
                  </w:r>
                </w:p>
              </w:tc>
            </w:tr>
            <w:tr w14:paraId="6B0C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1A195610">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noWrap w:val="0"/>
                  <w:vAlign w:val="center"/>
                </w:tcPr>
                <w:p w14:paraId="1AE0B5EE">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noWrap w:val="0"/>
                  <w:vAlign w:val="center"/>
                </w:tcPr>
                <w:p w14:paraId="4B000E89">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生活污水</w:t>
                  </w:r>
                </w:p>
              </w:tc>
              <w:tc>
                <w:tcPr>
                  <w:tcW w:w="4603" w:type="dxa"/>
                  <w:noWrap w:val="0"/>
                  <w:vAlign w:val="center"/>
                </w:tcPr>
                <w:p w14:paraId="510D1087">
                  <w:pPr>
                    <w:keepNext w:val="0"/>
                    <w:keepLines w:val="0"/>
                    <w:pageBreakBefore w:val="0"/>
                    <w:widowControl/>
                    <w:suppressLineNumbers w:val="0"/>
                    <w:spacing w:before="0" w:beforeAutospacing="0" w:after="0" w:afterAutospacing="0" w:line="240" w:lineRule="auto"/>
                    <w:ind w:left="0" w:right="0" w:firstLine="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施工期施工人员依托周边村庄居住，不设生活营地</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施工人员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如厕</w:t>
                  </w:r>
                  <w:r>
                    <w:rPr>
                      <w:rFonts w:hint="default" w:ascii="Times New Roman" w:hAnsi="Times New Roman" w:cs="Times New Roman" w:eastAsiaTheme="minorEastAsia"/>
                      <w:color w:val="000000" w:themeColor="text1"/>
                      <w:sz w:val="21"/>
                      <w:szCs w:val="21"/>
                      <w14:textFill>
                        <w14:solidFill>
                          <w14:schemeClr w14:val="tx1"/>
                        </w14:solidFill>
                      </w14:textFill>
                    </w:rPr>
                    <w:t>依托附近村民设施</w:t>
                  </w:r>
                </w:p>
              </w:tc>
              <w:tc>
                <w:tcPr>
                  <w:tcW w:w="962" w:type="dxa"/>
                  <w:noWrap w:val="0"/>
                  <w:vAlign w:val="center"/>
                </w:tcPr>
                <w:p w14:paraId="640C720F">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4D80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48FF0E42">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noWrap w:val="0"/>
                  <w:vAlign w:val="center"/>
                </w:tcPr>
                <w:p w14:paraId="19486E6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w:t>
                  </w:r>
                </w:p>
              </w:tc>
              <w:tc>
                <w:tcPr>
                  <w:tcW w:w="1317" w:type="dxa"/>
                  <w:noWrap w:val="0"/>
                  <w:vAlign w:val="center"/>
                </w:tcPr>
                <w:p w14:paraId="43E5ABE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机械噪声、施工作业噪声和施工车辆噪声</w:t>
                  </w:r>
                </w:p>
              </w:tc>
              <w:tc>
                <w:tcPr>
                  <w:tcW w:w="4603" w:type="dxa"/>
                  <w:noWrap w:val="0"/>
                  <w:vAlign w:val="center"/>
                </w:tcPr>
                <w:p w14:paraId="731EF2CE">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合理安排施工作业时间，采用先进的施工设备，对高噪设备加装减震垫</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，设立专人对设备进行定期保养和维护；在居民点附近施工需采取设置隔声屏障、加强施工管理等相关的降噪措施。</w:t>
                  </w:r>
                </w:p>
              </w:tc>
              <w:tc>
                <w:tcPr>
                  <w:tcW w:w="962" w:type="dxa"/>
                  <w:noWrap w:val="0"/>
                  <w:vAlign w:val="center"/>
                </w:tcPr>
                <w:p w14:paraId="431CF5FE">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20</w:t>
                  </w:r>
                </w:p>
              </w:tc>
            </w:tr>
            <w:tr w14:paraId="5CCB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25F71A97">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restart"/>
                  <w:noWrap w:val="0"/>
                  <w:vAlign w:val="center"/>
                </w:tcPr>
                <w:p w14:paraId="4AE916F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1317" w:type="dxa"/>
                  <w:noWrap w:val="0"/>
                  <w:vAlign w:val="center"/>
                </w:tcPr>
                <w:p w14:paraId="49537DF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泥沙</w:t>
                  </w:r>
                </w:p>
              </w:tc>
              <w:tc>
                <w:tcPr>
                  <w:tcW w:w="4603" w:type="dxa"/>
                  <w:noWrap w:val="0"/>
                  <w:vAlign w:val="center"/>
                </w:tcPr>
                <w:p w14:paraId="4980D30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河道</w:t>
                  </w:r>
                  <w:r>
                    <w:rPr>
                      <w:rFonts w:hint="eastAsia" w:cs="Times New Roman" w:eastAsiaTheme="minorEastAsia"/>
                      <w:color w:val="000000" w:themeColor="text1"/>
                      <w:sz w:val="21"/>
                      <w:szCs w:val="21"/>
                      <w:lang w:val="en-US" w:eastAsia="zh-CN"/>
                      <w14:textFill>
                        <w14:solidFill>
                          <w14:schemeClr w14:val="tx1"/>
                        </w14:solidFill>
                      </w14:textFill>
                    </w:rPr>
                    <w:t>疏浚、</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清於产生的植物枯叶及沙土</w:t>
                  </w:r>
                  <w:r>
                    <w:rPr>
                      <w:rFonts w:hint="eastAsia" w:cs="Times New Roman" w:eastAsiaTheme="minorEastAsia"/>
                      <w:color w:val="000000" w:themeColor="text1"/>
                      <w:sz w:val="21"/>
                      <w:szCs w:val="21"/>
                      <w:lang w:val="en-US" w:eastAsia="zh-CN"/>
                      <w14:textFill>
                        <w14:solidFill>
                          <w14:schemeClr w14:val="tx1"/>
                        </w14:solidFill>
                      </w14:textFill>
                    </w:rPr>
                    <w:t>及时清运</w:t>
                  </w:r>
                </w:p>
              </w:tc>
              <w:tc>
                <w:tcPr>
                  <w:tcW w:w="962" w:type="dxa"/>
                  <w:vMerge w:val="restart"/>
                  <w:noWrap w:val="0"/>
                  <w:vAlign w:val="center"/>
                </w:tcPr>
                <w:p w14:paraId="5EFF3643">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25</w:t>
                  </w:r>
                </w:p>
              </w:tc>
            </w:tr>
            <w:tr w14:paraId="1D09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7A5492F6">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noWrap w:val="0"/>
                  <w:vAlign w:val="center"/>
                </w:tcPr>
                <w:p w14:paraId="19A61C1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noWrap w:val="0"/>
                  <w:vAlign w:val="center"/>
                </w:tcPr>
                <w:p w14:paraId="7E61436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建筑弃渣</w:t>
                  </w:r>
                </w:p>
              </w:tc>
              <w:tc>
                <w:tcPr>
                  <w:tcW w:w="4603" w:type="dxa"/>
                  <w:noWrap w:val="0"/>
                  <w:vAlign w:val="center"/>
                </w:tcPr>
                <w:p w14:paraId="7F84948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施工期具有回收利用价值建筑垃圾的尽可能回收利用，不能回收利用的建筑垃圾运至相关建筑垃圾处理单位综合利用。</w:t>
                  </w:r>
                </w:p>
              </w:tc>
              <w:tc>
                <w:tcPr>
                  <w:tcW w:w="962" w:type="dxa"/>
                  <w:vMerge w:val="continue"/>
                  <w:noWrap w:val="0"/>
                  <w:vAlign w:val="center"/>
                </w:tcPr>
                <w:p w14:paraId="3FC04946">
                  <w:pPr>
                    <w:keepNext w:val="0"/>
                    <w:keepLines w:val="0"/>
                    <w:pageBreakBefore w:val="0"/>
                    <w:widowControl/>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val="en-US" w:eastAsia="zh-CN" w:bidi="ar"/>
                      <w14:textFill>
                        <w14:solidFill>
                          <w14:schemeClr w14:val="tx1"/>
                        </w14:solidFill>
                      </w14:textFill>
                    </w:rPr>
                  </w:pPr>
                </w:p>
              </w:tc>
            </w:tr>
            <w:tr w14:paraId="0470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noWrap w:val="0"/>
                  <w:vAlign w:val="center"/>
                </w:tcPr>
                <w:p w14:paraId="79FDEF6C">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noWrap w:val="0"/>
                  <w:vAlign w:val="center"/>
                </w:tcPr>
                <w:p w14:paraId="48AE55C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noWrap w:val="0"/>
                  <w:vAlign w:val="center"/>
                </w:tcPr>
                <w:p w14:paraId="2036FC4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生活垃圾</w:t>
                  </w:r>
                </w:p>
              </w:tc>
              <w:tc>
                <w:tcPr>
                  <w:tcW w:w="4603" w:type="dxa"/>
                  <w:noWrap w:val="0"/>
                  <w:vAlign w:val="center"/>
                </w:tcPr>
                <w:p w14:paraId="5A2FA6C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设置生活垃圾桶，</w:t>
                  </w:r>
                  <w:r>
                    <w:rPr>
                      <w:rFonts w:hint="default" w:ascii="Times New Roman" w:hAnsi="Times New Roman" w:cs="Times New Roman" w:eastAsiaTheme="minorEastAsia"/>
                      <w:color w:val="000000" w:themeColor="text1"/>
                      <w:sz w:val="21"/>
                      <w:szCs w:val="21"/>
                      <w14:textFill>
                        <w14:solidFill>
                          <w14:schemeClr w14:val="tx1"/>
                        </w14:solidFill>
                      </w14:textFill>
                    </w:rPr>
                    <w:t>生活垃圾集中收集后交由环卫部门统一处理</w:t>
                  </w:r>
                </w:p>
              </w:tc>
              <w:tc>
                <w:tcPr>
                  <w:tcW w:w="962" w:type="dxa"/>
                  <w:noWrap w:val="0"/>
                  <w:vAlign w:val="center"/>
                </w:tcPr>
                <w:p w14:paraId="22467C83">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5</w:t>
                  </w:r>
                </w:p>
              </w:tc>
            </w:tr>
            <w:tr w14:paraId="7F75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02" w:type="dxa"/>
                  <w:vMerge w:val="continue"/>
                  <w:noWrap w:val="0"/>
                  <w:vAlign w:val="center"/>
                </w:tcPr>
                <w:p w14:paraId="011F3D2E">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restart"/>
                  <w:noWrap w:val="0"/>
                  <w:vAlign w:val="center"/>
                </w:tcPr>
                <w:p w14:paraId="67F5B35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生态环境</w:t>
                  </w:r>
                </w:p>
              </w:tc>
              <w:tc>
                <w:tcPr>
                  <w:tcW w:w="1317" w:type="dxa"/>
                  <w:noWrap w:val="0"/>
                  <w:vAlign w:val="center"/>
                </w:tcPr>
                <w:p w14:paraId="36EFF35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水土保持</w:t>
                  </w:r>
                </w:p>
              </w:tc>
              <w:tc>
                <w:tcPr>
                  <w:tcW w:w="4603" w:type="dxa"/>
                  <w:noWrap w:val="0"/>
                  <w:vAlign w:val="center"/>
                </w:tcPr>
                <w:p w14:paraId="7D67BC8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表土剥离、土地整治、草皮护坡、撒播草籽、临时排水沟、临时沉淀池、彩布条苫盖等。</w:t>
                  </w:r>
                </w:p>
              </w:tc>
              <w:tc>
                <w:tcPr>
                  <w:tcW w:w="962" w:type="dxa"/>
                  <w:vMerge w:val="restart"/>
                  <w:noWrap w:val="0"/>
                  <w:vAlign w:val="center"/>
                </w:tcPr>
                <w:p w14:paraId="17676D00">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300</w:t>
                  </w:r>
                </w:p>
              </w:tc>
            </w:tr>
            <w:tr w14:paraId="325B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02" w:type="dxa"/>
                  <w:vMerge w:val="continue"/>
                  <w:noWrap w:val="0"/>
                  <w:vAlign w:val="center"/>
                </w:tcPr>
                <w:p w14:paraId="65D6BE76">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noWrap w:val="0"/>
                  <w:vAlign w:val="center"/>
                </w:tcPr>
                <w:p w14:paraId="6FA4B84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1317" w:type="dxa"/>
                  <w:noWrap w:val="0"/>
                  <w:vAlign w:val="center"/>
                </w:tcPr>
                <w:p w14:paraId="02E9101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绿化</w:t>
                  </w:r>
                </w:p>
              </w:tc>
              <w:tc>
                <w:tcPr>
                  <w:tcW w:w="4603" w:type="dxa"/>
                  <w:noWrap w:val="0"/>
                  <w:vAlign w:val="center"/>
                </w:tcPr>
                <w:p w14:paraId="3353A48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施工结束，恢复人行道、绿化带、行道树</w:t>
                  </w:r>
                </w:p>
              </w:tc>
              <w:tc>
                <w:tcPr>
                  <w:tcW w:w="962" w:type="dxa"/>
                  <w:vMerge w:val="continue"/>
                  <w:noWrap w:val="0"/>
                  <w:vAlign w:val="center"/>
                </w:tcPr>
                <w:p w14:paraId="60E057D3">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pPr>
                </w:p>
              </w:tc>
            </w:tr>
            <w:tr w14:paraId="140D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602" w:type="dxa"/>
                  <w:vMerge w:val="restart"/>
                  <w:noWrap w:val="0"/>
                  <w:vAlign w:val="center"/>
                </w:tcPr>
                <w:p w14:paraId="4B495C16">
                  <w:pPr>
                    <w:keepNext w:val="0"/>
                    <w:keepLines w:val="0"/>
                    <w:pageBreakBefore w:val="0"/>
                    <w:widowControl/>
                    <w:suppressLineNumbers w:val="0"/>
                    <w:spacing w:before="0" w:beforeAutospacing="0" w:after="0" w:afterAutospacing="0" w:line="240" w:lineRule="auto"/>
                    <w:ind w:left="0" w:right="0" w:firstLine="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运营期</w:t>
                  </w:r>
                </w:p>
              </w:tc>
              <w:tc>
                <w:tcPr>
                  <w:tcW w:w="661" w:type="dxa"/>
                  <w:noWrap w:val="0"/>
                  <w:vAlign w:val="center"/>
                </w:tcPr>
                <w:p w14:paraId="71F9CD7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噪声</w:t>
                  </w:r>
                </w:p>
              </w:tc>
              <w:tc>
                <w:tcPr>
                  <w:tcW w:w="1317" w:type="dxa"/>
                  <w:noWrap w:val="0"/>
                  <w:vAlign w:val="center"/>
                </w:tcPr>
                <w:p w14:paraId="4C2D486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4603" w:type="dxa"/>
                  <w:noWrap w:val="0"/>
                  <w:vAlign w:val="center"/>
                </w:tcPr>
                <w:p w14:paraId="6DE0AA5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泵房设置在地下层内，墙壁采用隔声材料，设备优先选用低噪声设备，基础减震、加强机电设备修及保养等措施。</w:t>
                  </w:r>
                </w:p>
              </w:tc>
              <w:tc>
                <w:tcPr>
                  <w:tcW w:w="962" w:type="dxa"/>
                  <w:noWrap w:val="0"/>
                  <w:vAlign w:val="center"/>
                </w:tcPr>
                <w:p w14:paraId="6EBFF4C2">
                  <w:pPr>
                    <w:keepNext w:val="0"/>
                    <w:keepLines w:val="0"/>
                    <w:pageBreakBefore w:val="0"/>
                    <w:widowControl/>
                    <w:suppressLineNumbers w:val="0"/>
                    <w:spacing w:before="0" w:beforeAutospacing="0" w:after="0" w:afterAutospacing="0" w:line="240" w:lineRule="auto"/>
                    <w:ind w:left="0" w:right="0" w:firstLine="0"/>
                    <w:jc w:val="center"/>
                    <w:rPr>
                      <w:rFonts w:hint="eastAsia" w:ascii="Times New Roman" w:hAnsi="Times New Roman"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w:t>
                  </w:r>
                </w:p>
              </w:tc>
            </w:tr>
            <w:tr w14:paraId="2A56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02" w:type="dxa"/>
                  <w:vMerge w:val="continue"/>
                  <w:noWrap w:val="0"/>
                  <w:vAlign w:val="center"/>
                </w:tcPr>
                <w:p w14:paraId="16921ABC">
                  <w:pPr>
                    <w:keepNext w:val="0"/>
                    <w:keepLines w:val="0"/>
                    <w:pageBreakBefore w:val="0"/>
                    <w:widowControl/>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eastAsia="zh-CN"/>
                      <w14:textFill>
                        <w14:solidFill>
                          <w14:schemeClr w14:val="tx1"/>
                        </w14:solidFill>
                      </w14:textFill>
                    </w:rPr>
                  </w:pPr>
                </w:p>
              </w:tc>
              <w:tc>
                <w:tcPr>
                  <w:tcW w:w="661" w:type="dxa"/>
                  <w:vMerge w:val="restart"/>
                  <w:noWrap w:val="0"/>
                  <w:vAlign w:val="center"/>
                </w:tcPr>
                <w:p w14:paraId="431EA303">
                  <w:pPr>
                    <w:keepNext w:val="0"/>
                    <w:keepLines w:val="0"/>
                    <w:pageBreakBefore w:val="0"/>
                    <w:suppressLineNumbers w:val="0"/>
                    <w:spacing w:before="0" w:beforeAutospacing="0" w:after="0" w:afterAutospacing="0" w:line="240" w:lineRule="auto"/>
                    <w:ind w:left="0" w:right="0" w:firstLine="0"/>
                    <w:jc w:val="center"/>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固废</w:t>
                  </w:r>
                </w:p>
              </w:tc>
              <w:tc>
                <w:tcPr>
                  <w:tcW w:w="1317" w:type="dxa"/>
                  <w:noWrap w:val="0"/>
                  <w:vAlign w:val="center"/>
                </w:tcPr>
                <w:p w14:paraId="44820AAE">
                  <w:pPr>
                    <w:keepNext w:val="0"/>
                    <w:keepLines w:val="0"/>
                    <w:pageBreakBefore w:val="0"/>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w:t>
                  </w:r>
                </w:p>
              </w:tc>
              <w:tc>
                <w:tcPr>
                  <w:tcW w:w="4603" w:type="dxa"/>
                  <w:noWrap w:val="0"/>
                  <w:vAlign w:val="center"/>
                </w:tcPr>
                <w:p w14:paraId="5A5B6075">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泵站、闸门检修产生的废矿物油及沾染物</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委托有资质单位处置</w:t>
                  </w:r>
                </w:p>
              </w:tc>
              <w:tc>
                <w:tcPr>
                  <w:tcW w:w="962" w:type="dxa"/>
                  <w:vMerge w:val="restart"/>
                  <w:noWrap w:val="0"/>
                  <w:vAlign w:val="center"/>
                </w:tcPr>
                <w:p w14:paraId="23618C67">
                  <w:pPr>
                    <w:keepNext w:val="0"/>
                    <w:keepLines w:val="0"/>
                    <w:pageBreakBefore w:val="0"/>
                    <w:widowControl/>
                    <w:suppressLineNumbers w:val="0"/>
                    <w:spacing w:before="0" w:beforeAutospacing="0" w:after="0" w:afterAutospacing="0" w:line="240" w:lineRule="auto"/>
                    <w:ind w:left="0" w:right="0" w:firstLine="0"/>
                    <w:jc w:val="center"/>
                    <w:rPr>
                      <w:rFonts w:hint="default" w:cs="Times New Roman" w:eastAsiaTheme="minorEastAsia"/>
                      <w:color w:val="000000" w:themeColor="text1"/>
                      <w:sz w:val="21"/>
                      <w:szCs w:val="21"/>
                      <w:lang w:val="en-US" w:eastAsia="zh-CN"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w:t>
                  </w:r>
                </w:p>
              </w:tc>
            </w:tr>
            <w:tr w14:paraId="5973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02" w:type="dxa"/>
                  <w:vMerge w:val="continue"/>
                  <w:noWrap w:val="0"/>
                  <w:vAlign w:val="center"/>
                </w:tcPr>
                <w:p w14:paraId="7B0A0A82">
                  <w:pPr>
                    <w:keepNext w:val="0"/>
                    <w:keepLines w:val="0"/>
                    <w:pageBreakBefore w:val="0"/>
                    <w:suppressLineNumbers w:val="0"/>
                    <w:spacing w:before="0" w:beforeAutospacing="0" w:after="0" w:afterAutospacing="0" w:line="240" w:lineRule="auto"/>
                    <w:ind w:left="0" w:right="0" w:firstLine="0"/>
                    <w:jc w:val="center"/>
                    <w:rPr>
                      <w:rFonts w:hint="default"/>
                      <w:color w:val="000000" w:themeColor="text1"/>
                      <w14:textFill>
                        <w14:solidFill>
                          <w14:schemeClr w14:val="tx1"/>
                        </w14:solidFill>
                      </w14:textFill>
                    </w:rPr>
                  </w:pPr>
                </w:p>
              </w:tc>
              <w:tc>
                <w:tcPr>
                  <w:tcW w:w="661" w:type="dxa"/>
                  <w:vMerge w:val="continue"/>
                  <w:noWrap w:val="0"/>
                  <w:vAlign w:val="center"/>
                </w:tcPr>
                <w:p w14:paraId="12567B5B">
                  <w:pPr>
                    <w:keepNext w:val="0"/>
                    <w:keepLines w:val="0"/>
                    <w:pageBreakBefore w:val="0"/>
                    <w:suppressLineNumbers w:val="0"/>
                    <w:spacing w:before="0" w:beforeAutospacing="0" w:after="0" w:afterAutospacing="0" w:line="240" w:lineRule="auto"/>
                    <w:ind w:left="0" w:right="0" w:firstLine="0"/>
                    <w:jc w:val="center"/>
                    <w:rPr>
                      <w:rFonts w:hint="default"/>
                      <w:color w:val="000000" w:themeColor="text1"/>
                      <w14:textFill>
                        <w14:solidFill>
                          <w14:schemeClr w14:val="tx1"/>
                        </w14:solidFill>
                      </w14:textFill>
                    </w:rPr>
                  </w:pPr>
                </w:p>
              </w:tc>
              <w:tc>
                <w:tcPr>
                  <w:tcW w:w="1317" w:type="dxa"/>
                  <w:noWrap w:val="0"/>
                  <w:vAlign w:val="center"/>
                </w:tcPr>
                <w:p w14:paraId="53BADD83">
                  <w:pPr>
                    <w:keepNext w:val="0"/>
                    <w:keepLines w:val="0"/>
                    <w:pageBreakBefore w:val="0"/>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排洪渠泥沙</w:t>
                  </w:r>
                </w:p>
              </w:tc>
              <w:tc>
                <w:tcPr>
                  <w:tcW w:w="4603" w:type="dxa"/>
                  <w:noWrap w:val="0"/>
                  <w:vAlign w:val="center"/>
                </w:tcPr>
                <w:p w14:paraId="480D9CF3">
                  <w:pPr>
                    <w:keepNext w:val="0"/>
                    <w:keepLines w:val="0"/>
                    <w:pageBreakBefore w:val="0"/>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排洪渠产生的植物枯叶及沙土建设单位不定期清理至建筑垃圾填埋场</w:t>
                  </w:r>
                </w:p>
              </w:tc>
              <w:tc>
                <w:tcPr>
                  <w:tcW w:w="962" w:type="dxa"/>
                  <w:vMerge w:val="continue"/>
                  <w:noWrap w:val="0"/>
                  <w:vAlign w:val="center"/>
                </w:tcPr>
                <w:p w14:paraId="5D9AE532">
                  <w:pPr>
                    <w:keepNext w:val="0"/>
                    <w:keepLines w:val="0"/>
                    <w:pageBreakBefore w:val="0"/>
                    <w:suppressLineNumbers w:val="0"/>
                    <w:spacing w:before="0" w:beforeAutospacing="0" w:after="0" w:afterAutospacing="0" w:line="240" w:lineRule="auto"/>
                    <w:ind w:left="0" w:right="0" w:firstLine="0"/>
                    <w:jc w:val="center"/>
                    <w:rPr>
                      <w:rFonts w:hint="eastAsia" w:cs="Times New Roman" w:eastAsiaTheme="minorEastAsia"/>
                      <w:color w:val="000000" w:themeColor="text1"/>
                      <w:sz w:val="21"/>
                      <w:szCs w:val="21"/>
                      <w:lang w:val="en-US" w:eastAsia="zh-CN"/>
                      <w14:textFill>
                        <w14:solidFill>
                          <w14:schemeClr w14:val="tx1"/>
                        </w14:solidFill>
                      </w14:textFill>
                    </w:rPr>
                  </w:pPr>
                </w:p>
              </w:tc>
            </w:tr>
            <w:tr w14:paraId="719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dxa"/>
                  <w:gridSpan w:val="3"/>
                  <w:noWrap w:val="0"/>
                  <w:vAlign w:val="center"/>
                </w:tcPr>
                <w:p w14:paraId="7678C0D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合计</w:t>
                  </w:r>
                </w:p>
              </w:tc>
              <w:tc>
                <w:tcPr>
                  <w:tcW w:w="4603" w:type="dxa"/>
                  <w:noWrap w:val="0"/>
                  <w:vAlign w:val="center"/>
                </w:tcPr>
                <w:p w14:paraId="6AA993A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962" w:type="dxa"/>
                  <w:noWrap w:val="0"/>
                  <w:vAlign w:val="center"/>
                </w:tcPr>
                <w:p w14:paraId="24B7F24A">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bidi="ar"/>
                      <w14:textFill>
                        <w14:solidFill>
                          <w14:schemeClr w14:val="tx1"/>
                        </w14:solidFill>
                      </w14:textFill>
                    </w:rPr>
                  </w:pPr>
                  <w:r>
                    <w:rPr>
                      <w:rFonts w:hint="eastAsia" w:cs="Times New Roman" w:eastAsiaTheme="minorEastAsia"/>
                      <w:color w:val="000000" w:themeColor="text1"/>
                      <w:sz w:val="21"/>
                      <w:szCs w:val="21"/>
                      <w:lang w:val="en-US" w:eastAsia="zh-CN" w:bidi="ar"/>
                      <w14:textFill>
                        <w14:solidFill>
                          <w14:schemeClr w14:val="tx1"/>
                        </w14:solidFill>
                      </w14:textFill>
                    </w:rPr>
                    <w:t>490</w:t>
                  </w:r>
                </w:p>
              </w:tc>
            </w:tr>
          </w:tbl>
          <w:p w14:paraId="56F6CC5B">
            <w:pPr>
              <w:keepNext w:val="0"/>
              <w:keepLines w:val="0"/>
              <w:pageBreakBefore w:val="0"/>
              <w:widowControl w:val="0"/>
              <w:suppressLineNumbers w:val="0"/>
              <w:spacing w:before="0" w:beforeAutospacing="0" w:after="0" w:afterAutospacing="0" w:line="360" w:lineRule="auto"/>
              <w:ind w:left="0" w:right="0" w:firstLine="0"/>
              <w:jc w:val="both"/>
              <w:rPr>
                <w:rFonts w:hint="default" w:ascii="Times New Roman" w:hAnsi="Times New Roman" w:cs="Times New Roman" w:eastAsiaTheme="minorEastAsia"/>
                <w:color w:val="000000" w:themeColor="text1"/>
                <w:sz w:val="21"/>
                <w:szCs w:val="22"/>
                <w:lang w:val="en-US" w:eastAsia="zh-CN" w:bidi="ar-SA"/>
                <w14:textFill>
                  <w14:solidFill>
                    <w14:schemeClr w14:val="tx1"/>
                  </w14:solidFill>
                </w14:textFill>
              </w:rPr>
            </w:pPr>
          </w:p>
          <w:p w14:paraId="00E3DC45">
            <w:pPr>
              <w:keepNext w:val="0"/>
              <w:keepLines w:val="0"/>
              <w:pageBreakBefore w:val="0"/>
              <w:widowControl w:val="0"/>
              <w:suppressLineNumbers w:val="0"/>
              <w:spacing w:before="0" w:beforeAutospacing="0" w:after="0" w:afterAutospacing="0" w:line="360" w:lineRule="auto"/>
              <w:ind w:left="0" w:right="0" w:firstLine="0"/>
              <w:jc w:val="both"/>
              <w:rPr>
                <w:rFonts w:hint="default" w:ascii="Times New Roman" w:hAnsi="Times New Roman" w:cs="Times New Roman" w:eastAsiaTheme="minorEastAsia"/>
                <w:color w:val="000000" w:themeColor="text1"/>
                <w:sz w:val="21"/>
                <w:szCs w:val="22"/>
                <w:lang w:val="en-US" w:eastAsia="zh-CN" w:bidi="ar-SA"/>
                <w14:textFill>
                  <w14:solidFill>
                    <w14:schemeClr w14:val="tx1"/>
                  </w14:solidFill>
                </w14:textFill>
              </w:rPr>
            </w:pPr>
          </w:p>
        </w:tc>
      </w:tr>
    </w:tbl>
    <w:p w14:paraId="32BBC78F">
      <w:pPr>
        <w:pageBreakBefore w:val="0"/>
        <w:spacing w:beforeAutospacing="0" w:afterAutospacing="0" w:line="360" w:lineRule="auto"/>
        <w:ind w:left="0" w:right="0"/>
        <w:rPr>
          <w:rFonts w:hint="default" w:ascii="Times New Roman" w:hAnsi="Times New Roman" w:cs="Times New Roman" w:eastAsiaTheme="minorEastAsia"/>
          <w:color w:val="000000" w:themeColor="text1"/>
          <w14:textFill>
            <w14:solidFill>
              <w14:schemeClr w14:val="tx1"/>
            </w14:solidFill>
          </w14:textFill>
        </w:rPr>
        <w:sectPr>
          <w:pgSz w:w="11907" w:h="16840" w:orient="landscape"/>
          <w:pgMar w:top="1417" w:right="1417" w:bottom="1417" w:left="1417" w:header="851" w:footer="1077" w:gutter="0"/>
          <w:cols w:space="0" w:num="1"/>
        </w:sectPr>
      </w:pPr>
    </w:p>
    <w:p w14:paraId="74F32B29">
      <w:pPr>
        <w:keepNext w:val="0"/>
        <w:keepLines w:val="0"/>
        <w:pageBreakBefore w:val="0"/>
        <w:widowControl/>
        <w:spacing w:before="313" w:beforeAutospacing="0" w:after="313" w:afterAutospacing="0" w:line="360" w:lineRule="auto"/>
        <w:ind w:left="0" w:right="0" w:firstLine="602"/>
        <w:jc w:val="center"/>
        <w:outlineLvl w:val="0"/>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30"/>
          <w:szCs w:val="30"/>
          <w:lang w:val="en-US" w:eastAsia="zh-CN" w:bidi="ar-SA"/>
          <w14:textFill>
            <w14:solidFill>
              <w14:schemeClr w14:val="tx1"/>
            </w14:solidFill>
          </w14:textFill>
        </w:rPr>
        <w:t>六、生态环境保护措施监督检查清单</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232"/>
        <w:gridCol w:w="1750"/>
        <w:gridCol w:w="1706"/>
        <w:gridCol w:w="1069"/>
      </w:tblGrid>
      <w:tr w14:paraId="05A07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vMerge w:val="restart"/>
            <w:noWrap w:val="0"/>
            <w:tcMar>
              <w:top w:w="0" w:type="dxa"/>
              <w:left w:w="0" w:type="dxa"/>
              <w:bottom w:w="0" w:type="dxa"/>
              <w:right w:w="0" w:type="dxa"/>
            </w:tcMar>
            <w:vAlign w:val="center"/>
          </w:tcPr>
          <w:p w14:paraId="64204D31">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1270</wp:posOffset>
                      </wp:positionV>
                      <wp:extent cx="895350" cy="461010"/>
                      <wp:effectExtent l="3175" t="5715" r="15875" b="9525"/>
                      <wp:wrapNone/>
                      <wp:docPr id="41" name="直接连接符 1"/>
                      <wp:cNvGraphicFramePr/>
                      <a:graphic xmlns:a="http://schemas.openxmlformats.org/drawingml/2006/main">
                        <a:graphicData uri="http://schemas.microsoft.com/office/word/2010/wordprocessingShape">
                          <wps:wsp>
                            <wps:cNvCnPr/>
                            <wps:spPr bwMode="auto">
                              <a:xfrm>
                                <a:off x="903605" y="1671955"/>
                                <a:ext cx="895350" cy="4610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rot="0">
                              <a:noAutofit/>
                            </wps:bodyPr>
                          </wps:wsp>
                        </a:graphicData>
                      </a:graphic>
                    </wp:anchor>
                  </w:drawing>
                </mc:Choice>
                <mc:Fallback>
                  <w:pict>
                    <v:line id="直接连接符 1" o:spid="_x0000_s1026" o:spt="20" style="position:absolute;left:0pt;margin-left:-1.95pt;margin-top:0.1pt;height:36.3pt;width:70.5pt;z-index:251660288;mso-width-relative:page;mso-height-relative:page;" filled="f" stroked="t" coordsize="21600,21600" o:gfxdata="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2WyPvWAAAABgEAAA8AAAAAAAAAAQAgAAAA&#10;IgAAAGRycy9kb3ducmV2LnhtbFBLAQIUABQAAAAIAIdO4kDgOKIXDQIAAPIDAAAOAAAAAAAAAAEA&#10;IAAAACUBAABkcnMvZTJvRG9jLnhtbFBLBQYAAAAABgAGAFkBAACkBQAAAAA=&#10;">
                      <v:fill on="f" focussize="0,0"/>
                      <v:stroke weight="1pt" color="#000000 [3213]" miterlimit="8" joinstyle="miter"/>
                      <v:imagedata o:title=""/>
                      <o:lock v:ext="edit" aspectratio="f"/>
                    </v:line>
                  </w:pict>
                </mc:Fallback>
              </mc:AlternateContent>
            </w: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内容</w:t>
            </w:r>
          </w:p>
          <w:p w14:paraId="39C60C76">
            <w:pPr>
              <w:keepNext w:val="0"/>
              <w:keepLines w:val="0"/>
              <w:pageBreakBefore w:val="0"/>
              <w:widowControl/>
              <w:suppressLineNumbers w:val="0"/>
              <w:spacing w:before="0" w:beforeAutospacing="0" w:after="0" w:afterAutospacing="0" w:line="240" w:lineRule="auto"/>
              <w:ind w:left="0" w:right="0" w:firstLine="0"/>
              <w:jc w:val="both"/>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要素</w:t>
            </w:r>
          </w:p>
        </w:tc>
        <w:tc>
          <w:tcPr>
            <w:tcW w:w="4499" w:type="dxa"/>
            <w:gridSpan w:val="2"/>
            <w:noWrap w:val="0"/>
            <w:tcMar>
              <w:top w:w="0" w:type="dxa"/>
              <w:left w:w="0" w:type="dxa"/>
              <w:bottom w:w="0" w:type="dxa"/>
              <w:right w:w="0" w:type="dxa"/>
            </w:tcMar>
            <w:vAlign w:val="center"/>
          </w:tcPr>
          <w:p w14:paraId="645431D1">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施工期</w:t>
            </w:r>
          </w:p>
        </w:tc>
        <w:tc>
          <w:tcPr>
            <w:tcW w:w="2506" w:type="dxa"/>
            <w:gridSpan w:val="2"/>
            <w:noWrap w:val="0"/>
            <w:tcMar>
              <w:top w:w="0" w:type="dxa"/>
              <w:left w:w="0" w:type="dxa"/>
              <w:bottom w:w="0" w:type="dxa"/>
              <w:right w:w="0" w:type="dxa"/>
            </w:tcMar>
            <w:vAlign w:val="center"/>
          </w:tcPr>
          <w:p w14:paraId="045520E1">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运营期</w:t>
            </w:r>
          </w:p>
        </w:tc>
      </w:tr>
      <w:tr w14:paraId="5BA82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vMerge w:val="continue"/>
            <w:noWrap w:val="0"/>
            <w:tcMar>
              <w:top w:w="0" w:type="dxa"/>
              <w:left w:w="0" w:type="dxa"/>
              <w:bottom w:w="0" w:type="dxa"/>
              <w:right w:w="0" w:type="dxa"/>
            </w:tcMar>
            <w:vAlign w:val="center"/>
          </w:tcPr>
          <w:p w14:paraId="331F4725">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2919" w:type="dxa"/>
            <w:noWrap w:val="0"/>
            <w:tcMar>
              <w:top w:w="0" w:type="dxa"/>
              <w:left w:w="0" w:type="dxa"/>
              <w:bottom w:w="0" w:type="dxa"/>
              <w:right w:w="0" w:type="dxa"/>
            </w:tcMar>
            <w:vAlign w:val="center"/>
          </w:tcPr>
          <w:p w14:paraId="49F2B995">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环境保护措施</w:t>
            </w:r>
          </w:p>
        </w:tc>
        <w:tc>
          <w:tcPr>
            <w:tcW w:w="1580" w:type="dxa"/>
            <w:noWrap w:val="0"/>
            <w:tcMar>
              <w:top w:w="0" w:type="dxa"/>
              <w:left w:w="0" w:type="dxa"/>
              <w:bottom w:w="0" w:type="dxa"/>
              <w:right w:w="0" w:type="dxa"/>
            </w:tcMar>
            <w:vAlign w:val="center"/>
          </w:tcPr>
          <w:p w14:paraId="23D61750">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验收要求</w:t>
            </w:r>
          </w:p>
        </w:tc>
        <w:tc>
          <w:tcPr>
            <w:tcW w:w="1541" w:type="dxa"/>
            <w:noWrap w:val="0"/>
            <w:tcMar>
              <w:top w:w="0" w:type="dxa"/>
              <w:left w:w="0" w:type="dxa"/>
              <w:bottom w:w="0" w:type="dxa"/>
              <w:right w:w="0" w:type="dxa"/>
            </w:tcMar>
            <w:vAlign w:val="center"/>
          </w:tcPr>
          <w:p w14:paraId="338CF9FF">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环境保护措施</w:t>
            </w:r>
          </w:p>
        </w:tc>
        <w:tc>
          <w:tcPr>
            <w:tcW w:w="965" w:type="dxa"/>
            <w:noWrap w:val="0"/>
            <w:tcMar>
              <w:top w:w="0" w:type="dxa"/>
              <w:left w:w="0" w:type="dxa"/>
              <w:bottom w:w="0" w:type="dxa"/>
              <w:right w:w="0" w:type="dxa"/>
            </w:tcMar>
            <w:vAlign w:val="center"/>
          </w:tcPr>
          <w:p w14:paraId="59E07F66">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21"/>
                <w:szCs w:val="21"/>
                <w:lang w:val="en-US" w:eastAsia="zh-CN" w:bidi="ar-SA"/>
                <w14:textFill>
                  <w14:solidFill>
                    <w14:schemeClr w14:val="tx1"/>
                  </w14:solidFill>
                </w14:textFill>
              </w:rPr>
              <w:t>验收要求</w:t>
            </w:r>
          </w:p>
        </w:tc>
      </w:tr>
      <w:tr w14:paraId="69E72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03DA79D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陆生生态</w:t>
            </w:r>
          </w:p>
        </w:tc>
        <w:tc>
          <w:tcPr>
            <w:tcW w:w="2919" w:type="dxa"/>
            <w:noWrap w:val="0"/>
            <w:tcMar>
              <w:top w:w="0" w:type="dxa"/>
              <w:left w:w="0" w:type="dxa"/>
              <w:bottom w:w="0" w:type="dxa"/>
              <w:right w:w="0" w:type="dxa"/>
            </w:tcMar>
            <w:vAlign w:val="center"/>
          </w:tcPr>
          <w:p w14:paraId="1EBDADAF">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①加强施工人员的生态保护培训，严禁乱砍滥伐。</w:t>
            </w:r>
          </w:p>
          <w:p w14:paraId="091511C2">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②合理规划施工布局，尽量少占耕地，施工场区选择在植被少、距离区域道路较近的场地；</w:t>
            </w:r>
          </w:p>
          <w:p w14:paraId="6683F91C">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③施工结束时，及时恢复临时占地范围的土地使用功能；</w:t>
            </w:r>
          </w:p>
          <w:p w14:paraId="698689B0">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④</w:t>
            </w:r>
            <w:r>
              <w:rPr>
                <w:rFonts w:hint="default" w:ascii="Times New Roman" w:hAnsi="Times New Roman" w:cs="Times New Roman" w:eastAsiaTheme="minorEastAsia"/>
                <w:color w:val="000000" w:themeColor="text1"/>
                <w:sz w:val="21"/>
                <w:szCs w:val="21"/>
                <w14:textFill>
                  <w14:solidFill>
                    <w14:schemeClr w14:val="tx1"/>
                  </w14:solidFill>
                </w14:textFill>
              </w:rPr>
              <w:t>明确施工建筑红线，严禁跨越红线施工</w:t>
            </w:r>
          </w:p>
        </w:tc>
        <w:tc>
          <w:tcPr>
            <w:tcW w:w="1580" w:type="dxa"/>
            <w:noWrap w:val="0"/>
            <w:tcMar>
              <w:top w:w="0" w:type="dxa"/>
              <w:left w:w="0" w:type="dxa"/>
              <w:bottom w:w="0" w:type="dxa"/>
              <w:right w:w="0" w:type="dxa"/>
            </w:tcMar>
            <w:vAlign w:val="center"/>
          </w:tcPr>
          <w:p w14:paraId="643066C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保护陆生生态环境质量不改变</w:t>
            </w:r>
          </w:p>
        </w:tc>
        <w:tc>
          <w:tcPr>
            <w:tcW w:w="1541" w:type="dxa"/>
            <w:noWrap w:val="0"/>
            <w:tcMar>
              <w:top w:w="0" w:type="dxa"/>
              <w:left w:w="0" w:type="dxa"/>
              <w:bottom w:w="0" w:type="dxa"/>
              <w:right w:w="0" w:type="dxa"/>
            </w:tcMar>
            <w:vAlign w:val="center"/>
          </w:tcPr>
          <w:p w14:paraId="3A7C1D3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65" w:type="dxa"/>
            <w:noWrap w:val="0"/>
            <w:tcMar>
              <w:top w:w="0" w:type="dxa"/>
              <w:left w:w="0" w:type="dxa"/>
              <w:bottom w:w="0" w:type="dxa"/>
              <w:right w:w="0" w:type="dxa"/>
            </w:tcMar>
            <w:vAlign w:val="center"/>
          </w:tcPr>
          <w:p w14:paraId="60B3DE5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0F7D0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44007C0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水生生态</w:t>
            </w:r>
          </w:p>
        </w:tc>
        <w:tc>
          <w:tcPr>
            <w:tcW w:w="2919" w:type="dxa"/>
            <w:noWrap w:val="0"/>
            <w:tcMar>
              <w:top w:w="0" w:type="dxa"/>
              <w:left w:w="0" w:type="dxa"/>
              <w:bottom w:w="0" w:type="dxa"/>
              <w:right w:w="0" w:type="dxa"/>
            </w:tcMar>
            <w:vAlign w:val="center"/>
          </w:tcPr>
          <w:p w14:paraId="09F41858">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①加强对施工人员自然保护教育；</w:t>
            </w:r>
          </w:p>
          <w:p w14:paraId="7F2DC36C">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②施工前必须对可能影响到的河段进行认真调查；</w:t>
            </w:r>
          </w:p>
          <w:p w14:paraId="4286231F">
            <w:pPr>
              <w:keepNext w:val="0"/>
              <w:keepLines w:val="0"/>
              <w:pageBreakBefore w:val="0"/>
              <w:suppressLineNumbers w:val="0"/>
              <w:spacing w:before="0" w:beforeAutospacing="0" w:after="0" w:afterAutospacing="0" w:line="240" w:lineRule="auto"/>
              <w:ind w:left="0" w:right="0" w:firstLine="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③加强施工期“三废”的管理；</w:t>
            </w:r>
          </w:p>
        </w:tc>
        <w:tc>
          <w:tcPr>
            <w:tcW w:w="1580" w:type="dxa"/>
            <w:noWrap w:val="0"/>
            <w:tcMar>
              <w:top w:w="0" w:type="dxa"/>
              <w:left w:w="0" w:type="dxa"/>
              <w:bottom w:w="0" w:type="dxa"/>
              <w:right w:w="0" w:type="dxa"/>
            </w:tcMar>
            <w:vAlign w:val="center"/>
          </w:tcPr>
          <w:p w14:paraId="3C98618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减轻对水生环境的影响</w:t>
            </w:r>
          </w:p>
        </w:tc>
        <w:tc>
          <w:tcPr>
            <w:tcW w:w="1541" w:type="dxa"/>
            <w:noWrap w:val="0"/>
            <w:tcMar>
              <w:top w:w="0" w:type="dxa"/>
              <w:left w:w="0" w:type="dxa"/>
              <w:bottom w:w="0" w:type="dxa"/>
              <w:right w:w="0" w:type="dxa"/>
            </w:tcMar>
            <w:vAlign w:val="center"/>
          </w:tcPr>
          <w:p w14:paraId="1881676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4BB40DA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保护水生生态环境质量有所改善</w:t>
            </w:r>
          </w:p>
        </w:tc>
      </w:tr>
      <w:tr w14:paraId="604D8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2039000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地表水环境</w:t>
            </w:r>
          </w:p>
        </w:tc>
        <w:tc>
          <w:tcPr>
            <w:tcW w:w="2919" w:type="dxa"/>
            <w:noWrap w:val="0"/>
            <w:tcMar>
              <w:top w:w="0" w:type="dxa"/>
              <w:left w:w="0" w:type="dxa"/>
              <w:bottom w:w="0" w:type="dxa"/>
              <w:right w:w="0" w:type="dxa"/>
            </w:tcMar>
            <w:vAlign w:val="center"/>
          </w:tcPr>
          <w:p w14:paraId="2F5DDD9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施工废水经沉淀处理后用于施工场地和道路洒水降尘；</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围堰及基坑废水经沉淀后回用，不外排。</w:t>
            </w:r>
          </w:p>
          <w:p w14:paraId="64A719F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施工期施工人员依托周边村庄居住，不设生活营地</w:t>
            </w:r>
          </w:p>
        </w:tc>
        <w:tc>
          <w:tcPr>
            <w:tcW w:w="1580" w:type="dxa"/>
            <w:noWrap w:val="0"/>
            <w:tcMar>
              <w:top w:w="0" w:type="dxa"/>
              <w:left w:w="0" w:type="dxa"/>
              <w:bottom w:w="0" w:type="dxa"/>
              <w:right w:w="0" w:type="dxa"/>
            </w:tcMar>
            <w:vAlign w:val="center"/>
          </w:tcPr>
          <w:p w14:paraId="5839224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废水不外排</w:t>
            </w:r>
          </w:p>
        </w:tc>
        <w:tc>
          <w:tcPr>
            <w:tcW w:w="1541" w:type="dxa"/>
            <w:noWrap w:val="0"/>
            <w:tcMar>
              <w:top w:w="0" w:type="dxa"/>
              <w:left w:w="0" w:type="dxa"/>
              <w:bottom w:w="0" w:type="dxa"/>
              <w:right w:w="0" w:type="dxa"/>
            </w:tcMar>
            <w:vAlign w:val="center"/>
          </w:tcPr>
          <w:p w14:paraId="3F491C8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59A5C86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2E628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0F71DAE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地下水及土壤环境</w:t>
            </w:r>
          </w:p>
        </w:tc>
        <w:tc>
          <w:tcPr>
            <w:tcW w:w="2919" w:type="dxa"/>
            <w:noWrap w:val="0"/>
            <w:tcMar>
              <w:top w:w="0" w:type="dxa"/>
              <w:left w:w="0" w:type="dxa"/>
              <w:bottom w:w="0" w:type="dxa"/>
              <w:right w:w="0" w:type="dxa"/>
            </w:tcMar>
            <w:vAlign w:val="center"/>
          </w:tcPr>
          <w:p w14:paraId="1896994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noWrap w:val="0"/>
            <w:tcMar>
              <w:top w:w="0" w:type="dxa"/>
              <w:left w:w="0" w:type="dxa"/>
              <w:bottom w:w="0" w:type="dxa"/>
              <w:right w:w="0" w:type="dxa"/>
            </w:tcMar>
            <w:vAlign w:val="center"/>
          </w:tcPr>
          <w:p w14:paraId="22A017A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noWrap w:val="0"/>
            <w:tcMar>
              <w:top w:w="0" w:type="dxa"/>
              <w:left w:w="0" w:type="dxa"/>
              <w:bottom w:w="0" w:type="dxa"/>
              <w:right w:w="0" w:type="dxa"/>
            </w:tcMar>
            <w:vAlign w:val="center"/>
          </w:tcPr>
          <w:p w14:paraId="2B36324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20FA079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51407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2D8DCB7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声环境</w:t>
            </w:r>
          </w:p>
        </w:tc>
        <w:tc>
          <w:tcPr>
            <w:tcW w:w="2919" w:type="dxa"/>
            <w:noWrap w:val="0"/>
            <w:tcMar>
              <w:top w:w="0" w:type="dxa"/>
              <w:left w:w="0" w:type="dxa"/>
              <w:bottom w:w="0" w:type="dxa"/>
              <w:right w:w="0" w:type="dxa"/>
            </w:tcMar>
            <w:vAlign w:val="center"/>
          </w:tcPr>
          <w:p w14:paraId="4843EB3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合理安排施工作业时间，采用先进的施工设备，对高噪设备加装减震垫</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，设立专人对设备进行定期保养和维护；在居民点附近施工需采取设置隔声屏障、加强施工管理等相关的降噪措施。</w:t>
            </w:r>
          </w:p>
        </w:tc>
        <w:tc>
          <w:tcPr>
            <w:tcW w:w="1580" w:type="dxa"/>
            <w:noWrap w:val="0"/>
            <w:tcMar>
              <w:top w:w="0" w:type="dxa"/>
              <w:left w:w="0" w:type="dxa"/>
              <w:bottom w:w="0" w:type="dxa"/>
              <w:right w:w="0" w:type="dxa"/>
            </w:tcMar>
            <w:vAlign w:val="center"/>
          </w:tcPr>
          <w:p w14:paraId="09A4170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《建筑施工场界环境噪声排放标准》（GB</w:t>
            </w:r>
            <w:r>
              <w:rPr>
                <w:rFonts w:hint="eastAsia" w:cs="Times New Roman" w:eastAsiaTheme="minorEastAsia"/>
                <w:color w:val="000000" w:themeColor="text1"/>
                <w:sz w:val="21"/>
                <w:szCs w:val="21"/>
                <w:lang w:eastAsia="zh-CN"/>
                <w14:textFill>
                  <w14:solidFill>
                    <w14:schemeClr w14:val="tx1"/>
                  </w14:solidFill>
                </w14:textFill>
              </w:rPr>
              <w:t>12523-2025</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noWrap w:val="0"/>
            <w:tcMar>
              <w:top w:w="0" w:type="dxa"/>
              <w:left w:w="0" w:type="dxa"/>
              <w:bottom w:w="0" w:type="dxa"/>
              <w:right w:w="0" w:type="dxa"/>
            </w:tcMar>
            <w:vAlign w:val="center"/>
          </w:tcPr>
          <w:p w14:paraId="6ED8372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泵房设置在地下层内，墙壁采用隔声材料，设备优先选用低噪声设备，基础减震、加强机电设备修及保养等措施。</w:t>
            </w:r>
          </w:p>
        </w:tc>
        <w:tc>
          <w:tcPr>
            <w:tcW w:w="965" w:type="dxa"/>
            <w:noWrap w:val="0"/>
            <w:tcMar>
              <w:top w:w="0" w:type="dxa"/>
              <w:left w:w="0" w:type="dxa"/>
              <w:bottom w:w="0" w:type="dxa"/>
              <w:right w:w="0" w:type="dxa"/>
            </w:tcMar>
            <w:vAlign w:val="center"/>
          </w:tcPr>
          <w:p w14:paraId="7DAAC86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《工业企业厂界环境噪声排放标准》（GB12348-2008）2类标准</w:t>
            </w:r>
          </w:p>
        </w:tc>
      </w:tr>
      <w:tr w14:paraId="3B4B5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25B602F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振动</w:t>
            </w:r>
          </w:p>
        </w:tc>
        <w:tc>
          <w:tcPr>
            <w:tcW w:w="2919" w:type="dxa"/>
            <w:noWrap w:val="0"/>
            <w:tcMar>
              <w:top w:w="0" w:type="dxa"/>
              <w:left w:w="0" w:type="dxa"/>
              <w:bottom w:w="0" w:type="dxa"/>
              <w:right w:w="0" w:type="dxa"/>
            </w:tcMar>
            <w:vAlign w:val="center"/>
          </w:tcPr>
          <w:p w14:paraId="70C56FE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noWrap w:val="0"/>
            <w:tcMar>
              <w:top w:w="0" w:type="dxa"/>
              <w:left w:w="0" w:type="dxa"/>
              <w:bottom w:w="0" w:type="dxa"/>
              <w:right w:w="0" w:type="dxa"/>
            </w:tcMar>
            <w:vAlign w:val="center"/>
          </w:tcPr>
          <w:p w14:paraId="34E1FD5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noWrap w:val="0"/>
            <w:tcMar>
              <w:top w:w="0" w:type="dxa"/>
              <w:left w:w="0" w:type="dxa"/>
              <w:bottom w:w="0" w:type="dxa"/>
              <w:right w:w="0" w:type="dxa"/>
            </w:tcMar>
            <w:vAlign w:val="center"/>
          </w:tcPr>
          <w:p w14:paraId="78FF049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6AFB170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489FC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2C350E7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大气环境</w:t>
            </w:r>
          </w:p>
        </w:tc>
        <w:tc>
          <w:tcPr>
            <w:tcW w:w="2919" w:type="dxa"/>
            <w:noWrap w:val="0"/>
            <w:tcMar>
              <w:top w:w="0" w:type="dxa"/>
              <w:left w:w="0" w:type="dxa"/>
              <w:bottom w:w="0" w:type="dxa"/>
              <w:right w:w="0" w:type="dxa"/>
            </w:tcMar>
            <w:vAlign w:val="center"/>
          </w:tcPr>
          <w:p w14:paraId="63BCFF3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每日定时洒水</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施工区设置标志牌；施工场界设置围挡；施工现场的道路、加工区实施硬化；物料分类堆放，严密覆盖；大风天气，停止土方作业，覆盖防尘网；运输车辆上路前冲洗，物料遮盖。</w:t>
            </w:r>
            <w:r>
              <w:rPr>
                <w:rFonts w:hint="default" w:ascii="Times New Roman" w:hAnsi="Times New Roman" w:cs="Times New Roman" w:eastAsiaTheme="minorEastAsia"/>
                <w:color w:val="000000" w:themeColor="text1"/>
                <w:sz w:val="21"/>
                <w:szCs w:val="21"/>
                <w14:textFill>
                  <w14:solidFill>
                    <w14:schemeClr w14:val="tx1"/>
                  </w14:solidFill>
                </w14:textFill>
              </w:rPr>
              <w:t>施工机械采用符合国家标准的设备，施工期加强管理，确保尾气排放达标</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河道疏浚、</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清淤、随挖随运，不在项目区堆放，施工结束后及时植被恢复。</w:t>
            </w:r>
          </w:p>
        </w:tc>
        <w:tc>
          <w:tcPr>
            <w:tcW w:w="1580" w:type="dxa"/>
            <w:noWrap w:val="0"/>
            <w:tcMar>
              <w:top w:w="0" w:type="dxa"/>
              <w:left w:w="0" w:type="dxa"/>
              <w:bottom w:w="0" w:type="dxa"/>
              <w:right w:w="0" w:type="dxa"/>
            </w:tcMar>
            <w:vAlign w:val="center"/>
          </w:tcPr>
          <w:p w14:paraId="5F1F178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减少对周边敏</w:t>
            </w:r>
          </w:p>
          <w:p w14:paraId="1F2F53D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感点影响</w:t>
            </w:r>
          </w:p>
        </w:tc>
        <w:tc>
          <w:tcPr>
            <w:tcW w:w="1541" w:type="dxa"/>
            <w:noWrap w:val="0"/>
            <w:tcMar>
              <w:top w:w="0" w:type="dxa"/>
              <w:left w:w="0" w:type="dxa"/>
              <w:bottom w:w="0" w:type="dxa"/>
              <w:right w:w="0" w:type="dxa"/>
            </w:tcMar>
            <w:vAlign w:val="center"/>
          </w:tcPr>
          <w:p w14:paraId="0850FD5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067E51B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69916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57A146F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2919" w:type="dxa"/>
            <w:noWrap w:val="0"/>
            <w:tcMar>
              <w:top w:w="0" w:type="dxa"/>
              <w:left w:w="0" w:type="dxa"/>
              <w:bottom w:w="0" w:type="dxa"/>
              <w:right w:w="0" w:type="dxa"/>
            </w:tcMar>
            <w:vAlign w:val="center"/>
          </w:tcPr>
          <w:p w14:paraId="2494904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生活垃圾及时清运至就近环卫部门处；</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土方、植物枯叶及沙土</w:t>
            </w:r>
            <w:r>
              <w:rPr>
                <w:rFonts w:hint="eastAsia" w:cs="Times New Roman" w:eastAsiaTheme="minorEastAsia"/>
                <w:color w:val="000000" w:themeColor="text1"/>
                <w:sz w:val="21"/>
                <w:szCs w:val="21"/>
                <w:lang w:val="en-US" w:eastAsia="zh-CN"/>
                <w14:textFill>
                  <w14:solidFill>
                    <w14:schemeClr w14:val="tx1"/>
                  </w14:solidFill>
                </w14:textFill>
              </w:rPr>
              <w:t>及时</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w:t>
            </w:r>
            <w:r>
              <w:rPr>
                <w:rFonts w:hint="eastAsia" w:cs="Times New Roman" w:eastAsiaTheme="minorEastAsia"/>
                <w:color w:val="000000" w:themeColor="text1"/>
                <w:sz w:val="21"/>
                <w:szCs w:val="21"/>
                <w:lang w:val="en-US" w:eastAsia="zh-CN"/>
                <w14:textFill>
                  <w14:solidFill>
                    <w14:schemeClr w14:val="tx1"/>
                  </w14:solidFill>
                </w14:textFill>
              </w:rPr>
              <w:t>运</w:t>
            </w:r>
          </w:p>
        </w:tc>
        <w:tc>
          <w:tcPr>
            <w:tcW w:w="1580" w:type="dxa"/>
            <w:noWrap w:val="0"/>
            <w:tcMar>
              <w:top w:w="0" w:type="dxa"/>
              <w:left w:w="0" w:type="dxa"/>
              <w:bottom w:w="0" w:type="dxa"/>
              <w:right w:w="0" w:type="dxa"/>
            </w:tcMar>
            <w:vAlign w:val="center"/>
          </w:tcPr>
          <w:p w14:paraId="73B69D5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541" w:type="dxa"/>
            <w:noWrap w:val="0"/>
            <w:tcMar>
              <w:top w:w="0" w:type="dxa"/>
              <w:left w:w="0" w:type="dxa"/>
              <w:bottom w:w="0" w:type="dxa"/>
              <w:right w:w="0" w:type="dxa"/>
            </w:tcMar>
            <w:vAlign w:val="center"/>
          </w:tcPr>
          <w:p w14:paraId="4055AC9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植物枯叶及沙土</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清理至建筑垃圾填埋场</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泵站、闸门检修产生的废矿物油及沾染物</w:t>
            </w:r>
            <w:r>
              <w:rPr>
                <w:rFonts w:hint="eastAsia" w:cs="Times New Roman" w:eastAsiaTheme="minorEastAsia"/>
                <w:color w:val="000000" w:themeColor="text1"/>
                <w:sz w:val="21"/>
                <w:szCs w:val="21"/>
                <w:lang w:eastAsia="zh-CN"/>
                <w14:textFill>
                  <w14:solidFill>
                    <w14:schemeClr w14:val="tx1"/>
                  </w14:solidFill>
                </w14:textFill>
              </w:rPr>
              <w:t>委托处置</w:t>
            </w:r>
          </w:p>
        </w:tc>
        <w:tc>
          <w:tcPr>
            <w:tcW w:w="965" w:type="dxa"/>
            <w:noWrap w:val="0"/>
            <w:tcMar>
              <w:top w:w="0" w:type="dxa"/>
              <w:left w:w="0" w:type="dxa"/>
              <w:bottom w:w="0" w:type="dxa"/>
              <w:right w:w="0" w:type="dxa"/>
            </w:tcMar>
            <w:vAlign w:val="center"/>
          </w:tcPr>
          <w:p w14:paraId="198B4BF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48EF5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036A335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电磁环境</w:t>
            </w:r>
          </w:p>
        </w:tc>
        <w:tc>
          <w:tcPr>
            <w:tcW w:w="2919" w:type="dxa"/>
            <w:noWrap w:val="0"/>
            <w:tcMar>
              <w:top w:w="0" w:type="dxa"/>
              <w:left w:w="0" w:type="dxa"/>
              <w:bottom w:w="0" w:type="dxa"/>
              <w:right w:w="0" w:type="dxa"/>
            </w:tcMar>
            <w:vAlign w:val="center"/>
          </w:tcPr>
          <w:p w14:paraId="5596A7E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noWrap w:val="0"/>
            <w:tcMar>
              <w:top w:w="0" w:type="dxa"/>
              <w:left w:w="0" w:type="dxa"/>
              <w:bottom w:w="0" w:type="dxa"/>
              <w:right w:w="0" w:type="dxa"/>
            </w:tcMar>
            <w:vAlign w:val="center"/>
          </w:tcPr>
          <w:p w14:paraId="3EBE3AE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noWrap w:val="0"/>
            <w:tcMar>
              <w:top w:w="0" w:type="dxa"/>
              <w:left w:w="0" w:type="dxa"/>
              <w:bottom w:w="0" w:type="dxa"/>
              <w:right w:w="0" w:type="dxa"/>
            </w:tcMar>
            <w:vAlign w:val="center"/>
          </w:tcPr>
          <w:p w14:paraId="53B416E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160EBF6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2FBBD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029CEAA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环境风险</w:t>
            </w:r>
          </w:p>
        </w:tc>
        <w:tc>
          <w:tcPr>
            <w:tcW w:w="2919" w:type="dxa"/>
            <w:noWrap w:val="0"/>
            <w:tcMar>
              <w:top w:w="0" w:type="dxa"/>
              <w:left w:w="0" w:type="dxa"/>
              <w:bottom w:w="0" w:type="dxa"/>
              <w:right w:w="0" w:type="dxa"/>
            </w:tcMar>
            <w:vAlign w:val="center"/>
          </w:tcPr>
          <w:p w14:paraId="00E23D9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noWrap w:val="0"/>
            <w:tcMar>
              <w:top w:w="0" w:type="dxa"/>
              <w:left w:w="0" w:type="dxa"/>
              <w:bottom w:w="0" w:type="dxa"/>
              <w:right w:w="0" w:type="dxa"/>
            </w:tcMar>
            <w:vAlign w:val="center"/>
          </w:tcPr>
          <w:p w14:paraId="6EA7361F">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noWrap w:val="0"/>
            <w:tcMar>
              <w:top w:w="0" w:type="dxa"/>
              <w:left w:w="0" w:type="dxa"/>
              <w:bottom w:w="0" w:type="dxa"/>
              <w:right w:w="0" w:type="dxa"/>
            </w:tcMar>
            <w:vAlign w:val="center"/>
          </w:tcPr>
          <w:p w14:paraId="03BCFBF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21DB04E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69498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7E03925B">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环境监测</w:t>
            </w:r>
          </w:p>
        </w:tc>
        <w:tc>
          <w:tcPr>
            <w:tcW w:w="2919" w:type="dxa"/>
            <w:noWrap w:val="0"/>
            <w:tcMar>
              <w:top w:w="0" w:type="dxa"/>
              <w:left w:w="0" w:type="dxa"/>
              <w:bottom w:w="0" w:type="dxa"/>
              <w:right w:w="0" w:type="dxa"/>
            </w:tcMar>
            <w:vAlign w:val="center"/>
          </w:tcPr>
          <w:p w14:paraId="7E8C4B4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见环境监测一览表</w:t>
            </w:r>
          </w:p>
        </w:tc>
        <w:tc>
          <w:tcPr>
            <w:tcW w:w="1580" w:type="dxa"/>
            <w:noWrap w:val="0"/>
            <w:tcMar>
              <w:top w:w="0" w:type="dxa"/>
              <w:left w:w="0" w:type="dxa"/>
              <w:bottom w:w="0" w:type="dxa"/>
              <w:right w:w="0" w:type="dxa"/>
            </w:tcMar>
            <w:vAlign w:val="center"/>
          </w:tcPr>
          <w:p w14:paraId="7E7604E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noWrap w:val="0"/>
            <w:tcMar>
              <w:top w:w="0" w:type="dxa"/>
              <w:left w:w="0" w:type="dxa"/>
              <w:bottom w:w="0" w:type="dxa"/>
              <w:right w:w="0" w:type="dxa"/>
            </w:tcMar>
            <w:vAlign w:val="center"/>
          </w:tcPr>
          <w:p w14:paraId="3D8CF2F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3048F4B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7D055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noWrap w:val="0"/>
            <w:tcMar>
              <w:top w:w="0" w:type="dxa"/>
              <w:left w:w="0" w:type="dxa"/>
              <w:bottom w:w="0" w:type="dxa"/>
              <w:right w:w="0" w:type="dxa"/>
            </w:tcMar>
            <w:vAlign w:val="center"/>
          </w:tcPr>
          <w:p w14:paraId="6DCB184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其他</w:t>
            </w:r>
          </w:p>
        </w:tc>
        <w:tc>
          <w:tcPr>
            <w:tcW w:w="2919" w:type="dxa"/>
            <w:noWrap w:val="0"/>
            <w:tcMar>
              <w:top w:w="0" w:type="dxa"/>
              <w:left w:w="0" w:type="dxa"/>
              <w:bottom w:w="0" w:type="dxa"/>
              <w:right w:w="0" w:type="dxa"/>
            </w:tcMar>
            <w:vAlign w:val="center"/>
          </w:tcPr>
          <w:p w14:paraId="582CCEBE">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noWrap w:val="0"/>
            <w:tcMar>
              <w:top w:w="0" w:type="dxa"/>
              <w:left w:w="0" w:type="dxa"/>
              <w:bottom w:w="0" w:type="dxa"/>
              <w:right w:w="0" w:type="dxa"/>
            </w:tcMar>
            <w:vAlign w:val="center"/>
          </w:tcPr>
          <w:p w14:paraId="2FE3329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noWrap w:val="0"/>
            <w:tcMar>
              <w:top w:w="0" w:type="dxa"/>
              <w:left w:w="0" w:type="dxa"/>
              <w:bottom w:w="0" w:type="dxa"/>
              <w:right w:w="0" w:type="dxa"/>
            </w:tcMar>
            <w:vAlign w:val="center"/>
          </w:tcPr>
          <w:p w14:paraId="1DBE44ED">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noWrap w:val="0"/>
            <w:tcMar>
              <w:top w:w="0" w:type="dxa"/>
              <w:left w:w="0" w:type="dxa"/>
              <w:bottom w:w="0" w:type="dxa"/>
              <w:right w:w="0" w:type="dxa"/>
            </w:tcMar>
            <w:vAlign w:val="center"/>
          </w:tcPr>
          <w:p w14:paraId="0A53977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14:paraId="3D55F56D">
      <w:pPr>
        <w:pageBreakBefore w:val="0"/>
        <w:spacing w:beforeAutospacing="0" w:afterAutospacing="0" w:line="360" w:lineRule="auto"/>
        <w:ind w:left="0" w:right="0"/>
        <w:jc w:val="center"/>
        <w:outlineLvl w:val="0"/>
        <w:rPr>
          <w:rFonts w:hint="default" w:ascii="Times New Roman" w:hAnsi="Times New Roman" w:cs="Times New Roman" w:eastAsiaTheme="minorEastAsia"/>
          <w:color w:val="000000" w:themeColor="text1"/>
          <w:sz w:val="30"/>
          <w:szCs w:val="30"/>
          <w14:textFill>
            <w14:solidFill>
              <w14:schemeClr w14:val="tx1"/>
            </w14:solidFill>
          </w14:textFill>
        </w:rPr>
        <w:sectPr>
          <w:pgSz w:w="11906" w:h="16838" w:orient="landscape"/>
          <w:pgMar w:top="1417" w:right="1417" w:bottom="1417" w:left="1417" w:header="851" w:footer="1077" w:gutter="0"/>
          <w:cols w:space="0" w:num="1"/>
        </w:sectPr>
      </w:pPr>
    </w:p>
    <w:p w14:paraId="3CD14039">
      <w:pPr>
        <w:keepNext w:val="0"/>
        <w:keepLines w:val="0"/>
        <w:pageBreakBefore w:val="0"/>
        <w:widowControl/>
        <w:spacing w:before="313" w:beforeAutospacing="0" w:after="313" w:afterAutospacing="0" w:line="360" w:lineRule="auto"/>
        <w:ind w:left="0" w:right="0" w:firstLine="602"/>
        <w:jc w:val="center"/>
        <w:outlineLvl w:val="0"/>
        <w:rPr>
          <w:rFonts w:hint="eastAsia" w:ascii="宋体" w:hAnsi="宋体" w:eastAsia="宋体" w:cs="宋体"/>
          <w:b/>
          <w:bCs/>
          <w:color w:val="000000" w:themeColor="text1"/>
          <w:sz w:val="30"/>
          <w:szCs w:val="30"/>
          <w:lang w:val="en-US" w:eastAsia="zh-CN" w:bidi="ar-SA"/>
          <w14:textFill>
            <w14:solidFill>
              <w14:schemeClr w14:val="tx1"/>
            </w14:solidFill>
          </w14:textFill>
        </w:rPr>
      </w:pPr>
      <w:r>
        <w:rPr>
          <w:rFonts w:hint="eastAsia" w:ascii="宋体" w:hAnsi="宋体" w:eastAsia="宋体" w:cs="宋体"/>
          <w:b/>
          <w:bCs/>
          <w:color w:val="000000" w:themeColor="text1"/>
          <w:sz w:val="30"/>
          <w:szCs w:val="30"/>
          <w:lang w:val="en-US" w:eastAsia="zh-CN" w:bidi="ar-SA"/>
          <w14:textFill>
            <w14:solidFill>
              <w14:schemeClr w14:val="tx1"/>
            </w14:solidFill>
          </w14:textFill>
        </w:rPr>
        <w:t>七、结论</w:t>
      </w:r>
    </w:p>
    <w:tbl>
      <w:tblPr>
        <w:tblStyle w:val="39"/>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2973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53" w:hRule="atLeast"/>
          <w:jc w:val="center"/>
        </w:trPr>
        <w:tc>
          <w:tcPr>
            <w:tcW w:w="9071" w:type="dxa"/>
            <w:noWrap w:val="0"/>
            <w:vAlign w:val="top"/>
          </w:tcPr>
          <w:p w14:paraId="06D81D11">
            <w:pPr>
              <w:keepNext w:val="0"/>
              <w:keepLines w:val="0"/>
              <w:pageBreakBefore w:val="0"/>
              <w:suppressLineNumbers w:val="0"/>
              <w:spacing w:before="0" w:beforeAutospacing="0" w:after="0" w:afterAutospacing="0" w:line="360" w:lineRule="auto"/>
              <w:ind w:left="0" w:right="0" w:firstLine="480"/>
              <w:jc w:val="both"/>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038AD3F1">
            <w:pPr>
              <w:keepNext w:val="0"/>
              <w:keepLines w:val="0"/>
              <w:pageBreakBefore w:val="0"/>
              <w:suppressLineNumbers w:val="0"/>
              <w:spacing w:before="0" w:beforeAutospacing="0" w:after="0" w:afterAutospacing="0" w:line="360" w:lineRule="auto"/>
              <w:ind w:left="0" w:right="0" w:firstLine="480"/>
              <w:jc w:val="both"/>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综上所述，</w:t>
            </w:r>
            <w:r>
              <w:rPr>
                <w:rFonts w:hint="default" w:ascii="Times New Roman" w:hAnsi="Times New Roman" w:cs="Times New Roman" w:eastAsiaTheme="minorEastAsia"/>
                <w:color w:val="000000" w:themeColor="text1"/>
                <w:sz w:val="24"/>
                <w14:textFill>
                  <w14:solidFill>
                    <w14:schemeClr w14:val="tx1"/>
                  </w14:solidFill>
                </w14:textFill>
              </w:rPr>
              <w:t>本项目符合国家相关产业政策，项目选址及总平面布局合理。</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本项目为防洪除涝工程，不属于生产型项目，本项目建成后解决了城市内涝的问题，工程建设不涉及自然保护区、世界自然和文化遗产地、风景名胜区、森林公园等环境敏感区，在认真落实评价所提出的各项防治措施和建议情况下，该项目建成后对周围环境影响较小。从环境保护技术角度论证，该项目的建设可行。</w:t>
            </w:r>
            <w:bookmarkEnd w:id="0"/>
            <w:bookmarkEnd w:id="3"/>
          </w:p>
        </w:tc>
      </w:tr>
    </w:tbl>
    <w:p w14:paraId="3B7BD05B">
      <w:r>
        <w:rPr/>
        <w:br w:type="page" w:clear="all"/>
      </w:r>
    </w:p>
    <w:p w14:paraId="3E3FE5CD">
      <w:pPr>
        <w:keepNext w:val="0"/>
        <w:keepLines w:val="0"/>
        <w:pageBreakBefore w:val="0"/>
        <w:widowControl/>
        <w:suppressLineNumbers w:val="0"/>
        <w:spacing w:line="240" w:lineRule="auto"/>
        <w:ind w:left="0" w:firstLine="0"/>
        <w:jc w:val="center"/>
        <w:rPr>
          <w:rFonts w:ascii="黑体" w:hAnsi="宋体" w:eastAsia="黑体" w:cs="黑体"/>
          <w:color w:val="000000"/>
          <w:sz w:val="48"/>
          <w:szCs w:val="48"/>
          <w:lang w:val="en-US" w:eastAsia="zh-CN" w:bidi="ar"/>
        </w:rPr>
      </w:pPr>
    </w:p>
    <w:p w14:paraId="446AB33C">
      <w:pPr>
        <w:keepNext w:val="0"/>
        <w:keepLines w:val="0"/>
        <w:pageBreakBefore w:val="0"/>
        <w:widowControl/>
        <w:suppressLineNumbers w:val="0"/>
        <w:spacing w:line="240" w:lineRule="auto"/>
        <w:ind w:left="0" w:firstLine="0"/>
        <w:jc w:val="center"/>
        <w:rPr>
          <w:rFonts w:ascii="黑体" w:hAnsi="宋体" w:eastAsia="黑体" w:cs="黑体"/>
          <w:color w:val="000000"/>
          <w:sz w:val="48"/>
          <w:szCs w:val="48"/>
          <w:lang w:val="en-US" w:eastAsia="zh-CN" w:bidi="ar"/>
        </w:rPr>
      </w:pPr>
    </w:p>
    <w:p w14:paraId="3D2FDC2C">
      <w:pPr>
        <w:keepNext w:val="0"/>
        <w:keepLines w:val="0"/>
        <w:pageBreakBefore w:val="0"/>
        <w:widowControl/>
        <w:suppressLineNumbers w:val="0"/>
        <w:spacing w:line="240" w:lineRule="auto"/>
        <w:ind w:left="0" w:firstLine="0"/>
        <w:jc w:val="center"/>
        <w:rPr>
          <w:rFonts w:ascii="黑体" w:hAnsi="宋体" w:eastAsia="黑体" w:cs="黑体"/>
          <w:color w:val="000000"/>
          <w:sz w:val="48"/>
          <w:szCs w:val="48"/>
          <w:lang w:val="en-US" w:eastAsia="zh-CN" w:bidi="ar"/>
        </w:rPr>
      </w:pPr>
    </w:p>
    <w:p w14:paraId="68CAB839">
      <w:pPr>
        <w:keepNext w:val="0"/>
        <w:keepLines w:val="0"/>
        <w:pageBreakBefore w:val="0"/>
        <w:widowControl/>
        <w:suppressLineNumbers w:val="0"/>
        <w:spacing w:line="240" w:lineRule="auto"/>
        <w:ind w:left="0" w:firstLine="0"/>
        <w:jc w:val="center"/>
        <w:rPr>
          <w:rFonts w:ascii="黑体" w:hAnsi="宋体" w:eastAsia="黑体" w:cs="黑体"/>
          <w:color w:val="000000"/>
          <w:sz w:val="44"/>
          <w:szCs w:val="44"/>
          <w:lang w:val="en-US" w:eastAsia="zh-CN" w:bidi="ar"/>
        </w:rPr>
      </w:pPr>
    </w:p>
    <w:p w14:paraId="24197390">
      <w:pPr>
        <w:keepNext w:val="0"/>
        <w:keepLines w:val="0"/>
        <w:pageBreakBefore w:val="0"/>
        <w:widowControl/>
        <w:suppressLineNumbers w:val="0"/>
        <w:spacing w:before="157" w:line="240" w:lineRule="auto"/>
        <w:ind w:left="0" w:firstLine="0"/>
        <w:jc w:val="center"/>
        <w:rPr>
          <w:rFonts w:hint="eastAsia" w:ascii="宋体" w:hAnsi="宋体" w:eastAsia="宋体" w:cs="宋体"/>
          <w:b/>
          <w:bCs/>
          <w:color w:val="000000"/>
          <w:sz w:val="52"/>
          <w:szCs w:val="52"/>
          <w:lang w:val="en-US" w:eastAsia="zh-CN" w:bidi="ar"/>
        </w:rPr>
      </w:pPr>
      <w:r>
        <w:rPr>
          <w:rFonts w:hint="eastAsia" w:ascii="宋体" w:hAnsi="宋体" w:eastAsia="宋体" w:cs="宋体"/>
          <w:b/>
          <w:bCs/>
          <w:color w:val="000000"/>
          <w:sz w:val="52"/>
          <w:szCs w:val="52"/>
          <w:lang w:val="en-US" w:eastAsia="zh-CN" w:bidi="ar"/>
        </w:rPr>
        <w:t>六安市霍山县排水防涝能力提升项目生态环境影响专题评价报告</w:t>
      </w:r>
    </w:p>
    <w:p w14:paraId="0755AC4C">
      <w:pPr>
        <w:rPr>
          <w:color w:val="000000"/>
        </w:rPr>
      </w:pPr>
    </w:p>
    <w:p w14:paraId="66430328">
      <w:pPr>
        <w:rPr>
          <w:color w:val="000000"/>
        </w:rPr>
      </w:pPr>
    </w:p>
    <w:p w14:paraId="5FF5DBFF">
      <w:pPr>
        <w:rPr>
          <w:color w:val="000000"/>
        </w:rPr>
      </w:pPr>
    </w:p>
    <w:p w14:paraId="14BFD22A">
      <w:pPr>
        <w:rPr>
          <w:color w:val="000000"/>
        </w:rPr>
      </w:pPr>
    </w:p>
    <w:p w14:paraId="18F93DB8">
      <w:pPr>
        <w:rPr>
          <w:color w:val="000000"/>
        </w:rPr>
      </w:pPr>
    </w:p>
    <w:p w14:paraId="2CC0948E">
      <w:pPr>
        <w:rPr>
          <w:color w:val="000000"/>
        </w:rPr>
      </w:pPr>
    </w:p>
    <w:p w14:paraId="782C9AA1">
      <w:pPr>
        <w:pStyle w:val="16"/>
        <w:rPr>
          <w:color w:val="000000"/>
        </w:rPr>
      </w:pPr>
    </w:p>
    <w:p w14:paraId="438D90C7">
      <w:pPr>
        <w:pStyle w:val="16"/>
        <w:rPr>
          <w:color w:val="000000"/>
        </w:rPr>
      </w:pPr>
    </w:p>
    <w:p w14:paraId="2F131431">
      <w:pPr>
        <w:pStyle w:val="16"/>
        <w:rPr>
          <w:color w:val="000000"/>
        </w:rPr>
      </w:pPr>
    </w:p>
    <w:p w14:paraId="747B72E3">
      <w:pPr>
        <w:pStyle w:val="16"/>
        <w:rPr>
          <w:color w:val="000000"/>
        </w:rPr>
      </w:pPr>
    </w:p>
    <w:p w14:paraId="0E0D363E">
      <w:pPr>
        <w:pStyle w:val="16"/>
        <w:rPr>
          <w:color w:val="000000"/>
        </w:rPr>
      </w:pPr>
    </w:p>
    <w:p w14:paraId="2747C20B">
      <w:pPr>
        <w:rPr>
          <w:color w:val="000000"/>
        </w:rPr>
      </w:pPr>
    </w:p>
    <w:p w14:paraId="057EE2A6">
      <w:pPr>
        <w:rPr>
          <w:color w:val="000000"/>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5203"/>
      </w:tblGrid>
      <w:tr w14:paraId="344B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3" w:type="dxa"/>
            <w:tcBorders>
              <w:top w:val="nil"/>
              <w:left w:val="nil"/>
              <w:bottom w:val="nil"/>
              <w:right w:val="nil"/>
            </w:tcBorders>
            <w:noWrap w:val="0"/>
            <w:vAlign w:val="top"/>
          </w:tcPr>
          <w:p w14:paraId="5DD3FBC3">
            <w:pPr>
              <w:keepNext w:val="0"/>
              <w:keepLines w:val="0"/>
              <w:pageBreakBefore w:val="0"/>
              <w:widowControl w:val="0"/>
              <w:suppressLineNumbers w:val="0"/>
              <w:spacing w:before="0" w:beforeAutospacing="0" w:after="0" w:afterAutospacing="0" w:line="500" w:lineRule="exact"/>
              <w:ind w:left="0" w:right="0" w:firstLine="0"/>
              <w:rPr>
                <w:rFonts w:hint="default" w:ascii="Times New Roman" w:hAnsi="Times New Roman" w:eastAsia="宋体" w:cs="Times New Roman"/>
                <w:color w:val="000000"/>
                <w:sz w:val="30"/>
                <w:szCs w:val="30"/>
                <w:vertAlign w:val="baseline"/>
                <w:lang w:eastAsia="zh-CN"/>
              </w:rPr>
            </w:pPr>
            <w:r>
              <w:rPr>
                <w:rFonts w:hint="default" w:ascii="Times New Roman" w:hAnsi="Times New Roman" w:cs="Times New Roman"/>
                <w:color w:val="000000"/>
                <w:sz w:val="30"/>
                <w:szCs w:val="30"/>
                <w:vertAlign w:val="baseline"/>
                <w:lang w:eastAsia="zh-CN"/>
              </w:rPr>
              <w:t>建设单位：</w:t>
            </w:r>
          </w:p>
        </w:tc>
        <w:tc>
          <w:tcPr>
            <w:tcW w:w="5203" w:type="dxa"/>
            <w:tcBorders>
              <w:top w:val="nil"/>
              <w:left w:val="nil"/>
              <w:bottom w:val="nil"/>
              <w:right w:val="nil"/>
            </w:tcBorders>
            <w:noWrap w:val="0"/>
            <w:vAlign w:val="top"/>
          </w:tcPr>
          <w:p w14:paraId="2798AF7F">
            <w:pPr>
              <w:keepNext w:val="0"/>
              <w:keepLines w:val="0"/>
              <w:pageBreakBefore w:val="0"/>
              <w:widowControl w:val="0"/>
              <w:suppressLineNumbers w:val="0"/>
              <w:spacing w:before="0" w:beforeAutospacing="0" w:after="0" w:afterAutospacing="0" w:line="500" w:lineRule="exact"/>
              <w:ind w:left="0" w:right="0" w:firstLine="0"/>
              <w:rPr>
                <w:rFonts w:hint="eastAsia" w:ascii="Times New Roman" w:hAnsi="Times New Roman" w:eastAsia="宋体" w:cs="Times New Roman"/>
                <w:color w:val="000000"/>
                <w:sz w:val="30"/>
                <w:szCs w:val="30"/>
                <w:vertAlign w:val="baseline"/>
                <w:lang w:eastAsia="zh-CN"/>
              </w:rPr>
            </w:pPr>
            <w:r>
              <w:rPr>
                <w:rFonts w:hint="eastAsia" w:ascii="Times New Roman" w:hAnsi="Times New Roman" w:cs="Times New Roman"/>
                <w:color w:val="000000"/>
                <w:sz w:val="30"/>
                <w:szCs w:val="30"/>
                <w:vertAlign w:val="baseline"/>
                <w:lang w:eastAsia="zh-CN"/>
              </w:rPr>
              <w:t>霍山县水务局</w:t>
            </w:r>
          </w:p>
        </w:tc>
      </w:tr>
      <w:tr w14:paraId="3617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nil"/>
              <w:left w:val="nil"/>
              <w:bottom w:val="nil"/>
              <w:right w:val="nil"/>
            </w:tcBorders>
            <w:noWrap w:val="0"/>
            <w:vAlign w:val="top"/>
          </w:tcPr>
          <w:p w14:paraId="5ACC3C2B">
            <w:pPr>
              <w:keepNext w:val="0"/>
              <w:keepLines w:val="0"/>
              <w:pageBreakBefore w:val="0"/>
              <w:widowControl w:val="0"/>
              <w:suppressLineNumbers w:val="0"/>
              <w:spacing w:before="0" w:beforeAutospacing="0" w:after="0" w:afterAutospacing="0" w:line="500" w:lineRule="exact"/>
              <w:ind w:left="0" w:right="0" w:firstLine="0"/>
              <w:rPr>
                <w:rFonts w:hint="default" w:ascii="Times New Roman" w:hAnsi="Times New Roman" w:eastAsia="宋体" w:cs="Times New Roman"/>
                <w:color w:val="000000"/>
                <w:sz w:val="30"/>
                <w:szCs w:val="30"/>
                <w:vertAlign w:val="baseline"/>
                <w:lang w:eastAsia="zh-CN"/>
              </w:rPr>
            </w:pPr>
            <w:r>
              <w:rPr>
                <w:rFonts w:hint="default" w:ascii="Times New Roman" w:hAnsi="Times New Roman" w:cs="Times New Roman"/>
                <w:color w:val="000000"/>
                <w:sz w:val="30"/>
                <w:szCs w:val="30"/>
                <w:vertAlign w:val="baseline"/>
                <w:lang w:eastAsia="zh-CN"/>
              </w:rPr>
              <w:t>编制单位：</w:t>
            </w:r>
          </w:p>
        </w:tc>
        <w:tc>
          <w:tcPr>
            <w:tcW w:w="5203" w:type="dxa"/>
            <w:tcBorders>
              <w:top w:val="nil"/>
              <w:left w:val="nil"/>
              <w:bottom w:val="nil"/>
              <w:right w:val="nil"/>
            </w:tcBorders>
            <w:noWrap w:val="0"/>
            <w:vAlign w:val="top"/>
          </w:tcPr>
          <w:p w14:paraId="54866838">
            <w:pPr>
              <w:keepNext w:val="0"/>
              <w:keepLines w:val="0"/>
              <w:pageBreakBefore w:val="0"/>
              <w:widowControl w:val="0"/>
              <w:suppressLineNumbers w:val="0"/>
              <w:spacing w:before="0" w:beforeAutospacing="0" w:after="0" w:afterAutospacing="0" w:line="500" w:lineRule="exact"/>
              <w:ind w:left="0" w:right="0" w:firstLine="0"/>
              <w:rPr>
                <w:rFonts w:hint="default" w:ascii="Times New Roman" w:hAnsi="Times New Roman" w:eastAsia="宋体" w:cs="Times New Roman"/>
                <w:color w:val="000000"/>
                <w:sz w:val="30"/>
                <w:szCs w:val="30"/>
                <w:vertAlign w:val="baseline"/>
                <w:lang w:eastAsia="zh-CN"/>
              </w:rPr>
            </w:pPr>
            <w:r>
              <w:rPr>
                <w:rFonts w:hint="eastAsia" w:ascii="Times New Roman" w:hAnsi="Times New Roman" w:cs="Times New Roman"/>
                <w:color w:val="000000"/>
                <w:sz w:val="30"/>
                <w:szCs w:val="30"/>
                <w:vertAlign w:val="baseline"/>
                <w:lang w:eastAsia="zh-CN"/>
              </w:rPr>
              <w:t>安徽瑞柏思环保科技有限公司</w:t>
            </w:r>
          </w:p>
        </w:tc>
      </w:tr>
      <w:tr w14:paraId="3D97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nil"/>
              <w:left w:val="nil"/>
              <w:bottom w:val="nil"/>
              <w:right w:val="nil"/>
            </w:tcBorders>
            <w:noWrap w:val="0"/>
            <w:vAlign w:val="top"/>
          </w:tcPr>
          <w:p w14:paraId="79CC7A7E">
            <w:pPr>
              <w:keepNext w:val="0"/>
              <w:keepLines w:val="0"/>
              <w:pageBreakBefore w:val="0"/>
              <w:widowControl w:val="0"/>
              <w:suppressLineNumbers w:val="0"/>
              <w:spacing w:before="0" w:beforeAutospacing="0" w:after="0" w:afterAutospacing="0" w:line="500" w:lineRule="exact"/>
              <w:ind w:left="0" w:right="0" w:firstLine="0"/>
              <w:rPr>
                <w:rFonts w:hint="default" w:ascii="Times New Roman" w:hAnsi="Times New Roman" w:eastAsia="宋体" w:cs="Times New Roman"/>
                <w:color w:val="000000"/>
                <w:sz w:val="30"/>
                <w:szCs w:val="30"/>
                <w:vertAlign w:val="baseline"/>
                <w:lang w:eastAsia="zh-CN"/>
              </w:rPr>
            </w:pPr>
            <w:r>
              <w:rPr>
                <w:rFonts w:hint="default" w:ascii="Times New Roman" w:hAnsi="Times New Roman" w:cs="Times New Roman"/>
                <w:color w:val="000000"/>
                <w:sz w:val="30"/>
                <w:szCs w:val="30"/>
                <w:vertAlign w:val="baseline"/>
                <w:lang w:eastAsia="zh-CN"/>
              </w:rPr>
              <w:t>编制日期：</w:t>
            </w:r>
          </w:p>
        </w:tc>
        <w:tc>
          <w:tcPr>
            <w:tcW w:w="5203" w:type="dxa"/>
            <w:tcBorders>
              <w:top w:val="nil"/>
              <w:left w:val="nil"/>
              <w:bottom w:val="nil"/>
              <w:right w:val="nil"/>
            </w:tcBorders>
            <w:noWrap w:val="0"/>
            <w:vAlign w:val="top"/>
          </w:tcPr>
          <w:p w14:paraId="5B99E4D4">
            <w:pPr>
              <w:keepNext w:val="0"/>
              <w:keepLines w:val="0"/>
              <w:pageBreakBefore w:val="0"/>
              <w:widowControl w:val="0"/>
              <w:suppressLineNumbers w:val="0"/>
              <w:spacing w:before="0" w:beforeAutospacing="0" w:after="0" w:afterAutospacing="0" w:line="500" w:lineRule="exact"/>
              <w:ind w:left="0" w:right="0" w:firstLine="0"/>
              <w:jc w:val="both"/>
              <w:rPr>
                <w:rFonts w:hint="default" w:ascii="Times New Roman" w:hAnsi="Times New Roman" w:eastAsia="宋体" w:cs="Times New Roman"/>
                <w:color w:val="000000"/>
                <w:sz w:val="30"/>
                <w:szCs w:val="30"/>
                <w:vertAlign w:val="baseline"/>
                <w:lang w:val="en-US" w:eastAsia="zh-CN"/>
              </w:rPr>
            </w:pPr>
            <w:r>
              <w:rPr>
                <w:rFonts w:hint="default" w:ascii="Times New Roman" w:hAnsi="Times New Roman" w:cs="Times New Roman"/>
                <w:color w:val="000000"/>
                <w:sz w:val="30"/>
                <w:szCs w:val="30"/>
                <w:vertAlign w:val="baseline"/>
                <w:lang w:val="en-US" w:eastAsia="zh-CN"/>
              </w:rPr>
              <w:t>202</w:t>
            </w:r>
            <w:r>
              <w:rPr>
                <w:rFonts w:hint="eastAsia" w:ascii="Times New Roman" w:hAnsi="Times New Roman" w:cs="Times New Roman"/>
                <w:color w:val="000000"/>
                <w:sz w:val="30"/>
                <w:szCs w:val="30"/>
                <w:vertAlign w:val="baseline"/>
                <w:lang w:val="en-US" w:eastAsia="zh-CN"/>
              </w:rPr>
              <w:t>6</w:t>
            </w:r>
            <w:r>
              <w:rPr>
                <w:rFonts w:hint="default" w:ascii="Times New Roman" w:hAnsi="Times New Roman" w:cs="Times New Roman"/>
                <w:color w:val="000000"/>
                <w:sz w:val="30"/>
                <w:szCs w:val="30"/>
                <w:vertAlign w:val="baseline"/>
                <w:lang w:val="en-US" w:eastAsia="zh-CN"/>
              </w:rPr>
              <w:t>年</w:t>
            </w:r>
            <w:r>
              <w:rPr>
                <w:rFonts w:hint="eastAsia" w:ascii="Times New Roman" w:hAnsi="Times New Roman" w:cs="Times New Roman"/>
                <w:color w:val="000000"/>
                <w:sz w:val="30"/>
                <w:szCs w:val="30"/>
                <w:vertAlign w:val="baseline"/>
                <w:lang w:val="en-US" w:eastAsia="zh-CN"/>
              </w:rPr>
              <w:t>01</w:t>
            </w:r>
            <w:r>
              <w:rPr>
                <w:rFonts w:hint="default" w:ascii="Times New Roman" w:hAnsi="Times New Roman" w:cs="Times New Roman"/>
                <w:color w:val="000000"/>
                <w:sz w:val="30"/>
                <w:szCs w:val="30"/>
                <w:vertAlign w:val="baseline"/>
                <w:lang w:val="en-US" w:eastAsia="zh-CN"/>
              </w:rPr>
              <w:t>月</w:t>
            </w:r>
          </w:p>
        </w:tc>
      </w:tr>
    </w:tbl>
    <w:p w14:paraId="3BFB3BCC">
      <w:pPr>
        <w:spacing w:before="0" w:after="0" w:line="240" w:lineRule="auto"/>
        <w:ind w:left="0" w:right="0" w:firstLine="0"/>
        <w:jc w:val="center"/>
        <w:rPr>
          <w:rFonts w:ascii="宋体" w:hAnsi="宋体" w:eastAsia="宋体"/>
          <w:b/>
          <w:bCs/>
          <w:color w:val="000000"/>
          <w:sz w:val="44"/>
          <w:szCs w:val="44"/>
        </w:rPr>
      </w:pPr>
    </w:p>
    <w:p w14:paraId="124642A5">
      <w:pPr>
        <w:pStyle w:val="2"/>
        <w:rPr>
          <w:rFonts w:ascii="宋体" w:hAnsi="宋体" w:eastAsia="宋体"/>
          <w:b/>
          <w:bCs/>
          <w:color w:val="000000"/>
          <w:sz w:val="44"/>
          <w:szCs w:val="44"/>
        </w:rPr>
      </w:pPr>
    </w:p>
    <w:p w14:paraId="7782D800">
      <w:pPr>
        <w:pStyle w:val="2"/>
        <w:rPr>
          <w:rFonts w:ascii="宋体" w:hAnsi="宋体" w:eastAsia="宋体"/>
          <w:b/>
          <w:bCs/>
          <w:color w:val="000000"/>
          <w:sz w:val="44"/>
          <w:szCs w:val="44"/>
        </w:rPr>
      </w:pPr>
    </w:p>
    <w:p w14:paraId="3223309E">
      <w:pPr>
        <w:pStyle w:val="2"/>
        <w:rPr>
          <w:rFonts w:ascii="宋体" w:hAnsi="宋体" w:eastAsia="宋体"/>
          <w:b/>
          <w:bCs/>
          <w:color w:val="000000"/>
          <w:sz w:val="44"/>
          <w:szCs w:val="44"/>
        </w:rPr>
      </w:pPr>
    </w:p>
    <w:p w14:paraId="472F0038">
      <w:pPr>
        <w:pStyle w:val="2"/>
        <w:rPr>
          <w:rFonts w:ascii="宋体" w:hAnsi="宋体" w:eastAsia="宋体"/>
          <w:b/>
          <w:bCs/>
          <w:color w:val="000000"/>
          <w:sz w:val="44"/>
          <w:szCs w:val="44"/>
        </w:rPr>
      </w:pPr>
    </w:p>
    <w:p w14:paraId="63345578">
      <w:pPr>
        <w:pStyle w:val="2"/>
        <w:rPr>
          <w:rFonts w:ascii="宋体" w:hAnsi="宋体" w:eastAsia="宋体"/>
          <w:b/>
          <w:bCs/>
          <w:color w:val="000000"/>
          <w:sz w:val="44"/>
          <w:szCs w:val="44"/>
        </w:rPr>
        <w:sectPr>
          <w:pgSz w:w="11906" w:h="16838" w:orient="landscape"/>
          <w:pgMar w:top="1417" w:right="1417" w:bottom="1417" w:left="1417" w:header="851" w:footer="1077" w:gutter="0"/>
          <w:cols w:space="0" w:num="1"/>
        </w:sectPr>
      </w:pPr>
    </w:p>
    <w:p w14:paraId="7F8CB394">
      <w:pPr>
        <w:spacing w:before="0" w:after="0" w:line="240" w:lineRule="auto"/>
        <w:ind w:left="0" w:right="0" w:firstLine="0"/>
        <w:jc w:val="center"/>
        <w:rPr>
          <w:b/>
          <w:bCs/>
          <w:color w:val="000000"/>
          <w:sz w:val="44"/>
          <w:szCs w:val="44"/>
        </w:rPr>
      </w:pPr>
      <w:r>
        <w:rPr>
          <w:rFonts w:ascii="宋体" w:hAnsi="宋体" w:eastAsia="宋体"/>
          <w:b/>
          <w:bCs/>
          <w:color w:val="000000"/>
          <w:sz w:val="44"/>
          <w:szCs w:val="44"/>
        </w:rPr>
        <w:t>目</w:t>
      </w:r>
      <w:r>
        <w:rPr>
          <w:rFonts w:hint="eastAsia" w:ascii="宋体" w:hAnsi="宋体" w:eastAsia="宋体"/>
          <w:b/>
          <w:bCs/>
          <w:color w:val="000000"/>
          <w:sz w:val="44"/>
          <w:szCs w:val="44"/>
          <w:lang w:val="en-US" w:eastAsia="zh-CN"/>
        </w:rPr>
        <w:t xml:space="preserve"> </w:t>
      </w:r>
      <w:r>
        <w:rPr>
          <w:rFonts w:ascii="宋体" w:hAnsi="宋体" w:eastAsia="宋体"/>
          <w:b/>
          <w:bCs/>
          <w:color w:val="000000"/>
          <w:sz w:val="44"/>
          <w:szCs w:val="44"/>
        </w:rPr>
        <w:t>录</w:t>
      </w:r>
    </w:p>
    <w:p w14:paraId="700056BE">
      <w:pPr>
        <w:pStyle w:val="27"/>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TOC \o "1-2" \h \u </w:instrText>
      </w:r>
      <w:r>
        <w:rPr>
          <w:rFonts w:hint="eastAsia"/>
          <w:color w:val="000000"/>
          <w:lang w:val="en-US" w:eastAsia="zh-CN"/>
        </w:rPr>
        <w:fldChar w:fldCharType="separate"/>
      </w:r>
      <w:r>
        <w:rPr>
          <w:rFonts w:hint="eastAsia"/>
          <w:b/>
          <w:bCs/>
          <w:color w:val="000000"/>
          <w:lang w:val="en-US" w:eastAsia="zh-CN"/>
        </w:rPr>
        <w:fldChar w:fldCharType="begin"/>
      </w:r>
      <w:r>
        <w:rPr>
          <w:rFonts w:hint="eastAsia"/>
          <w:b/>
          <w:bCs/>
          <w:color w:val="000000"/>
          <w:lang w:val="en-US" w:eastAsia="zh-CN"/>
        </w:rPr>
        <w:instrText xml:space="preserve"> HYPERLINK \l _Toc10295 </w:instrText>
      </w:r>
      <w:r>
        <w:rPr>
          <w:rFonts w:hint="eastAsia"/>
          <w:b/>
          <w:bCs/>
          <w:color w:val="000000"/>
          <w:lang w:val="en-US" w:eastAsia="zh-CN"/>
        </w:rPr>
        <w:fldChar w:fldCharType="separate"/>
      </w:r>
      <w:r>
        <w:rPr>
          <w:rFonts w:hint="eastAsia"/>
          <w:b/>
          <w:bCs/>
          <w:color w:val="000000"/>
          <w:lang w:val="en-US" w:eastAsia="zh-CN"/>
        </w:rPr>
        <w:t>1 总论</w:t>
      </w:r>
      <w:r>
        <w:rPr>
          <w:b/>
          <w:bCs/>
          <w:color w:val="000000"/>
        </w:rPr>
        <w:tab/>
      </w:r>
      <w:r>
        <w:rPr>
          <w:b/>
          <w:bCs/>
          <w:color w:val="000000"/>
        </w:rPr>
        <w:fldChar w:fldCharType="begin"/>
      </w:r>
      <w:r>
        <w:rPr>
          <w:b/>
          <w:bCs/>
          <w:color w:val="000000"/>
        </w:rPr>
        <w:instrText xml:space="preserve"> PAGEREF _Toc10295 \h </w:instrText>
      </w:r>
      <w:r>
        <w:rPr>
          <w:b/>
          <w:bCs/>
          <w:color w:val="000000"/>
        </w:rPr>
        <w:fldChar w:fldCharType="separate"/>
      </w:r>
      <w:r>
        <w:rPr>
          <w:b/>
          <w:bCs/>
          <w:color w:val="000000"/>
        </w:rPr>
        <w:t>1</w:t>
      </w:r>
      <w:r>
        <w:rPr>
          <w:b/>
          <w:bCs/>
          <w:color w:val="000000"/>
        </w:rPr>
        <w:fldChar w:fldCharType="end"/>
      </w:r>
      <w:r>
        <w:rPr>
          <w:rFonts w:hint="eastAsia"/>
          <w:b/>
          <w:bCs/>
          <w:color w:val="000000"/>
          <w:lang w:val="en-US" w:eastAsia="zh-CN"/>
        </w:rPr>
        <w:fldChar w:fldCharType="end"/>
      </w:r>
    </w:p>
    <w:p w14:paraId="6A28E4AD">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_Toc30082 </w:instrText>
      </w:r>
      <w:r>
        <w:rPr>
          <w:rFonts w:hint="eastAsia"/>
          <w:color w:val="000000"/>
          <w:lang w:val="en-US" w:eastAsia="zh-CN"/>
        </w:rPr>
        <w:fldChar w:fldCharType="separate"/>
      </w:r>
      <w:r>
        <w:rPr>
          <w:rFonts w:hint="eastAsia"/>
          <w:color w:val="000000"/>
          <w:lang w:val="en-US" w:eastAsia="zh-CN"/>
        </w:rPr>
        <w:t>1.1 项目建设的必要性和可行性分析</w:t>
      </w:r>
      <w:r>
        <w:rPr>
          <w:color w:val="000000"/>
        </w:rPr>
        <w:tab/>
      </w:r>
      <w:r>
        <w:rPr>
          <w:color w:val="000000"/>
        </w:rPr>
        <w:fldChar w:fldCharType="begin"/>
      </w:r>
      <w:r>
        <w:rPr>
          <w:color w:val="000000"/>
        </w:rPr>
        <w:instrText xml:space="preserve"> PAGEREF _Toc30082 \h </w:instrText>
      </w:r>
      <w:r>
        <w:rPr>
          <w:color w:val="000000"/>
        </w:rPr>
        <w:fldChar w:fldCharType="separate"/>
      </w:r>
      <w:r>
        <w:rPr>
          <w:color w:val="000000"/>
        </w:rPr>
        <w:t>1</w:t>
      </w:r>
      <w:r>
        <w:rPr>
          <w:color w:val="000000"/>
        </w:rPr>
        <w:fldChar w:fldCharType="end"/>
      </w:r>
      <w:r>
        <w:rPr>
          <w:rFonts w:hint="eastAsia"/>
          <w:color w:val="000000"/>
          <w:lang w:val="en-US" w:eastAsia="zh-CN"/>
        </w:rPr>
        <w:fldChar w:fldCharType="end"/>
      </w:r>
    </w:p>
    <w:p w14:paraId="68B0F0D2">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_Toc28412 </w:instrText>
      </w:r>
      <w:r>
        <w:rPr>
          <w:rFonts w:hint="eastAsia"/>
          <w:color w:val="000000"/>
          <w:lang w:val="en-US" w:eastAsia="zh-CN"/>
        </w:rPr>
        <w:fldChar w:fldCharType="separate"/>
      </w:r>
      <w:r>
        <w:rPr>
          <w:rFonts w:hint="eastAsia"/>
          <w:color w:val="000000"/>
          <w:lang w:val="en-US" w:eastAsia="zh-CN"/>
        </w:rPr>
        <w:t>1.2 编制依据</w:t>
      </w:r>
      <w:r>
        <w:rPr>
          <w:color w:val="000000"/>
        </w:rPr>
        <w:tab/>
      </w:r>
      <w:r>
        <w:rPr>
          <w:color w:val="000000"/>
        </w:rPr>
        <w:fldChar w:fldCharType="begin"/>
      </w:r>
      <w:r>
        <w:rPr>
          <w:color w:val="000000"/>
        </w:rPr>
        <w:instrText xml:space="preserve"> PAGEREF _Toc28412 \h </w:instrText>
      </w:r>
      <w:r>
        <w:rPr>
          <w:color w:val="000000"/>
        </w:rPr>
        <w:fldChar w:fldCharType="separate"/>
      </w:r>
      <w:r>
        <w:rPr>
          <w:color w:val="000000"/>
        </w:rPr>
        <w:t>2</w:t>
      </w:r>
      <w:r>
        <w:rPr>
          <w:color w:val="000000"/>
        </w:rPr>
        <w:fldChar w:fldCharType="end"/>
      </w:r>
      <w:r>
        <w:rPr>
          <w:rFonts w:hint="eastAsia"/>
          <w:color w:val="000000"/>
          <w:lang w:val="en-US" w:eastAsia="zh-CN"/>
        </w:rPr>
        <w:fldChar w:fldCharType="end"/>
      </w:r>
    </w:p>
    <w:p w14:paraId="73F2851F">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_Toc7400 </w:instrText>
      </w:r>
      <w:r>
        <w:rPr>
          <w:rFonts w:hint="eastAsia"/>
          <w:color w:val="000000"/>
          <w:lang w:val="en-US" w:eastAsia="zh-CN"/>
        </w:rPr>
        <w:fldChar w:fldCharType="separate"/>
      </w:r>
      <w:r>
        <w:rPr>
          <w:rFonts w:hint="eastAsia"/>
          <w:color w:val="000000"/>
          <w:lang w:val="en-US" w:eastAsia="zh-CN"/>
        </w:rPr>
        <w:t>1.3 生态影响识别</w:t>
      </w:r>
      <w:r>
        <w:rPr>
          <w:color w:val="000000"/>
        </w:rPr>
        <w:tab/>
      </w:r>
      <w:r>
        <w:rPr>
          <w:color w:val="000000"/>
        </w:rPr>
        <w:fldChar w:fldCharType="begin"/>
      </w:r>
      <w:r>
        <w:rPr>
          <w:color w:val="000000"/>
        </w:rPr>
        <w:instrText xml:space="preserve"> PAGEREF _Toc7400 \h </w:instrText>
      </w:r>
      <w:r>
        <w:rPr>
          <w:color w:val="000000"/>
        </w:rPr>
        <w:fldChar w:fldCharType="separate"/>
      </w:r>
      <w:r>
        <w:rPr>
          <w:color w:val="000000"/>
        </w:rPr>
        <w:t>3</w:t>
      </w:r>
      <w:r>
        <w:rPr>
          <w:color w:val="000000"/>
        </w:rPr>
        <w:fldChar w:fldCharType="end"/>
      </w:r>
      <w:r>
        <w:rPr>
          <w:rFonts w:hint="eastAsia"/>
          <w:color w:val="000000"/>
          <w:lang w:val="en-US" w:eastAsia="zh-CN"/>
        </w:rPr>
        <w:fldChar w:fldCharType="end"/>
      </w:r>
    </w:p>
    <w:p w14:paraId="35B068F8">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_Toc18634 </w:instrText>
      </w:r>
      <w:r>
        <w:rPr>
          <w:rFonts w:hint="eastAsia"/>
          <w:color w:val="000000"/>
          <w:lang w:val="en-US" w:eastAsia="zh-CN"/>
        </w:rPr>
        <w:fldChar w:fldCharType="separate"/>
      </w:r>
      <w:r>
        <w:rPr>
          <w:rFonts w:hint="eastAsia"/>
          <w:color w:val="000000"/>
          <w:lang w:val="en-US" w:eastAsia="zh-CN"/>
        </w:rPr>
        <w:t>1.4评价等级及评价范围</w:t>
      </w:r>
      <w:r>
        <w:rPr>
          <w:color w:val="000000"/>
        </w:rPr>
        <w:tab/>
      </w:r>
      <w:r>
        <w:rPr>
          <w:color w:val="000000"/>
        </w:rPr>
        <w:fldChar w:fldCharType="begin"/>
      </w:r>
      <w:r>
        <w:rPr>
          <w:color w:val="000000"/>
        </w:rPr>
        <w:instrText xml:space="preserve"> PAGEREF _Toc18634 \h </w:instrText>
      </w:r>
      <w:r>
        <w:rPr>
          <w:color w:val="000000"/>
        </w:rPr>
        <w:fldChar w:fldCharType="separate"/>
      </w:r>
      <w:r>
        <w:rPr>
          <w:color w:val="000000"/>
        </w:rPr>
        <w:t>5</w:t>
      </w:r>
      <w:r>
        <w:rPr>
          <w:color w:val="000000"/>
        </w:rPr>
        <w:fldChar w:fldCharType="end"/>
      </w:r>
      <w:r>
        <w:rPr>
          <w:rFonts w:hint="eastAsia"/>
          <w:color w:val="000000"/>
          <w:lang w:val="en-US" w:eastAsia="zh-CN"/>
        </w:rPr>
        <w:fldChar w:fldCharType="end"/>
      </w:r>
    </w:p>
    <w:p w14:paraId="36AD136C">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_Toc22056 </w:instrText>
      </w:r>
      <w:r>
        <w:rPr>
          <w:rFonts w:hint="eastAsia"/>
          <w:color w:val="000000"/>
          <w:lang w:val="en-US" w:eastAsia="zh-CN"/>
        </w:rPr>
        <w:fldChar w:fldCharType="separate"/>
      </w:r>
      <w:r>
        <w:rPr>
          <w:rFonts w:hint="eastAsia"/>
          <w:color w:val="000000"/>
          <w:lang w:val="en-US" w:eastAsia="zh-CN"/>
        </w:rPr>
        <w:t xml:space="preserve">1.5 </w:t>
      </w:r>
      <w:r>
        <w:rPr>
          <w:rFonts w:hint="eastAsia"/>
          <w:color w:val="000000"/>
          <w:lang w:eastAsia="zh-CN"/>
        </w:rPr>
        <w:t>生态环境保护目标</w:t>
      </w:r>
      <w:r>
        <w:rPr>
          <w:color w:val="000000"/>
        </w:rPr>
        <w:tab/>
      </w:r>
      <w:r>
        <w:rPr>
          <w:color w:val="000000"/>
        </w:rPr>
        <w:fldChar w:fldCharType="begin"/>
      </w:r>
      <w:r>
        <w:rPr>
          <w:color w:val="000000"/>
        </w:rPr>
        <w:instrText xml:space="preserve"> PAGEREF _Toc22056 \h </w:instrText>
      </w:r>
      <w:r>
        <w:rPr>
          <w:color w:val="000000"/>
        </w:rPr>
        <w:fldChar w:fldCharType="separate"/>
      </w:r>
      <w:r>
        <w:rPr>
          <w:color w:val="000000"/>
        </w:rPr>
        <w:t>6</w:t>
      </w:r>
      <w:r>
        <w:rPr>
          <w:color w:val="000000"/>
        </w:rPr>
        <w:fldChar w:fldCharType="end"/>
      </w:r>
      <w:r>
        <w:rPr>
          <w:rFonts w:hint="eastAsia"/>
          <w:color w:val="000000"/>
          <w:lang w:val="en-US" w:eastAsia="zh-CN"/>
        </w:rPr>
        <w:fldChar w:fldCharType="end"/>
      </w:r>
    </w:p>
    <w:p w14:paraId="60627C5F">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_Toc9518 </w:instrText>
      </w:r>
      <w:r>
        <w:rPr>
          <w:rFonts w:hint="eastAsia"/>
          <w:color w:val="000000"/>
          <w:lang w:val="en-US" w:eastAsia="zh-CN"/>
        </w:rPr>
        <w:fldChar w:fldCharType="separate"/>
      </w:r>
      <w:r>
        <w:rPr>
          <w:rFonts w:hint="eastAsia"/>
          <w:color w:val="000000"/>
          <w:lang w:val="en-US" w:eastAsia="zh-CN"/>
        </w:rPr>
        <w:t>1.6评价内容</w:t>
      </w:r>
      <w:r>
        <w:rPr>
          <w:color w:val="000000"/>
        </w:rPr>
        <w:tab/>
      </w:r>
      <w:r>
        <w:rPr>
          <w:color w:val="000000"/>
        </w:rPr>
        <w:fldChar w:fldCharType="begin"/>
      </w:r>
      <w:r>
        <w:rPr>
          <w:color w:val="000000"/>
        </w:rPr>
        <w:instrText xml:space="preserve"> PAGEREF _Toc9518 \h </w:instrText>
      </w:r>
      <w:r>
        <w:rPr>
          <w:color w:val="000000"/>
        </w:rPr>
        <w:fldChar w:fldCharType="separate"/>
      </w:r>
      <w:r>
        <w:rPr>
          <w:color w:val="000000"/>
        </w:rPr>
        <w:t>6</w:t>
      </w:r>
      <w:r>
        <w:rPr>
          <w:color w:val="000000"/>
        </w:rPr>
        <w:fldChar w:fldCharType="end"/>
      </w:r>
      <w:r>
        <w:rPr>
          <w:rFonts w:hint="eastAsia"/>
          <w:color w:val="000000"/>
          <w:lang w:val="en-US" w:eastAsia="zh-CN"/>
        </w:rPr>
        <w:fldChar w:fldCharType="end"/>
      </w:r>
    </w:p>
    <w:p w14:paraId="2C09C666">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_Toc5161 </w:instrText>
      </w:r>
      <w:r>
        <w:rPr>
          <w:rFonts w:hint="eastAsia"/>
          <w:color w:val="000000"/>
          <w:lang w:val="en-US" w:eastAsia="zh-CN"/>
        </w:rPr>
        <w:fldChar w:fldCharType="separate"/>
      </w:r>
      <w:r>
        <w:rPr>
          <w:rFonts w:hint="eastAsia"/>
          <w:color w:val="000000"/>
          <w:lang w:val="en-US" w:eastAsia="zh-CN"/>
        </w:rPr>
        <w:t>1.7 生态环境影响评价路线</w:t>
      </w:r>
      <w:r>
        <w:rPr>
          <w:color w:val="000000"/>
        </w:rPr>
        <w:tab/>
      </w:r>
      <w:r>
        <w:rPr>
          <w:color w:val="000000"/>
        </w:rPr>
        <w:fldChar w:fldCharType="begin"/>
      </w:r>
      <w:r>
        <w:rPr>
          <w:color w:val="000000"/>
        </w:rPr>
        <w:instrText xml:space="preserve"> PAGEREF _Toc5161 \h </w:instrText>
      </w:r>
      <w:r>
        <w:rPr>
          <w:color w:val="000000"/>
        </w:rPr>
        <w:fldChar w:fldCharType="separate"/>
      </w:r>
      <w:r>
        <w:rPr>
          <w:color w:val="000000"/>
        </w:rPr>
        <w:t>7</w:t>
      </w:r>
      <w:r>
        <w:rPr>
          <w:color w:val="000000"/>
        </w:rPr>
        <w:fldChar w:fldCharType="end"/>
      </w:r>
      <w:r>
        <w:rPr>
          <w:rFonts w:hint="eastAsia"/>
          <w:color w:val="000000"/>
          <w:lang w:val="en-US" w:eastAsia="zh-CN"/>
        </w:rPr>
        <w:fldChar w:fldCharType="end"/>
      </w:r>
    </w:p>
    <w:p w14:paraId="7CF2A80F">
      <w:pPr>
        <w:pStyle w:val="27"/>
        <w:tabs>
          <w:tab w:val="right" w:leader="dot" w:pos="8793"/>
        </w:tabs>
        <w:rPr>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_Toc11974 </w:instrText>
      </w:r>
      <w:r>
        <w:rPr>
          <w:rFonts w:hint="eastAsia"/>
          <w:b/>
          <w:bCs/>
          <w:color w:val="000000"/>
          <w:lang w:val="en-US" w:eastAsia="zh-CN"/>
        </w:rPr>
        <w:fldChar w:fldCharType="separate"/>
      </w:r>
      <w:r>
        <w:rPr>
          <w:rFonts w:hint="eastAsia"/>
          <w:b/>
          <w:bCs/>
          <w:color w:val="000000"/>
          <w:lang w:val="en-US" w:eastAsia="zh-CN"/>
        </w:rPr>
        <w:t>2 建设项目概况</w:t>
      </w:r>
      <w:r>
        <w:rPr>
          <w:b/>
          <w:bCs/>
          <w:color w:val="000000"/>
        </w:rPr>
        <w:tab/>
      </w:r>
      <w:r>
        <w:rPr>
          <w:b/>
          <w:bCs/>
          <w:color w:val="000000"/>
        </w:rPr>
        <w:fldChar w:fldCharType="begin"/>
      </w:r>
      <w:r>
        <w:rPr>
          <w:b/>
          <w:bCs/>
          <w:color w:val="000000"/>
        </w:rPr>
        <w:instrText xml:space="preserve"> PAGEREF _Toc11974 \h </w:instrText>
      </w:r>
      <w:r>
        <w:rPr>
          <w:b/>
          <w:bCs/>
          <w:color w:val="000000"/>
        </w:rPr>
        <w:fldChar w:fldCharType="separate"/>
      </w:r>
      <w:r>
        <w:rPr>
          <w:b/>
          <w:bCs/>
          <w:color w:val="000000"/>
        </w:rPr>
        <w:t>8</w:t>
      </w:r>
      <w:r>
        <w:rPr>
          <w:b/>
          <w:bCs/>
          <w:color w:val="000000"/>
        </w:rPr>
        <w:fldChar w:fldCharType="end"/>
      </w:r>
      <w:r>
        <w:rPr>
          <w:rFonts w:hint="eastAsia"/>
          <w:b/>
          <w:bCs/>
          <w:color w:val="000000"/>
          <w:lang w:val="en-US" w:eastAsia="zh-CN"/>
        </w:rPr>
        <w:fldChar w:fldCharType="end"/>
      </w:r>
    </w:p>
    <w:p w14:paraId="3D5131FC">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_Toc30004 </w:instrText>
      </w:r>
      <w:r>
        <w:rPr>
          <w:rFonts w:hint="eastAsia"/>
          <w:color w:val="000000"/>
          <w:lang w:val="en-US" w:eastAsia="zh-CN"/>
        </w:rPr>
        <w:fldChar w:fldCharType="separate"/>
      </w:r>
      <w:r>
        <w:rPr>
          <w:rFonts w:hint="eastAsia"/>
          <w:color w:val="000000"/>
          <w:lang w:val="en-US" w:eastAsia="zh-CN"/>
        </w:rPr>
        <w:t>2.1 项目基本情况</w:t>
      </w:r>
      <w:r>
        <w:rPr>
          <w:color w:val="000000"/>
        </w:rPr>
        <w:tab/>
      </w:r>
      <w:r>
        <w:rPr>
          <w:color w:val="000000"/>
        </w:rPr>
        <w:fldChar w:fldCharType="begin"/>
      </w:r>
      <w:r>
        <w:rPr>
          <w:color w:val="000000"/>
        </w:rPr>
        <w:instrText xml:space="preserve"> PAGEREF _Toc30004 \h </w:instrText>
      </w:r>
      <w:r>
        <w:rPr>
          <w:color w:val="000000"/>
        </w:rPr>
        <w:fldChar w:fldCharType="separate"/>
      </w:r>
      <w:r>
        <w:rPr>
          <w:color w:val="000000"/>
        </w:rPr>
        <w:t>8</w:t>
      </w:r>
      <w:r>
        <w:rPr>
          <w:color w:val="000000"/>
        </w:rPr>
        <w:fldChar w:fldCharType="end"/>
      </w:r>
      <w:r>
        <w:rPr>
          <w:rFonts w:hint="eastAsia"/>
          <w:color w:val="000000"/>
          <w:lang w:val="en-US" w:eastAsia="zh-CN"/>
        </w:rPr>
        <w:fldChar w:fldCharType="end"/>
      </w:r>
    </w:p>
    <w:p w14:paraId="70ED95CE">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_Toc14412 </w:instrText>
      </w:r>
      <w:r>
        <w:rPr>
          <w:rFonts w:hint="eastAsia"/>
          <w:color w:val="000000"/>
          <w:lang w:val="en-US" w:eastAsia="zh-CN"/>
        </w:rPr>
        <w:fldChar w:fldCharType="separate"/>
      </w:r>
      <w:r>
        <w:rPr>
          <w:rFonts w:hint="eastAsia"/>
          <w:color w:val="000000"/>
          <w:lang w:val="en-US" w:eastAsia="zh-CN"/>
        </w:rPr>
        <w:t>2.2 施工组织设计</w:t>
      </w:r>
      <w:r>
        <w:rPr>
          <w:color w:val="000000"/>
        </w:rPr>
        <w:tab/>
      </w:r>
      <w:r>
        <w:rPr>
          <w:color w:val="000000"/>
        </w:rPr>
        <w:fldChar w:fldCharType="begin"/>
      </w:r>
      <w:r>
        <w:rPr>
          <w:color w:val="000000"/>
        </w:rPr>
        <w:instrText xml:space="preserve"> PAGEREF _Toc14412 \h </w:instrText>
      </w:r>
      <w:r>
        <w:rPr>
          <w:color w:val="000000"/>
        </w:rPr>
        <w:fldChar w:fldCharType="separate"/>
      </w:r>
      <w:r>
        <w:rPr>
          <w:color w:val="000000"/>
        </w:rPr>
        <w:t>13</w:t>
      </w:r>
      <w:r>
        <w:rPr>
          <w:color w:val="000000"/>
        </w:rPr>
        <w:fldChar w:fldCharType="end"/>
      </w:r>
      <w:r>
        <w:rPr>
          <w:rFonts w:hint="eastAsia"/>
          <w:color w:val="000000"/>
          <w:lang w:val="en-US" w:eastAsia="zh-CN"/>
        </w:rPr>
        <w:fldChar w:fldCharType="end"/>
      </w:r>
    </w:p>
    <w:p w14:paraId="33D5C2DD">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_Toc24653 </w:instrText>
      </w:r>
      <w:r>
        <w:rPr>
          <w:rFonts w:hint="eastAsia"/>
          <w:color w:val="000000"/>
          <w:lang w:val="en-US" w:eastAsia="zh-CN"/>
        </w:rPr>
        <w:fldChar w:fldCharType="separate"/>
      </w:r>
      <w:r>
        <w:rPr>
          <w:rFonts w:hint="eastAsia"/>
          <w:color w:val="000000"/>
          <w:lang w:val="en-US" w:eastAsia="zh-CN"/>
        </w:rPr>
        <w:t>2.3主要施工工艺及产排污</w:t>
      </w:r>
      <w:r>
        <w:rPr>
          <w:color w:val="000000"/>
        </w:rPr>
        <w:tab/>
      </w:r>
      <w:r>
        <w:rPr>
          <w:color w:val="000000"/>
        </w:rPr>
        <w:fldChar w:fldCharType="begin"/>
      </w:r>
      <w:r>
        <w:rPr>
          <w:color w:val="000000"/>
        </w:rPr>
        <w:instrText xml:space="preserve"> PAGEREF _Toc24653 \h </w:instrText>
      </w:r>
      <w:r>
        <w:rPr>
          <w:color w:val="000000"/>
        </w:rPr>
        <w:fldChar w:fldCharType="separate"/>
      </w:r>
      <w:r>
        <w:rPr>
          <w:color w:val="000000"/>
        </w:rPr>
        <w:t>24</w:t>
      </w:r>
      <w:r>
        <w:rPr>
          <w:color w:val="000000"/>
        </w:rPr>
        <w:fldChar w:fldCharType="end"/>
      </w:r>
      <w:r>
        <w:rPr>
          <w:rFonts w:hint="eastAsia"/>
          <w:color w:val="000000"/>
          <w:lang w:val="en-US" w:eastAsia="zh-CN"/>
        </w:rPr>
        <w:fldChar w:fldCharType="end"/>
      </w:r>
    </w:p>
    <w:p w14:paraId="0BEAD51D">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_Toc14111 </w:instrText>
      </w:r>
      <w:r>
        <w:rPr>
          <w:rFonts w:hint="eastAsia"/>
          <w:color w:val="000000"/>
          <w:lang w:val="en-US" w:eastAsia="zh-CN"/>
        </w:rPr>
        <w:fldChar w:fldCharType="separate"/>
      </w:r>
      <w:r>
        <w:rPr>
          <w:rFonts w:hint="eastAsia"/>
          <w:color w:val="000000"/>
          <w:lang w:val="en-US" w:eastAsia="zh-CN"/>
        </w:rPr>
        <w:t>2.4项目与相关规划的协调性分析</w:t>
      </w:r>
      <w:r>
        <w:rPr>
          <w:color w:val="000000"/>
        </w:rPr>
        <w:tab/>
      </w:r>
      <w:r>
        <w:rPr>
          <w:color w:val="000000"/>
        </w:rPr>
        <w:fldChar w:fldCharType="begin"/>
      </w:r>
      <w:r>
        <w:rPr>
          <w:color w:val="000000"/>
        </w:rPr>
        <w:instrText xml:space="preserve"> PAGEREF _Toc14111 \h </w:instrText>
      </w:r>
      <w:r>
        <w:rPr>
          <w:color w:val="000000"/>
        </w:rPr>
        <w:fldChar w:fldCharType="separate"/>
      </w:r>
      <w:r>
        <w:rPr>
          <w:color w:val="000000"/>
        </w:rPr>
        <w:t>25</w:t>
      </w:r>
      <w:r>
        <w:rPr>
          <w:color w:val="000000"/>
        </w:rPr>
        <w:fldChar w:fldCharType="end"/>
      </w:r>
      <w:r>
        <w:rPr>
          <w:rFonts w:hint="eastAsia"/>
          <w:color w:val="000000"/>
          <w:lang w:val="en-US" w:eastAsia="zh-CN"/>
        </w:rPr>
        <w:fldChar w:fldCharType="end"/>
      </w:r>
    </w:p>
    <w:p w14:paraId="37586443">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_Toc7704 </w:instrText>
      </w:r>
      <w:r>
        <w:rPr>
          <w:rFonts w:hint="eastAsia"/>
          <w:color w:val="000000"/>
          <w:lang w:val="en-US" w:eastAsia="zh-CN"/>
        </w:rPr>
        <w:fldChar w:fldCharType="separate"/>
      </w:r>
      <w:r>
        <w:rPr>
          <w:rFonts w:hint="eastAsia"/>
          <w:color w:val="000000"/>
          <w:lang w:val="en-US" w:eastAsia="zh-CN"/>
        </w:rPr>
        <w:t>2.5 与六安市“三线一单”</w:t>
      </w:r>
      <w:r>
        <w:rPr>
          <w:color w:val="000000"/>
        </w:rPr>
        <w:t>相符性分析</w:t>
      </w:r>
      <w:r>
        <w:rPr>
          <w:color w:val="000000"/>
        </w:rPr>
        <w:tab/>
      </w:r>
      <w:r>
        <w:rPr>
          <w:color w:val="000000"/>
        </w:rPr>
        <w:fldChar w:fldCharType="begin"/>
      </w:r>
      <w:r>
        <w:rPr>
          <w:color w:val="000000"/>
        </w:rPr>
        <w:instrText xml:space="preserve"> PAGEREF _Toc7704 \h </w:instrText>
      </w:r>
      <w:r>
        <w:rPr>
          <w:color w:val="000000"/>
        </w:rPr>
        <w:fldChar w:fldCharType="separate"/>
      </w:r>
      <w:r>
        <w:rPr>
          <w:color w:val="000000"/>
        </w:rPr>
        <w:t>33</w:t>
      </w:r>
      <w:r>
        <w:rPr>
          <w:color w:val="000000"/>
        </w:rPr>
        <w:fldChar w:fldCharType="end"/>
      </w:r>
      <w:r>
        <w:rPr>
          <w:rFonts w:hint="eastAsia"/>
          <w:color w:val="000000"/>
          <w:lang w:val="en-US" w:eastAsia="zh-CN"/>
        </w:rPr>
        <w:fldChar w:fldCharType="end"/>
      </w:r>
    </w:p>
    <w:p w14:paraId="7D79105C">
      <w:pPr>
        <w:pStyle w:val="33"/>
        <w:tabs>
          <w:tab w:val="right" w:leader="dot" w:pos="8793"/>
        </w:tabs>
        <w:rPr>
          <w:rFonts w:hint="default" w:ascii="Times New Roman" w:hAnsi="Times New Roman" w:eastAsia="宋体" w:cs="Times New Roman"/>
          <w:color w:val="000000"/>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HYPERLINK \l _Toc24334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szCs w:val="30"/>
          <w:lang w:val="en-US" w:eastAsia="zh-CN" w:bidi="ar-SA"/>
        </w:rPr>
        <w:t>2.6与霍山县“三区三线”划定成果相符性分析</w:t>
      </w:r>
      <w:r>
        <w:rPr>
          <w:rFonts w:hint="default" w:ascii="Times New Roman" w:hAnsi="Times New Roman" w:eastAsia="宋体" w:cs="Times New Roman"/>
          <w:color w:val="000000"/>
        </w:rPr>
        <w:tab/>
      </w:r>
      <w:r>
        <w:rPr>
          <w:rFonts w:hint="default" w:ascii="Times New Roman" w:hAnsi="Times New Roman" w:eastAsia="宋体" w:cs="Times New Roman"/>
          <w:color w:val="000000"/>
        </w:rPr>
        <w:fldChar w:fldCharType="begin"/>
      </w:r>
      <w:r>
        <w:rPr>
          <w:rFonts w:hint="default" w:ascii="Times New Roman" w:hAnsi="Times New Roman" w:eastAsia="宋体" w:cs="Times New Roman"/>
          <w:color w:val="000000"/>
        </w:rPr>
        <w:instrText xml:space="preserve"> PAGEREF _Toc24334 \h </w:instrText>
      </w:r>
      <w:r>
        <w:rPr>
          <w:rFonts w:hint="default" w:ascii="Times New Roman" w:hAnsi="Times New Roman" w:eastAsia="宋体" w:cs="Times New Roman"/>
          <w:color w:val="000000"/>
        </w:rPr>
        <w:fldChar w:fldCharType="separate"/>
      </w:r>
      <w:r>
        <w:rPr>
          <w:rFonts w:hint="default" w:ascii="Times New Roman" w:hAnsi="Times New Roman" w:eastAsia="宋体" w:cs="Times New Roman"/>
          <w:color w:val="000000"/>
        </w:rPr>
        <w:t>34</w:t>
      </w:r>
      <w:r>
        <w:rPr>
          <w:rFonts w:hint="default" w:ascii="Times New Roman" w:hAnsi="Times New Roman" w:eastAsia="宋体" w:cs="Times New Roman"/>
          <w:color w:val="000000"/>
        </w:rPr>
        <w:fldChar w:fldCharType="end"/>
      </w:r>
      <w:r>
        <w:rPr>
          <w:rFonts w:hint="default" w:ascii="Times New Roman" w:hAnsi="Times New Roman" w:eastAsia="宋体" w:cs="Times New Roman"/>
          <w:color w:val="000000"/>
          <w:lang w:val="en-US" w:eastAsia="zh-CN"/>
        </w:rPr>
        <w:fldChar w:fldCharType="end"/>
      </w:r>
    </w:p>
    <w:p w14:paraId="51DC3516">
      <w:pPr>
        <w:pStyle w:val="27"/>
        <w:tabs>
          <w:tab w:val="right" w:leader="dot" w:pos="8793"/>
        </w:tabs>
        <w:rPr>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_Toc20990 </w:instrText>
      </w:r>
      <w:r>
        <w:rPr>
          <w:rFonts w:hint="eastAsia"/>
          <w:b/>
          <w:bCs/>
          <w:color w:val="000000"/>
          <w:lang w:val="en-US" w:eastAsia="zh-CN"/>
        </w:rPr>
        <w:fldChar w:fldCharType="separate"/>
      </w:r>
      <w:r>
        <w:rPr>
          <w:rFonts w:hint="eastAsia"/>
          <w:b/>
          <w:bCs/>
          <w:color w:val="000000"/>
          <w:lang w:val="en-US" w:eastAsia="zh-CN"/>
        </w:rPr>
        <w:t>3 霍山县概况</w:t>
      </w:r>
      <w:r>
        <w:rPr>
          <w:b/>
          <w:bCs/>
          <w:color w:val="000000"/>
        </w:rPr>
        <w:tab/>
      </w:r>
      <w:r>
        <w:rPr>
          <w:b/>
          <w:bCs/>
          <w:color w:val="000000"/>
        </w:rPr>
        <w:fldChar w:fldCharType="begin"/>
      </w:r>
      <w:r>
        <w:rPr>
          <w:b/>
          <w:bCs/>
          <w:color w:val="000000"/>
        </w:rPr>
        <w:instrText xml:space="preserve"> PAGEREF _Toc20990 \h </w:instrText>
      </w:r>
      <w:r>
        <w:rPr>
          <w:b/>
          <w:bCs/>
          <w:color w:val="000000"/>
        </w:rPr>
        <w:fldChar w:fldCharType="separate"/>
      </w:r>
      <w:r>
        <w:rPr>
          <w:b/>
          <w:bCs/>
          <w:color w:val="000000"/>
        </w:rPr>
        <w:t>37</w:t>
      </w:r>
      <w:r>
        <w:rPr>
          <w:b/>
          <w:bCs/>
          <w:color w:val="000000"/>
        </w:rPr>
        <w:fldChar w:fldCharType="end"/>
      </w:r>
      <w:r>
        <w:rPr>
          <w:rFonts w:hint="eastAsia"/>
          <w:b/>
          <w:bCs/>
          <w:color w:val="000000"/>
          <w:lang w:val="en-US" w:eastAsia="zh-CN"/>
        </w:rPr>
        <w:fldChar w:fldCharType="end"/>
      </w:r>
    </w:p>
    <w:p w14:paraId="788C88DE">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_Toc20837 </w:instrText>
      </w:r>
      <w:r>
        <w:rPr>
          <w:rFonts w:hint="eastAsia"/>
          <w:color w:val="000000"/>
          <w:lang w:val="en-US" w:eastAsia="zh-CN"/>
        </w:rPr>
        <w:fldChar w:fldCharType="separate"/>
      </w:r>
      <w:r>
        <w:rPr>
          <w:rFonts w:hint="eastAsia"/>
          <w:color w:val="000000"/>
          <w:lang w:val="en-US" w:eastAsia="zh-CN"/>
        </w:rPr>
        <w:t>3.1 地理位置</w:t>
      </w:r>
      <w:r>
        <w:rPr>
          <w:color w:val="000000"/>
        </w:rPr>
        <w:tab/>
      </w:r>
      <w:r>
        <w:rPr>
          <w:color w:val="000000"/>
        </w:rPr>
        <w:fldChar w:fldCharType="begin"/>
      </w:r>
      <w:r>
        <w:rPr>
          <w:color w:val="000000"/>
        </w:rPr>
        <w:instrText xml:space="preserve"> PAGEREF _Toc20837 \h </w:instrText>
      </w:r>
      <w:r>
        <w:rPr>
          <w:color w:val="000000"/>
        </w:rPr>
        <w:fldChar w:fldCharType="separate"/>
      </w:r>
      <w:r>
        <w:rPr>
          <w:color w:val="000000"/>
        </w:rPr>
        <w:t>37</w:t>
      </w:r>
      <w:r>
        <w:rPr>
          <w:color w:val="000000"/>
        </w:rPr>
        <w:fldChar w:fldCharType="end"/>
      </w:r>
      <w:r>
        <w:rPr>
          <w:rFonts w:hint="eastAsia"/>
          <w:color w:val="000000"/>
          <w:lang w:val="en-US" w:eastAsia="zh-CN"/>
        </w:rPr>
        <w:fldChar w:fldCharType="end"/>
      </w:r>
    </w:p>
    <w:p w14:paraId="70368DEB">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_Toc7544 </w:instrText>
      </w:r>
      <w:r>
        <w:rPr>
          <w:rFonts w:hint="eastAsia"/>
          <w:color w:val="000000"/>
          <w:lang w:val="en-US" w:eastAsia="zh-CN"/>
        </w:rPr>
        <w:fldChar w:fldCharType="separate"/>
      </w:r>
      <w:r>
        <w:rPr>
          <w:rFonts w:hint="eastAsia"/>
          <w:color w:val="000000"/>
          <w:lang w:val="en-US" w:eastAsia="zh-CN"/>
        </w:rPr>
        <w:t>3.2地质地貌</w:t>
      </w:r>
      <w:r>
        <w:rPr>
          <w:color w:val="000000"/>
        </w:rPr>
        <w:tab/>
      </w:r>
      <w:r>
        <w:rPr>
          <w:color w:val="000000"/>
        </w:rPr>
        <w:fldChar w:fldCharType="begin"/>
      </w:r>
      <w:r>
        <w:rPr>
          <w:color w:val="000000"/>
        </w:rPr>
        <w:instrText xml:space="preserve"> PAGEREF _Toc7544 \h </w:instrText>
      </w:r>
      <w:r>
        <w:rPr>
          <w:color w:val="000000"/>
        </w:rPr>
        <w:fldChar w:fldCharType="separate"/>
      </w:r>
      <w:r>
        <w:rPr>
          <w:color w:val="000000"/>
        </w:rPr>
        <w:t>38</w:t>
      </w:r>
      <w:r>
        <w:rPr>
          <w:color w:val="000000"/>
        </w:rPr>
        <w:fldChar w:fldCharType="end"/>
      </w:r>
      <w:r>
        <w:rPr>
          <w:rFonts w:hint="eastAsia"/>
          <w:color w:val="000000"/>
          <w:lang w:val="en-US" w:eastAsia="zh-CN"/>
        </w:rPr>
        <w:fldChar w:fldCharType="end"/>
      </w:r>
    </w:p>
    <w:p w14:paraId="083A0105">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_Toc8599 </w:instrText>
      </w:r>
      <w:r>
        <w:rPr>
          <w:rFonts w:hint="eastAsia"/>
          <w:color w:val="000000"/>
          <w:lang w:val="en-US" w:eastAsia="zh-CN"/>
        </w:rPr>
        <w:fldChar w:fldCharType="separate"/>
      </w:r>
      <w:r>
        <w:rPr>
          <w:rFonts w:hint="eastAsia" w:ascii="Times New Roman" w:hAnsi="Times New Roman" w:cs="Times New Roman"/>
          <w:color w:val="000000"/>
          <w:lang w:val="en-US" w:eastAsia="zh-CN"/>
        </w:rPr>
        <w:t>3.3气候概况</w:t>
      </w:r>
      <w:r>
        <w:rPr>
          <w:color w:val="000000"/>
        </w:rPr>
        <w:tab/>
      </w:r>
      <w:r>
        <w:rPr>
          <w:color w:val="000000"/>
        </w:rPr>
        <w:fldChar w:fldCharType="begin"/>
      </w:r>
      <w:r>
        <w:rPr>
          <w:color w:val="000000"/>
        </w:rPr>
        <w:instrText xml:space="preserve"> PAGEREF _Toc8599 \h </w:instrText>
      </w:r>
      <w:r>
        <w:rPr>
          <w:color w:val="000000"/>
        </w:rPr>
        <w:fldChar w:fldCharType="separate"/>
      </w:r>
      <w:r>
        <w:rPr>
          <w:color w:val="000000"/>
        </w:rPr>
        <w:t>38</w:t>
      </w:r>
      <w:r>
        <w:rPr>
          <w:color w:val="000000"/>
        </w:rPr>
        <w:fldChar w:fldCharType="end"/>
      </w:r>
      <w:r>
        <w:rPr>
          <w:rFonts w:hint="eastAsia"/>
          <w:color w:val="000000"/>
          <w:lang w:val="en-US" w:eastAsia="zh-CN"/>
        </w:rPr>
        <w:fldChar w:fldCharType="end"/>
      </w:r>
    </w:p>
    <w:p w14:paraId="34FBC4CC">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_Toc18084 </w:instrText>
      </w:r>
      <w:r>
        <w:rPr>
          <w:rFonts w:hint="eastAsia"/>
          <w:color w:val="000000"/>
          <w:lang w:val="en-US" w:eastAsia="zh-CN"/>
        </w:rPr>
        <w:fldChar w:fldCharType="separate"/>
      </w:r>
      <w:r>
        <w:rPr>
          <w:rFonts w:hint="eastAsia"/>
          <w:color w:val="000000"/>
          <w:lang w:val="en-US" w:eastAsia="zh-CN"/>
        </w:rPr>
        <w:t>3.4 河流水系</w:t>
      </w:r>
      <w:r>
        <w:rPr>
          <w:color w:val="000000"/>
        </w:rPr>
        <w:tab/>
      </w:r>
      <w:r>
        <w:rPr>
          <w:color w:val="000000"/>
        </w:rPr>
        <w:fldChar w:fldCharType="begin"/>
      </w:r>
      <w:r>
        <w:rPr>
          <w:color w:val="000000"/>
        </w:rPr>
        <w:instrText xml:space="preserve"> PAGEREF _Toc18084 \h </w:instrText>
      </w:r>
      <w:r>
        <w:rPr>
          <w:color w:val="000000"/>
        </w:rPr>
        <w:fldChar w:fldCharType="separate"/>
      </w:r>
      <w:r>
        <w:rPr>
          <w:color w:val="000000"/>
        </w:rPr>
        <w:t>38</w:t>
      </w:r>
      <w:r>
        <w:rPr>
          <w:color w:val="000000"/>
        </w:rPr>
        <w:fldChar w:fldCharType="end"/>
      </w:r>
      <w:r>
        <w:rPr>
          <w:rFonts w:hint="eastAsia"/>
          <w:color w:val="000000"/>
          <w:lang w:val="en-US" w:eastAsia="zh-CN"/>
        </w:rPr>
        <w:fldChar w:fldCharType="end"/>
      </w:r>
    </w:p>
    <w:p w14:paraId="7422DB41">
      <w:pPr>
        <w:pStyle w:val="27"/>
        <w:tabs>
          <w:tab w:val="right" w:leader="dot" w:pos="8793"/>
        </w:tabs>
        <w:rPr>
          <w:b/>
          <w:bCs/>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_Toc17396 </w:instrText>
      </w:r>
      <w:r>
        <w:rPr>
          <w:rFonts w:hint="eastAsia"/>
          <w:b/>
          <w:bCs/>
          <w:color w:val="000000"/>
          <w:lang w:val="en-US" w:eastAsia="zh-CN"/>
        </w:rPr>
        <w:fldChar w:fldCharType="separate"/>
      </w:r>
      <w:r>
        <w:rPr>
          <w:rFonts w:hint="eastAsia"/>
          <w:b/>
          <w:bCs/>
          <w:color w:val="000000"/>
          <w:lang w:val="en-US" w:eastAsia="zh-CN"/>
        </w:rPr>
        <w:t>4 生态环境现状</w:t>
      </w:r>
      <w:r>
        <w:rPr>
          <w:b/>
          <w:bCs/>
          <w:color w:val="000000"/>
        </w:rPr>
        <w:tab/>
      </w:r>
      <w:r>
        <w:rPr>
          <w:b/>
          <w:bCs/>
          <w:color w:val="000000"/>
        </w:rPr>
        <w:fldChar w:fldCharType="begin"/>
      </w:r>
      <w:r>
        <w:rPr>
          <w:b/>
          <w:bCs/>
          <w:color w:val="000000"/>
        </w:rPr>
        <w:instrText xml:space="preserve"> PAGEREF _Toc17396 \h </w:instrText>
      </w:r>
      <w:r>
        <w:rPr>
          <w:b/>
          <w:bCs/>
          <w:color w:val="000000"/>
        </w:rPr>
        <w:fldChar w:fldCharType="separate"/>
      </w:r>
      <w:r>
        <w:rPr>
          <w:b/>
          <w:bCs/>
          <w:color w:val="000000"/>
        </w:rPr>
        <w:t>40</w:t>
      </w:r>
      <w:r>
        <w:rPr>
          <w:b/>
          <w:bCs/>
          <w:color w:val="000000"/>
        </w:rPr>
        <w:fldChar w:fldCharType="end"/>
      </w:r>
      <w:r>
        <w:rPr>
          <w:rFonts w:hint="eastAsia"/>
          <w:b/>
          <w:bCs/>
          <w:color w:val="000000"/>
          <w:lang w:val="en-US" w:eastAsia="zh-CN"/>
        </w:rPr>
        <w:fldChar w:fldCharType="end"/>
      </w:r>
    </w:p>
    <w:p w14:paraId="0696D291">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_Toc17551 </w:instrText>
      </w:r>
      <w:r>
        <w:rPr>
          <w:rFonts w:hint="eastAsia"/>
          <w:color w:val="000000"/>
          <w:lang w:val="en-US" w:eastAsia="zh-CN"/>
        </w:rPr>
        <w:fldChar w:fldCharType="separate"/>
      </w:r>
      <w:r>
        <w:rPr>
          <w:rFonts w:hint="eastAsia"/>
          <w:color w:val="000000"/>
          <w:lang w:val="en-US" w:eastAsia="zh-CN"/>
        </w:rPr>
        <w:t xml:space="preserve">4.1 </w:t>
      </w:r>
      <w:r>
        <w:rPr>
          <w:rFonts w:hint="default" w:ascii="Times New Roman" w:hAnsi="Times New Roman" w:cs="Times New Roman"/>
          <w:color w:val="000000"/>
          <w:lang w:val="en-US" w:eastAsia="zh-CN"/>
        </w:rPr>
        <w:t>生态环境现状</w:t>
      </w:r>
      <w:r>
        <w:rPr>
          <w:color w:val="000000"/>
        </w:rPr>
        <w:tab/>
      </w:r>
      <w:r>
        <w:rPr>
          <w:color w:val="000000"/>
        </w:rPr>
        <w:fldChar w:fldCharType="begin"/>
      </w:r>
      <w:r>
        <w:rPr>
          <w:color w:val="000000"/>
        </w:rPr>
        <w:instrText xml:space="preserve"> PAGEREF _Toc17551 \h </w:instrText>
      </w:r>
      <w:r>
        <w:rPr>
          <w:color w:val="000000"/>
        </w:rPr>
        <w:fldChar w:fldCharType="separate"/>
      </w:r>
      <w:r>
        <w:rPr>
          <w:color w:val="000000"/>
        </w:rPr>
        <w:t>40</w:t>
      </w:r>
      <w:r>
        <w:rPr>
          <w:color w:val="000000"/>
        </w:rPr>
        <w:fldChar w:fldCharType="end"/>
      </w:r>
      <w:r>
        <w:rPr>
          <w:rFonts w:hint="eastAsia"/>
          <w:color w:val="000000"/>
          <w:lang w:val="en-US" w:eastAsia="zh-CN"/>
        </w:rPr>
        <w:fldChar w:fldCharType="end"/>
      </w:r>
    </w:p>
    <w:p w14:paraId="35B9EBCD">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_Toc24394 </w:instrText>
      </w:r>
      <w:r>
        <w:rPr>
          <w:rFonts w:hint="eastAsia"/>
          <w:color w:val="000000"/>
          <w:lang w:val="en-US" w:eastAsia="zh-CN"/>
        </w:rPr>
        <w:fldChar w:fldCharType="separate"/>
      </w:r>
      <w:r>
        <w:rPr>
          <w:rFonts w:hint="eastAsia" w:ascii="Times New Roman" w:hAnsi="Times New Roman" w:cs="Times New Roman"/>
          <w:color w:val="000000"/>
          <w:lang w:val="en-US" w:eastAsia="zh-CN"/>
        </w:rPr>
        <w:t>4.2</w:t>
      </w:r>
      <w:r>
        <w:rPr>
          <w:rFonts w:hint="default" w:ascii="Times New Roman" w:hAnsi="Times New Roman" w:cs="Times New Roman"/>
          <w:color w:val="000000"/>
          <w:lang w:val="en-US" w:eastAsia="zh-CN"/>
        </w:rPr>
        <w:t>、生态环境现状调查</w:t>
      </w:r>
      <w:r>
        <w:rPr>
          <w:color w:val="000000"/>
        </w:rPr>
        <w:tab/>
      </w:r>
      <w:r>
        <w:rPr>
          <w:color w:val="000000"/>
        </w:rPr>
        <w:fldChar w:fldCharType="begin"/>
      </w:r>
      <w:r>
        <w:rPr>
          <w:color w:val="000000"/>
        </w:rPr>
        <w:instrText xml:space="preserve"> PAGEREF _Toc24394 \h </w:instrText>
      </w:r>
      <w:r>
        <w:rPr>
          <w:color w:val="000000"/>
        </w:rPr>
        <w:fldChar w:fldCharType="separate"/>
      </w:r>
      <w:r>
        <w:rPr>
          <w:color w:val="000000"/>
        </w:rPr>
        <w:t>45</w:t>
      </w:r>
      <w:r>
        <w:rPr>
          <w:color w:val="000000"/>
        </w:rPr>
        <w:fldChar w:fldCharType="end"/>
      </w:r>
      <w:r>
        <w:rPr>
          <w:rFonts w:hint="eastAsia"/>
          <w:color w:val="000000"/>
          <w:lang w:val="en-US" w:eastAsia="zh-CN"/>
        </w:rPr>
        <w:fldChar w:fldCharType="end"/>
      </w:r>
    </w:p>
    <w:p w14:paraId="2B3CC470">
      <w:pPr>
        <w:pStyle w:val="27"/>
        <w:tabs>
          <w:tab w:val="right" w:leader="dot" w:pos="8793"/>
        </w:tabs>
        <w:rPr>
          <w:b/>
          <w:bCs/>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_Toc26339 </w:instrText>
      </w:r>
      <w:r>
        <w:rPr>
          <w:rFonts w:hint="eastAsia"/>
          <w:b/>
          <w:bCs/>
          <w:color w:val="000000"/>
          <w:lang w:val="en-US" w:eastAsia="zh-CN"/>
        </w:rPr>
        <w:fldChar w:fldCharType="separate"/>
      </w:r>
      <w:r>
        <w:rPr>
          <w:rFonts w:hint="eastAsia"/>
          <w:b/>
          <w:bCs/>
          <w:color w:val="000000"/>
          <w:lang w:val="en-US" w:eastAsia="zh-CN"/>
        </w:rPr>
        <w:t>5 生态环境影响预测与评价</w:t>
      </w:r>
      <w:r>
        <w:rPr>
          <w:b/>
          <w:bCs/>
          <w:color w:val="000000"/>
        </w:rPr>
        <w:tab/>
      </w:r>
      <w:r>
        <w:rPr>
          <w:b/>
          <w:bCs/>
          <w:color w:val="000000"/>
        </w:rPr>
        <w:fldChar w:fldCharType="begin"/>
      </w:r>
      <w:r>
        <w:rPr>
          <w:b/>
          <w:bCs/>
          <w:color w:val="000000"/>
        </w:rPr>
        <w:instrText xml:space="preserve"> PAGEREF _Toc26339 \h </w:instrText>
      </w:r>
      <w:r>
        <w:rPr>
          <w:b/>
          <w:bCs/>
          <w:color w:val="000000"/>
        </w:rPr>
        <w:fldChar w:fldCharType="separate"/>
      </w:r>
      <w:r>
        <w:rPr>
          <w:b/>
          <w:bCs/>
          <w:color w:val="000000"/>
        </w:rPr>
        <w:t>50</w:t>
      </w:r>
      <w:r>
        <w:rPr>
          <w:b/>
          <w:bCs/>
          <w:color w:val="000000"/>
        </w:rPr>
        <w:fldChar w:fldCharType="end"/>
      </w:r>
      <w:r>
        <w:rPr>
          <w:rFonts w:hint="eastAsia"/>
          <w:b/>
          <w:bCs/>
          <w:color w:val="000000"/>
          <w:lang w:val="en-US" w:eastAsia="zh-CN"/>
        </w:rPr>
        <w:fldChar w:fldCharType="end"/>
      </w:r>
    </w:p>
    <w:p w14:paraId="6BFCD0EC">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_Toc107 </w:instrText>
      </w:r>
      <w:r>
        <w:rPr>
          <w:rFonts w:hint="eastAsia"/>
          <w:color w:val="000000"/>
          <w:lang w:val="en-US" w:eastAsia="zh-CN"/>
        </w:rPr>
        <w:fldChar w:fldCharType="separate"/>
      </w:r>
      <w:r>
        <w:rPr>
          <w:rFonts w:hint="eastAsia"/>
          <w:color w:val="000000"/>
          <w:lang w:val="en-US" w:eastAsia="zh-CN"/>
        </w:rPr>
        <w:t>5.1 施工期生态环境影响分析</w:t>
      </w:r>
      <w:r>
        <w:rPr>
          <w:color w:val="000000"/>
        </w:rPr>
        <w:tab/>
      </w:r>
      <w:r>
        <w:rPr>
          <w:color w:val="000000"/>
        </w:rPr>
        <w:fldChar w:fldCharType="begin"/>
      </w:r>
      <w:r>
        <w:rPr>
          <w:color w:val="000000"/>
        </w:rPr>
        <w:instrText xml:space="preserve"> PAGEREF _Toc107 \h </w:instrText>
      </w:r>
      <w:r>
        <w:rPr>
          <w:color w:val="000000"/>
        </w:rPr>
        <w:fldChar w:fldCharType="separate"/>
      </w:r>
      <w:r>
        <w:rPr>
          <w:color w:val="000000"/>
        </w:rPr>
        <w:t>50</w:t>
      </w:r>
      <w:r>
        <w:rPr>
          <w:color w:val="000000"/>
        </w:rPr>
        <w:fldChar w:fldCharType="end"/>
      </w:r>
      <w:r>
        <w:rPr>
          <w:rFonts w:hint="eastAsia"/>
          <w:color w:val="000000"/>
          <w:lang w:val="en-US" w:eastAsia="zh-CN"/>
        </w:rPr>
        <w:fldChar w:fldCharType="end"/>
      </w:r>
    </w:p>
    <w:p w14:paraId="15289EFA">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_Toc15311 </w:instrText>
      </w:r>
      <w:r>
        <w:rPr>
          <w:rFonts w:hint="eastAsia"/>
          <w:color w:val="000000"/>
          <w:lang w:val="en-US" w:eastAsia="zh-CN"/>
        </w:rPr>
        <w:fldChar w:fldCharType="separate"/>
      </w:r>
      <w:r>
        <w:rPr>
          <w:rFonts w:hint="eastAsia" w:ascii="Times New Roman" w:hAnsi="Times New Roman" w:cs="Times New Roman"/>
          <w:color w:val="000000"/>
          <w:lang w:val="en-US" w:eastAsia="zh-CN"/>
        </w:rPr>
        <w:t>5.2 运营期生态环境影响分析</w:t>
      </w:r>
      <w:r>
        <w:rPr>
          <w:color w:val="000000"/>
        </w:rPr>
        <w:tab/>
      </w:r>
      <w:r>
        <w:rPr>
          <w:color w:val="000000"/>
        </w:rPr>
        <w:fldChar w:fldCharType="begin"/>
      </w:r>
      <w:r>
        <w:rPr>
          <w:color w:val="000000"/>
        </w:rPr>
        <w:instrText xml:space="preserve"> PAGEREF _Toc15311 \h </w:instrText>
      </w:r>
      <w:r>
        <w:rPr>
          <w:color w:val="000000"/>
        </w:rPr>
        <w:fldChar w:fldCharType="separate"/>
      </w:r>
      <w:r>
        <w:rPr>
          <w:color w:val="000000"/>
        </w:rPr>
        <w:t>57</w:t>
      </w:r>
      <w:r>
        <w:rPr>
          <w:color w:val="000000"/>
        </w:rPr>
        <w:fldChar w:fldCharType="end"/>
      </w:r>
      <w:r>
        <w:rPr>
          <w:rFonts w:hint="eastAsia"/>
          <w:color w:val="000000"/>
          <w:lang w:val="en-US" w:eastAsia="zh-CN"/>
        </w:rPr>
        <w:fldChar w:fldCharType="end"/>
      </w:r>
    </w:p>
    <w:p w14:paraId="3176ED00">
      <w:pPr>
        <w:pStyle w:val="27"/>
        <w:tabs>
          <w:tab w:val="right" w:leader="dot" w:pos="8793"/>
        </w:tabs>
        <w:rPr>
          <w:b/>
          <w:bCs/>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_Toc26336 </w:instrText>
      </w:r>
      <w:r>
        <w:rPr>
          <w:rFonts w:hint="eastAsia"/>
          <w:b/>
          <w:bCs/>
          <w:color w:val="000000"/>
          <w:lang w:val="en-US" w:eastAsia="zh-CN"/>
        </w:rPr>
        <w:fldChar w:fldCharType="separate"/>
      </w:r>
      <w:r>
        <w:rPr>
          <w:rFonts w:hint="eastAsia"/>
          <w:b/>
          <w:bCs/>
          <w:color w:val="000000"/>
          <w:lang w:val="en-US" w:eastAsia="zh-CN"/>
        </w:rPr>
        <w:t>6 生态保护与恢复措施</w:t>
      </w:r>
      <w:r>
        <w:rPr>
          <w:b/>
          <w:bCs/>
          <w:color w:val="000000"/>
        </w:rPr>
        <w:tab/>
      </w:r>
      <w:r>
        <w:rPr>
          <w:b/>
          <w:bCs/>
          <w:color w:val="000000"/>
        </w:rPr>
        <w:fldChar w:fldCharType="begin"/>
      </w:r>
      <w:r>
        <w:rPr>
          <w:b/>
          <w:bCs/>
          <w:color w:val="000000"/>
        </w:rPr>
        <w:instrText xml:space="preserve"> PAGEREF _Toc26336 \h </w:instrText>
      </w:r>
      <w:r>
        <w:rPr>
          <w:b/>
          <w:bCs/>
          <w:color w:val="000000"/>
        </w:rPr>
        <w:fldChar w:fldCharType="separate"/>
      </w:r>
      <w:r>
        <w:rPr>
          <w:b/>
          <w:bCs/>
          <w:color w:val="000000"/>
        </w:rPr>
        <w:t>60</w:t>
      </w:r>
      <w:r>
        <w:rPr>
          <w:b/>
          <w:bCs/>
          <w:color w:val="000000"/>
        </w:rPr>
        <w:fldChar w:fldCharType="end"/>
      </w:r>
      <w:r>
        <w:rPr>
          <w:rFonts w:hint="eastAsia"/>
          <w:b/>
          <w:bCs/>
          <w:color w:val="000000"/>
          <w:lang w:val="en-US" w:eastAsia="zh-CN"/>
        </w:rPr>
        <w:fldChar w:fldCharType="end"/>
      </w:r>
    </w:p>
    <w:p w14:paraId="6E466806">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_Toc11876 </w:instrText>
      </w:r>
      <w:r>
        <w:rPr>
          <w:rFonts w:hint="eastAsia"/>
          <w:color w:val="000000"/>
          <w:lang w:val="en-US" w:eastAsia="zh-CN"/>
        </w:rPr>
        <w:fldChar w:fldCharType="separate"/>
      </w:r>
      <w:r>
        <w:rPr>
          <w:rFonts w:hint="eastAsia"/>
          <w:color w:val="000000"/>
          <w:lang w:val="en-US" w:eastAsia="zh-CN"/>
        </w:rPr>
        <w:t>6.1 施工期生态保护措施</w:t>
      </w:r>
      <w:r>
        <w:rPr>
          <w:color w:val="000000"/>
        </w:rPr>
        <w:tab/>
      </w:r>
      <w:r>
        <w:rPr>
          <w:color w:val="000000"/>
        </w:rPr>
        <w:fldChar w:fldCharType="begin"/>
      </w:r>
      <w:r>
        <w:rPr>
          <w:color w:val="000000"/>
        </w:rPr>
        <w:instrText xml:space="preserve"> PAGEREF _Toc11876 \h </w:instrText>
      </w:r>
      <w:r>
        <w:rPr>
          <w:color w:val="000000"/>
        </w:rPr>
        <w:fldChar w:fldCharType="separate"/>
      </w:r>
      <w:r>
        <w:rPr>
          <w:color w:val="000000"/>
        </w:rPr>
        <w:t>60</w:t>
      </w:r>
      <w:r>
        <w:rPr>
          <w:color w:val="000000"/>
        </w:rPr>
        <w:fldChar w:fldCharType="end"/>
      </w:r>
      <w:r>
        <w:rPr>
          <w:rFonts w:hint="eastAsia"/>
          <w:color w:val="000000"/>
          <w:lang w:val="en-US" w:eastAsia="zh-CN"/>
        </w:rPr>
        <w:fldChar w:fldCharType="end"/>
      </w:r>
    </w:p>
    <w:p w14:paraId="39D2D88E">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_Toc7263 </w:instrText>
      </w:r>
      <w:r>
        <w:rPr>
          <w:rFonts w:hint="eastAsia"/>
          <w:color w:val="000000"/>
          <w:lang w:val="en-US" w:eastAsia="zh-CN"/>
        </w:rPr>
        <w:fldChar w:fldCharType="separate"/>
      </w:r>
      <w:r>
        <w:rPr>
          <w:rFonts w:hint="eastAsia" w:ascii="Times New Roman" w:hAnsi="Times New Roman" w:cs="Times New Roman"/>
          <w:color w:val="000000"/>
          <w:lang w:val="en-US" w:eastAsia="zh-CN"/>
        </w:rPr>
        <w:t>6.2 运营期生态环境保护措施</w:t>
      </w:r>
      <w:r>
        <w:rPr>
          <w:color w:val="000000"/>
        </w:rPr>
        <w:tab/>
      </w:r>
      <w:r>
        <w:rPr>
          <w:color w:val="000000"/>
        </w:rPr>
        <w:fldChar w:fldCharType="begin"/>
      </w:r>
      <w:r>
        <w:rPr>
          <w:color w:val="000000"/>
        </w:rPr>
        <w:instrText xml:space="preserve"> PAGEREF _Toc7263 \h </w:instrText>
      </w:r>
      <w:r>
        <w:rPr>
          <w:color w:val="000000"/>
        </w:rPr>
        <w:fldChar w:fldCharType="separate"/>
      </w:r>
      <w:r>
        <w:rPr>
          <w:color w:val="000000"/>
        </w:rPr>
        <w:t>65</w:t>
      </w:r>
      <w:r>
        <w:rPr>
          <w:color w:val="000000"/>
        </w:rPr>
        <w:fldChar w:fldCharType="end"/>
      </w:r>
      <w:r>
        <w:rPr>
          <w:rFonts w:hint="eastAsia"/>
          <w:color w:val="000000"/>
          <w:lang w:val="en-US" w:eastAsia="zh-CN"/>
        </w:rPr>
        <w:fldChar w:fldCharType="end"/>
      </w:r>
    </w:p>
    <w:p w14:paraId="3821941B">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_Toc26823 </w:instrText>
      </w:r>
      <w:r>
        <w:rPr>
          <w:rFonts w:hint="eastAsia"/>
          <w:color w:val="000000"/>
          <w:lang w:val="en-US" w:eastAsia="zh-CN"/>
        </w:rPr>
        <w:fldChar w:fldCharType="separate"/>
      </w:r>
      <w:r>
        <w:rPr>
          <w:rFonts w:hint="eastAsia"/>
          <w:color w:val="000000"/>
          <w:lang w:val="en-US" w:eastAsia="zh-CN"/>
        </w:rPr>
        <w:t>6.3 环境管理措施</w:t>
      </w:r>
      <w:r>
        <w:rPr>
          <w:color w:val="000000"/>
        </w:rPr>
        <w:tab/>
      </w:r>
      <w:r>
        <w:rPr>
          <w:color w:val="000000"/>
        </w:rPr>
        <w:fldChar w:fldCharType="begin"/>
      </w:r>
      <w:r>
        <w:rPr>
          <w:color w:val="000000"/>
        </w:rPr>
        <w:instrText xml:space="preserve"> PAGEREF _Toc26823 \h </w:instrText>
      </w:r>
      <w:r>
        <w:rPr>
          <w:color w:val="000000"/>
        </w:rPr>
        <w:fldChar w:fldCharType="separate"/>
      </w:r>
      <w:r>
        <w:rPr>
          <w:color w:val="000000"/>
        </w:rPr>
        <w:t>65</w:t>
      </w:r>
      <w:r>
        <w:rPr>
          <w:color w:val="000000"/>
        </w:rPr>
        <w:fldChar w:fldCharType="end"/>
      </w:r>
      <w:r>
        <w:rPr>
          <w:rFonts w:hint="eastAsia"/>
          <w:color w:val="000000"/>
          <w:lang w:val="en-US" w:eastAsia="zh-CN"/>
        </w:rPr>
        <w:fldChar w:fldCharType="end"/>
      </w:r>
    </w:p>
    <w:p w14:paraId="23625DC9">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_Toc21687 </w:instrText>
      </w:r>
      <w:r>
        <w:rPr>
          <w:rFonts w:hint="eastAsia"/>
          <w:color w:val="000000"/>
          <w:lang w:val="en-US" w:eastAsia="zh-CN"/>
        </w:rPr>
        <w:fldChar w:fldCharType="separate"/>
      </w:r>
      <w:r>
        <w:rPr>
          <w:rFonts w:hint="eastAsia" w:ascii="Times New Roman" w:hAnsi="Times New Roman" w:cs="Times New Roman"/>
          <w:color w:val="000000"/>
          <w:lang w:val="en-US" w:eastAsia="zh-CN"/>
        </w:rPr>
        <w:t>6.4 环境监测</w:t>
      </w:r>
      <w:r>
        <w:rPr>
          <w:color w:val="000000"/>
        </w:rPr>
        <w:tab/>
      </w:r>
      <w:r>
        <w:rPr>
          <w:color w:val="000000"/>
        </w:rPr>
        <w:fldChar w:fldCharType="begin"/>
      </w:r>
      <w:r>
        <w:rPr>
          <w:color w:val="000000"/>
        </w:rPr>
        <w:instrText xml:space="preserve"> PAGEREF _Toc21687 \h </w:instrText>
      </w:r>
      <w:r>
        <w:rPr>
          <w:color w:val="000000"/>
        </w:rPr>
        <w:fldChar w:fldCharType="separate"/>
      </w:r>
      <w:r>
        <w:rPr>
          <w:color w:val="000000"/>
        </w:rPr>
        <w:t>66</w:t>
      </w:r>
      <w:r>
        <w:rPr>
          <w:color w:val="000000"/>
        </w:rPr>
        <w:fldChar w:fldCharType="end"/>
      </w:r>
      <w:r>
        <w:rPr>
          <w:rFonts w:hint="eastAsia"/>
          <w:color w:val="000000"/>
          <w:lang w:val="en-US" w:eastAsia="zh-CN"/>
        </w:rPr>
        <w:fldChar w:fldCharType="end"/>
      </w:r>
    </w:p>
    <w:p w14:paraId="79E82F70">
      <w:pPr>
        <w:pStyle w:val="27"/>
        <w:tabs>
          <w:tab w:val="right" w:leader="dot" w:pos="8793"/>
        </w:tabs>
        <w:rPr>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_Toc11117 </w:instrText>
      </w:r>
      <w:r>
        <w:rPr>
          <w:rFonts w:hint="eastAsia"/>
          <w:b/>
          <w:bCs/>
          <w:color w:val="000000"/>
          <w:lang w:val="en-US" w:eastAsia="zh-CN"/>
        </w:rPr>
        <w:fldChar w:fldCharType="separate"/>
      </w:r>
      <w:r>
        <w:rPr>
          <w:rFonts w:hint="eastAsia"/>
          <w:b/>
          <w:bCs/>
          <w:color w:val="000000"/>
          <w:lang w:val="en-US" w:eastAsia="zh-CN"/>
        </w:rPr>
        <w:t>7 结论</w:t>
      </w:r>
      <w:r>
        <w:rPr>
          <w:b/>
          <w:bCs/>
          <w:color w:val="000000"/>
        </w:rPr>
        <w:tab/>
      </w:r>
      <w:r>
        <w:rPr>
          <w:b/>
          <w:bCs/>
          <w:color w:val="000000"/>
        </w:rPr>
        <w:fldChar w:fldCharType="begin"/>
      </w:r>
      <w:r>
        <w:rPr>
          <w:b/>
          <w:bCs/>
          <w:color w:val="000000"/>
        </w:rPr>
        <w:instrText xml:space="preserve"> PAGEREF _Toc11117 \h </w:instrText>
      </w:r>
      <w:r>
        <w:rPr>
          <w:b/>
          <w:bCs/>
          <w:color w:val="000000"/>
        </w:rPr>
        <w:fldChar w:fldCharType="separate"/>
      </w:r>
      <w:r>
        <w:rPr>
          <w:b/>
          <w:bCs/>
          <w:color w:val="000000"/>
        </w:rPr>
        <w:t>68</w:t>
      </w:r>
      <w:r>
        <w:rPr>
          <w:b/>
          <w:bCs/>
          <w:color w:val="000000"/>
        </w:rPr>
        <w:fldChar w:fldCharType="end"/>
      </w:r>
      <w:r>
        <w:rPr>
          <w:rFonts w:hint="eastAsia"/>
          <w:b/>
          <w:bCs/>
          <w:color w:val="000000"/>
          <w:lang w:val="en-US" w:eastAsia="zh-CN"/>
        </w:rPr>
        <w:fldChar w:fldCharType="end"/>
      </w:r>
    </w:p>
    <w:p w14:paraId="7ABBB403">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_Toc20539 </w:instrText>
      </w:r>
      <w:r>
        <w:rPr>
          <w:rFonts w:hint="eastAsia"/>
          <w:color w:val="000000"/>
          <w:lang w:val="en-US" w:eastAsia="zh-CN"/>
        </w:rPr>
        <w:fldChar w:fldCharType="separate"/>
      </w:r>
      <w:r>
        <w:rPr>
          <w:rFonts w:hint="eastAsia"/>
          <w:color w:val="000000"/>
          <w:lang w:val="en-US" w:eastAsia="zh-CN"/>
        </w:rPr>
        <w:t>7</w:t>
      </w:r>
      <w:r>
        <w:rPr>
          <w:color w:val="000000"/>
        </w:rPr>
        <w:t>.1</w:t>
      </w:r>
      <w:r>
        <w:rPr>
          <w:rFonts w:hint="eastAsia"/>
          <w:color w:val="000000"/>
          <w:lang w:eastAsia="zh-CN"/>
        </w:rPr>
        <w:t xml:space="preserve"> </w:t>
      </w:r>
      <w:r>
        <w:rPr>
          <w:color w:val="000000"/>
        </w:rPr>
        <w:t>建设项目概况</w:t>
      </w:r>
      <w:r>
        <w:rPr>
          <w:color w:val="000000"/>
        </w:rPr>
        <w:tab/>
      </w:r>
      <w:r>
        <w:rPr>
          <w:color w:val="000000"/>
        </w:rPr>
        <w:fldChar w:fldCharType="begin"/>
      </w:r>
      <w:r>
        <w:rPr>
          <w:color w:val="000000"/>
        </w:rPr>
        <w:instrText xml:space="preserve"> PAGEREF _Toc20539 \h </w:instrText>
      </w:r>
      <w:r>
        <w:rPr>
          <w:color w:val="000000"/>
        </w:rPr>
        <w:fldChar w:fldCharType="separate"/>
      </w:r>
      <w:r>
        <w:rPr>
          <w:color w:val="000000"/>
        </w:rPr>
        <w:t>68</w:t>
      </w:r>
      <w:r>
        <w:rPr>
          <w:color w:val="000000"/>
        </w:rPr>
        <w:fldChar w:fldCharType="end"/>
      </w:r>
      <w:r>
        <w:rPr>
          <w:rFonts w:hint="eastAsia"/>
          <w:color w:val="000000"/>
          <w:lang w:val="en-US" w:eastAsia="zh-CN"/>
        </w:rPr>
        <w:fldChar w:fldCharType="end"/>
      </w:r>
    </w:p>
    <w:p w14:paraId="0837BB0F">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_Toc11995 </w:instrText>
      </w:r>
      <w:r>
        <w:rPr>
          <w:rFonts w:hint="eastAsia"/>
          <w:color w:val="000000"/>
          <w:lang w:val="en-US" w:eastAsia="zh-CN"/>
        </w:rPr>
        <w:fldChar w:fldCharType="separate"/>
      </w:r>
      <w:r>
        <w:rPr>
          <w:rFonts w:hint="eastAsia"/>
          <w:color w:val="000000"/>
          <w:lang w:val="en-US" w:eastAsia="zh-CN"/>
        </w:rPr>
        <w:t xml:space="preserve">7.2 </w:t>
      </w:r>
      <w:r>
        <w:rPr>
          <w:rFonts w:hint="eastAsia"/>
          <w:color w:val="000000"/>
          <w:lang w:eastAsia="zh-CN"/>
        </w:rPr>
        <w:t>产业政策、规划相符性</w:t>
      </w:r>
      <w:r>
        <w:rPr>
          <w:color w:val="000000"/>
        </w:rPr>
        <w:tab/>
      </w:r>
      <w:r>
        <w:rPr>
          <w:color w:val="000000"/>
        </w:rPr>
        <w:fldChar w:fldCharType="begin"/>
      </w:r>
      <w:r>
        <w:rPr>
          <w:color w:val="000000"/>
        </w:rPr>
        <w:instrText xml:space="preserve"> PAGEREF _Toc11995 \h </w:instrText>
      </w:r>
      <w:r>
        <w:rPr>
          <w:color w:val="000000"/>
        </w:rPr>
        <w:fldChar w:fldCharType="separate"/>
      </w:r>
      <w:r>
        <w:rPr>
          <w:color w:val="000000"/>
        </w:rPr>
        <w:t>68</w:t>
      </w:r>
      <w:r>
        <w:rPr>
          <w:color w:val="000000"/>
        </w:rPr>
        <w:fldChar w:fldCharType="end"/>
      </w:r>
      <w:r>
        <w:rPr>
          <w:rFonts w:hint="eastAsia"/>
          <w:color w:val="000000"/>
          <w:lang w:val="en-US" w:eastAsia="zh-CN"/>
        </w:rPr>
        <w:fldChar w:fldCharType="end"/>
      </w:r>
    </w:p>
    <w:p w14:paraId="36122B52">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_Toc30158 </w:instrText>
      </w:r>
      <w:r>
        <w:rPr>
          <w:rFonts w:hint="eastAsia"/>
          <w:color w:val="000000"/>
          <w:lang w:val="en-US" w:eastAsia="zh-CN"/>
        </w:rPr>
        <w:fldChar w:fldCharType="separate"/>
      </w:r>
      <w:r>
        <w:rPr>
          <w:rFonts w:hint="eastAsia"/>
          <w:color w:val="000000"/>
          <w:lang w:val="en-US" w:eastAsia="zh-CN"/>
        </w:rPr>
        <w:t>7.3 生态</w:t>
      </w:r>
      <w:r>
        <w:rPr>
          <w:color w:val="000000"/>
        </w:rPr>
        <w:t>环境</w:t>
      </w:r>
      <w:r>
        <w:rPr>
          <w:rFonts w:hint="eastAsia"/>
          <w:color w:val="000000"/>
          <w:lang w:eastAsia="zh-CN"/>
        </w:rPr>
        <w:t>质量</w:t>
      </w:r>
      <w:r>
        <w:rPr>
          <w:color w:val="000000"/>
        </w:rPr>
        <w:t>现状</w:t>
      </w:r>
      <w:r>
        <w:rPr>
          <w:color w:val="000000"/>
        </w:rPr>
        <w:tab/>
      </w:r>
      <w:r>
        <w:rPr>
          <w:color w:val="000000"/>
        </w:rPr>
        <w:fldChar w:fldCharType="begin"/>
      </w:r>
      <w:r>
        <w:rPr>
          <w:color w:val="000000"/>
        </w:rPr>
        <w:instrText xml:space="preserve"> PAGEREF _Toc30158 \h </w:instrText>
      </w:r>
      <w:r>
        <w:rPr>
          <w:color w:val="000000"/>
        </w:rPr>
        <w:fldChar w:fldCharType="separate"/>
      </w:r>
      <w:r>
        <w:rPr>
          <w:color w:val="000000"/>
        </w:rPr>
        <w:t>68</w:t>
      </w:r>
      <w:r>
        <w:rPr>
          <w:color w:val="000000"/>
        </w:rPr>
        <w:fldChar w:fldCharType="end"/>
      </w:r>
      <w:r>
        <w:rPr>
          <w:rFonts w:hint="eastAsia"/>
          <w:color w:val="000000"/>
          <w:lang w:val="en-US" w:eastAsia="zh-CN"/>
        </w:rPr>
        <w:fldChar w:fldCharType="end"/>
      </w:r>
    </w:p>
    <w:p w14:paraId="43B34BD3">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_Toc23214 </w:instrText>
      </w:r>
      <w:r>
        <w:rPr>
          <w:rFonts w:hint="eastAsia"/>
          <w:color w:val="000000"/>
          <w:lang w:val="en-US" w:eastAsia="zh-CN"/>
        </w:rPr>
        <w:fldChar w:fldCharType="separate"/>
      </w:r>
      <w:r>
        <w:rPr>
          <w:rFonts w:hint="eastAsia"/>
          <w:color w:val="000000"/>
          <w:lang w:val="en-US" w:eastAsia="zh-CN"/>
        </w:rPr>
        <w:t>7.4</w:t>
      </w:r>
      <w:r>
        <w:rPr>
          <w:rFonts w:hint="eastAsia"/>
          <w:color w:val="000000"/>
          <w:lang w:eastAsia="zh-CN"/>
        </w:rPr>
        <w:t xml:space="preserve"> 主要</w:t>
      </w:r>
      <w:r>
        <w:rPr>
          <w:rFonts w:hint="eastAsia"/>
          <w:color w:val="000000"/>
          <w:lang w:val="en-US" w:eastAsia="zh-CN"/>
        </w:rPr>
        <w:t>生态</w:t>
      </w:r>
      <w:r>
        <w:rPr>
          <w:rFonts w:hint="eastAsia"/>
          <w:color w:val="000000"/>
          <w:lang w:eastAsia="zh-CN"/>
        </w:rPr>
        <w:t>环境影响</w:t>
      </w:r>
      <w:r>
        <w:rPr>
          <w:color w:val="000000"/>
        </w:rPr>
        <w:tab/>
      </w:r>
      <w:r>
        <w:rPr>
          <w:color w:val="000000"/>
        </w:rPr>
        <w:fldChar w:fldCharType="begin"/>
      </w:r>
      <w:r>
        <w:rPr>
          <w:color w:val="000000"/>
        </w:rPr>
        <w:instrText xml:space="preserve"> PAGEREF _Toc23214 \h </w:instrText>
      </w:r>
      <w:r>
        <w:rPr>
          <w:color w:val="000000"/>
        </w:rPr>
        <w:fldChar w:fldCharType="separate"/>
      </w:r>
      <w:r>
        <w:rPr>
          <w:color w:val="000000"/>
        </w:rPr>
        <w:t>69</w:t>
      </w:r>
      <w:r>
        <w:rPr>
          <w:color w:val="000000"/>
        </w:rPr>
        <w:fldChar w:fldCharType="end"/>
      </w:r>
      <w:r>
        <w:rPr>
          <w:rFonts w:hint="eastAsia"/>
          <w:color w:val="000000"/>
          <w:lang w:val="en-US" w:eastAsia="zh-CN"/>
        </w:rPr>
        <w:fldChar w:fldCharType="end"/>
      </w:r>
    </w:p>
    <w:p w14:paraId="4B6E1DC4">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_Toc6230 </w:instrText>
      </w:r>
      <w:r>
        <w:rPr>
          <w:rFonts w:hint="eastAsia"/>
          <w:color w:val="000000"/>
          <w:lang w:val="en-US" w:eastAsia="zh-CN"/>
        </w:rPr>
        <w:fldChar w:fldCharType="separate"/>
      </w:r>
      <w:r>
        <w:rPr>
          <w:rFonts w:hint="eastAsia"/>
          <w:color w:val="000000"/>
          <w:lang w:val="en-US" w:eastAsia="zh-CN"/>
        </w:rPr>
        <w:t>7.5 生态</w:t>
      </w:r>
      <w:r>
        <w:rPr>
          <w:rFonts w:hint="eastAsia"/>
          <w:color w:val="000000"/>
          <w:lang w:eastAsia="zh-CN"/>
        </w:rPr>
        <w:t>环境保护</w:t>
      </w:r>
      <w:r>
        <w:rPr>
          <w:rFonts w:hint="eastAsia"/>
          <w:color w:val="000000"/>
          <w:lang w:val="en-US" w:eastAsia="zh-CN"/>
        </w:rPr>
        <w:t>与恢复措施</w:t>
      </w:r>
      <w:r>
        <w:rPr>
          <w:color w:val="000000"/>
        </w:rPr>
        <w:tab/>
      </w:r>
      <w:r>
        <w:rPr>
          <w:color w:val="000000"/>
        </w:rPr>
        <w:fldChar w:fldCharType="begin"/>
      </w:r>
      <w:r>
        <w:rPr>
          <w:color w:val="000000"/>
        </w:rPr>
        <w:instrText xml:space="preserve"> PAGEREF _Toc6230 \h </w:instrText>
      </w:r>
      <w:r>
        <w:rPr>
          <w:color w:val="000000"/>
        </w:rPr>
        <w:fldChar w:fldCharType="separate"/>
      </w:r>
      <w:r>
        <w:rPr>
          <w:color w:val="000000"/>
        </w:rPr>
        <w:t>69</w:t>
      </w:r>
      <w:r>
        <w:rPr>
          <w:color w:val="000000"/>
        </w:rPr>
        <w:fldChar w:fldCharType="end"/>
      </w:r>
      <w:r>
        <w:rPr>
          <w:rFonts w:hint="eastAsia"/>
          <w:color w:val="000000"/>
          <w:lang w:val="en-US" w:eastAsia="zh-CN"/>
        </w:rPr>
        <w:fldChar w:fldCharType="end"/>
      </w:r>
    </w:p>
    <w:p w14:paraId="6A290D3B">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_Toc3634 </w:instrText>
      </w:r>
      <w:r>
        <w:rPr>
          <w:rFonts w:hint="eastAsia"/>
          <w:color w:val="000000"/>
          <w:lang w:val="en-US" w:eastAsia="zh-CN"/>
        </w:rPr>
        <w:fldChar w:fldCharType="separate"/>
      </w:r>
      <w:r>
        <w:rPr>
          <w:rFonts w:hint="eastAsia"/>
          <w:color w:val="000000"/>
          <w:lang w:val="en-US" w:eastAsia="zh-CN"/>
        </w:rPr>
        <w:t>7</w:t>
      </w:r>
      <w:r>
        <w:rPr>
          <w:color w:val="000000"/>
        </w:rPr>
        <w:t>.</w:t>
      </w:r>
      <w:r>
        <w:rPr>
          <w:rFonts w:hint="eastAsia"/>
          <w:color w:val="000000"/>
          <w:lang w:val="en-US" w:eastAsia="zh-CN"/>
        </w:rPr>
        <w:t>6</w:t>
      </w:r>
      <w:r>
        <w:rPr>
          <w:rFonts w:hint="eastAsia"/>
          <w:color w:val="000000"/>
          <w:lang w:eastAsia="zh-CN"/>
        </w:rPr>
        <w:t xml:space="preserve"> </w:t>
      </w:r>
      <w:r>
        <w:rPr>
          <w:color w:val="000000"/>
        </w:rPr>
        <w:t>环境管理与监测计划</w:t>
      </w:r>
      <w:r>
        <w:rPr>
          <w:color w:val="000000"/>
        </w:rPr>
        <w:tab/>
      </w:r>
      <w:r>
        <w:rPr>
          <w:color w:val="000000"/>
        </w:rPr>
        <w:fldChar w:fldCharType="begin"/>
      </w:r>
      <w:r>
        <w:rPr>
          <w:color w:val="000000"/>
        </w:rPr>
        <w:instrText xml:space="preserve"> PAGEREF _Toc3634 \h </w:instrText>
      </w:r>
      <w:r>
        <w:rPr>
          <w:color w:val="000000"/>
        </w:rPr>
        <w:fldChar w:fldCharType="separate"/>
      </w:r>
      <w:r>
        <w:rPr>
          <w:color w:val="000000"/>
        </w:rPr>
        <w:t>70</w:t>
      </w:r>
      <w:r>
        <w:rPr>
          <w:color w:val="000000"/>
        </w:rPr>
        <w:fldChar w:fldCharType="end"/>
      </w:r>
      <w:r>
        <w:rPr>
          <w:rFonts w:hint="eastAsia"/>
          <w:color w:val="000000"/>
          <w:lang w:val="en-US" w:eastAsia="zh-CN"/>
        </w:rPr>
        <w:fldChar w:fldCharType="end"/>
      </w:r>
    </w:p>
    <w:p w14:paraId="34120435">
      <w:pPr>
        <w:pStyle w:val="33"/>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_Toc1298 </w:instrText>
      </w:r>
      <w:r>
        <w:rPr>
          <w:rFonts w:hint="eastAsia"/>
          <w:color w:val="000000"/>
          <w:lang w:val="en-US" w:eastAsia="zh-CN"/>
        </w:rPr>
        <w:fldChar w:fldCharType="separate"/>
      </w:r>
      <w:r>
        <w:rPr>
          <w:rFonts w:hint="eastAsia"/>
          <w:color w:val="000000"/>
          <w:lang w:val="en-US" w:eastAsia="zh-CN"/>
        </w:rPr>
        <w:t>7</w:t>
      </w:r>
      <w:r>
        <w:rPr>
          <w:color w:val="000000"/>
        </w:rPr>
        <w:t>.</w:t>
      </w:r>
      <w:r>
        <w:rPr>
          <w:rFonts w:hint="eastAsia"/>
          <w:color w:val="000000"/>
          <w:lang w:val="en-US" w:eastAsia="zh-CN"/>
        </w:rPr>
        <w:t>7</w:t>
      </w:r>
      <w:r>
        <w:rPr>
          <w:rFonts w:hint="eastAsia"/>
          <w:color w:val="000000"/>
          <w:lang w:eastAsia="zh-CN"/>
        </w:rPr>
        <w:t xml:space="preserve"> </w:t>
      </w:r>
      <w:r>
        <w:rPr>
          <w:color w:val="000000"/>
        </w:rPr>
        <w:t>总结论</w:t>
      </w:r>
      <w:r>
        <w:rPr>
          <w:color w:val="000000"/>
        </w:rPr>
        <w:tab/>
      </w:r>
      <w:r>
        <w:rPr>
          <w:color w:val="000000"/>
        </w:rPr>
        <w:fldChar w:fldCharType="begin"/>
      </w:r>
      <w:r>
        <w:rPr>
          <w:color w:val="000000"/>
        </w:rPr>
        <w:instrText xml:space="preserve"> PAGEREF _Toc1298 \h </w:instrText>
      </w:r>
      <w:r>
        <w:rPr>
          <w:color w:val="000000"/>
        </w:rPr>
        <w:fldChar w:fldCharType="separate"/>
      </w:r>
      <w:r>
        <w:rPr>
          <w:color w:val="000000"/>
        </w:rPr>
        <w:t>70</w:t>
      </w:r>
      <w:r>
        <w:rPr>
          <w:color w:val="000000"/>
        </w:rPr>
        <w:fldChar w:fldCharType="end"/>
      </w:r>
      <w:r>
        <w:rPr>
          <w:rFonts w:hint="eastAsia"/>
          <w:color w:val="000000"/>
          <w:lang w:val="en-US" w:eastAsia="zh-CN"/>
        </w:rPr>
        <w:fldChar w:fldCharType="end"/>
      </w:r>
    </w:p>
    <w:p w14:paraId="0CAA5B23">
      <w:pPr>
        <w:pStyle w:val="3"/>
        <w:ind w:left="0" w:firstLine="0"/>
        <w:jc w:val="both"/>
        <w:outlineLvl w:val="9"/>
        <w:rPr>
          <w:rFonts w:hint="eastAsia"/>
          <w:color w:val="000000"/>
          <w:lang w:val="en-US" w:eastAsia="zh-CN"/>
        </w:rPr>
        <w:sectPr>
          <w:footerReference r:id="rId6" w:type="default"/>
          <w:pgSz w:w="11911" w:h="16838" w:orient="landscape"/>
          <w:pgMar w:top="1417" w:right="1417" w:bottom="1417" w:left="1701" w:header="794" w:footer="1123" w:gutter="0"/>
          <w:pgNumType w:start="1"/>
          <w:cols w:space="720" w:num="1"/>
        </w:sectPr>
      </w:pPr>
      <w:r>
        <w:rPr>
          <w:rFonts w:hint="eastAsia"/>
          <w:color w:val="000000"/>
          <w:lang w:val="en-US" w:eastAsia="zh-CN"/>
        </w:rPr>
        <w:fldChar w:fldCharType="end"/>
      </w:r>
    </w:p>
    <w:p w14:paraId="3B1BE37A">
      <w:pPr>
        <w:pStyle w:val="3"/>
        <w:jc w:val="center"/>
        <w:rPr>
          <w:rFonts w:hint="eastAsia"/>
          <w:color w:val="000000"/>
          <w:lang w:val="en-US" w:eastAsia="zh-CN"/>
        </w:rPr>
      </w:pPr>
      <w:bookmarkStart w:id="36" w:name="_Toc10295"/>
      <w:bookmarkStart w:id="37" w:name="_Toc13639"/>
      <w:r>
        <w:rPr>
          <w:rFonts w:hint="eastAsia"/>
          <w:color w:val="000000"/>
          <w:lang w:val="en-US" w:eastAsia="zh-CN"/>
        </w:rPr>
        <w:t>1 总论</w:t>
      </w:r>
      <w:bookmarkEnd w:id="36"/>
      <w:bookmarkEnd w:id="37"/>
    </w:p>
    <w:p w14:paraId="170B1A3B">
      <w:pPr>
        <w:pStyle w:val="4"/>
        <w:rPr>
          <w:rFonts w:hint="eastAsia"/>
          <w:color w:val="000000"/>
          <w:lang w:val="en-US" w:eastAsia="zh-CN"/>
        </w:rPr>
      </w:pPr>
      <w:bookmarkStart w:id="38" w:name="_Toc30082"/>
      <w:bookmarkStart w:id="39" w:name="_Toc31129"/>
      <w:r>
        <w:rPr>
          <w:rFonts w:hint="eastAsia"/>
          <w:color w:val="000000"/>
          <w:lang w:val="en-US" w:eastAsia="zh-CN"/>
        </w:rPr>
        <w:t>1.1 项目建设的必要性和可行性分析</w:t>
      </w:r>
      <w:bookmarkEnd w:id="38"/>
      <w:bookmarkEnd w:id="39"/>
    </w:p>
    <w:p w14:paraId="2C2A52E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霍山县地处大别山区，城区多山地丘陵地貌，地势起伏大。这种地形特点导致了降雨汇流速度快，短时强降水极易形成地面径流涌向低洼地带，引发内涝。霍山县城现状排水防涝标准低，防洪、除涝问题突出，历史上多次严重内涝灾害事件暴露了现有系统的脆弱性和不足。</w:t>
      </w:r>
    </w:p>
    <w:p w14:paraId="3C63614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霍山县西部新城（柳林河西片区）为低洼圩区，圩堤由东淠河、柳林河、淠源渠堤防组成，区内现状无抽排泵站，现状排涝涵闸遇外河水位较高时无法有效排除区内积水，导致民房受淹、交通中断、财产损失等问题，存在极大安全隐患。</w:t>
      </w:r>
    </w:p>
    <w:p w14:paraId="325909E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霍山县城北侧为东淠河，南侧为大别山区，虽近年来实施了淠源渠等优质工程切实减缓了南侧山区汇水引起的洪涝灾害，但城区排涝通道包括高庙河、柳林河、新店河等河道未进行系统治理，存在堤防不达标、护岸损毁、管理设施不健全、建筑物损毁严重等工程问题，排涝通道未能发挥作用，仍存在加大安全隐患。</w:t>
      </w:r>
    </w:p>
    <w:p w14:paraId="757F75E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霍山县城沿河管网建设年代久远、标准偏低：部分老城区或早期建成区域的排水管网设计标准较低，管径偏小、坡度不合理，难以应对当前高强度、短历时的强降雨系统存在短板与瓶颈。部分区域管网覆盖率不足、老化、淤积堵塞现象严重，降低了排水效率。雨水收集系统不完善，泵站提升能力不足，行泄通道（河道、沟渠等）过流能力受限或行洪空间被挤占。原有的设计标准已不能有效满足当前和未来的防洪排涝需求。</w:t>
      </w:r>
    </w:p>
    <w:p w14:paraId="4CDB843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随着霍山县城镇化的快速推进，城区规模扩大，建筑密度和道路硬化率提高，导致城市下垫面的自然渗水能力大幅降低，地表径流量显著增加，对排水系统带来更大压力，同样量级暴雨洪水造成的洪涝灾害损失将更加巨大，洪涝灾害是制约霍山县经济健康快速发展的主要因素之一。因此，霍山县政府和有关部门十分重视霍山县的排水防涝工作，霍山县总体规划、城市防洪规划等规划都将防洪排涝规划列为重要内容，并视为城镇发展中急需优先解决的问题之一。</w:t>
      </w:r>
    </w:p>
    <w:p w14:paraId="0CD210DD">
      <w:pPr>
        <w:rPr>
          <w:rFonts w:hint="eastAsia"/>
          <w:color w:val="000000"/>
          <w:lang w:val="en-US" w:eastAsia="zh-CN"/>
        </w:rPr>
      </w:pPr>
      <w:r>
        <w:rPr>
          <w:rFonts w:hint="default" w:ascii="Times New Roman" w:hAnsi="Times New Roman" w:eastAsia="宋体" w:cs="Times New Roman"/>
          <w:color w:val="000000"/>
          <w:sz w:val="24"/>
          <w:highlight w:val="none"/>
          <w:lang w:val="en-US" w:eastAsia="zh-CN"/>
        </w:rPr>
        <w:t>本项目位于六安市霍山县县城，积极贯彻落实国家和省市关于提升城市防洪排涝能力的决策部署和政策要求。项目旨在系统提升霍山县城区排水防涝能力，适应城镇化快速发展带来的更高排水防涝需求。通过系统性、现代化的工程建设，增强城区抵御暴雨、应对极端天气事件的韧性，保障人民生命财产安全和经济社会可持续发展</w:t>
      </w:r>
      <w:r>
        <w:rPr>
          <w:rFonts w:hint="eastAsia" w:ascii="Times New Roman" w:hAnsi="Times New Roman" w:eastAsia="宋体" w:cs="Times New Roman"/>
          <w:color w:val="000000"/>
          <w:sz w:val="24"/>
          <w:highlight w:val="none"/>
          <w:lang w:val="en-US" w:eastAsia="zh-CN"/>
        </w:rPr>
        <w:t>。且</w:t>
      </w:r>
      <w:r>
        <w:rPr>
          <w:rFonts w:hint="eastAsia" w:ascii="Times New Roman" w:hAnsi="Times New Roman" w:cs="Times New Roman"/>
          <w:color w:val="000000"/>
          <w:lang w:val="en-US" w:eastAsia="zh-CN"/>
        </w:rPr>
        <w:t>具有显著的社会、生态、环境效益，本项目是可行的。</w:t>
      </w:r>
    </w:p>
    <w:p w14:paraId="4E88BFFA">
      <w:pPr>
        <w:pStyle w:val="4"/>
        <w:rPr>
          <w:rFonts w:hint="eastAsia"/>
          <w:color w:val="000000"/>
          <w:lang w:val="en-US" w:eastAsia="zh-CN"/>
        </w:rPr>
      </w:pPr>
      <w:bookmarkStart w:id="40" w:name="_Toc14902"/>
      <w:bookmarkStart w:id="41" w:name="_Toc28412"/>
      <w:r>
        <w:rPr>
          <w:rFonts w:hint="eastAsia"/>
          <w:color w:val="000000"/>
          <w:lang w:val="en-US" w:eastAsia="zh-CN"/>
        </w:rPr>
        <w:t>1.2 编制依据</w:t>
      </w:r>
      <w:bookmarkEnd w:id="40"/>
      <w:bookmarkEnd w:id="41"/>
    </w:p>
    <w:p w14:paraId="538476CF">
      <w:pPr>
        <w:pStyle w:val="5"/>
        <w:rPr>
          <w:rFonts w:hint="eastAsia"/>
          <w:color w:val="000000"/>
          <w:lang w:val="en-US" w:eastAsia="zh-CN"/>
        </w:rPr>
      </w:pPr>
      <w:bookmarkStart w:id="42" w:name="_Toc26833"/>
      <w:r>
        <w:rPr>
          <w:rFonts w:hint="eastAsia"/>
          <w:color w:val="000000"/>
          <w:lang w:val="en-US" w:eastAsia="zh-CN"/>
        </w:rPr>
        <w:t>1.2.1法律法规、规范标准</w:t>
      </w:r>
      <w:bookmarkEnd w:id="42"/>
    </w:p>
    <w:p w14:paraId="586C17F0">
      <w:pPr>
        <w:keepNext w:val="0"/>
        <w:keepLines w:val="0"/>
        <w:pageBreakBefore w:val="0"/>
        <w:widowControl w:val="0"/>
        <w:numPr>
          <w:ilvl w:val="0"/>
          <w:numId w:val="6"/>
        </w:numPr>
        <w:ind w:left="0" w:firstLine="480"/>
        <w:rPr>
          <w:color w:val="000000"/>
        </w:rPr>
      </w:pPr>
      <w:r>
        <w:rPr>
          <w:color w:val="000000"/>
        </w:rPr>
        <w:t>《中华人民共和国环境保护法》，2014.4.24修订，2015.1.1施行；</w:t>
      </w:r>
    </w:p>
    <w:p w14:paraId="218BA041">
      <w:pPr>
        <w:keepNext w:val="0"/>
        <w:keepLines w:val="0"/>
        <w:pageBreakBefore w:val="0"/>
        <w:widowControl w:val="0"/>
        <w:numPr>
          <w:ilvl w:val="0"/>
          <w:numId w:val="6"/>
        </w:numPr>
        <w:ind w:left="0" w:firstLine="480"/>
        <w:rPr>
          <w:rFonts w:hint="eastAsia"/>
          <w:color w:val="000000"/>
        </w:rPr>
      </w:pPr>
      <w:r>
        <w:rPr>
          <w:color w:val="000000"/>
        </w:rPr>
        <w:t>《中华人民共和国野生动物保护法》，2022</w:t>
      </w:r>
      <w:r>
        <w:rPr>
          <w:rFonts w:hint="eastAsia"/>
          <w:color w:val="000000"/>
          <w:lang w:val="en-US" w:eastAsia="zh-CN"/>
        </w:rPr>
        <w:t>.</w:t>
      </w:r>
      <w:r>
        <w:rPr>
          <w:color w:val="000000"/>
        </w:rPr>
        <w:t>12</w:t>
      </w:r>
      <w:r>
        <w:rPr>
          <w:rFonts w:hint="eastAsia"/>
          <w:color w:val="000000"/>
          <w:lang w:val="en-US" w:eastAsia="zh-CN"/>
        </w:rPr>
        <w:t>.</w:t>
      </w:r>
      <w:r>
        <w:rPr>
          <w:color w:val="000000"/>
        </w:rPr>
        <w:t>30日修订</w:t>
      </w:r>
      <w:r>
        <w:rPr>
          <w:rFonts w:hint="eastAsia"/>
          <w:color w:val="000000"/>
        </w:rPr>
        <w:t>。</w:t>
      </w:r>
    </w:p>
    <w:p w14:paraId="51684D49">
      <w:pPr>
        <w:keepNext w:val="0"/>
        <w:keepLines w:val="0"/>
        <w:pageBreakBefore w:val="0"/>
        <w:widowControl w:val="0"/>
        <w:numPr>
          <w:ilvl w:val="0"/>
          <w:numId w:val="6"/>
        </w:numPr>
        <w:ind w:left="0" w:firstLine="480"/>
        <w:rPr>
          <w:rFonts w:hint="eastAsia"/>
          <w:color w:val="000000"/>
        </w:rPr>
      </w:pPr>
      <w:r>
        <w:rPr>
          <w:rFonts w:hint="eastAsia"/>
          <w:color w:val="000000"/>
        </w:rPr>
        <w:t>《中华人民共和国自然保护区条例》，</w:t>
      </w:r>
      <w:r>
        <w:rPr>
          <w:rFonts w:ascii="Segoe UI" w:hAnsi="Segoe UI" w:eastAsia="Segoe UI" w:cs="Segoe UI"/>
          <w:i w:val="0"/>
          <w:iCs w:val="0"/>
          <w:caps w:val="0"/>
          <w:color w:val="000000"/>
          <w:spacing w:val="0"/>
          <w:sz w:val="24"/>
          <w:szCs w:val="24"/>
          <w:shd w:val="clear" w:color="auto" w:fill="FFFFFF"/>
        </w:rPr>
        <w:t>2026</w:t>
      </w:r>
      <w:r>
        <w:rPr>
          <w:rFonts w:hint="eastAsia" w:ascii="Segoe UI" w:hAnsi="Segoe UI" w:eastAsia="宋体" w:cs="Segoe UI"/>
          <w:i w:val="0"/>
          <w:iCs w:val="0"/>
          <w:caps w:val="0"/>
          <w:color w:val="000000"/>
          <w:spacing w:val="0"/>
          <w:sz w:val="24"/>
          <w:szCs w:val="24"/>
          <w:shd w:val="clear" w:color="auto" w:fill="FFFFFF"/>
          <w:lang w:val="en-US" w:eastAsia="zh-CN"/>
        </w:rPr>
        <w:t>.</w:t>
      </w:r>
      <w:r>
        <w:rPr>
          <w:rFonts w:ascii="Segoe UI" w:hAnsi="Segoe UI" w:eastAsia="Segoe UI" w:cs="Segoe UI"/>
          <w:i w:val="0"/>
          <w:iCs w:val="0"/>
          <w:caps w:val="0"/>
          <w:color w:val="000000"/>
          <w:spacing w:val="0"/>
          <w:sz w:val="24"/>
          <w:szCs w:val="24"/>
          <w:shd w:val="clear" w:color="auto" w:fill="FFFFFF"/>
        </w:rPr>
        <w:t>1</w:t>
      </w:r>
      <w:r>
        <w:rPr>
          <w:rFonts w:hint="eastAsia" w:ascii="Segoe UI" w:hAnsi="Segoe UI" w:eastAsia="宋体" w:cs="Segoe UI"/>
          <w:i w:val="0"/>
          <w:iCs w:val="0"/>
          <w:caps w:val="0"/>
          <w:color w:val="000000"/>
          <w:spacing w:val="0"/>
          <w:sz w:val="24"/>
          <w:szCs w:val="24"/>
          <w:shd w:val="clear" w:color="auto" w:fill="FFFFFF"/>
          <w:lang w:val="en-US" w:eastAsia="zh-CN"/>
        </w:rPr>
        <w:t>.</w:t>
      </w:r>
      <w:r>
        <w:rPr>
          <w:rFonts w:ascii="Segoe UI" w:hAnsi="Segoe UI" w:eastAsia="Segoe UI" w:cs="Segoe UI"/>
          <w:i w:val="0"/>
          <w:iCs w:val="0"/>
          <w:caps w:val="0"/>
          <w:color w:val="000000"/>
          <w:spacing w:val="0"/>
          <w:sz w:val="24"/>
          <w:szCs w:val="24"/>
          <w:shd w:val="clear" w:color="auto" w:fill="FFFFFF"/>
        </w:rPr>
        <w:t>9日</w:t>
      </w:r>
      <w:r>
        <w:rPr>
          <w:rFonts w:hint="eastAsia"/>
          <w:color w:val="000000"/>
        </w:rPr>
        <w:t>修订；</w:t>
      </w:r>
    </w:p>
    <w:p w14:paraId="6D6C0349">
      <w:pPr>
        <w:keepNext w:val="0"/>
        <w:keepLines w:val="0"/>
        <w:pageBreakBefore w:val="0"/>
        <w:widowControl w:val="0"/>
        <w:numPr>
          <w:ilvl w:val="0"/>
          <w:numId w:val="6"/>
        </w:numPr>
        <w:ind w:left="0" w:firstLine="480"/>
        <w:rPr>
          <w:rFonts w:hint="eastAsia"/>
          <w:color w:val="000000"/>
        </w:rPr>
      </w:pPr>
      <w:r>
        <w:rPr>
          <w:rFonts w:hint="eastAsia"/>
          <w:color w:val="000000"/>
        </w:rPr>
        <w:t>《中华人民共和国野生植物保护条例》，2017.10.7修订；</w:t>
      </w:r>
    </w:p>
    <w:p w14:paraId="5287BC21">
      <w:pPr>
        <w:keepNext w:val="0"/>
        <w:keepLines w:val="0"/>
        <w:pageBreakBefore w:val="0"/>
        <w:widowControl w:val="0"/>
        <w:numPr>
          <w:ilvl w:val="0"/>
          <w:numId w:val="6"/>
        </w:numPr>
        <w:ind w:left="0" w:firstLine="480"/>
        <w:rPr>
          <w:rFonts w:hint="eastAsia"/>
          <w:color w:val="000000"/>
        </w:rPr>
      </w:pPr>
      <w:r>
        <w:rPr>
          <w:rFonts w:hint="eastAsia"/>
          <w:color w:val="000000"/>
        </w:rPr>
        <w:t>《中华人民共和国陆生野生动物保护实施条例》，2016.2.6修订；</w:t>
      </w:r>
    </w:p>
    <w:p w14:paraId="00036FFA">
      <w:pPr>
        <w:keepNext w:val="0"/>
        <w:keepLines w:val="0"/>
        <w:pageBreakBefore w:val="0"/>
        <w:widowControl w:val="0"/>
        <w:numPr>
          <w:ilvl w:val="0"/>
          <w:numId w:val="6"/>
        </w:numPr>
        <w:ind w:left="0" w:firstLine="480"/>
        <w:rPr>
          <w:rFonts w:hint="eastAsia"/>
          <w:color w:val="000000"/>
        </w:rPr>
      </w:pPr>
      <w:r>
        <w:rPr>
          <w:rFonts w:hint="eastAsia"/>
          <w:color w:val="000000"/>
        </w:rPr>
        <w:t>《中华人民共和国水生野生动物保护实施条例》，2013.12.7修订；</w:t>
      </w:r>
    </w:p>
    <w:p w14:paraId="163A701A">
      <w:pPr>
        <w:keepNext w:val="0"/>
        <w:keepLines w:val="0"/>
        <w:pageBreakBefore w:val="0"/>
        <w:widowControl w:val="0"/>
        <w:numPr>
          <w:ilvl w:val="0"/>
          <w:numId w:val="6"/>
        </w:numPr>
        <w:ind w:left="0" w:firstLine="480"/>
        <w:rPr>
          <w:rFonts w:hint="eastAsia"/>
          <w:color w:val="000000"/>
        </w:rPr>
      </w:pPr>
      <w:r>
        <w:rPr>
          <w:rFonts w:hint="eastAsia"/>
          <w:color w:val="000000"/>
        </w:rPr>
        <w:t>《中华人民共和国湿地保护法》</w:t>
      </w:r>
      <w:r>
        <w:rPr>
          <w:rFonts w:hint="eastAsia"/>
          <w:color w:val="000000"/>
          <w:lang w:eastAsia="zh-CN"/>
        </w:rPr>
        <w:t>，</w:t>
      </w:r>
      <w:r>
        <w:rPr>
          <w:rFonts w:hint="eastAsia"/>
          <w:color w:val="000000"/>
        </w:rPr>
        <w:t>2022年6月施行；</w:t>
      </w:r>
    </w:p>
    <w:p w14:paraId="28BC3099">
      <w:pPr>
        <w:pStyle w:val="5"/>
        <w:rPr>
          <w:rFonts w:hint="eastAsia"/>
          <w:color w:val="000000"/>
          <w:lang w:val="en-US" w:eastAsia="zh-CN"/>
        </w:rPr>
      </w:pPr>
      <w:bookmarkStart w:id="43" w:name="_Toc27"/>
      <w:r>
        <w:rPr>
          <w:rFonts w:hint="eastAsia"/>
          <w:color w:val="000000"/>
          <w:lang w:val="en-US" w:eastAsia="zh-CN"/>
        </w:rPr>
        <w:t>1.2.2地方性法规及政策</w:t>
      </w:r>
      <w:bookmarkEnd w:id="43"/>
    </w:p>
    <w:p w14:paraId="78A86672">
      <w:pPr>
        <w:keepNext w:val="0"/>
        <w:keepLines w:val="0"/>
        <w:pageBreakBefore w:val="0"/>
        <w:widowControl w:val="0"/>
        <w:numPr>
          <w:ilvl w:val="0"/>
          <w:numId w:val="7"/>
        </w:numPr>
        <w:ind w:left="0" w:firstLine="480"/>
        <w:rPr>
          <w:rFonts w:hint="eastAsia"/>
          <w:color w:val="000000"/>
          <w:lang w:val="en-US" w:eastAsia="zh-CN"/>
        </w:rPr>
      </w:pPr>
      <w:r>
        <w:rPr>
          <w:rFonts w:hint="default"/>
          <w:color w:val="000000"/>
          <w:lang w:val="en-US" w:eastAsia="zh-CN"/>
        </w:rPr>
        <w:t>《安徽省水环境功能区划》，安徽省人民政府，2003.3</w:t>
      </w:r>
      <w:r>
        <w:rPr>
          <w:rFonts w:hint="eastAsia"/>
          <w:color w:val="000000"/>
          <w:lang w:val="en-US" w:eastAsia="zh-CN"/>
        </w:rPr>
        <w:t>；</w:t>
      </w:r>
    </w:p>
    <w:p w14:paraId="792DEE1A">
      <w:pPr>
        <w:keepNext w:val="0"/>
        <w:keepLines w:val="0"/>
        <w:pageBreakBefore w:val="0"/>
        <w:widowControl w:val="0"/>
        <w:numPr>
          <w:ilvl w:val="0"/>
          <w:numId w:val="7"/>
        </w:numPr>
        <w:ind w:left="0" w:firstLine="480"/>
        <w:rPr>
          <w:rFonts w:hint="default"/>
          <w:color w:val="000000"/>
          <w:lang w:val="en-US" w:eastAsia="zh-CN"/>
        </w:rPr>
      </w:pPr>
      <w:r>
        <w:rPr>
          <w:rFonts w:hint="default"/>
          <w:color w:val="000000"/>
          <w:lang w:val="en-US" w:eastAsia="zh-CN"/>
        </w:rPr>
        <w:t>《安徽省环境保护条例》，安徽省环境保护厅，</w:t>
      </w:r>
      <w:r>
        <w:rPr>
          <w:rFonts w:hint="eastAsia"/>
          <w:color w:val="000000"/>
          <w:lang w:val="en-US" w:eastAsia="zh-CN"/>
        </w:rPr>
        <w:t>2024.11.22修订；</w:t>
      </w:r>
    </w:p>
    <w:p w14:paraId="71415E9F">
      <w:pPr>
        <w:keepNext w:val="0"/>
        <w:keepLines w:val="0"/>
        <w:pageBreakBefore w:val="0"/>
        <w:widowControl w:val="0"/>
        <w:numPr>
          <w:ilvl w:val="0"/>
          <w:numId w:val="7"/>
        </w:numPr>
        <w:ind w:left="0" w:firstLine="480"/>
        <w:rPr>
          <w:rFonts w:hint="default"/>
          <w:color w:val="000000"/>
          <w:lang w:val="en-US" w:eastAsia="zh-CN"/>
        </w:rPr>
      </w:pPr>
      <w:r>
        <w:rPr>
          <w:rFonts w:hint="default"/>
          <w:color w:val="000000"/>
          <w:lang w:val="en-US" w:eastAsia="zh-CN"/>
        </w:rPr>
        <w:t>《安徽省人民政府关于发布安徽省生态保护红线的通知》（皖政秘〔2018〕</w:t>
      </w:r>
      <w:r>
        <w:rPr>
          <w:rFonts w:hint="eastAsia"/>
          <w:color w:val="000000"/>
          <w:lang w:val="en-US" w:eastAsia="zh-CN"/>
        </w:rPr>
        <w:t>120</w:t>
      </w:r>
      <w:r>
        <w:rPr>
          <w:rFonts w:hint="default"/>
          <w:color w:val="000000"/>
          <w:lang w:val="en-US" w:eastAsia="zh-CN"/>
        </w:rPr>
        <w:t>号），2018.6.27</w:t>
      </w:r>
      <w:r>
        <w:rPr>
          <w:rFonts w:hint="eastAsia"/>
          <w:color w:val="000000"/>
          <w:lang w:val="en-US" w:eastAsia="zh-CN"/>
        </w:rPr>
        <w:t>；</w:t>
      </w:r>
    </w:p>
    <w:p w14:paraId="47F15718">
      <w:pPr>
        <w:pStyle w:val="19"/>
        <w:keepNext w:val="0"/>
        <w:keepLines w:val="0"/>
        <w:pageBreakBefore w:val="0"/>
        <w:widowControl w:val="0"/>
        <w:numPr>
          <w:ilvl w:val="0"/>
          <w:numId w:val="7"/>
        </w:numPr>
        <w:ind w:left="0" w:firstLine="480"/>
        <w:rPr>
          <w:rFonts w:hint="default"/>
          <w:color w:val="000000"/>
          <w:highlight w:val="none"/>
          <w:lang w:val="en-US" w:eastAsia="zh-CN"/>
        </w:rPr>
      </w:pPr>
      <w:r>
        <w:rPr>
          <w:rFonts w:hint="eastAsia"/>
          <w:color w:val="000000"/>
          <w:highlight w:val="none"/>
          <w:lang w:val="en-US" w:eastAsia="zh-CN"/>
        </w:rPr>
        <w:t>《安徽省实施〈中华人民共和国湿地保护法〉办法》，2024.12.1施行。</w:t>
      </w:r>
    </w:p>
    <w:p w14:paraId="0E8E8ABC">
      <w:pPr>
        <w:pStyle w:val="5"/>
        <w:rPr>
          <w:rFonts w:hint="eastAsia"/>
          <w:color w:val="000000"/>
          <w:lang w:val="en-US" w:eastAsia="zh-CN"/>
        </w:rPr>
      </w:pPr>
      <w:bookmarkStart w:id="44" w:name="_Toc13217"/>
      <w:r>
        <w:rPr>
          <w:rFonts w:hint="eastAsia"/>
          <w:color w:val="000000"/>
          <w:lang w:val="en-US" w:eastAsia="zh-CN"/>
        </w:rPr>
        <w:t>1.2.3技术导则及技术规范</w:t>
      </w:r>
      <w:bookmarkEnd w:id="44"/>
    </w:p>
    <w:p w14:paraId="5BBBF792">
      <w:pPr>
        <w:keepNext w:val="0"/>
        <w:keepLines w:val="0"/>
        <w:pageBreakBefore w:val="0"/>
        <w:widowControl w:val="0"/>
        <w:numPr>
          <w:ilvl w:val="0"/>
          <w:numId w:val="8"/>
        </w:numPr>
        <w:ind w:left="0" w:firstLine="480"/>
        <w:rPr>
          <w:rFonts w:hint="eastAsia"/>
          <w:color w:val="000000"/>
          <w:lang w:val="en-US" w:eastAsia="zh-CN"/>
        </w:rPr>
      </w:pPr>
      <w:r>
        <w:rPr>
          <w:rFonts w:hint="eastAsia"/>
          <w:color w:val="000000"/>
          <w:lang w:val="en-US" w:eastAsia="zh-CN"/>
        </w:rPr>
        <w:t>环境保护部《建设项目环境影响评价技术导则 总纲》，HJ2.1-2016，2017年1月1日实施；</w:t>
      </w:r>
    </w:p>
    <w:p w14:paraId="422AFE99">
      <w:pPr>
        <w:keepNext w:val="0"/>
        <w:keepLines w:val="0"/>
        <w:pageBreakBefore w:val="0"/>
        <w:widowControl w:val="0"/>
        <w:numPr>
          <w:ilvl w:val="0"/>
          <w:numId w:val="8"/>
        </w:numPr>
        <w:ind w:left="0" w:firstLine="480"/>
        <w:rPr>
          <w:rFonts w:hint="default"/>
          <w:color w:val="000000"/>
          <w:lang w:val="en-US" w:eastAsia="zh-CN"/>
        </w:rPr>
      </w:pPr>
      <w:r>
        <w:rPr>
          <w:rFonts w:hint="default"/>
          <w:color w:val="000000"/>
          <w:lang w:val="en-US" w:eastAsia="zh-CN"/>
        </w:rPr>
        <w:t>环境保护部《环境影响评价技术导则 生态影响》，HJ19-20</w:t>
      </w:r>
      <w:r>
        <w:rPr>
          <w:rFonts w:hint="eastAsia"/>
          <w:color w:val="000000"/>
          <w:lang w:val="en-US" w:eastAsia="zh-CN"/>
        </w:rPr>
        <w:t>22</w:t>
      </w:r>
      <w:r>
        <w:rPr>
          <w:rFonts w:hint="default"/>
          <w:color w:val="000000"/>
          <w:lang w:val="en-US" w:eastAsia="zh-CN"/>
        </w:rPr>
        <w:t>，</w:t>
      </w:r>
      <w:r>
        <w:rPr>
          <w:rFonts w:hint="eastAsia"/>
          <w:color w:val="000000"/>
          <w:lang w:val="en-US" w:eastAsia="zh-CN"/>
        </w:rPr>
        <w:t>2022年7月1日实施；</w:t>
      </w:r>
    </w:p>
    <w:p w14:paraId="5262ADA4">
      <w:pPr>
        <w:keepNext w:val="0"/>
        <w:keepLines w:val="0"/>
        <w:pageBreakBefore w:val="0"/>
        <w:widowControl w:val="0"/>
        <w:numPr>
          <w:ilvl w:val="0"/>
          <w:numId w:val="8"/>
        </w:numPr>
        <w:ind w:left="0" w:firstLine="480"/>
        <w:rPr>
          <w:rFonts w:hint="default"/>
          <w:color w:val="000000"/>
          <w:lang w:val="en-US" w:eastAsia="zh-CN"/>
        </w:rPr>
      </w:pPr>
      <w:r>
        <w:rPr>
          <w:rFonts w:hint="default"/>
          <w:color w:val="000000"/>
          <w:lang w:val="en-US" w:eastAsia="zh-CN"/>
        </w:rPr>
        <w:t>环境保护部《环境影响评价技术导则 地下水环境》，HJ610-2016，2016年</w:t>
      </w:r>
      <w:r>
        <w:rPr>
          <w:rFonts w:hint="eastAsia"/>
          <w:color w:val="000000"/>
          <w:lang w:val="en-US" w:eastAsia="zh-CN"/>
        </w:rPr>
        <w:t>1</w:t>
      </w:r>
      <w:r>
        <w:rPr>
          <w:rFonts w:hint="default"/>
          <w:color w:val="000000"/>
          <w:lang w:val="en-US" w:eastAsia="zh-CN"/>
        </w:rPr>
        <w:t>月</w:t>
      </w:r>
      <w:r>
        <w:rPr>
          <w:rFonts w:hint="eastAsia"/>
          <w:color w:val="000000"/>
          <w:lang w:val="en-US" w:eastAsia="zh-CN"/>
        </w:rPr>
        <w:t>7</w:t>
      </w:r>
      <w:r>
        <w:rPr>
          <w:rFonts w:hint="default"/>
          <w:color w:val="000000"/>
          <w:lang w:val="en-US" w:eastAsia="zh-CN"/>
        </w:rPr>
        <w:t>日实施</w:t>
      </w:r>
      <w:r>
        <w:rPr>
          <w:rFonts w:hint="eastAsia"/>
          <w:color w:val="000000"/>
          <w:lang w:val="en-US" w:eastAsia="zh-CN"/>
        </w:rPr>
        <w:t>；</w:t>
      </w:r>
    </w:p>
    <w:p w14:paraId="66D731E8">
      <w:pPr>
        <w:keepNext w:val="0"/>
        <w:keepLines w:val="0"/>
        <w:pageBreakBefore w:val="0"/>
        <w:widowControl w:val="0"/>
        <w:numPr>
          <w:ilvl w:val="0"/>
          <w:numId w:val="8"/>
        </w:numPr>
        <w:ind w:left="0" w:firstLine="480"/>
        <w:rPr>
          <w:rFonts w:hint="default"/>
          <w:color w:val="000000"/>
          <w:lang w:val="en-US" w:eastAsia="zh-CN"/>
        </w:rPr>
      </w:pPr>
      <w:r>
        <w:rPr>
          <w:rFonts w:hint="default"/>
          <w:color w:val="000000"/>
          <w:lang w:val="en-US" w:eastAsia="zh-CN"/>
        </w:rPr>
        <w:t>《生态环境状况评价技术规范》（HJ192-2015）</w:t>
      </w:r>
      <w:r>
        <w:rPr>
          <w:rFonts w:hint="eastAsia"/>
          <w:color w:val="000000"/>
          <w:lang w:val="en-US" w:eastAsia="zh-CN"/>
        </w:rPr>
        <w:t>；</w:t>
      </w:r>
    </w:p>
    <w:p w14:paraId="7D7F3D41">
      <w:pPr>
        <w:keepNext w:val="0"/>
        <w:keepLines w:val="0"/>
        <w:pageBreakBefore w:val="0"/>
        <w:widowControl w:val="0"/>
        <w:numPr>
          <w:ilvl w:val="0"/>
          <w:numId w:val="8"/>
        </w:numPr>
        <w:ind w:left="0" w:firstLine="480"/>
        <w:rPr>
          <w:rFonts w:hint="default"/>
          <w:color w:val="000000"/>
          <w:lang w:val="en-US" w:eastAsia="zh-CN"/>
        </w:rPr>
      </w:pPr>
      <w:r>
        <w:rPr>
          <w:rFonts w:hint="default"/>
          <w:color w:val="000000"/>
          <w:lang w:val="en-US" w:eastAsia="zh-CN"/>
        </w:rPr>
        <w:t>《江河湖泊生态环境保护系列技术指南》（GB50286-2013），2013.5.1；</w:t>
      </w:r>
    </w:p>
    <w:p w14:paraId="05D8FECC">
      <w:pPr>
        <w:keepNext w:val="0"/>
        <w:keepLines w:val="0"/>
        <w:pageBreakBefore w:val="0"/>
        <w:widowControl w:val="0"/>
        <w:numPr>
          <w:ilvl w:val="0"/>
          <w:numId w:val="8"/>
        </w:numPr>
        <w:ind w:left="0" w:firstLine="480"/>
        <w:rPr>
          <w:rFonts w:hint="default"/>
          <w:color w:val="000000"/>
          <w:lang w:val="en-US" w:eastAsia="zh-CN"/>
        </w:rPr>
      </w:pPr>
      <w:r>
        <w:rPr>
          <w:rFonts w:hint="eastAsia"/>
          <w:color w:val="000000"/>
          <w:lang w:val="en-US" w:eastAsia="zh-CN"/>
        </w:rPr>
        <w:t>《关于印发机场、港口、水利（河湖整治与防洪除涝工程）三个行业建设项目环境影响评价文件审批原则的通知》，环办环评（2018）2号；</w:t>
      </w:r>
    </w:p>
    <w:p w14:paraId="307298DB">
      <w:pPr>
        <w:pStyle w:val="5"/>
        <w:rPr>
          <w:rFonts w:hint="eastAsia"/>
          <w:color w:val="000000"/>
          <w:lang w:val="en-US" w:eastAsia="zh-CN"/>
        </w:rPr>
      </w:pPr>
      <w:bookmarkStart w:id="45" w:name="_Toc17614"/>
      <w:r>
        <w:rPr>
          <w:rFonts w:hint="eastAsia"/>
          <w:color w:val="000000"/>
          <w:lang w:val="en-US" w:eastAsia="zh-CN"/>
        </w:rPr>
        <w:t>1.2.4技术文件及工作文件</w:t>
      </w:r>
      <w:bookmarkEnd w:id="45"/>
    </w:p>
    <w:p w14:paraId="05E8B62E">
      <w:pPr>
        <w:numPr>
          <w:ilvl w:val="0"/>
          <w:numId w:val="9"/>
        </w:numPr>
        <w:ind w:left="60"/>
        <w:rPr>
          <w:rFonts w:hint="eastAsia"/>
          <w:color w:val="000000"/>
          <w:lang w:val="en-US" w:eastAsia="zh-CN"/>
        </w:rPr>
      </w:pPr>
      <w:r>
        <w:rPr>
          <w:rFonts w:hint="eastAsia"/>
          <w:color w:val="000000"/>
          <w:lang w:val="en-US" w:eastAsia="zh-CN"/>
        </w:rPr>
        <w:t>《霍山县县域生物多样性本底调查与评估项目技术报告》，合肥工业大学</w:t>
      </w:r>
      <w:r>
        <w:rPr>
          <w:rFonts w:hint="eastAsia"/>
          <w:color w:val="000000"/>
          <w:lang w:eastAsia="zh-CN"/>
        </w:rPr>
        <w:t>，</w:t>
      </w:r>
      <w:r>
        <w:rPr>
          <w:rFonts w:hint="eastAsia"/>
          <w:color w:val="000000"/>
          <w:lang w:val="en-US" w:eastAsia="zh-CN"/>
        </w:rPr>
        <w:t>2025年1月；</w:t>
      </w:r>
    </w:p>
    <w:p w14:paraId="580A8872">
      <w:pPr>
        <w:numPr>
          <w:ilvl w:val="0"/>
          <w:numId w:val="9"/>
        </w:numPr>
        <w:ind w:left="60"/>
        <w:rPr>
          <w:rFonts w:hint="eastAsia"/>
          <w:color w:val="000000"/>
          <w:lang w:val="en-US" w:eastAsia="zh-CN"/>
        </w:rPr>
      </w:pPr>
      <w:r>
        <w:rPr>
          <w:rFonts w:hint="eastAsia"/>
          <w:color w:val="000000"/>
          <w:lang w:val="en-US" w:eastAsia="zh-CN"/>
        </w:rPr>
        <w:t>《六安市霍山县排水防涝能力提升项目可行性研究报告》，南京市水利规划设计院股份有限公司，2025年11月；</w:t>
      </w:r>
    </w:p>
    <w:p w14:paraId="54BEDD5E">
      <w:pPr>
        <w:pStyle w:val="4"/>
        <w:rPr>
          <w:rFonts w:hint="eastAsia"/>
          <w:color w:val="000000"/>
          <w:lang w:val="en-US" w:eastAsia="zh-CN"/>
        </w:rPr>
      </w:pPr>
      <w:bookmarkStart w:id="46" w:name="_Toc7400"/>
      <w:bookmarkStart w:id="47" w:name="_Toc1591"/>
      <w:r>
        <w:rPr>
          <w:rFonts w:hint="eastAsia"/>
          <w:color w:val="000000"/>
          <w:lang w:val="en-US" w:eastAsia="zh-CN"/>
        </w:rPr>
        <w:t>1.3 生态影响识别</w:t>
      </w:r>
      <w:bookmarkEnd w:id="46"/>
      <w:bookmarkEnd w:id="47"/>
    </w:p>
    <w:p w14:paraId="3BEA93F5">
      <w:pPr>
        <w:pStyle w:val="5"/>
        <w:rPr>
          <w:color w:val="000000"/>
        </w:rPr>
      </w:pPr>
      <w:bookmarkStart w:id="48" w:name="_Toc15008"/>
      <w:r>
        <w:rPr>
          <w:color w:val="000000"/>
          <w:lang w:eastAsia="zh-CN"/>
        </w:rPr>
        <w:t>1.</w:t>
      </w:r>
      <w:r>
        <w:rPr>
          <w:rFonts w:hint="eastAsia"/>
          <w:color w:val="000000"/>
          <w:lang w:val="en-US" w:eastAsia="zh-CN"/>
        </w:rPr>
        <w:t>3</w:t>
      </w:r>
      <w:r>
        <w:rPr>
          <w:color w:val="000000"/>
        </w:rPr>
        <w:t>.</w:t>
      </w:r>
      <w:r>
        <w:rPr>
          <w:rFonts w:hint="eastAsia"/>
          <w:color w:val="000000"/>
          <w:lang w:val="en-US" w:eastAsia="zh-CN"/>
        </w:rPr>
        <w:t>1</w:t>
      </w:r>
      <w:r>
        <w:rPr>
          <w:rFonts w:hint="eastAsia"/>
          <w:color w:val="000000"/>
          <w:lang w:eastAsia="zh-CN"/>
        </w:rPr>
        <w:t xml:space="preserve"> 环境影响识别矩阵</w:t>
      </w:r>
      <w:bookmarkEnd w:id="48"/>
    </w:p>
    <w:p w14:paraId="3BDE53E4">
      <w:pPr>
        <w:rPr>
          <w:color w:val="000000"/>
        </w:rPr>
      </w:pPr>
      <w:r>
        <w:rPr>
          <w:color w:val="000000"/>
        </w:rPr>
        <w:t>根据拟建项目的建设行为对周围环境的影响情况，结合评价区域的环境概况及保护目标，经初步分析后识别出项目环境影响因子，项目环境影响因子识别矩阵一览表见</w:t>
      </w:r>
      <w:r>
        <w:rPr>
          <w:rFonts w:hint="eastAsia"/>
          <w:color w:val="000000"/>
        </w:rPr>
        <w:t>下</w:t>
      </w:r>
      <w:r>
        <w:rPr>
          <w:color w:val="000000"/>
        </w:rPr>
        <w:t>表。</w:t>
      </w:r>
    </w:p>
    <w:p w14:paraId="70A448AA">
      <w:pPr>
        <w:pStyle w:val="7"/>
        <w:keepNext/>
        <w:keepLines/>
        <w:pageBreakBefore w:val="0"/>
        <w:widowControl w:val="0"/>
        <w:spacing w:before="0" w:line="240" w:lineRule="auto"/>
        <w:jc w:val="center"/>
        <w:rPr>
          <w:b/>
          <w:bCs/>
          <w:color w:val="000000"/>
        </w:rPr>
      </w:pPr>
      <w:r>
        <w:rPr>
          <w:b/>
          <w:bCs/>
          <w:color w:val="000000"/>
        </w:rPr>
        <w:t xml:space="preserve">表1.3-1 </w:t>
      </w:r>
      <w:r>
        <w:rPr>
          <w:rFonts w:hint="eastAsia"/>
          <w:b/>
          <w:bCs/>
          <w:color w:val="000000"/>
        </w:rPr>
        <w:t>拟建项目环境影响因素识别矩阵</w:t>
      </w:r>
    </w:p>
    <w:tbl>
      <w:tblPr>
        <w:tblStyle w:val="206"/>
        <w:tblW w:w="50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7"/>
        <w:gridCol w:w="1481"/>
        <w:gridCol w:w="1184"/>
        <w:gridCol w:w="1333"/>
        <w:gridCol w:w="1237"/>
        <w:gridCol w:w="1116"/>
        <w:gridCol w:w="1077"/>
      </w:tblGrid>
      <w:tr w14:paraId="57576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6" w:type="dxa"/>
            <w:noWrap w:val="0"/>
            <w:vAlign w:val="center"/>
          </w:tcPr>
          <w:p w14:paraId="09566A40">
            <w:pPr>
              <w:spacing w:line="240" w:lineRule="auto"/>
              <w:ind w:firstLine="0"/>
              <w:jc w:val="center"/>
              <w:rPr>
                <w:rFonts w:ascii="宋体" w:hAnsi="宋体" w:eastAsia="宋体" w:cs="Arial"/>
                <w:b/>
                <w:bCs/>
                <w:color w:val="000000"/>
                <w:sz w:val="21"/>
                <w:szCs w:val="21"/>
              </w:rPr>
            </w:pPr>
            <w:r>
              <w:rPr>
                <w:rFonts w:ascii="宋体" w:hAnsi="宋体" w:eastAsia="宋体" w:cs="Arial"/>
                <w:b/>
                <w:bCs/>
                <w:color w:val="000000"/>
                <w:sz w:val="21"/>
                <w:szCs w:val="21"/>
              </w:rPr>
              <w:t>时段</w:t>
            </w:r>
          </w:p>
        </w:tc>
        <w:tc>
          <w:tcPr>
            <w:tcW w:w="1480" w:type="dxa"/>
            <w:noWrap w:val="0"/>
            <w:vAlign w:val="center"/>
          </w:tcPr>
          <w:p w14:paraId="55116331">
            <w:pPr>
              <w:spacing w:line="240" w:lineRule="auto"/>
              <w:ind w:firstLine="0"/>
              <w:jc w:val="center"/>
              <w:rPr>
                <w:rFonts w:ascii="宋体" w:hAnsi="宋体" w:eastAsia="宋体" w:cs="Arial"/>
                <w:b/>
                <w:bCs/>
                <w:color w:val="000000"/>
                <w:sz w:val="21"/>
                <w:szCs w:val="21"/>
              </w:rPr>
            </w:pPr>
            <w:r>
              <w:rPr>
                <w:rFonts w:ascii="宋体" w:hAnsi="宋体" w:eastAsia="宋体" w:cs="Arial"/>
                <w:b/>
                <w:bCs/>
                <w:color w:val="000000"/>
                <w:sz w:val="21"/>
                <w:szCs w:val="21"/>
              </w:rPr>
              <w:t>评价因子</w:t>
            </w:r>
          </w:p>
        </w:tc>
        <w:tc>
          <w:tcPr>
            <w:tcW w:w="1183" w:type="dxa"/>
            <w:noWrap w:val="0"/>
            <w:vAlign w:val="center"/>
          </w:tcPr>
          <w:p w14:paraId="1BBE92BC">
            <w:pPr>
              <w:spacing w:line="240" w:lineRule="auto"/>
              <w:ind w:firstLine="0"/>
              <w:jc w:val="center"/>
              <w:rPr>
                <w:rFonts w:ascii="宋体" w:hAnsi="宋体" w:eastAsia="宋体" w:cs="Arial"/>
                <w:b/>
                <w:bCs/>
                <w:color w:val="000000"/>
                <w:sz w:val="21"/>
                <w:szCs w:val="21"/>
              </w:rPr>
            </w:pPr>
            <w:r>
              <w:rPr>
                <w:rFonts w:ascii="宋体" w:hAnsi="宋体" w:eastAsia="宋体" w:cs="Arial"/>
                <w:b/>
                <w:bCs/>
                <w:color w:val="000000"/>
                <w:sz w:val="21"/>
                <w:szCs w:val="21"/>
              </w:rPr>
              <w:t>性质</w:t>
            </w:r>
          </w:p>
        </w:tc>
        <w:tc>
          <w:tcPr>
            <w:tcW w:w="1332" w:type="dxa"/>
            <w:noWrap w:val="0"/>
            <w:vAlign w:val="center"/>
          </w:tcPr>
          <w:p w14:paraId="41E6353D">
            <w:pPr>
              <w:spacing w:line="240" w:lineRule="auto"/>
              <w:ind w:firstLine="0"/>
              <w:jc w:val="center"/>
              <w:rPr>
                <w:rFonts w:ascii="宋体" w:hAnsi="宋体" w:eastAsia="宋体" w:cs="Arial"/>
                <w:b/>
                <w:bCs/>
                <w:color w:val="000000"/>
                <w:sz w:val="21"/>
                <w:szCs w:val="21"/>
              </w:rPr>
            </w:pPr>
            <w:r>
              <w:rPr>
                <w:rFonts w:ascii="宋体" w:hAnsi="宋体" w:eastAsia="宋体" w:cs="Arial"/>
                <w:b/>
                <w:bCs/>
                <w:color w:val="000000"/>
                <w:sz w:val="21"/>
                <w:szCs w:val="21"/>
              </w:rPr>
              <w:t>程度</w:t>
            </w:r>
          </w:p>
        </w:tc>
        <w:tc>
          <w:tcPr>
            <w:tcW w:w="1236" w:type="dxa"/>
            <w:noWrap w:val="0"/>
            <w:vAlign w:val="center"/>
          </w:tcPr>
          <w:p w14:paraId="44418CF3">
            <w:pPr>
              <w:spacing w:line="240" w:lineRule="auto"/>
              <w:ind w:firstLine="0"/>
              <w:jc w:val="center"/>
              <w:rPr>
                <w:rFonts w:ascii="宋体" w:hAnsi="宋体" w:eastAsia="宋体" w:cs="Arial"/>
                <w:b/>
                <w:bCs/>
                <w:color w:val="000000"/>
                <w:sz w:val="21"/>
                <w:szCs w:val="21"/>
              </w:rPr>
            </w:pPr>
            <w:r>
              <w:rPr>
                <w:rFonts w:ascii="宋体" w:hAnsi="宋体" w:eastAsia="宋体" w:cs="Arial"/>
                <w:b/>
                <w:bCs/>
                <w:color w:val="000000"/>
                <w:sz w:val="21"/>
                <w:szCs w:val="21"/>
              </w:rPr>
              <w:t>时间</w:t>
            </w:r>
          </w:p>
        </w:tc>
        <w:tc>
          <w:tcPr>
            <w:tcW w:w="1115" w:type="dxa"/>
            <w:noWrap w:val="0"/>
            <w:vAlign w:val="center"/>
          </w:tcPr>
          <w:p w14:paraId="576276F3">
            <w:pPr>
              <w:spacing w:line="240" w:lineRule="auto"/>
              <w:ind w:firstLine="0"/>
              <w:jc w:val="center"/>
              <w:rPr>
                <w:rFonts w:ascii="宋体" w:hAnsi="宋体" w:eastAsia="宋体" w:cs="Arial"/>
                <w:b/>
                <w:bCs/>
                <w:color w:val="000000"/>
                <w:sz w:val="21"/>
                <w:szCs w:val="21"/>
              </w:rPr>
            </w:pPr>
            <w:r>
              <w:rPr>
                <w:rFonts w:ascii="宋体" w:hAnsi="宋体" w:eastAsia="宋体" w:cs="Arial"/>
                <w:b/>
                <w:bCs/>
                <w:color w:val="000000"/>
                <w:sz w:val="21"/>
                <w:szCs w:val="21"/>
              </w:rPr>
              <w:t>范围</w:t>
            </w:r>
          </w:p>
        </w:tc>
        <w:tc>
          <w:tcPr>
            <w:tcW w:w="1076" w:type="dxa"/>
            <w:noWrap w:val="0"/>
            <w:vAlign w:val="center"/>
          </w:tcPr>
          <w:p w14:paraId="65EF04B5">
            <w:pPr>
              <w:spacing w:line="240" w:lineRule="auto"/>
              <w:ind w:firstLine="0"/>
              <w:jc w:val="center"/>
              <w:rPr>
                <w:rFonts w:ascii="宋体" w:hAnsi="宋体" w:eastAsia="宋体" w:cs="Arial"/>
                <w:b/>
                <w:bCs/>
                <w:color w:val="000000"/>
                <w:sz w:val="21"/>
                <w:szCs w:val="21"/>
              </w:rPr>
            </w:pPr>
            <w:r>
              <w:rPr>
                <w:rFonts w:ascii="宋体" w:hAnsi="宋体" w:eastAsia="宋体" w:cs="Arial"/>
                <w:b/>
                <w:bCs/>
                <w:color w:val="000000"/>
                <w:sz w:val="21"/>
                <w:szCs w:val="21"/>
              </w:rPr>
              <w:t>可逆性</w:t>
            </w:r>
          </w:p>
        </w:tc>
      </w:tr>
      <w:tr w14:paraId="18BC0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406" w:type="dxa"/>
            <w:noWrap w:val="0"/>
            <w:vAlign w:val="center"/>
          </w:tcPr>
          <w:p w14:paraId="5C54D169">
            <w:pPr>
              <w:spacing w:line="240" w:lineRule="auto"/>
              <w:ind w:firstLine="0"/>
              <w:jc w:val="center"/>
              <w:rPr>
                <w:rFonts w:hint="eastAsia" w:ascii="宋体" w:hAnsi="宋体" w:eastAsia="宋体" w:cs="Arial"/>
                <w:b/>
                <w:color w:val="000000"/>
                <w:sz w:val="21"/>
                <w:szCs w:val="21"/>
                <w:lang w:eastAsia="zh-CN"/>
              </w:rPr>
            </w:pPr>
            <w:r>
              <w:rPr>
                <w:rFonts w:hint="eastAsia" w:ascii="宋体" w:hAnsi="宋体" w:cs="Arial"/>
                <w:b/>
                <w:color w:val="000000"/>
                <w:sz w:val="21"/>
                <w:szCs w:val="21"/>
                <w:lang w:eastAsia="zh-CN"/>
              </w:rPr>
              <w:t>施工期</w:t>
            </w:r>
          </w:p>
        </w:tc>
        <w:tc>
          <w:tcPr>
            <w:tcW w:w="1480" w:type="dxa"/>
            <w:noWrap w:val="0"/>
            <w:vAlign w:val="center"/>
          </w:tcPr>
          <w:p w14:paraId="6AAFD247">
            <w:pPr>
              <w:widowControl/>
              <w:spacing w:before="117" w:line="228" w:lineRule="auto"/>
              <w:ind w:left="265" w:firstLine="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6"/>
                <w:sz w:val="21"/>
                <w:szCs w:val="21"/>
              </w:rPr>
              <w:t>生态环</w:t>
            </w:r>
            <w:r>
              <w:rPr>
                <w:rFonts w:hint="default" w:ascii="Times New Roman" w:hAnsi="Times New Roman" w:eastAsia="宋体" w:cs="Times New Roman"/>
                <w:color w:val="000000"/>
                <w:spacing w:val="15"/>
                <w:sz w:val="21"/>
                <w:szCs w:val="21"/>
              </w:rPr>
              <w:t>境</w:t>
            </w:r>
          </w:p>
        </w:tc>
        <w:tc>
          <w:tcPr>
            <w:tcW w:w="1183" w:type="dxa"/>
            <w:noWrap w:val="0"/>
            <w:vAlign w:val="center"/>
          </w:tcPr>
          <w:p w14:paraId="50170804">
            <w:pPr>
              <w:widowControl/>
              <w:spacing w:before="117" w:line="238" w:lineRule="auto"/>
              <w:ind w:left="476" w:firstLine="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1332" w:type="dxa"/>
            <w:noWrap w:val="0"/>
            <w:vAlign w:val="center"/>
          </w:tcPr>
          <w:p w14:paraId="730DA4DC">
            <w:pPr>
              <w:widowControl/>
              <w:spacing w:before="117" w:line="238" w:lineRule="auto"/>
              <w:ind w:left="418" w:firstLine="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9"/>
                <w:sz w:val="21"/>
                <w:szCs w:val="21"/>
              </w:rPr>
              <w:t>一般</w:t>
            </w:r>
          </w:p>
        </w:tc>
        <w:tc>
          <w:tcPr>
            <w:tcW w:w="1236" w:type="dxa"/>
            <w:noWrap w:val="0"/>
            <w:vAlign w:val="center"/>
          </w:tcPr>
          <w:p w14:paraId="387B8E96">
            <w:pPr>
              <w:widowControl/>
              <w:spacing w:before="117" w:line="228" w:lineRule="auto"/>
              <w:ind w:left="485" w:firstLine="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短</w:t>
            </w:r>
          </w:p>
        </w:tc>
        <w:tc>
          <w:tcPr>
            <w:tcW w:w="1115" w:type="dxa"/>
            <w:noWrap w:val="0"/>
            <w:vAlign w:val="center"/>
          </w:tcPr>
          <w:p w14:paraId="37CC2535">
            <w:pPr>
              <w:widowControl/>
              <w:spacing w:before="116" w:line="228" w:lineRule="auto"/>
              <w:ind w:left="314" w:firstLine="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0"/>
                <w:sz w:val="21"/>
                <w:szCs w:val="21"/>
              </w:rPr>
              <w:t>局</w:t>
            </w:r>
            <w:r>
              <w:rPr>
                <w:rFonts w:hint="default" w:ascii="Times New Roman" w:hAnsi="Times New Roman" w:eastAsia="宋体" w:cs="Times New Roman"/>
                <w:color w:val="000000"/>
                <w:spacing w:val="9"/>
                <w:sz w:val="21"/>
                <w:szCs w:val="21"/>
              </w:rPr>
              <w:t>部</w:t>
            </w:r>
          </w:p>
        </w:tc>
        <w:tc>
          <w:tcPr>
            <w:tcW w:w="1076" w:type="dxa"/>
            <w:noWrap w:val="0"/>
            <w:vAlign w:val="center"/>
          </w:tcPr>
          <w:p w14:paraId="0D02E4C0">
            <w:pPr>
              <w:widowControl/>
              <w:spacing w:before="117" w:line="231" w:lineRule="auto"/>
              <w:ind w:left="406" w:firstLine="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可</w:t>
            </w:r>
          </w:p>
        </w:tc>
      </w:tr>
      <w:tr w14:paraId="39FA8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6" w:type="dxa"/>
            <w:noWrap w:val="0"/>
            <w:vAlign w:val="center"/>
          </w:tcPr>
          <w:p w14:paraId="258ED8BF">
            <w:pPr>
              <w:spacing w:line="240" w:lineRule="auto"/>
              <w:ind w:firstLine="0"/>
              <w:jc w:val="center"/>
              <w:rPr>
                <w:rFonts w:ascii="宋体" w:hAnsi="宋体" w:eastAsia="宋体" w:cs="Arial"/>
                <w:b/>
                <w:color w:val="000000"/>
                <w:sz w:val="21"/>
                <w:szCs w:val="21"/>
              </w:rPr>
            </w:pPr>
            <w:r>
              <w:rPr>
                <w:rFonts w:ascii="宋体" w:hAnsi="宋体" w:eastAsia="宋体" w:cs="Arial"/>
                <w:b/>
                <w:color w:val="000000"/>
                <w:sz w:val="21"/>
                <w:szCs w:val="21"/>
              </w:rPr>
              <w:t>运行期</w:t>
            </w:r>
          </w:p>
        </w:tc>
        <w:tc>
          <w:tcPr>
            <w:tcW w:w="1480" w:type="dxa"/>
            <w:noWrap w:val="0"/>
            <w:vAlign w:val="center"/>
          </w:tcPr>
          <w:p w14:paraId="6C9E5EDB">
            <w:pPr>
              <w:widowControl/>
              <w:spacing w:before="119" w:line="228" w:lineRule="auto"/>
              <w:ind w:left="265" w:firstLine="0"/>
              <w:jc w:val="left"/>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pacing w:val="16"/>
                <w:sz w:val="21"/>
                <w:szCs w:val="21"/>
              </w:rPr>
              <w:t>生态环</w:t>
            </w:r>
            <w:r>
              <w:rPr>
                <w:rFonts w:hint="default" w:ascii="Times New Roman" w:hAnsi="Times New Roman" w:eastAsia="宋体" w:cs="Times New Roman"/>
                <w:color w:val="000000"/>
                <w:spacing w:val="15"/>
                <w:sz w:val="21"/>
                <w:szCs w:val="21"/>
              </w:rPr>
              <w:t>境</w:t>
            </w:r>
          </w:p>
        </w:tc>
        <w:tc>
          <w:tcPr>
            <w:tcW w:w="1183" w:type="dxa"/>
            <w:noWrap w:val="0"/>
            <w:vAlign w:val="center"/>
          </w:tcPr>
          <w:p w14:paraId="552F5FEE">
            <w:pPr>
              <w:widowControl/>
              <w:spacing w:before="81" w:line="281" w:lineRule="exact"/>
              <w:ind w:left="501" w:firstLine="0"/>
              <w:jc w:val="left"/>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pacing w:val="1"/>
                <w:position w:val="2"/>
                <w:sz w:val="21"/>
                <w:szCs w:val="21"/>
              </w:rPr>
              <w:t>+</w:t>
            </w:r>
          </w:p>
        </w:tc>
        <w:tc>
          <w:tcPr>
            <w:tcW w:w="1332" w:type="dxa"/>
            <w:noWrap w:val="0"/>
            <w:vAlign w:val="center"/>
          </w:tcPr>
          <w:p w14:paraId="4BD34DC5">
            <w:pPr>
              <w:widowControl/>
              <w:spacing w:before="117" w:line="238" w:lineRule="auto"/>
              <w:ind w:left="418" w:firstLine="0"/>
              <w:jc w:val="left"/>
              <w:rPr>
                <w:rFonts w:hint="default" w:ascii="Times New Roman" w:hAnsi="Times New Roman" w:eastAsia="宋体" w:cs="Times New Roman"/>
                <w:color w:val="000000"/>
                <w:spacing w:val="9"/>
                <w:sz w:val="21"/>
                <w:szCs w:val="21"/>
                <w:lang w:val="en-US" w:eastAsia="zh-CN" w:bidi="ar-SA"/>
              </w:rPr>
            </w:pPr>
            <w:r>
              <w:rPr>
                <w:rFonts w:hint="default" w:ascii="Times New Roman" w:hAnsi="Times New Roman" w:eastAsia="宋体" w:cs="Times New Roman"/>
                <w:color w:val="000000"/>
                <w:spacing w:val="9"/>
                <w:sz w:val="21"/>
                <w:szCs w:val="21"/>
              </w:rPr>
              <w:t>较小</w:t>
            </w:r>
          </w:p>
        </w:tc>
        <w:tc>
          <w:tcPr>
            <w:tcW w:w="1236" w:type="dxa"/>
            <w:noWrap w:val="0"/>
            <w:vAlign w:val="center"/>
          </w:tcPr>
          <w:p w14:paraId="0FE8FD46">
            <w:pPr>
              <w:widowControl/>
              <w:spacing w:before="119" w:line="228" w:lineRule="auto"/>
              <w:ind w:left="373" w:firstLine="0"/>
              <w:jc w:val="left"/>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pacing w:val="10"/>
                <w:sz w:val="21"/>
                <w:szCs w:val="21"/>
              </w:rPr>
              <w:t>长期</w:t>
            </w:r>
          </w:p>
        </w:tc>
        <w:tc>
          <w:tcPr>
            <w:tcW w:w="1115" w:type="dxa"/>
            <w:noWrap w:val="0"/>
            <w:vAlign w:val="center"/>
          </w:tcPr>
          <w:p w14:paraId="20EA7CDB">
            <w:pPr>
              <w:widowControl/>
              <w:spacing w:before="118" w:line="228" w:lineRule="auto"/>
              <w:ind w:left="314" w:firstLine="0"/>
              <w:jc w:val="left"/>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pacing w:val="10"/>
                <w:sz w:val="21"/>
                <w:szCs w:val="21"/>
              </w:rPr>
              <w:t>局</w:t>
            </w:r>
            <w:r>
              <w:rPr>
                <w:rFonts w:hint="default" w:ascii="Times New Roman" w:hAnsi="Times New Roman" w:eastAsia="宋体" w:cs="Times New Roman"/>
                <w:color w:val="000000"/>
                <w:spacing w:val="9"/>
                <w:sz w:val="21"/>
                <w:szCs w:val="21"/>
              </w:rPr>
              <w:t>部</w:t>
            </w:r>
          </w:p>
        </w:tc>
        <w:tc>
          <w:tcPr>
            <w:tcW w:w="1076" w:type="dxa"/>
            <w:noWrap w:val="0"/>
            <w:vAlign w:val="center"/>
          </w:tcPr>
          <w:p w14:paraId="6E7729AD">
            <w:pPr>
              <w:widowControl/>
              <w:spacing w:before="119" w:line="231" w:lineRule="auto"/>
              <w:ind w:left="406" w:firstLine="0"/>
              <w:jc w:val="left"/>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可</w:t>
            </w:r>
          </w:p>
        </w:tc>
      </w:tr>
      <w:tr w14:paraId="141B7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28" w:type="dxa"/>
            <w:gridSpan w:val="7"/>
            <w:noWrap w:val="0"/>
            <w:vAlign w:val="center"/>
          </w:tcPr>
          <w:p w14:paraId="2AC7AB1F">
            <w:pPr>
              <w:widowControl/>
              <w:spacing w:before="115" w:line="230" w:lineRule="auto"/>
              <w:ind w:firstLine="0"/>
              <w:jc w:val="left"/>
              <w:rPr>
                <w:rFonts w:ascii="宋体" w:hAnsi="宋体" w:eastAsia="宋体" w:cs="Arial"/>
                <w:color w:val="000000"/>
                <w:sz w:val="21"/>
                <w:szCs w:val="21"/>
              </w:rPr>
            </w:pPr>
            <w:r>
              <w:rPr>
                <w:rFonts w:ascii="宋体" w:hAnsi="宋体" w:eastAsia="宋体" w:cs="Arial"/>
                <w:color w:val="000000"/>
                <w:spacing w:val="11"/>
                <w:sz w:val="21"/>
                <w:szCs w:val="21"/>
              </w:rPr>
              <w:t>注：“＋”为有利影响</w:t>
            </w:r>
            <w:r>
              <w:rPr>
                <w:rFonts w:hint="eastAsia" w:ascii="宋体" w:hAnsi="宋体" w:eastAsia="宋体" w:cs="Arial"/>
                <w:color w:val="000000"/>
                <w:spacing w:val="11"/>
                <w:sz w:val="21"/>
                <w:szCs w:val="21"/>
              </w:rPr>
              <w:t>，</w:t>
            </w:r>
            <w:r>
              <w:rPr>
                <w:rFonts w:ascii="宋体" w:hAnsi="宋体" w:eastAsia="宋体" w:cs="Arial"/>
                <w:color w:val="000000"/>
                <w:spacing w:val="11"/>
                <w:sz w:val="21"/>
                <w:szCs w:val="21"/>
              </w:rPr>
              <w:t>“－”为不利影响</w:t>
            </w:r>
          </w:p>
        </w:tc>
      </w:tr>
    </w:tbl>
    <w:p w14:paraId="5D380671">
      <w:pPr>
        <w:pStyle w:val="19"/>
        <w:rPr>
          <w:rFonts w:hint="eastAsia"/>
          <w:color w:val="000000"/>
          <w:lang w:val="en-US" w:eastAsia="zh-CN"/>
        </w:rPr>
        <w:sectPr>
          <w:footerReference r:id="rId7" w:type="default"/>
          <w:pgSz w:w="11911" w:h="16838" w:orient="landscape"/>
          <w:pgMar w:top="1417" w:right="1417" w:bottom="1417" w:left="1701" w:header="794" w:footer="1123" w:gutter="0"/>
          <w:pgNumType w:start="1"/>
          <w:cols w:space="720" w:num="1"/>
        </w:sectPr>
      </w:pPr>
    </w:p>
    <w:p w14:paraId="56BE2BFA">
      <w:pPr>
        <w:pStyle w:val="5"/>
        <w:rPr>
          <w:rFonts w:hint="default"/>
          <w:color w:val="000000"/>
          <w:lang w:val="en-US" w:eastAsia="zh-CN"/>
        </w:rPr>
      </w:pPr>
      <w:bookmarkStart w:id="49" w:name="_Toc27949"/>
      <w:r>
        <w:rPr>
          <w:rFonts w:hint="eastAsia"/>
          <w:color w:val="000000"/>
          <w:lang w:val="en-US" w:eastAsia="zh-CN"/>
        </w:rPr>
        <w:t>1.3.2 评价因子</w:t>
      </w:r>
      <w:bookmarkEnd w:id="49"/>
    </w:p>
    <w:p w14:paraId="5659D532">
      <w:pPr>
        <w:keepNext w:val="0"/>
        <w:keepLines w:val="0"/>
        <w:pageBreakBefore w:val="0"/>
        <w:widowControl w:val="0"/>
        <w:spacing w:line="240" w:lineRule="auto"/>
        <w:jc w:val="center"/>
        <w:rPr>
          <w:b/>
          <w:bCs/>
          <w:color w:val="000000"/>
        </w:rPr>
      </w:pPr>
      <w:bookmarkStart w:id="50" w:name="_Toc31006"/>
      <w:r>
        <w:rPr>
          <w:b/>
          <w:bCs/>
          <w:color w:val="000000"/>
        </w:rPr>
        <w:t>表1.3-</w:t>
      </w:r>
      <w:r>
        <w:rPr>
          <w:rFonts w:hint="eastAsia"/>
          <w:b/>
          <w:bCs/>
          <w:color w:val="000000"/>
          <w:lang w:val="en-US" w:eastAsia="zh-CN"/>
        </w:rPr>
        <w:t>2</w:t>
      </w:r>
      <w:r>
        <w:rPr>
          <w:b/>
          <w:bCs/>
          <w:color w:val="000000"/>
        </w:rPr>
        <w:t xml:space="preserve"> 施工期生态影响评价因子筛选表</w:t>
      </w:r>
      <w:bookmarkEnd w:id="50"/>
    </w:p>
    <w:tbl>
      <w:tblPr>
        <w:tblStyle w:val="206"/>
        <w:tblW w:w="502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3"/>
        <w:gridCol w:w="1764"/>
        <w:gridCol w:w="7216"/>
        <w:gridCol w:w="915"/>
        <w:gridCol w:w="780"/>
        <w:gridCol w:w="888"/>
        <w:gridCol w:w="833"/>
        <w:gridCol w:w="551"/>
      </w:tblGrid>
      <w:tr w14:paraId="155BC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vMerge w:val="restart"/>
            <w:noWrap w:val="0"/>
            <w:vAlign w:val="center"/>
          </w:tcPr>
          <w:p w14:paraId="00749072">
            <w:pPr>
              <w:spacing w:line="240" w:lineRule="auto"/>
              <w:ind w:firstLine="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受影响对象</w:t>
            </w:r>
          </w:p>
        </w:tc>
        <w:tc>
          <w:tcPr>
            <w:tcW w:w="1905" w:type="dxa"/>
            <w:vMerge w:val="restart"/>
            <w:noWrap w:val="0"/>
            <w:vAlign w:val="center"/>
          </w:tcPr>
          <w:p w14:paraId="2FF41CCD">
            <w:pPr>
              <w:spacing w:line="240" w:lineRule="auto"/>
              <w:ind w:firstLine="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评价因子</w:t>
            </w:r>
          </w:p>
        </w:tc>
        <w:tc>
          <w:tcPr>
            <w:tcW w:w="7794" w:type="dxa"/>
            <w:vMerge w:val="restart"/>
            <w:noWrap w:val="0"/>
            <w:vAlign w:val="center"/>
          </w:tcPr>
          <w:p w14:paraId="3DC2630E">
            <w:pPr>
              <w:spacing w:line="240" w:lineRule="auto"/>
              <w:ind w:firstLine="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工作内容及影响方式</w:t>
            </w:r>
          </w:p>
        </w:tc>
        <w:tc>
          <w:tcPr>
            <w:tcW w:w="3691" w:type="dxa"/>
            <w:gridSpan w:val="4"/>
            <w:noWrap w:val="0"/>
            <w:vAlign w:val="center"/>
          </w:tcPr>
          <w:p w14:paraId="7A92695C">
            <w:pPr>
              <w:spacing w:line="240" w:lineRule="auto"/>
              <w:ind w:firstLine="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影响性质</w:t>
            </w:r>
          </w:p>
        </w:tc>
        <w:tc>
          <w:tcPr>
            <w:tcW w:w="596" w:type="dxa"/>
            <w:vMerge w:val="restart"/>
            <w:noWrap w:val="0"/>
            <w:vAlign w:val="center"/>
          </w:tcPr>
          <w:p w14:paraId="25E43CB6">
            <w:pPr>
              <w:spacing w:line="240" w:lineRule="auto"/>
              <w:ind w:firstLine="0"/>
              <w:jc w:val="center"/>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影响程度</w:t>
            </w:r>
          </w:p>
        </w:tc>
      </w:tr>
      <w:tr w14:paraId="06B24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vMerge w:val="continue"/>
            <w:noWrap w:val="0"/>
            <w:vAlign w:val="center"/>
          </w:tcPr>
          <w:p w14:paraId="1C9CD106">
            <w:pPr>
              <w:spacing w:line="240" w:lineRule="auto"/>
              <w:ind w:firstLine="0"/>
              <w:jc w:val="center"/>
              <w:rPr>
                <w:rFonts w:ascii="Times New Roman" w:hAnsi="Times New Roman" w:eastAsia="宋体" w:cs="Times New Roman"/>
                <w:b/>
                <w:color w:val="000000"/>
                <w:sz w:val="21"/>
                <w:szCs w:val="21"/>
              </w:rPr>
            </w:pPr>
          </w:p>
        </w:tc>
        <w:tc>
          <w:tcPr>
            <w:tcW w:w="1905" w:type="dxa"/>
            <w:vMerge w:val="continue"/>
            <w:noWrap w:val="0"/>
            <w:vAlign w:val="center"/>
          </w:tcPr>
          <w:p w14:paraId="0BA0459A">
            <w:pPr>
              <w:spacing w:line="240" w:lineRule="auto"/>
              <w:ind w:firstLine="0"/>
              <w:jc w:val="center"/>
              <w:rPr>
                <w:rFonts w:ascii="Times New Roman" w:hAnsi="Times New Roman" w:eastAsia="宋体" w:cs="Times New Roman"/>
                <w:b/>
                <w:color w:val="000000"/>
                <w:sz w:val="21"/>
                <w:szCs w:val="21"/>
              </w:rPr>
            </w:pPr>
          </w:p>
        </w:tc>
        <w:tc>
          <w:tcPr>
            <w:tcW w:w="7794" w:type="dxa"/>
            <w:vMerge w:val="continue"/>
            <w:noWrap w:val="0"/>
            <w:vAlign w:val="center"/>
          </w:tcPr>
          <w:p w14:paraId="056BA344">
            <w:pPr>
              <w:spacing w:line="240" w:lineRule="auto"/>
              <w:ind w:firstLine="0"/>
              <w:jc w:val="center"/>
              <w:rPr>
                <w:rFonts w:ascii="Times New Roman" w:hAnsi="Times New Roman" w:eastAsia="宋体" w:cs="Times New Roman"/>
                <w:b/>
                <w:color w:val="000000"/>
                <w:sz w:val="21"/>
                <w:szCs w:val="21"/>
              </w:rPr>
            </w:pPr>
          </w:p>
        </w:tc>
        <w:tc>
          <w:tcPr>
            <w:tcW w:w="989" w:type="dxa"/>
            <w:noWrap w:val="0"/>
            <w:vAlign w:val="center"/>
          </w:tcPr>
          <w:p w14:paraId="61ABC613">
            <w:pPr>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性质</w:t>
            </w:r>
          </w:p>
        </w:tc>
        <w:tc>
          <w:tcPr>
            <w:tcW w:w="844" w:type="dxa"/>
            <w:noWrap w:val="0"/>
            <w:vAlign w:val="center"/>
          </w:tcPr>
          <w:p w14:paraId="0F487615">
            <w:pPr>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时间</w:t>
            </w:r>
          </w:p>
        </w:tc>
        <w:tc>
          <w:tcPr>
            <w:tcW w:w="959" w:type="dxa"/>
            <w:noWrap w:val="0"/>
            <w:vAlign w:val="center"/>
          </w:tcPr>
          <w:p w14:paraId="2D0282E4">
            <w:pPr>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范围</w:t>
            </w:r>
          </w:p>
        </w:tc>
        <w:tc>
          <w:tcPr>
            <w:tcW w:w="899" w:type="dxa"/>
            <w:noWrap w:val="0"/>
            <w:vAlign w:val="center"/>
          </w:tcPr>
          <w:p w14:paraId="307AE2B8">
            <w:pPr>
              <w:spacing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可逆性</w:t>
            </w:r>
          </w:p>
        </w:tc>
        <w:tc>
          <w:tcPr>
            <w:tcW w:w="596" w:type="dxa"/>
            <w:vMerge w:val="continue"/>
            <w:noWrap w:val="0"/>
            <w:vAlign w:val="center"/>
          </w:tcPr>
          <w:p w14:paraId="509EE4AB">
            <w:pPr>
              <w:spacing w:line="240" w:lineRule="auto"/>
              <w:ind w:firstLine="0"/>
              <w:jc w:val="center"/>
              <w:rPr>
                <w:rFonts w:ascii="Times New Roman" w:hAnsi="Times New Roman" w:eastAsia="宋体" w:cs="Times New Roman"/>
                <w:b/>
                <w:color w:val="000000"/>
                <w:sz w:val="21"/>
                <w:szCs w:val="21"/>
              </w:rPr>
            </w:pPr>
          </w:p>
        </w:tc>
      </w:tr>
      <w:tr w14:paraId="3EDE9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noWrap w:val="0"/>
            <w:vAlign w:val="center"/>
          </w:tcPr>
          <w:p w14:paraId="476EB113">
            <w:pPr>
              <w:spacing w:line="240" w:lineRule="auto"/>
              <w:ind w:firstLine="0"/>
              <w:jc w:val="center"/>
              <w:rPr>
                <w:rFonts w:hint="default"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物种</w:t>
            </w:r>
          </w:p>
        </w:tc>
        <w:tc>
          <w:tcPr>
            <w:tcW w:w="1905" w:type="dxa"/>
            <w:noWrap w:val="0"/>
            <w:vAlign w:val="center"/>
          </w:tcPr>
          <w:p w14:paraId="5463B8CB">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分布范围、种群数量、种群结构、行为等</w:t>
            </w:r>
          </w:p>
        </w:tc>
        <w:tc>
          <w:tcPr>
            <w:tcW w:w="7794" w:type="dxa"/>
            <w:noWrap w:val="0"/>
            <w:vAlign w:val="center"/>
          </w:tcPr>
          <w:p w14:paraId="373914BE">
            <w:pPr>
              <w:spacing w:line="240" w:lineRule="auto"/>
              <w:ind w:firstLine="0"/>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bidi="ar-SA"/>
              </w:rPr>
              <w:t>施工清表、挖方、填土及施工期临时占地，直接导致区域植被减少，植被类型发生改变，动物</w:t>
            </w:r>
            <w:r>
              <w:rPr>
                <w:rFonts w:hint="default" w:ascii="Times New Roman" w:hAnsi="Times New Roman" w:eastAsia="宋体" w:cs="Times New Roman"/>
                <w:color w:val="000000"/>
                <w:sz w:val="21"/>
                <w:szCs w:val="21"/>
                <w:lang w:val="en-US" w:eastAsia="zh-CN" w:bidi="ar-SA"/>
              </w:rPr>
              <w:t>死亡</w:t>
            </w:r>
            <w:r>
              <w:rPr>
                <w:rFonts w:hint="eastAsia" w:cs="Times New Roman"/>
                <w:color w:val="000000"/>
                <w:sz w:val="21"/>
                <w:szCs w:val="21"/>
                <w:lang w:val="en-US" w:eastAsia="zh-CN" w:bidi="ar-SA"/>
              </w:rPr>
              <w:t>和动物远离施工范围区域；</w:t>
            </w:r>
            <w:r>
              <w:rPr>
                <w:rFonts w:hint="default" w:ascii="Times New Roman" w:hAnsi="Times New Roman" w:eastAsia="宋体" w:cs="Times New Roman"/>
                <w:color w:val="000000"/>
                <w:sz w:val="21"/>
                <w:szCs w:val="21"/>
                <w:lang w:val="en-US" w:eastAsia="zh-CN" w:bidi="ar-SA"/>
              </w:rPr>
              <w:t>施工</w:t>
            </w:r>
            <w:r>
              <w:rPr>
                <w:rFonts w:hint="eastAsia" w:cs="Times New Roman"/>
                <w:color w:val="000000"/>
                <w:sz w:val="21"/>
                <w:szCs w:val="21"/>
                <w:lang w:val="en-US" w:eastAsia="zh-CN" w:bidi="ar-SA"/>
              </w:rPr>
              <w:t>期</w:t>
            </w:r>
            <w:r>
              <w:rPr>
                <w:rFonts w:hint="default" w:ascii="Times New Roman" w:hAnsi="Times New Roman" w:eastAsia="宋体" w:cs="Times New Roman"/>
                <w:color w:val="000000"/>
                <w:sz w:val="21"/>
                <w:szCs w:val="21"/>
                <w:lang w:val="en-US" w:eastAsia="zh-CN" w:bidi="ar-SA"/>
              </w:rPr>
              <w:t>噪声</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灯光等对野生动物行为产生干扰</w:t>
            </w:r>
            <w:r>
              <w:rPr>
                <w:rFonts w:hint="eastAsia" w:cs="Times New Roman"/>
                <w:color w:val="000000"/>
                <w:sz w:val="21"/>
                <w:szCs w:val="21"/>
                <w:lang w:val="en-US" w:eastAsia="zh-CN" w:bidi="ar-SA"/>
              </w:rPr>
              <w:t>；</w:t>
            </w:r>
          </w:p>
        </w:tc>
        <w:tc>
          <w:tcPr>
            <w:tcW w:w="989" w:type="dxa"/>
            <w:noWrap w:val="0"/>
            <w:vAlign w:val="center"/>
          </w:tcPr>
          <w:p w14:paraId="697CCF81">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负效性</w:t>
            </w:r>
          </w:p>
        </w:tc>
        <w:tc>
          <w:tcPr>
            <w:tcW w:w="844" w:type="dxa"/>
            <w:noWrap w:val="0"/>
            <w:vAlign w:val="center"/>
          </w:tcPr>
          <w:p w14:paraId="1B5A0F73">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短期</w:t>
            </w:r>
          </w:p>
        </w:tc>
        <w:tc>
          <w:tcPr>
            <w:tcW w:w="959" w:type="dxa"/>
            <w:noWrap w:val="0"/>
            <w:vAlign w:val="center"/>
          </w:tcPr>
          <w:p w14:paraId="390B07D8">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局部</w:t>
            </w:r>
          </w:p>
        </w:tc>
        <w:tc>
          <w:tcPr>
            <w:tcW w:w="899" w:type="dxa"/>
            <w:noWrap w:val="0"/>
            <w:vAlign w:val="center"/>
          </w:tcPr>
          <w:p w14:paraId="4169DD25">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可逆</w:t>
            </w:r>
          </w:p>
        </w:tc>
        <w:tc>
          <w:tcPr>
            <w:tcW w:w="596" w:type="dxa"/>
            <w:noWrap w:val="0"/>
            <w:vAlign w:val="center"/>
          </w:tcPr>
          <w:p w14:paraId="0F2BC483">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弱</w:t>
            </w:r>
          </w:p>
        </w:tc>
      </w:tr>
      <w:tr w14:paraId="2DDED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noWrap w:val="0"/>
            <w:vAlign w:val="center"/>
          </w:tcPr>
          <w:p w14:paraId="308CC821">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生境</w:t>
            </w:r>
          </w:p>
        </w:tc>
        <w:tc>
          <w:tcPr>
            <w:tcW w:w="1905" w:type="dxa"/>
            <w:noWrap w:val="0"/>
            <w:vAlign w:val="center"/>
          </w:tcPr>
          <w:p w14:paraId="25EBE1AB">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生境面积、质量、连通性等</w:t>
            </w:r>
          </w:p>
        </w:tc>
        <w:tc>
          <w:tcPr>
            <w:tcW w:w="7794" w:type="dxa"/>
            <w:noWrap w:val="0"/>
            <w:vAlign w:val="center"/>
          </w:tcPr>
          <w:p w14:paraId="666DF820">
            <w:pPr>
              <w:spacing w:line="240" w:lineRule="auto"/>
              <w:ind w:firstLine="0"/>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bidi="ar-SA"/>
              </w:rPr>
              <w:t>工程施工永久工程、临时工程占地，造成生物生境面积减少。河道天然水体状态发生变化，导致动植物生境条件、水生系统发生变化，同时工程施工对水体的扰动，进一步造成生境质量下降。工程围堰的设置，对局部区域造成阻隔。</w:t>
            </w:r>
          </w:p>
        </w:tc>
        <w:tc>
          <w:tcPr>
            <w:tcW w:w="989" w:type="dxa"/>
            <w:noWrap w:val="0"/>
            <w:vAlign w:val="center"/>
          </w:tcPr>
          <w:p w14:paraId="73D25519">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负效性</w:t>
            </w:r>
          </w:p>
        </w:tc>
        <w:tc>
          <w:tcPr>
            <w:tcW w:w="844" w:type="dxa"/>
            <w:noWrap w:val="0"/>
            <w:vAlign w:val="center"/>
          </w:tcPr>
          <w:p w14:paraId="541E31E9">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短期</w:t>
            </w:r>
          </w:p>
        </w:tc>
        <w:tc>
          <w:tcPr>
            <w:tcW w:w="959" w:type="dxa"/>
            <w:noWrap w:val="0"/>
            <w:vAlign w:val="center"/>
          </w:tcPr>
          <w:p w14:paraId="60B2ABC7">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局部</w:t>
            </w:r>
          </w:p>
        </w:tc>
        <w:tc>
          <w:tcPr>
            <w:tcW w:w="899" w:type="dxa"/>
            <w:noWrap w:val="0"/>
            <w:vAlign w:val="center"/>
          </w:tcPr>
          <w:p w14:paraId="58548F41">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可逆</w:t>
            </w:r>
          </w:p>
        </w:tc>
        <w:tc>
          <w:tcPr>
            <w:tcW w:w="596" w:type="dxa"/>
            <w:noWrap w:val="0"/>
            <w:vAlign w:val="center"/>
          </w:tcPr>
          <w:p w14:paraId="126EF7F4">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弱</w:t>
            </w:r>
          </w:p>
        </w:tc>
      </w:tr>
      <w:tr w14:paraId="79F28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noWrap w:val="0"/>
            <w:vAlign w:val="center"/>
          </w:tcPr>
          <w:p w14:paraId="09D47CB1">
            <w:pPr>
              <w:spacing w:line="240" w:lineRule="auto"/>
              <w:ind w:firstLine="0"/>
              <w:jc w:val="center"/>
              <w:rPr>
                <w:rFonts w:ascii="Times New Roman" w:hAnsi="Times New Roman" w:eastAsia="宋体" w:cs="Times New Roman"/>
                <w:color w:val="000000"/>
                <w:sz w:val="21"/>
                <w:szCs w:val="21"/>
              </w:rPr>
            </w:pPr>
            <w:r>
              <w:rPr>
                <w:rFonts w:hint="eastAsia" w:cs="Times New Roman"/>
                <w:color w:val="000000"/>
                <w:sz w:val="21"/>
                <w:szCs w:val="21"/>
                <w:lang w:val="en-US" w:eastAsia="zh-CN"/>
              </w:rPr>
              <w:t>生物群落</w:t>
            </w:r>
          </w:p>
        </w:tc>
        <w:tc>
          <w:tcPr>
            <w:tcW w:w="1905" w:type="dxa"/>
            <w:noWrap w:val="0"/>
            <w:vAlign w:val="center"/>
          </w:tcPr>
          <w:p w14:paraId="584FDEC6">
            <w:pPr>
              <w:spacing w:line="240" w:lineRule="auto"/>
              <w:ind w:firstLine="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物种组成、群落结构等</w:t>
            </w:r>
          </w:p>
        </w:tc>
        <w:tc>
          <w:tcPr>
            <w:tcW w:w="7794" w:type="dxa"/>
            <w:noWrap w:val="0"/>
            <w:vAlign w:val="center"/>
          </w:tcPr>
          <w:p w14:paraId="6CA27D2E">
            <w:pPr>
              <w:spacing w:line="240" w:lineRule="auto"/>
              <w:ind w:firstLine="0"/>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bidi="ar-SA"/>
              </w:rPr>
              <w:t>动植物生境被破坏，施工扰动水体导致水环境质量下降，从而导致个体发生死亡、种群数量下降；植被减少以及植被类型的变化，导致种群结构或种群动态发生变化</w:t>
            </w:r>
          </w:p>
        </w:tc>
        <w:tc>
          <w:tcPr>
            <w:tcW w:w="989" w:type="dxa"/>
            <w:noWrap w:val="0"/>
            <w:vAlign w:val="center"/>
          </w:tcPr>
          <w:p w14:paraId="1288871A">
            <w:pPr>
              <w:spacing w:line="240" w:lineRule="auto"/>
              <w:ind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rPr>
              <w:t>负效性</w:t>
            </w:r>
          </w:p>
        </w:tc>
        <w:tc>
          <w:tcPr>
            <w:tcW w:w="844" w:type="dxa"/>
            <w:noWrap w:val="0"/>
            <w:vAlign w:val="center"/>
          </w:tcPr>
          <w:p w14:paraId="70AAF466">
            <w:pPr>
              <w:spacing w:line="240" w:lineRule="auto"/>
              <w:ind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rPr>
              <w:t>短期</w:t>
            </w:r>
          </w:p>
        </w:tc>
        <w:tc>
          <w:tcPr>
            <w:tcW w:w="959" w:type="dxa"/>
            <w:noWrap w:val="0"/>
            <w:vAlign w:val="center"/>
          </w:tcPr>
          <w:p w14:paraId="6CA422EA">
            <w:pPr>
              <w:spacing w:line="240" w:lineRule="auto"/>
              <w:ind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rPr>
              <w:t>局部</w:t>
            </w:r>
          </w:p>
        </w:tc>
        <w:tc>
          <w:tcPr>
            <w:tcW w:w="899" w:type="dxa"/>
            <w:noWrap w:val="0"/>
            <w:vAlign w:val="center"/>
          </w:tcPr>
          <w:p w14:paraId="5135C1C8">
            <w:pPr>
              <w:spacing w:line="240" w:lineRule="auto"/>
              <w:ind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rPr>
              <w:t>可逆</w:t>
            </w:r>
          </w:p>
        </w:tc>
        <w:tc>
          <w:tcPr>
            <w:tcW w:w="596" w:type="dxa"/>
            <w:noWrap w:val="0"/>
            <w:vAlign w:val="center"/>
          </w:tcPr>
          <w:p w14:paraId="28819A34">
            <w:pPr>
              <w:spacing w:line="240" w:lineRule="auto"/>
              <w:ind w:firstLine="0"/>
              <w:jc w:val="center"/>
              <w:rPr>
                <w:rFonts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rPr>
              <w:t>弱</w:t>
            </w:r>
          </w:p>
        </w:tc>
      </w:tr>
      <w:tr w14:paraId="4BE1F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noWrap w:val="0"/>
            <w:vAlign w:val="center"/>
          </w:tcPr>
          <w:p w14:paraId="4967E181">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生态系统</w:t>
            </w:r>
          </w:p>
        </w:tc>
        <w:tc>
          <w:tcPr>
            <w:tcW w:w="1905" w:type="dxa"/>
            <w:noWrap w:val="0"/>
            <w:vAlign w:val="center"/>
          </w:tcPr>
          <w:p w14:paraId="39BFFB47">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植被覆盖度、生产力、生物量、生态系统功能等</w:t>
            </w:r>
          </w:p>
        </w:tc>
        <w:tc>
          <w:tcPr>
            <w:tcW w:w="7794" w:type="dxa"/>
            <w:noWrap w:val="0"/>
            <w:vAlign w:val="center"/>
          </w:tcPr>
          <w:p w14:paraId="05554073">
            <w:pPr>
              <w:spacing w:line="240" w:lineRule="auto"/>
              <w:ind w:firstLine="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施工期土地占用，造成水生、陆生植物破坏，生物量减少</w:t>
            </w:r>
            <w:r>
              <w:rPr>
                <w:rFonts w:hint="eastAsia" w:cs="Times New Roman"/>
                <w:color w:val="000000"/>
                <w:sz w:val="21"/>
                <w:szCs w:val="21"/>
                <w:lang w:val="en-US" w:eastAsia="zh-CN" w:bidi="ar-SA"/>
              </w:rPr>
              <w:t>，生境受到破坏。生态系统结构稳定性受到影响</w:t>
            </w:r>
            <w:r>
              <w:rPr>
                <w:rFonts w:hint="eastAsia" w:ascii="Times New Roman" w:hAnsi="Times New Roman" w:eastAsia="宋体" w:cs="Times New Roman"/>
                <w:color w:val="000000"/>
                <w:sz w:val="21"/>
                <w:szCs w:val="21"/>
                <w:lang w:val="en-US" w:eastAsia="zh-CN" w:bidi="ar-SA"/>
              </w:rPr>
              <w:t>，</w:t>
            </w:r>
          </w:p>
        </w:tc>
        <w:tc>
          <w:tcPr>
            <w:tcW w:w="989" w:type="dxa"/>
            <w:noWrap w:val="0"/>
            <w:vAlign w:val="center"/>
          </w:tcPr>
          <w:p w14:paraId="08B99517">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负效性</w:t>
            </w:r>
          </w:p>
        </w:tc>
        <w:tc>
          <w:tcPr>
            <w:tcW w:w="844" w:type="dxa"/>
            <w:noWrap w:val="0"/>
            <w:vAlign w:val="center"/>
          </w:tcPr>
          <w:p w14:paraId="2D7870AF">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短期</w:t>
            </w:r>
          </w:p>
        </w:tc>
        <w:tc>
          <w:tcPr>
            <w:tcW w:w="959" w:type="dxa"/>
            <w:noWrap w:val="0"/>
            <w:vAlign w:val="center"/>
          </w:tcPr>
          <w:p w14:paraId="4D5B3B02">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局部</w:t>
            </w:r>
          </w:p>
        </w:tc>
        <w:tc>
          <w:tcPr>
            <w:tcW w:w="899" w:type="dxa"/>
            <w:noWrap w:val="0"/>
            <w:vAlign w:val="center"/>
          </w:tcPr>
          <w:p w14:paraId="42E08D5D">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可逆</w:t>
            </w:r>
          </w:p>
        </w:tc>
        <w:tc>
          <w:tcPr>
            <w:tcW w:w="596" w:type="dxa"/>
            <w:noWrap w:val="0"/>
            <w:vAlign w:val="center"/>
          </w:tcPr>
          <w:p w14:paraId="445566FB">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弱</w:t>
            </w:r>
          </w:p>
        </w:tc>
      </w:tr>
      <w:tr w14:paraId="50806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noWrap w:val="0"/>
            <w:vAlign w:val="center"/>
          </w:tcPr>
          <w:p w14:paraId="507136F5">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生物多样性</w:t>
            </w:r>
          </w:p>
        </w:tc>
        <w:tc>
          <w:tcPr>
            <w:tcW w:w="1905" w:type="dxa"/>
            <w:noWrap w:val="0"/>
            <w:vAlign w:val="center"/>
          </w:tcPr>
          <w:p w14:paraId="2A692180">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物种丰富度、均匀度、优势度等</w:t>
            </w:r>
          </w:p>
        </w:tc>
        <w:tc>
          <w:tcPr>
            <w:tcW w:w="7794" w:type="dxa"/>
            <w:noWrap w:val="0"/>
            <w:vAlign w:val="center"/>
          </w:tcPr>
          <w:p w14:paraId="76F003D7">
            <w:pPr>
              <w:spacing w:line="240" w:lineRule="auto"/>
              <w:ind w:firstLine="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施工期间会造成生境面积的临时性缩小</w:t>
            </w:r>
            <w:r>
              <w:rPr>
                <w:rFonts w:hint="eastAsia" w:ascii="Times New Roman" w:hAnsi="Times New Roman" w:cs="Times New Roman"/>
                <w:color w:val="000000"/>
                <w:sz w:val="21"/>
                <w:szCs w:val="21"/>
                <w:lang w:val="en-US" w:eastAsia="zh-CN" w:bidi="ar-SA"/>
              </w:rPr>
              <w:t>和动物的</w:t>
            </w:r>
            <w:r>
              <w:rPr>
                <w:rFonts w:hint="default" w:ascii="Times New Roman" w:hAnsi="Times New Roman" w:eastAsia="宋体" w:cs="Times New Roman"/>
                <w:color w:val="000000"/>
                <w:sz w:val="21"/>
                <w:szCs w:val="21"/>
                <w:lang w:val="en-US" w:eastAsia="zh-CN" w:bidi="ar-SA"/>
              </w:rPr>
              <w:t>规避行为，导致物种的丰富度减小</w:t>
            </w:r>
          </w:p>
        </w:tc>
        <w:tc>
          <w:tcPr>
            <w:tcW w:w="989" w:type="dxa"/>
            <w:noWrap w:val="0"/>
            <w:vAlign w:val="center"/>
          </w:tcPr>
          <w:p w14:paraId="38A15367">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负效性</w:t>
            </w:r>
          </w:p>
        </w:tc>
        <w:tc>
          <w:tcPr>
            <w:tcW w:w="844" w:type="dxa"/>
            <w:noWrap w:val="0"/>
            <w:vAlign w:val="center"/>
          </w:tcPr>
          <w:p w14:paraId="21F3FF4D">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短期</w:t>
            </w:r>
          </w:p>
        </w:tc>
        <w:tc>
          <w:tcPr>
            <w:tcW w:w="959" w:type="dxa"/>
            <w:noWrap w:val="0"/>
            <w:vAlign w:val="center"/>
          </w:tcPr>
          <w:p w14:paraId="3EA52A2B">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局部</w:t>
            </w:r>
          </w:p>
        </w:tc>
        <w:tc>
          <w:tcPr>
            <w:tcW w:w="899" w:type="dxa"/>
            <w:noWrap w:val="0"/>
            <w:vAlign w:val="center"/>
          </w:tcPr>
          <w:p w14:paraId="4CB1CA85">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可逆</w:t>
            </w:r>
          </w:p>
        </w:tc>
        <w:tc>
          <w:tcPr>
            <w:tcW w:w="596" w:type="dxa"/>
            <w:noWrap w:val="0"/>
            <w:vAlign w:val="center"/>
          </w:tcPr>
          <w:p w14:paraId="57B5335A">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弱</w:t>
            </w:r>
          </w:p>
        </w:tc>
      </w:tr>
      <w:tr w14:paraId="78FD0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noWrap w:val="0"/>
            <w:vAlign w:val="center"/>
          </w:tcPr>
          <w:p w14:paraId="2A1A16E7">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生态敏感区</w:t>
            </w:r>
          </w:p>
        </w:tc>
        <w:tc>
          <w:tcPr>
            <w:tcW w:w="1905" w:type="dxa"/>
            <w:noWrap w:val="0"/>
            <w:vAlign w:val="center"/>
          </w:tcPr>
          <w:p w14:paraId="4B230E09">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主要保护对象、生态功能等</w:t>
            </w:r>
          </w:p>
        </w:tc>
        <w:tc>
          <w:tcPr>
            <w:tcW w:w="7794" w:type="dxa"/>
            <w:noWrap w:val="0"/>
            <w:vAlign w:val="center"/>
          </w:tcPr>
          <w:p w14:paraId="20DC5ED8">
            <w:pPr>
              <w:spacing w:line="240" w:lineRule="auto"/>
              <w:ind w:firstLine="0"/>
              <w:jc w:val="center"/>
              <w:rPr>
                <w:rFonts w:hint="default" w:ascii="Times New Roman" w:hAnsi="Times New Roman" w:eastAsia="宋体" w:cs="Times New Roman"/>
                <w:color w:val="000000"/>
                <w:sz w:val="21"/>
                <w:szCs w:val="21"/>
                <w:lang w:val="en-US" w:eastAsia="zh-CN" w:bidi="ar-SA"/>
              </w:rPr>
            </w:pPr>
            <w:r>
              <w:rPr>
                <w:rFonts w:hint="eastAsia" w:cs="Times New Roman"/>
                <w:color w:val="000000"/>
                <w:sz w:val="21"/>
                <w:szCs w:val="21"/>
                <w:lang w:val="en-US" w:eastAsia="zh-CN" w:bidi="ar-SA"/>
              </w:rPr>
              <w:t>施工期施工对动物、动物造成影响，间接</w:t>
            </w:r>
            <w:r>
              <w:rPr>
                <w:rFonts w:hint="default" w:ascii="Times New Roman" w:hAnsi="Times New Roman" w:eastAsia="宋体" w:cs="Times New Roman"/>
                <w:color w:val="000000"/>
                <w:sz w:val="21"/>
                <w:szCs w:val="21"/>
                <w:lang w:val="en-US" w:eastAsia="zh-CN" w:bidi="ar-SA"/>
              </w:rPr>
              <w:t>对</w:t>
            </w:r>
            <w:r>
              <w:rPr>
                <w:rFonts w:hint="eastAsia" w:ascii="Times New Roman" w:hAnsi="Times New Roman" w:eastAsia="宋体" w:cs="Times New Roman"/>
                <w:color w:val="000000"/>
                <w:sz w:val="21"/>
                <w:szCs w:val="21"/>
                <w:lang w:val="en-US" w:eastAsia="zh-CN" w:bidi="ar-SA"/>
              </w:rPr>
              <w:t>黄陂湖</w:t>
            </w:r>
            <w:r>
              <w:rPr>
                <w:rFonts w:hint="default" w:ascii="Times New Roman" w:hAnsi="Times New Roman" w:eastAsia="宋体" w:cs="Times New Roman"/>
                <w:color w:val="000000"/>
                <w:sz w:val="21"/>
                <w:szCs w:val="21"/>
                <w:lang w:val="en-US" w:eastAsia="zh-CN" w:bidi="ar-SA"/>
              </w:rPr>
              <w:t>的</w:t>
            </w:r>
            <w:r>
              <w:rPr>
                <w:rFonts w:hint="eastAsia" w:ascii="Times New Roman" w:hAnsi="Times New Roman" w:eastAsia="宋体" w:cs="Times New Roman"/>
                <w:color w:val="000000"/>
                <w:sz w:val="21"/>
                <w:szCs w:val="21"/>
                <w:lang w:val="en-US" w:eastAsia="zh-CN" w:bidi="ar-SA"/>
              </w:rPr>
              <w:t>生物多样性维持、水资源调控</w:t>
            </w:r>
            <w:r>
              <w:rPr>
                <w:rFonts w:hint="eastAsia" w:cs="Times New Roman"/>
                <w:color w:val="000000"/>
                <w:sz w:val="21"/>
                <w:szCs w:val="21"/>
                <w:lang w:val="en-US" w:eastAsia="zh-CN" w:bidi="ar-SA"/>
              </w:rPr>
              <w:t>产生</w:t>
            </w:r>
            <w:r>
              <w:rPr>
                <w:rFonts w:hint="eastAsia" w:ascii="Times New Roman" w:hAnsi="Times New Roman" w:eastAsia="宋体" w:cs="Times New Roman"/>
                <w:color w:val="000000"/>
                <w:sz w:val="21"/>
                <w:szCs w:val="21"/>
                <w:lang w:val="en-US" w:eastAsia="zh-CN" w:bidi="ar-SA"/>
              </w:rPr>
              <w:t>影响</w:t>
            </w:r>
          </w:p>
        </w:tc>
        <w:tc>
          <w:tcPr>
            <w:tcW w:w="989" w:type="dxa"/>
            <w:noWrap w:val="0"/>
            <w:vAlign w:val="center"/>
          </w:tcPr>
          <w:p w14:paraId="6A5D56A7">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负效性</w:t>
            </w:r>
          </w:p>
        </w:tc>
        <w:tc>
          <w:tcPr>
            <w:tcW w:w="844" w:type="dxa"/>
            <w:noWrap w:val="0"/>
            <w:vAlign w:val="center"/>
          </w:tcPr>
          <w:p w14:paraId="1E83A889">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短期</w:t>
            </w:r>
          </w:p>
        </w:tc>
        <w:tc>
          <w:tcPr>
            <w:tcW w:w="959" w:type="dxa"/>
            <w:noWrap w:val="0"/>
            <w:vAlign w:val="center"/>
          </w:tcPr>
          <w:p w14:paraId="182BFE15">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局部</w:t>
            </w:r>
          </w:p>
        </w:tc>
        <w:tc>
          <w:tcPr>
            <w:tcW w:w="899" w:type="dxa"/>
            <w:noWrap w:val="0"/>
            <w:vAlign w:val="center"/>
          </w:tcPr>
          <w:p w14:paraId="0EAD5D30">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可逆</w:t>
            </w:r>
          </w:p>
        </w:tc>
        <w:tc>
          <w:tcPr>
            <w:tcW w:w="596" w:type="dxa"/>
            <w:noWrap w:val="0"/>
            <w:vAlign w:val="center"/>
          </w:tcPr>
          <w:p w14:paraId="7DA03070">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弱</w:t>
            </w:r>
          </w:p>
        </w:tc>
      </w:tr>
      <w:tr w14:paraId="6D000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noWrap w:val="0"/>
            <w:vAlign w:val="center"/>
          </w:tcPr>
          <w:p w14:paraId="60B9B876">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自然景观</w:t>
            </w:r>
          </w:p>
        </w:tc>
        <w:tc>
          <w:tcPr>
            <w:tcW w:w="1905" w:type="dxa"/>
            <w:noWrap w:val="0"/>
            <w:vAlign w:val="center"/>
          </w:tcPr>
          <w:p w14:paraId="3D9C2834">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景观多样性、</w:t>
            </w:r>
          </w:p>
          <w:p w14:paraId="46E0C806">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完整性等</w:t>
            </w:r>
          </w:p>
        </w:tc>
        <w:tc>
          <w:tcPr>
            <w:tcW w:w="7794" w:type="dxa"/>
            <w:noWrap w:val="0"/>
            <w:vAlign w:val="center"/>
          </w:tcPr>
          <w:p w14:paraId="0246D361">
            <w:pPr>
              <w:spacing w:line="240" w:lineRule="auto"/>
              <w:ind w:firstLine="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在一定程度上对自然景观造成了短期破坏</w:t>
            </w:r>
          </w:p>
        </w:tc>
        <w:tc>
          <w:tcPr>
            <w:tcW w:w="989" w:type="dxa"/>
            <w:noWrap w:val="0"/>
            <w:vAlign w:val="center"/>
          </w:tcPr>
          <w:p w14:paraId="750F375E">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负效性</w:t>
            </w:r>
          </w:p>
        </w:tc>
        <w:tc>
          <w:tcPr>
            <w:tcW w:w="844" w:type="dxa"/>
            <w:noWrap w:val="0"/>
            <w:vAlign w:val="center"/>
          </w:tcPr>
          <w:p w14:paraId="2B5F1D98">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短期</w:t>
            </w:r>
          </w:p>
        </w:tc>
        <w:tc>
          <w:tcPr>
            <w:tcW w:w="959" w:type="dxa"/>
            <w:noWrap w:val="0"/>
            <w:vAlign w:val="center"/>
          </w:tcPr>
          <w:p w14:paraId="6843761C">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局部</w:t>
            </w:r>
          </w:p>
        </w:tc>
        <w:tc>
          <w:tcPr>
            <w:tcW w:w="899" w:type="dxa"/>
            <w:noWrap w:val="0"/>
            <w:vAlign w:val="center"/>
          </w:tcPr>
          <w:p w14:paraId="2E63B902">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可逆</w:t>
            </w:r>
          </w:p>
        </w:tc>
        <w:tc>
          <w:tcPr>
            <w:tcW w:w="596" w:type="dxa"/>
            <w:noWrap w:val="0"/>
            <w:vAlign w:val="center"/>
          </w:tcPr>
          <w:p w14:paraId="775B5710">
            <w:pPr>
              <w:spacing w:line="240" w:lineRule="auto"/>
              <w:ind w:firstLine="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弱</w:t>
            </w:r>
          </w:p>
        </w:tc>
      </w:tr>
    </w:tbl>
    <w:p w14:paraId="0B36A03F">
      <w:pPr>
        <w:ind w:left="0" w:firstLine="0"/>
        <w:rPr>
          <w:rFonts w:hint="eastAsia"/>
          <w:color w:val="000000"/>
          <w:lang w:val="en-US" w:eastAsia="zh-CN"/>
        </w:rPr>
      </w:pPr>
    </w:p>
    <w:p w14:paraId="7D19305E">
      <w:pPr>
        <w:pStyle w:val="4"/>
        <w:outlineLvl w:val="9"/>
        <w:rPr>
          <w:rFonts w:hint="eastAsia"/>
          <w:color w:val="000000"/>
          <w:lang w:val="en-US" w:eastAsia="zh-CN"/>
        </w:rPr>
      </w:pPr>
    </w:p>
    <w:p w14:paraId="08C9128A">
      <w:pPr>
        <w:pStyle w:val="4"/>
        <w:ind w:left="0" w:firstLine="0"/>
        <w:outlineLvl w:val="9"/>
        <w:rPr>
          <w:rFonts w:hint="eastAsia"/>
          <w:color w:val="000000"/>
          <w:lang w:val="en-US" w:eastAsia="zh-CN"/>
        </w:rPr>
        <w:sectPr>
          <w:pgSz w:w="16838" w:h="11911"/>
          <w:pgMar w:top="1701" w:right="1417" w:bottom="1417" w:left="1417" w:header="794" w:footer="1123" w:gutter="0"/>
          <w:cols w:space="720" w:num="1"/>
        </w:sectPr>
      </w:pPr>
    </w:p>
    <w:p w14:paraId="2876711F">
      <w:pPr>
        <w:pStyle w:val="4"/>
        <w:rPr>
          <w:rFonts w:hint="eastAsia"/>
          <w:color w:val="000000"/>
          <w:lang w:val="en-US" w:eastAsia="zh-CN"/>
        </w:rPr>
      </w:pPr>
      <w:bookmarkStart w:id="51" w:name="_Toc29107"/>
      <w:bookmarkStart w:id="52" w:name="_Toc18634"/>
      <w:r>
        <w:rPr>
          <w:rFonts w:hint="eastAsia"/>
          <w:color w:val="000000"/>
          <w:lang w:val="en-US" w:eastAsia="zh-CN"/>
        </w:rPr>
        <w:t>1.4评价等级及评价范围</w:t>
      </w:r>
      <w:bookmarkEnd w:id="51"/>
      <w:bookmarkEnd w:id="52"/>
    </w:p>
    <w:p w14:paraId="0A77F910">
      <w:pPr>
        <w:pStyle w:val="5"/>
        <w:rPr>
          <w:color w:val="000000"/>
        </w:rPr>
      </w:pPr>
      <w:bookmarkStart w:id="53" w:name="_Toc23852"/>
      <w:r>
        <w:rPr>
          <w:color w:val="000000"/>
          <w:lang w:eastAsia="zh-CN"/>
        </w:rPr>
        <w:t>1.</w:t>
      </w:r>
      <w:r>
        <w:rPr>
          <w:rFonts w:hint="eastAsia"/>
          <w:color w:val="000000"/>
          <w:lang w:val="en-US" w:eastAsia="zh-CN"/>
        </w:rPr>
        <w:t>4</w:t>
      </w:r>
      <w:r>
        <w:rPr>
          <w:color w:val="000000"/>
        </w:rPr>
        <w:t>.</w:t>
      </w:r>
      <w:r>
        <w:rPr>
          <w:rFonts w:hint="eastAsia"/>
          <w:color w:val="000000"/>
          <w:lang w:val="en-US" w:eastAsia="zh-CN"/>
        </w:rPr>
        <w:t>1</w:t>
      </w:r>
      <w:r>
        <w:rPr>
          <w:rFonts w:hint="eastAsia"/>
          <w:color w:val="000000"/>
          <w:lang w:eastAsia="zh-CN"/>
        </w:rPr>
        <w:t>生态环境影响评价等级</w:t>
      </w:r>
      <w:bookmarkEnd w:id="53"/>
    </w:p>
    <w:p w14:paraId="796F3D65">
      <w:pPr>
        <w:ind w:firstLine="480"/>
        <w:rPr>
          <w:rFonts w:hint="eastAsia" w:eastAsia="宋体"/>
          <w:color w:val="000000"/>
          <w:lang w:eastAsia="zh-CN"/>
        </w:rPr>
      </w:pPr>
      <w:bookmarkStart w:id="54" w:name="_Toc23496"/>
      <w:r>
        <w:rPr>
          <w:rFonts w:hint="eastAsia"/>
          <w:color w:val="000000"/>
          <w:lang w:eastAsia="zh-CN"/>
        </w:rPr>
        <w:t>根据《环境影响评价技术导则 生态影响》（HJ19-2022）的评价等级判定原则中6.1.4建设项目同时涉及陆生、水生生态影响时，可针对陆生生态、水生生态分别判定评价等级。本项目同时涉及陆生、水生生态影响，且影响程度和涉及的生态敏感区域不同，因此，本项目生态影响针对陆生生态、水生生态分别判定评价等级。具体判定原则和等级判定情况见下表。</w:t>
      </w:r>
    </w:p>
    <w:p w14:paraId="034651D5">
      <w:pPr>
        <w:pStyle w:val="7"/>
        <w:keepNext/>
        <w:keepLines/>
        <w:pageBreakBefore w:val="0"/>
        <w:widowControl w:val="0"/>
        <w:spacing w:line="240" w:lineRule="auto"/>
        <w:jc w:val="center"/>
        <w:outlineLvl w:val="2"/>
        <w:rPr>
          <w:rFonts w:hint="eastAsia" w:eastAsia="宋体"/>
          <w:b/>
          <w:bCs/>
          <w:color w:val="000000"/>
          <w:lang w:eastAsia="zh-CN"/>
        </w:rPr>
      </w:pPr>
      <w:r>
        <w:rPr>
          <w:rFonts w:hint="eastAsia"/>
          <w:b/>
          <w:bCs/>
          <w:color w:val="000000"/>
        </w:rPr>
        <w:t>表</w:t>
      </w:r>
      <w:r>
        <w:rPr>
          <w:rFonts w:hint="eastAsia"/>
          <w:b/>
          <w:bCs/>
          <w:color w:val="000000"/>
          <w:lang w:val="en-US" w:eastAsia="zh-CN"/>
        </w:rPr>
        <w:t xml:space="preserve">1.4-1 </w:t>
      </w:r>
      <w:r>
        <w:rPr>
          <w:rFonts w:hint="eastAsia"/>
          <w:b/>
          <w:bCs/>
          <w:color w:val="000000"/>
        </w:rPr>
        <w:t>项目</w:t>
      </w:r>
      <w:r>
        <w:rPr>
          <w:rFonts w:hint="eastAsia"/>
          <w:b/>
          <w:bCs/>
          <w:color w:val="000000"/>
          <w:lang w:eastAsia="zh-CN"/>
        </w:rPr>
        <w:t>生态环境评价等级判定表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99"/>
        <w:gridCol w:w="3093"/>
        <w:gridCol w:w="1426"/>
        <w:gridCol w:w="1426"/>
      </w:tblGrid>
      <w:tr w14:paraId="76B8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2ACFAD41">
            <w:pPr>
              <w:pStyle w:val="225"/>
              <w:keepNext w:val="0"/>
              <w:keepLines w:val="0"/>
              <w:suppressLineNumbers w:val="0"/>
              <w:spacing w:before="0" w:beforeAutospacing="0" w:after="0" w:afterAutospacing="0" w:line="240" w:lineRule="auto"/>
              <w:ind w:left="0" w:right="0"/>
              <w:jc w:val="center"/>
              <w:rPr>
                <w:rFonts w:hint="default" w:ascii="Times New Roman"/>
                <w:b/>
                <w:color w:val="000000"/>
                <w:sz w:val="21"/>
                <w:szCs w:val="21"/>
              </w:rPr>
            </w:pPr>
            <w:r>
              <w:rPr>
                <w:rFonts w:hint="eastAsia" w:ascii="Times New Roman"/>
                <w:b/>
                <w:color w:val="000000"/>
                <w:sz w:val="21"/>
                <w:szCs w:val="21"/>
                <w:lang w:eastAsia="zh-CN"/>
              </w:rPr>
              <w:t>评价工作等级划分原则</w:t>
            </w:r>
          </w:p>
        </w:tc>
        <w:tc>
          <w:tcPr>
            <w:tcW w:w="1748" w:type="pct"/>
            <w:noWrap w:val="0"/>
            <w:vAlign w:val="center"/>
          </w:tcPr>
          <w:p w14:paraId="74581AB9">
            <w:pPr>
              <w:pStyle w:val="225"/>
              <w:keepNext w:val="0"/>
              <w:keepLines w:val="0"/>
              <w:suppressLineNumbers w:val="0"/>
              <w:spacing w:before="0" w:beforeAutospacing="0" w:after="0" w:afterAutospacing="0" w:line="240" w:lineRule="auto"/>
              <w:ind w:left="0" w:right="0"/>
              <w:jc w:val="center"/>
              <w:rPr>
                <w:rFonts w:hint="eastAsia" w:ascii="Times New Roman" w:eastAsia="宋体"/>
                <w:b/>
                <w:color w:val="000000"/>
                <w:sz w:val="21"/>
                <w:szCs w:val="21"/>
                <w:lang w:eastAsia="zh-CN"/>
              </w:rPr>
            </w:pPr>
            <w:r>
              <w:rPr>
                <w:rFonts w:hint="eastAsia" w:ascii="Times New Roman"/>
                <w:b/>
                <w:color w:val="000000"/>
                <w:sz w:val="21"/>
                <w:szCs w:val="21"/>
                <w:lang w:eastAsia="zh-CN"/>
              </w:rPr>
              <w:t>本项目情况</w:t>
            </w:r>
          </w:p>
        </w:tc>
        <w:tc>
          <w:tcPr>
            <w:tcW w:w="806" w:type="pct"/>
            <w:noWrap w:val="0"/>
            <w:vAlign w:val="center"/>
          </w:tcPr>
          <w:p w14:paraId="167E73D4">
            <w:pPr>
              <w:pStyle w:val="225"/>
              <w:keepNext w:val="0"/>
              <w:keepLines w:val="0"/>
              <w:suppressLineNumbers w:val="0"/>
              <w:spacing w:before="0" w:beforeAutospacing="0" w:after="0" w:afterAutospacing="0" w:line="240" w:lineRule="auto"/>
              <w:ind w:left="0" w:right="0"/>
              <w:jc w:val="center"/>
              <w:rPr>
                <w:rFonts w:hint="eastAsia" w:ascii="Times New Roman" w:eastAsia="宋体"/>
                <w:b/>
                <w:color w:val="000000"/>
                <w:sz w:val="21"/>
                <w:szCs w:val="21"/>
                <w:lang w:eastAsia="zh-CN"/>
              </w:rPr>
            </w:pPr>
            <w:r>
              <w:rPr>
                <w:rFonts w:hint="eastAsia" w:ascii="Times New Roman"/>
                <w:b/>
                <w:color w:val="000000"/>
                <w:sz w:val="21"/>
                <w:szCs w:val="21"/>
                <w:lang w:eastAsia="zh-CN"/>
              </w:rPr>
              <w:t>陆生生态评价等级</w:t>
            </w:r>
          </w:p>
        </w:tc>
        <w:tc>
          <w:tcPr>
            <w:tcW w:w="806" w:type="pct"/>
            <w:noWrap w:val="0"/>
            <w:vAlign w:val="center"/>
          </w:tcPr>
          <w:p w14:paraId="30AC493F">
            <w:pPr>
              <w:pStyle w:val="225"/>
              <w:keepNext w:val="0"/>
              <w:keepLines w:val="0"/>
              <w:suppressLineNumbers w:val="0"/>
              <w:spacing w:before="0" w:beforeAutospacing="0" w:after="0" w:afterAutospacing="0" w:line="240" w:lineRule="auto"/>
              <w:ind w:left="0" w:right="0"/>
              <w:jc w:val="center"/>
              <w:rPr>
                <w:rFonts w:hint="eastAsia" w:ascii="Times New Roman" w:eastAsia="宋体"/>
                <w:b/>
                <w:color w:val="000000"/>
                <w:sz w:val="21"/>
                <w:szCs w:val="21"/>
                <w:lang w:eastAsia="zh-CN"/>
              </w:rPr>
            </w:pPr>
            <w:r>
              <w:rPr>
                <w:rFonts w:hint="eastAsia" w:ascii="Times New Roman"/>
                <w:b/>
                <w:color w:val="000000"/>
                <w:sz w:val="21"/>
                <w:szCs w:val="21"/>
                <w:lang w:eastAsia="zh-CN"/>
              </w:rPr>
              <w:t>水生生态评价等级</w:t>
            </w:r>
          </w:p>
        </w:tc>
      </w:tr>
      <w:tr w14:paraId="21C5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01AE6A4E">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a）涉及国家公园、自然保护区、世界自然遗产、重要生境时，评价等级为一级；</w:t>
            </w:r>
          </w:p>
        </w:tc>
        <w:tc>
          <w:tcPr>
            <w:tcW w:w="1748" w:type="pct"/>
            <w:noWrap w:val="0"/>
            <w:vAlign w:val="center"/>
          </w:tcPr>
          <w:p w14:paraId="490C5970">
            <w:pPr>
              <w:pStyle w:val="226"/>
              <w:keepNext w:val="0"/>
              <w:keepLines w:val="0"/>
              <w:suppressLineNumbers w:val="0"/>
              <w:spacing w:before="0" w:beforeAutospacing="0" w:after="0" w:afterAutospacing="0" w:line="240" w:lineRule="auto"/>
              <w:ind w:left="0" w:right="0"/>
              <w:jc w:val="center"/>
              <w:rPr>
                <w:rFonts w:hint="eastAsia" w:ascii="Times New Roman" w:eastAsia="宋体"/>
                <w:color w:val="000000"/>
                <w:sz w:val="21"/>
                <w:szCs w:val="21"/>
                <w:lang w:eastAsia="zh-CN"/>
              </w:rPr>
            </w:pPr>
            <w:r>
              <w:rPr>
                <w:rFonts w:hint="eastAsia" w:ascii="Times New Roman" w:hAnsi="Times New Roman" w:eastAsia="宋体" w:cs="Times New Roman"/>
                <w:color w:val="000000"/>
                <w:sz w:val="21"/>
                <w:szCs w:val="21"/>
                <w:lang w:val="en-US" w:eastAsia="zh-CN"/>
              </w:rPr>
              <w:t>本项目不涉及</w:t>
            </w:r>
          </w:p>
        </w:tc>
        <w:tc>
          <w:tcPr>
            <w:tcW w:w="1426" w:type="dxa"/>
            <w:noWrap w:val="0"/>
            <w:vAlign w:val="center"/>
          </w:tcPr>
          <w:p w14:paraId="4AEC899A">
            <w:pPr>
              <w:pStyle w:val="226"/>
              <w:keepNext w:val="0"/>
              <w:keepLines w:val="0"/>
              <w:suppressLineNumbers w:val="0"/>
              <w:spacing w:before="0" w:beforeAutospacing="0" w:after="0" w:afterAutospacing="0" w:line="240" w:lineRule="auto"/>
              <w:ind w:left="0" w:right="0"/>
              <w:jc w:val="center"/>
              <w:rPr>
                <w:rFonts w:hint="default" w:ascii="Times New Roman" w:eastAsia="宋体"/>
                <w:color w:val="000000"/>
                <w:sz w:val="21"/>
                <w:szCs w:val="21"/>
                <w:lang w:val="en-US" w:eastAsia="zh-CN"/>
              </w:rPr>
            </w:pPr>
            <w:r>
              <w:rPr>
                <w:rFonts w:hint="eastAsia" w:ascii="Times New Roman"/>
                <w:color w:val="000000"/>
                <w:sz w:val="21"/>
                <w:szCs w:val="21"/>
                <w:lang w:eastAsia="zh-CN"/>
              </w:rPr>
              <w:t>/</w:t>
            </w:r>
          </w:p>
        </w:tc>
        <w:tc>
          <w:tcPr>
            <w:tcW w:w="1426" w:type="dxa"/>
            <w:noWrap w:val="0"/>
            <w:vAlign w:val="center"/>
          </w:tcPr>
          <w:p w14:paraId="373593EC">
            <w:pPr>
              <w:pStyle w:val="226"/>
              <w:keepNext w:val="0"/>
              <w:keepLines w:val="0"/>
              <w:suppressLineNumbers w:val="0"/>
              <w:spacing w:before="0" w:beforeAutospacing="0" w:after="0" w:afterAutospacing="0" w:line="240" w:lineRule="auto"/>
              <w:ind w:left="0" w:right="0"/>
              <w:jc w:val="center"/>
              <w:rPr>
                <w:rFonts w:hint="eastAsia" w:ascii="Times New Roman" w:eastAsia="宋体"/>
                <w:color w:val="000000"/>
                <w:sz w:val="21"/>
                <w:szCs w:val="21"/>
                <w:lang w:val="en-US" w:eastAsia="zh-CN"/>
              </w:rPr>
            </w:pPr>
            <w:r>
              <w:rPr>
                <w:rFonts w:hint="eastAsia" w:ascii="Times New Roman"/>
                <w:color w:val="000000"/>
                <w:sz w:val="21"/>
                <w:szCs w:val="21"/>
                <w:lang w:eastAsia="zh-CN"/>
              </w:rPr>
              <w:t>/</w:t>
            </w:r>
          </w:p>
        </w:tc>
      </w:tr>
      <w:tr w14:paraId="2FC2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418AD6A5">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b）涉及自然公园时，评价等级为二级；</w:t>
            </w:r>
          </w:p>
        </w:tc>
        <w:tc>
          <w:tcPr>
            <w:tcW w:w="1748" w:type="pct"/>
            <w:noWrap w:val="0"/>
            <w:vAlign w:val="center"/>
          </w:tcPr>
          <w:p w14:paraId="6B71F496">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本项目不涉及自然公园</w:t>
            </w:r>
          </w:p>
        </w:tc>
        <w:tc>
          <w:tcPr>
            <w:tcW w:w="1426" w:type="dxa"/>
            <w:noWrap w:val="0"/>
            <w:vAlign w:val="center"/>
          </w:tcPr>
          <w:p w14:paraId="39FA00C8">
            <w:pPr>
              <w:pStyle w:val="226"/>
              <w:keepNext w:val="0"/>
              <w:keepLines w:val="0"/>
              <w:suppressLineNumbers w:val="0"/>
              <w:spacing w:before="0" w:beforeAutospacing="0" w:after="0" w:afterAutospacing="0" w:line="240" w:lineRule="auto"/>
              <w:ind w:left="0" w:right="0"/>
              <w:jc w:val="center"/>
              <w:rPr>
                <w:rFonts w:hint="eastAsia" w:ascii="Times New Roman" w:eastAsia="宋体"/>
                <w:color w:val="000000"/>
                <w:sz w:val="21"/>
                <w:szCs w:val="21"/>
                <w:lang w:eastAsia="zh-CN"/>
              </w:rPr>
            </w:pPr>
            <w:r>
              <w:rPr>
                <w:rFonts w:hint="eastAsia" w:ascii="Times New Roman"/>
                <w:color w:val="000000"/>
                <w:sz w:val="21"/>
                <w:szCs w:val="21"/>
                <w:lang w:eastAsia="zh-CN"/>
              </w:rPr>
              <w:t>/</w:t>
            </w:r>
          </w:p>
        </w:tc>
        <w:tc>
          <w:tcPr>
            <w:tcW w:w="1426" w:type="dxa"/>
            <w:noWrap w:val="0"/>
            <w:vAlign w:val="center"/>
          </w:tcPr>
          <w:p w14:paraId="0D5507B0">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w:t>
            </w:r>
          </w:p>
        </w:tc>
      </w:tr>
      <w:tr w14:paraId="1A1C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44243B25">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c）涉及生态保护红线时，评价等级不低于二级；</w:t>
            </w:r>
          </w:p>
        </w:tc>
        <w:tc>
          <w:tcPr>
            <w:tcW w:w="1748" w:type="pct"/>
            <w:noWrap w:val="0"/>
            <w:vAlign w:val="center"/>
          </w:tcPr>
          <w:p w14:paraId="694F575C">
            <w:pPr>
              <w:pStyle w:val="226"/>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本项目</w:t>
            </w:r>
            <w:r>
              <w:rPr>
                <w:rFonts w:hint="eastAsia" w:ascii="Times New Roman" w:hAnsi="Times New Roman" w:eastAsia="宋体" w:cs="Times New Roman"/>
                <w:color w:val="000000"/>
                <w:sz w:val="21"/>
                <w:szCs w:val="21"/>
                <w:lang w:val="en-US" w:eastAsia="zh-CN"/>
              </w:rPr>
              <w:t>影响范围</w:t>
            </w:r>
            <w:r>
              <w:rPr>
                <w:rFonts w:hint="eastAsia" w:ascii="Times New Roman" w:hAnsi="Times New Roman" w:eastAsia="宋体" w:cs="Times New Roman"/>
                <w:color w:val="000000"/>
                <w:sz w:val="21"/>
                <w:szCs w:val="21"/>
                <w:lang w:eastAsia="zh-CN"/>
              </w:rPr>
              <w:t>涉及生态保护红线</w:t>
            </w:r>
          </w:p>
        </w:tc>
        <w:tc>
          <w:tcPr>
            <w:tcW w:w="806" w:type="pct"/>
            <w:noWrap w:val="0"/>
            <w:vAlign w:val="center"/>
          </w:tcPr>
          <w:p w14:paraId="689AB2EF">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val="en-US" w:eastAsia="zh-CN"/>
              </w:rPr>
              <w:t>二级</w:t>
            </w:r>
          </w:p>
        </w:tc>
        <w:tc>
          <w:tcPr>
            <w:tcW w:w="806" w:type="pct"/>
            <w:noWrap w:val="0"/>
            <w:vAlign w:val="center"/>
          </w:tcPr>
          <w:p w14:paraId="3E096A4D">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w:t>
            </w:r>
          </w:p>
        </w:tc>
      </w:tr>
      <w:tr w14:paraId="5157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6FDD231B">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d）根据 HJ 2.3判断属于水文要素影响型且地表水评价等级不低于二级的建设项目，生态影响评价等级不低于二级；</w:t>
            </w:r>
          </w:p>
        </w:tc>
        <w:tc>
          <w:tcPr>
            <w:tcW w:w="1748" w:type="pct"/>
            <w:noWrap w:val="0"/>
            <w:vAlign w:val="center"/>
          </w:tcPr>
          <w:p w14:paraId="6859A272">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本项目属于水文要素影响型，地表水评价等级为</w:t>
            </w:r>
            <w:r>
              <w:rPr>
                <w:rFonts w:hint="eastAsia" w:ascii="Times New Roman" w:hAnsi="Times New Roman" w:eastAsia="宋体" w:cs="Times New Roman"/>
                <w:color w:val="000000"/>
                <w:sz w:val="21"/>
                <w:szCs w:val="21"/>
                <w:lang w:eastAsia="zh-CN"/>
              </w:rPr>
              <w:t>二</w:t>
            </w:r>
            <w:r>
              <w:rPr>
                <w:rFonts w:hint="eastAsia" w:ascii="Times New Roman" w:hAnsi="Times New Roman" w:eastAsia="宋体" w:cs="Times New Roman"/>
                <w:color w:val="000000"/>
                <w:sz w:val="21"/>
                <w:szCs w:val="21"/>
              </w:rPr>
              <w:t>级</w:t>
            </w:r>
          </w:p>
        </w:tc>
        <w:tc>
          <w:tcPr>
            <w:tcW w:w="806" w:type="pct"/>
            <w:noWrap w:val="0"/>
            <w:vAlign w:val="center"/>
          </w:tcPr>
          <w:p w14:paraId="1DE3B146">
            <w:pPr>
              <w:pStyle w:val="226"/>
              <w:keepNext w:val="0"/>
              <w:keepLines w:val="0"/>
              <w:suppressLineNumbers w:val="0"/>
              <w:spacing w:before="0" w:beforeAutospacing="0" w:after="0" w:afterAutospacing="0" w:line="240" w:lineRule="auto"/>
              <w:ind w:left="0" w:right="0"/>
              <w:jc w:val="center"/>
              <w:rPr>
                <w:rFonts w:hint="eastAsia"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806" w:type="pct"/>
            <w:noWrap w:val="0"/>
            <w:vAlign w:val="center"/>
          </w:tcPr>
          <w:p w14:paraId="414DA89C">
            <w:pPr>
              <w:pStyle w:val="226"/>
              <w:keepNext w:val="0"/>
              <w:keepLines w:val="0"/>
              <w:suppressLineNumbers w:val="0"/>
              <w:spacing w:before="0" w:beforeAutospacing="0" w:after="0" w:afterAutospacing="0" w:line="240" w:lineRule="auto"/>
              <w:ind w:left="0" w:right="0"/>
              <w:jc w:val="center"/>
              <w:rPr>
                <w:rFonts w:hint="eastAsia" w:ascii="Times New Roman" w:eastAsia="宋体"/>
                <w:color w:val="000000"/>
                <w:sz w:val="21"/>
                <w:szCs w:val="21"/>
                <w:lang w:eastAsia="zh-CN"/>
              </w:rPr>
            </w:pPr>
            <w:r>
              <w:rPr>
                <w:rFonts w:hint="eastAsia" w:ascii="Times New Roman"/>
                <w:color w:val="000000"/>
                <w:sz w:val="21"/>
                <w:szCs w:val="21"/>
                <w:lang w:eastAsia="zh-CN"/>
              </w:rPr>
              <w:t>二级</w:t>
            </w:r>
          </w:p>
        </w:tc>
      </w:tr>
      <w:tr w14:paraId="5E08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4D2896AF">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e）根据HJ610、HJ964判断地下水水位或土壤影响范围内分布有天然林、公益林、湿地等生态保护目标的建设项目，生态影响评价等级不低于二级；</w:t>
            </w:r>
          </w:p>
        </w:tc>
        <w:tc>
          <w:tcPr>
            <w:tcW w:w="1748" w:type="pct"/>
            <w:noWrap w:val="0"/>
            <w:vAlign w:val="center"/>
          </w:tcPr>
          <w:p w14:paraId="25910ECF">
            <w:pPr>
              <w:pStyle w:val="226"/>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本项目不涉及</w:t>
            </w:r>
          </w:p>
        </w:tc>
        <w:tc>
          <w:tcPr>
            <w:tcW w:w="1426" w:type="dxa"/>
            <w:noWrap w:val="0"/>
            <w:vAlign w:val="center"/>
          </w:tcPr>
          <w:p w14:paraId="7DA00B2C">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w:t>
            </w:r>
          </w:p>
        </w:tc>
        <w:tc>
          <w:tcPr>
            <w:tcW w:w="1426" w:type="dxa"/>
            <w:noWrap w:val="0"/>
            <w:vAlign w:val="center"/>
          </w:tcPr>
          <w:p w14:paraId="59E03DAD">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w:t>
            </w:r>
          </w:p>
        </w:tc>
      </w:tr>
      <w:tr w14:paraId="7AD1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1E10B90E">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f）当工程占地规模大于20km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时（包括永久和临时占用陆域和水域），评价等级不低于二级；改扩建项目的占地范围以新增占地（包括陆域和水域）确定；</w:t>
            </w:r>
          </w:p>
        </w:tc>
        <w:tc>
          <w:tcPr>
            <w:tcW w:w="1748" w:type="pct"/>
            <w:noWrap w:val="0"/>
            <w:vAlign w:val="center"/>
          </w:tcPr>
          <w:p w14:paraId="74A035ED">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本项目工程占地规模</w:t>
            </w:r>
            <w:r>
              <w:rPr>
                <w:rFonts w:hint="eastAsia" w:ascii="Times New Roman" w:hAnsi="Times New Roman" w:eastAsia="宋体" w:cs="Times New Roman"/>
                <w:color w:val="000000"/>
                <w:sz w:val="21"/>
                <w:szCs w:val="21"/>
                <w:lang w:eastAsia="zh-CN"/>
              </w:rPr>
              <w:t>小</w:t>
            </w:r>
            <w:r>
              <w:rPr>
                <w:rFonts w:hint="eastAsia" w:ascii="Times New Roman" w:hAnsi="Times New Roman" w:eastAsia="宋体" w:cs="Times New Roman"/>
                <w:color w:val="000000"/>
                <w:sz w:val="21"/>
                <w:szCs w:val="21"/>
              </w:rPr>
              <w:t>于20km</w:t>
            </w:r>
            <w:r>
              <w:rPr>
                <w:rFonts w:hint="eastAsia" w:ascii="Times New Roman" w:hAnsi="Times New Roman" w:eastAsia="宋体" w:cs="Times New Roman"/>
                <w:color w:val="000000"/>
                <w:sz w:val="21"/>
                <w:szCs w:val="21"/>
                <w:vertAlign w:val="superscript"/>
              </w:rPr>
              <w:t>2</w:t>
            </w:r>
          </w:p>
        </w:tc>
        <w:tc>
          <w:tcPr>
            <w:tcW w:w="1426" w:type="dxa"/>
            <w:noWrap w:val="0"/>
            <w:vAlign w:val="center"/>
          </w:tcPr>
          <w:p w14:paraId="18FDD5A7">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w:t>
            </w:r>
          </w:p>
        </w:tc>
        <w:tc>
          <w:tcPr>
            <w:tcW w:w="1426" w:type="dxa"/>
            <w:noWrap w:val="0"/>
            <w:vAlign w:val="center"/>
          </w:tcPr>
          <w:p w14:paraId="3FC34B05">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w:t>
            </w:r>
          </w:p>
        </w:tc>
      </w:tr>
      <w:tr w14:paraId="1D21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744C9C0D">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g）除本条a)、b)、c)、d)、e)、f</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以外的情况，评价等级为三级；</w:t>
            </w:r>
          </w:p>
        </w:tc>
        <w:tc>
          <w:tcPr>
            <w:tcW w:w="1748" w:type="pct"/>
            <w:noWrap w:val="0"/>
            <w:vAlign w:val="center"/>
          </w:tcPr>
          <w:p w14:paraId="679FDD32">
            <w:pPr>
              <w:pStyle w:val="226"/>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本项目满足本条</w:t>
            </w:r>
            <w:r>
              <w:rPr>
                <w:rFonts w:hint="default" w:ascii="Times New Roman" w:hAnsi="Times New Roman" w:eastAsia="宋体" w:cs="Times New Roman"/>
                <w:color w:val="000000"/>
                <w:sz w:val="21"/>
                <w:szCs w:val="21"/>
              </w:rPr>
              <w:t>d)</w:t>
            </w:r>
          </w:p>
        </w:tc>
        <w:tc>
          <w:tcPr>
            <w:tcW w:w="806" w:type="pct"/>
            <w:noWrap w:val="0"/>
            <w:vAlign w:val="center"/>
          </w:tcPr>
          <w:p w14:paraId="79F682C0">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val="en-US" w:eastAsia="zh-CN"/>
              </w:rPr>
              <w:t>/</w:t>
            </w:r>
          </w:p>
        </w:tc>
        <w:tc>
          <w:tcPr>
            <w:tcW w:w="806" w:type="pct"/>
            <w:noWrap w:val="0"/>
            <w:vAlign w:val="center"/>
          </w:tcPr>
          <w:p w14:paraId="74C6FB54">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val="en-US" w:eastAsia="zh-CN"/>
              </w:rPr>
              <w:t>/</w:t>
            </w:r>
          </w:p>
        </w:tc>
      </w:tr>
      <w:tr w14:paraId="7D6A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noWrap w:val="0"/>
            <w:vAlign w:val="center"/>
          </w:tcPr>
          <w:p w14:paraId="2E01B7B9">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h）当评价等级判定同时符合上述多种情况时，应采用其中最高的评价等级。</w:t>
            </w:r>
          </w:p>
        </w:tc>
        <w:tc>
          <w:tcPr>
            <w:tcW w:w="1748" w:type="pct"/>
            <w:noWrap w:val="0"/>
            <w:vAlign w:val="center"/>
          </w:tcPr>
          <w:p w14:paraId="60DD092C">
            <w:pPr>
              <w:pStyle w:val="22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取最高评价等级</w:t>
            </w:r>
          </w:p>
        </w:tc>
        <w:tc>
          <w:tcPr>
            <w:tcW w:w="806" w:type="pct"/>
            <w:noWrap w:val="0"/>
            <w:vAlign w:val="center"/>
          </w:tcPr>
          <w:p w14:paraId="1B33DB61">
            <w:pPr>
              <w:pStyle w:val="226"/>
              <w:keepNext w:val="0"/>
              <w:keepLines w:val="0"/>
              <w:suppressLineNumbers w:val="0"/>
              <w:spacing w:before="0" w:beforeAutospacing="0" w:after="0" w:afterAutospacing="0" w:line="240" w:lineRule="auto"/>
              <w:ind w:left="0" w:right="0"/>
              <w:jc w:val="center"/>
              <w:rPr>
                <w:rFonts w:hint="eastAsia" w:ascii="Times New Roman" w:eastAsia="宋体"/>
                <w:color w:val="000000"/>
                <w:sz w:val="21"/>
                <w:szCs w:val="21"/>
                <w:lang w:eastAsia="zh-CN"/>
              </w:rPr>
            </w:pPr>
            <w:r>
              <w:rPr>
                <w:rFonts w:hint="eastAsia" w:ascii="Times New Roman"/>
                <w:color w:val="000000"/>
                <w:sz w:val="21"/>
                <w:szCs w:val="21"/>
                <w:lang w:val="en-US" w:eastAsia="zh-CN"/>
              </w:rPr>
              <w:t>二级</w:t>
            </w:r>
          </w:p>
        </w:tc>
        <w:tc>
          <w:tcPr>
            <w:tcW w:w="806" w:type="pct"/>
            <w:noWrap w:val="0"/>
            <w:vAlign w:val="center"/>
          </w:tcPr>
          <w:p w14:paraId="3C8E612C">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二级</w:t>
            </w:r>
          </w:p>
        </w:tc>
      </w:tr>
    </w:tbl>
    <w:p w14:paraId="2AEAF6A5">
      <w:pPr>
        <w:ind w:firstLine="480"/>
        <w:rPr>
          <w:rFonts w:hint="eastAsia" w:eastAsia="宋体"/>
          <w:color w:val="000000"/>
          <w:highlight w:val="none"/>
          <w:lang w:eastAsia="zh-CN"/>
        </w:rPr>
      </w:pPr>
      <w:r>
        <w:rPr>
          <w:rFonts w:hint="eastAsia"/>
          <w:color w:val="000000"/>
          <w:highlight w:val="none"/>
          <w:lang w:val="en-US" w:eastAsia="zh-CN"/>
        </w:rPr>
        <w:t>本项目影响范围涉及生态保护红线，</w:t>
      </w:r>
      <w:r>
        <w:rPr>
          <w:color w:val="000000"/>
          <w:highlight w:val="none"/>
        </w:rPr>
        <w:t>所以评价等级为</w:t>
      </w:r>
      <w:r>
        <w:rPr>
          <w:rFonts w:hint="eastAsia"/>
          <w:color w:val="000000"/>
          <w:highlight w:val="none"/>
          <w:lang w:val="en-US" w:eastAsia="zh-CN"/>
        </w:rPr>
        <w:t>二</w:t>
      </w:r>
      <w:r>
        <w:rPr>
          <w:color w:val="000000"/>
          <w:highlight w:val="none"/>
        </w:rPr>
        <w:t>级</w:t>
      </w:r>
      <w:r>
        <w:rPr>
          <w:rFonts w:hint="eastAsia"/>
          <w:color w:val="000000"/>
          <w:highlight w:val="none"/>
          <w:lang w:eastAsia="zh-CN"/>
        </w:rPr>
        <w:t>。</w:t>
      </w:r>
    </w:p>
    <w:p w14:paraId="3977F178">
      <w:pPr>
        <w:pStyle w:val="5"/>
        <w:rPr>
          <w:color w:val="000000"/>
          <w:lang w:eastAsia="zh-CN"/>
        </w:rPr>
      </w:pPr>
      <w:r>
        <w:rPr>
          <w:color w:val="000000"/>
          <w:lang w:eastAsia="zh-CN"/>
        </w:rPr>
        <w:br w:type="page" w:clear="all"/>
      </w:r>
      <w:r>
        <w:rPr>
          <w:color w:val="000000"/>
          <w:lang w:eastAsia="zh-CN"/>
        </w:rPr>
        <w:t>1.</w:t>
      </w:r>
      <w:r>
        <w:rPr>
          <w:rFonts w:hint="eastAsia"/>
          <w:color w:val="000000"/>
          <w:lang w:val="en-US" w:eastAsia="zh-CN"/>
        </w:rPr>
        <w:t>4.2</w:t>
      </w:r>
      <w:r>
        <w:rPr>
          <w:color w:val="000000"/>
          <w:lang w:eastAsia="zh-CN"/>
        </w:rPr>
        <w:t xml:space="preserve"> 评价</w:t>
      </w:r>
      <w:r>
        <w:rPr>
          <w:rFonts w:hint="eastAsia"/>
          <w:color w:val="000000"/>
          <w:lang w:eastAsia="zh-CN"/>
        </w:rPr>
        <w:t>范围及时段</w:t>
      </w:r>
      <w:bookmarkEnd w:id="54"/>
    </w:p>
    <w:p w14:paraId="21ACE283">
      <w:pPr>
        <w:pStyle w:val="224"/>
        <w:rPr>
          <w:rFonts w:cs="Times New Roman"/>
          <w:color w:val="000000"/>
        </w:rPr>
      </w:pPr>
      <w:r>
        <w:rPr>
          <w:rFonts w:hint="eastAsia" w:cs="Times New Roman"/>
          <w:color w:val="000000"/>
        </w:rPr>
        <w:t>评价范围及时段见下表</w:t>
      </w:r>
      <w:r>
        <w:rPr>
          <w:rFonts w:cs="Times New Roman"/>
          <w:color w:val="000000"/>
        </w:rPr>
        <w:t>。</w:t>
      </w:r>
    </w:p>
    <w:p w14:paraId="6A2FBEC5">
      <w:pPr>
        <w:keepNext w:val="0"/>
        <w:keepLines w:val="0"/>
        <w:pageBreakBefore w:val="0"/>
        <w:widowControl w:val="0"/>
        <w:spacing w:line="240" w:lineRule="auto"/>
        <w:jc w:val="center"/>
        <w:rPr>
          <w:b/>
          <w:bCs/>
          <w:color w:val="000000"/>
        </w:rPr>
      </w:pPr>
      <w:bookmarkStart w:id="55" w:name="_Toc6862"/>
      <w:r>
        <w:rPr>
          <w:rFonts w:hint="eastAsia"/>
          <w:b/>
          <w:bCs/>
          <w:color w:val="000000"/>
        </w:rPr>
        <w:t>表</w:t>
      </w:r>
      <w:r>
        <w:rPr>
          <w:b/>
          <w:bCs/>
          <w:color w:val="000000"/>
        </w:rPr>
        <w:t>1.</w:t>
      </w:r>
      <w:r>
        <w:rPr>
          <w:rFonts w:hint="eastAsia"/>
          <w:b/>
          <w:bCs/>
          <w:color w:val="000000"/>
          <w:lang w:val="en-US" w:eastAsia="zh-CN"/>
        </w:rPr>
        <w:t>4</w:t>
      </w:r>
      <w:r>
        <w:rPr>
          <w:rFonts w:hint="eastAsia"/>
          <w:b/>
          <w:bCs/>
          <w:color w:val="000000"/>
        </w:rPr>
        <w:t>-</w:t>
      </w:r>
      <w:r>
        <w:rPr>
          <w:rFonts w:hint="eastAsia"/>
          <w:b/>
          <w:bCs/>
          <w:color w:val="000000"/>
          <w:lang w:val="en-US" w:eastAsia="zh-CN"/>
        </w:rPr>
        <w:t>2</w:t>
      </w:r>
      <w:r>
        <w:rPr>
          <w:rFonts w:hint="eastAsia"/>
          <w:b/>
          <w:bCs/>
          <w:color w:val="000000"/>
        </w:rPr>
        <w:t xml:space="preserve"> 项目评价范围及时段一览表</w:t>
      </w:r>
      <w:bookmarkEnd w:id="55"/>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85"/>
        <w:gridCol w:w="1063"/>
        <w:gridCol w:w="4810"/>
        <w:gridCol w:w="1786"/>
      </w:tblGrid>
      <w:tr w14:paraId="301F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0" w:type="pct"/>
            <w:noWrap w:val="0"/>
            <w:vAlign w:val="center"/>
          </w:tcPr>
          <w:p w14:paraId="53B572B5">
            <w:pPr>
              <w:pStyle w:val="225"/>
              <w:keepNext w:val="0"/>
              <w:keepLines w:val="0"/>
              <w:suppressLineNumbers w:val="0"/>
              <w:spacing w:before="0" w:beforeAutospacing="0" w:after="0" w:afterAutospacing="0" w:line="240" w:lineRule="auto"/>
              <w:ind w:left="0" w:right="0"/>
              <w:jc w:val="center"/>
              <w:rPr>
                <w:rFonts w:hint="default" w:ascii="Times New Roman"/>
                <w:b/>
                <w:color w:val="000000"/>
                <w:sz w:val="21"/>
                <w:szCs w:val="21"/>
              </w:rPr>
            </w:pPr>
            <w:r>
              <w:rPr>
                <w:rFonts w:ascii="Times New Roman"/>
                <w:b/>
                <w:color w:val="000000"/>
                <w:sz w:val="21"/>
                <w:szCs w:val="21"/>
              </w:rPr>
              <w:t>评价因子</w:t>
            </w:r>
          </w:p>
        </w:tc>
        <w:tc>
          <w:tcPr>
            <w:tcW w:w="601" w:type="pct"/>
            <w:noWrap w:val="0"/>
            <w:vAlign w:val="center"/>
          </w:tcPr>
          <w:p w14:paraId="20E9C206">
            <w:pPr>
              <w:pStyle w:val="225"/>
              <w:keepNext w:val="0"/>
              <w:keepLines w:val="0"/>
              <w:suppressLineNumbers w:val="0"/>
              <w:spacing w:before="0" w:beforeAutospacing="0" w:after="0" w:afterAutospacing="0" w:line="240" w:lineRule="auto"/>
              <w:ind w:left="0" w:right="0"/>
              <w:jc w:val="center"/>
              <w:rPr>
                <w:rFonts w:hint="default" w:ascii="Times New Roman"/>
                <w:b/>
                <w:color w:val="000000"/>
                <w:sz w:val="21"/>
                <w:szCs w:val="21"/>
              </w:rPr>
            </w:pPr>
            <w:r>
              <w:rPr>
                <w:rFonts w:ascii="Times New Roman"/>
                <w:b/>
                <w:color w:val="000000"/>
                <w:sz w:val="21"/>
                <w:szCs w:val="21"/>
              </w:rPr>
              <w:t>评价等级</w:t>
            </w:r>
          </w:p>
        </w:tc>
        <w:tc>
          <w:tcPr>
            <w:tcW w:w="2718" w:type="pct"/>
            <w:noWrap w:val="0"/>
            <w:vAlign w:val="center"/>
          </w:tcPr>
          <w:p w14:paraId="413F3A51">
            <w:pPr>
              <w:pStyle w:val="225"/>
              <w:keepNext w:val="0"/>
              <w:keepLines w:val="0"/>
              <w:suppressLineNumbers w:val="0"/>
              <w:spacing w:before="0" w:beforeAutospacing="0" w:after="0" w:afterAutospacing="0" w:line="240" w:lineRule="auto"/>
              <w:ind w:left="0" w:right="0"/>
              <w:jc w:val="center"/>
              <w:rPr>
                <w:rFonts w:hint="default" w:ascii="Times New Roman"/>
                <w:b/>
                <w:color w:val="000000"/>
                <w:sz w:val="21"/>
                <w:szCs w:val="21"/>
              </w:rPr>
            </w:pPr>
            <w:r>
              <w:rPr>
                <w:rFonts w:ascii="Times New Roman"/>
                <w:b/>
                <w:color w:val="000000"/>
                <w:sz w:val="21"/>
                <w:szCs w:val="21"/>
              </w:rPr>
              <w:t>评价范围</w:t>
            </w:r>
          </w:p>
        </w:tc>
        <w:tc>
          <w:tcPr>
            <w:tcW w:w="1009" w:type="pct"/>
            <w:noWrap w:val="0"/>
            <w:vAlign w:val="center"/>
          </w:tcPr>
          <w:p w14:paraId="07C864E4">
            <w:pPr>
              <w:pStyle w:val="225"/>
              <w:keepNext w:val="0"/>
              <w:keepLines w:val="0"/>
              <w:suppressLineNumbers w:val="0"/>
              <w:spacing w:before="0" w:beforeAutospacing="0" w:after="0" w:afterAutospacing="0" w:line="240" w:lineRule="auto"/>
              <w:ind w:left="0" w:right="0"/>
              <w:jc w:val="center"/>
              <w:rPr>
                <w:rFonts w:hint="default" w:ascii="Times New Roman"/>
                <w:b/>
                <w:color w:val="000000"/>
                <w:sz w:val="21"/>
                <w:szCs w:val="21"/>
              </w:rPr>
            </w:pPr>
            <w:r>
              <w:rPr>
                <w:rFonts w:ascii="Times New Roman"/>
                <w:b/>
                <w:color w:val="000000"/>
                <w:sz w:val="21"/>
                <w:szCs w:val="21"/>
              </w:rPr>
              <w:t>评价时段</w:t>
            </w:r>
          </w:p>
        </w:tc>
      </w:tr>
      <w:tr w14:paraId="4880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0" w:type="pct"/>
            <w:noWrap w:val="0"/>
            <w:vAlign w:val="center"/>
          </w:tcPr>
          <w:p w14:paraId="61AC2868">
            <w:pPr>
              <w:pStyle w:val="225"/>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ascii="Times New Roman"/>
                <w:color w:val="000000"/>
                <w:sz w:val="21"/>
                <w:szCs w:val="21"/>
              </w:rPr>
              <w:t>生态环境</w:t>
            </w:r>
          </w:p>
        </w:tc>
        <w:tc>
          <w:tcPr>
            <w:tcW w:w="601" w:type="pct"/>
            <w:noWrap w:val="0"/>
            <w:vAlign w:val="center"/>
          </w:tcPr>
          <w:p w14:paraId="2D646960">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lang w:eastAsia="zh-CN"/>
              </w:rPr>
              <w:t>二</w:t>
            </w:r>
            <w:r>
              <w:rPr>
                <w:rFonts w:hint="eastAsia" w:ascii="Times New Roman"/>
                <w:color w:val="000000"/>
                <w:sz w:val="21"/>
                <w:szCs w:val="21"/>
              </w:rPr>
              <w:t>级</w:t>
            </w:r>
          </w:p>
        </w:tc>
        <w:tc>
          <w:tcPr>
            <w:tcW w:w="2718" w:type="pct"/>
            <w:noWrap w:val="0"/>
            <w:vAlign w:val="center"/>
          </w:tcPr>
          <w:p w14:paraId="12204CEF">
            <w:pPr>
              <w:pStyle w:val="225"/>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ascii="Times New Roman"/>
                <w:color w:val="000000"/>
                <w:sz w:val="21"/>
                <w:szCs w:val="21"/>
              </w:rPr>
              <w:t>工程涉及区、工程运输沿线周围200m范围</w:t>
            </w:r>
          </w:p>
        </w:tc>
        <w:tc>
          <w:tcPr>
            <w:tcW w:w="1009" w:type="pct"/>
            <w:noWrap w:val="0"/>
            <w:vAlign w:val="center"/>
          </w:tcPr>
          <w:p w14:paraId="13468FF7">
            <w:pPr>
              <w:pStyle w:val="226"/>
              <w:keepNext w:val="0"/>
              <w:keepLines w:val="0"/>
              <w:suppressLineNumbers w:val="0"/>
              <w:spacing w:before="0" w:beforeAutospacing="0" w:after="0" w:afterAutospacing="0" w:line="240" w:lineRule="auto"/>
              <w:ind w:left="0" w:right="0"/>
              <w:jc w:val="center"/>
              <w:rPr>
                <w:rFonts w:hint="default" w:ascii="Times New Roman"/>
                <w:color w:val="000000"/>
                <w:sz w:val="21"/>
                <w:szCs w:val="21"/>
              </w:rPr>
            </w:pPr>
            <w:r>
              <w:rPr>
                <w:rFonts w:hint="eastAsia" w:ascii="Times New Roman"/>
                <w:color w:val="000000"/>
                <w:sz w:val="21"/>
                <w:szCs w:val="21"/>
              </w:rPr>
              <w:t>施工期</w:t>
            </w:r>
          </w:p>
        </w:tc>
      </w:tr>
    </w:tbl>
    <w:p w14:paraId="6BC53FB9">
      <w:pPr>
        <w:ind w:left="0" w:firstLine="0"/>
        <w:outlineLvl w:val="1"/>
        <w:rPr>
          <w:color w:val="000000"/>
          <w:lang w:eastAsia="zh-CN"/>
        </w:rPr>
      </w:pPr>
      <w:bookmarkStart w:id="56" w:name="_Toc22056"/>
      <w:bookmarkStart w:id="57" w:name="_Toc29528"/>
      <w:bookmarkStart w:id="58" w:name="_Toc119915350"/>
      <w:r>
        <w:rPr>
          <w:rStyle w:val="222"/>
          <w:rFonts w:hint="eastAsia"/>
          <w:color w:val="000000"/>
          <w:lang w:val="en-US" w:eastAsia="zh-CN"/>
        </w:rPr>
        <w:t xml:space="preserve">1.5 </w:t>
      </w:r>
      <w:r>
        <w:rPr>
          <w:rStyle w:val="222"/>
          <w:rFonts w:hint="eastAsia"/>
          <w:color w:val="000000"/>
          <w:lang w:eastAsia="zh-CN"/>
        </w:rPr>
        <w:t>生态环境保护目标</w:t>
      </w:r>
      <w:bookmarkEnd w:id="56"/>
      <w:bookmarkEnd w:id="57"/>
      <w:bookmarkEnd w:id="58"/>
    </w:p>
    <w:p w14:paraId="366F47E3">
      <w:pPr>
        <w:rPr>
          <w:color w:val="000000"/>
        </w:rPr>
      </w:pPr>
      <w:r>
        <w:rPr>
          <w:color w:val="000000"/>
        </w:rPr>
        <w:t>根据项目周围环境敏感目标的分布和项目污染的特点，结合建设区自然、社会环境特征，评价区域主要环境敏感点见</w:t>
      </w:r>
      <w:r>
        <w:rPr>
          <w:rFonts w:hint="eastAsia"/>
          <w:color w:val="000000"/>
        </w:rPr>
        <w:t>下表</w:t>
      </w:r>
      <w:r>
        <w:rPr>
          <w:color w:val="000000"/>
        </w:rPr>
        <w:t>。</w:t>
      </w:r>
    </w:p>
    <w:p w14:paraId="244057CA">
      <w:pPr>
        <w:pStyle w:val="7"/>
        <w:keepNext/>
        <w:keepLines/>
        <w:pageBreakBefore w:val="0"/>
        <w:widowControl w:val="0"/>
        <w:spacing w:line="240" w:lineRule="auto"/>
        <w:jc w:val="center"/>
        <w:outlineLvl w:val="2"/>
        <w:rPr>
          <w:b/>
          <w:bCs/>
          <w:color w:val="000000"/>
        </w:rPr>
      </w:pPr>
      <w:bookmarkStart w:id="59" w:name="_Toc5716"/>
      <w:r>
        <w:rPr>
          <w:b/>
          <w:bCs/>
          <w:color w:val="000000"/>
        </w:rPr>
        <w:t>表1.</w:t>
      </w:r>
      <w:r>
        <w:rPr>
          <w:rFonts w:hint="eastAsia"/>
          <w:b/>
          <w:bCs/>
          <w:color w:val="000000"/>
          <w:lang w:val="en-US" w:eastAsia="zh-CN"/>
        </w:rPr>
        <w:t>5</w:t>
      </w:r>
      <w:r>
        <w:rPr>
          <w:b/>
          <w:bCs/>
          <w:color w:val="000000"/>
        </w:rPr>
        <w:t>-1  主要环境保护目标</w:t>
      </w:r>
      <w:bookmarkEnd w:id="59"/>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300"/>
        <w:gridCol w:w="1188"/>
        <w:gridCol w:w="1102"/>
        <w:gridCol w:w="1632"/>
        <w:gridCol w:w="1575"/>
        <w:gridCol w:w="1238"/>
      </w:tblGrid>
      <w:tr w14:paraId="3E80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restart"/>
            <w:noWrap w:val="0"/>
            <w:vAlign w:val="center"/>
          </w:tcPr>
          <w:p w14:paraId="6E674B2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环境要素</w:t>
            </w:r>
          </w:p>
        </w:tc>
        <w:tc>
          <w:tcPr>
            <w:tcW w:w="721" w:type="pct"/>
            <w:vMerge w:val="restart"/>
            <w:noWrap w:val="0"/>
            <w:vAlign w:val="center"/>
          </w:tcPr>
          <w:p w14:paraId="2A3A69F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环境保护目标</w:t>
            </w:r>
          </w:p>
        </w:tc>
        <w:tc>
          <w:tcPr>
            <w:tcW w:w="1271" w:type="pct"/>
            <w:gridSpan w:val="2"/>
            <w:noWrap w:val="0"/>
            <w:vAlign w:val="center"/>
          </w:tcPr>
          <w:p w14:paraId="396D0BC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rPr>
            </w:pPr>
            <w:r>
              <w:rPr>
                <w:rFonts w:hint="default" w:ascii="Times New Roman" w:hAnsi="Times New Roman" w:eastAsia="宋体" w:cs="Times New Roman"/>
                <w:b/>
                <w:bCs/>
                <w:color w:val="000000"/>
                <w:sz w:val="21"/>
                <w:szCs w:val="21"/>
                <w:vertAlign w:val="baseline"/>
                <w:lang w:eastAsia="zh-CN"/>
              </w:rPr>
              <w:t>坐标</w:t>
            </w:r>
          </w:p>
        </w:tc>
        <w:tc>
          <w:tcPr>
            <w:tcW w:w="906" w:type="pct"/>
            <w:vMerge w:val="restart"/>
            <w:noWrap w:val="0"/>
            <w:vAlign w:val="center"/>
          </w:tcPr>
          <w:p w14:paraId="4041B83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保护对象</w:t>
            </w:r>
          </w:p>
        </w:tc>
        <w:tc>
          <w:tcPr>
            <w:tcW w:w="874" w:type="pct"/>
            <w:vMerge w:val="restart"/>
            <w:noWrap w:val="0"/>
            <w:vAlign w:val="center"/>
          </w:tcPr>
          <w:p w14:paraId="314F064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eastAsia="zh-CN"/>
              </w:rPr>
              <w:t>保护内容</w:t>
            </w:r>
          </w:p>
        </w:tc>
        <w:tc>
          <w:tcPr>
            <w:tcW w:w="687" w:type="pct"/>
            <w:vMerge w:val="restart"/>
            <w:noWrap w:val="0"/>
            <w:vAlign w:val="center"/>
          </w:tcPr>
          <w:p w14:paraId="538C824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环境功能</w:t>
            </w:r>
          </w:p>
        </w:tc>
      </w:tr>
      <w:tr w14:paraId="333D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6A436A9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721" w:type="pct"/>
            <w:vMerge w:val="continue"/>
            <w:noWrap w:val="0"/>
            <w:vAlign w:val="center"/>
          </w:tcPr>
          <w:p w14:paraId="663A5A1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rPr>
            </w:pPr>
          </w:p>
        </w:tc>
        <w:tc>
          <w:tcPr>
            <w:tcW w:w="659" w:type="pct"/>
            <w:noWrap w:val="0"/>
            <w:vAlign w:val="center"/>
          </w:tcPr>
          <w:p w14:paraId="29CBFDD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北纬</w:t>
            </w:r>
          </w:p>
        </w:tc>
        <w:tc>
          <w:tcPr>
            <w:tcW w:w="611" w:type="pct"/>
            <w:noWrap w:val="0"/>
            <w:vAlign w:val="center"/>
          </w:tcPr>
          <w:p w14:paraId="644E9DD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东经</w:t>
            </w:r>
          </w:p>
        </w:tc>
        <w:tc>
          <w:tcPr>
            <w:tcW w:w="906" w:type="pct"/>
            <w:vMerge w:val="continue"/>
            <w:noWrap w:val="0"/>
            <w:vAlign w:val="center"/>
          </w:tcPr>
          <w:p w14:paraId="207AEE6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rPr>
            </w:pPr>
          </w:p>
        </w:tc>
        <w:tc>
          <w:tcPr>
            <w:tcW w:w="874" w:type="pct"/>
            <w:vMerge w:val="continue"/>
            <w:noWrap w:val="0"/>
            <w:vAlign w:val="center"/>
          </w:tcPr>
          <w:p w14:paraId="076759E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rPr>
            </w:pPr>
          </w:p>
        </w:tc>
        <w:tc>
          <w:tcPr>
            <w:tcW w:w="687" w:type="pct"/>
            <w:vMerge w:val="continue"/>
            <w:noWrap w:val="0"/>
            <w:vAlign w:val="center"/>
          </w:tcPr>
          <w:p w14:paraId="5EA14E1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rPr>
            </w:pPr>
          </w:p>
        </w:tc>
      </w:tr>
      <w:tr w14:paraId="4779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restart"/>
            <w:noWrap w:val="0"/>
            <w:vAlign w:val="center"/>
          </w:tcPr>
          <w:p w14:paraId="138A26F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地表水环境</w:t>
            </w:r>
          </w:p>
        </w:tc>
        <w:tc>
          <w:tcPr>
            <w:tcW w:w="721" w:type="pct"/>
            <w:noWrap w:val="0"/>
            <w:vAlign w:val="center"/>
          </w:tcPr>
          <w:p w14:paraId="6070AEB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sz w:val="21"/>
                <w:szCs w:val="21"/>
                <w:lang w:val="en-US" w:eastAsia="zh-CN" w:bidi="ar-SA"/>
              </w:rPr>
              <w:t>东淠河</w:t>
            </w:r>
          </w:p>
        </w:tc>
        <w:tc>
          <w:tcPr>
            <w:tcW w:w="659" w:type="pct"/>
            <w:noWrap w:val="0"/>
            <w:vAlign w:val="center"/>
          </w:tcPr>
          <w:p w14:paraId="5CB55EC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62BFB46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restart"/>
            <w:noWrap w:val="0"/>
            <w:vAlign w:val="center"/>
          </w:tcPr>
          <w:p w14:paraId="3DF0364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水环境功能</w:t>
            </w:r>
          </w:p>
        </w:tc>
        <w:tc>
          <w:tcPr>
            <w:tcW w:w="874" w:type="pct"/>
            <w:vMerge w:val="restart"/>
            <w:noWrap w:val="0"/>
            <w:vAlign w:val="center"/>
          </w:tcPr>
          <w:p w14:paraId="10A31CB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rPr>
            </w:pPr>
            <w:r>
              <w:rPr>
                <w:rFonts w:hint="default" w:ascii="Times New Roman" w:hAnsi="Times New Roman" w:eastAsia="宋体" w:cs="Times New Roman"/>
                <w:b w:val="0"/>
                <w:bCs w:val="0"/>
                <w:color w:val="000000"/>
                <w:sz w:val="21"/>
                <w:szCs w:val="21"/>
                <w:vertAlign w:val="baseline"/>
                <w:lang w:eastAsia="zh-CN"/>
              </w:rPr>
              <w:t>水质</w:t>
            </w:r>
          </w:p>
        </w:tc>
        <w:tc>
          <w:tcPr>
            <w:tcW w:w="687" w:type="pct"/>
            <w:vMerge w:val="restart"/>
            <w:noWrap w:val="0"/>
            <w:vAlign w:val="center"/>
          </w:tcPr>
          <w:p w14:paraId="7EEA19A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rPr>
            </w:pPr>
            <w:r>
              <w:rPr>
                <w:rFonts w:hint="default" w:ascii="Times New Roman" w:hAnsi="Times New Roman" w:eastAsia="宋体" w:cs="Times New Roman"/>
                <w:b w:val="0"/>
                <w:bCs w:val="0"/>
                <w:color w:val="000000"/>
                <w:sz w:val="21"/>
                <w:szCs w:val="21"/>
                <w:vertAlign w:val="baseline"/>
                <w:lang w:eastAsia="zh-CN"/>
              </w:rPr>
              <w:t>地表水</w:t>
            </w:r>
            <w:r>
              <w:rPr>
                <w:rFonts w:hint="default" w:ascii="Times New Roman" w:hAnsi="Times New Roman" w:eastAsia="宋体" w:cs="Times New Roman"/>
                <w:b w:val="0"/>
                <w:bCs w:val="0"/>
                <w:color w:val="000000"/>
                <w:sz w:val="21"/>
                <w:szCs w:val="21"/>
                <w:vertAlign w:val="baseline"/>
                <w:lang w:val="en-US" w:eastAsia="zh-CN"/>
              </w:rPr>
              <w:t>III类</w:t>
            </w:r>
          </w:p>
        </w:tc>
      </w:tr>
      <w:tr w14:paraId="17B9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continue"/>
            <w:noWrap w:val="0"/>
            <w:vAlign w:val="center"/>
          </w:tcPr>
          <w:p w14:paraId="043AE27B">
            <w:pPr>
              <w:keepNext w:val="0"/>
              <w:keepLines w:val="0"/>
              <w:pageBreakBefore w:val="0"/>
              <w:widowControl w:val="0"/>
              <w:suppressLineNumbers w:val="0"/>
              <w:spacing w:before="0" w:beforeAutospacing="0" w:after="0" w:afterAutospacing="0" w:line="240" w:lineRule="auto"/>
              <w:ind w:left="0" w:right="0" w:firstLine="0"/>
              <w:jc w:val="center"/>
              <w:rPr>
                <w:rFonts w:hint="default"/>
                <w:color w:val="000000"/>
              </w:rPr>
            </w:pPr>
          </w:p>
        </w:tc>
        <w:tc>
          <w:tcPr>
            <w:tcW w:w="721" w:type="pct"/>
            <w:noWrap w:val="0"/>
            <w:vAlign w:val="center"/>
          </w:tcPr>
          <w:p w14:paraId="77541BB1">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sz w:val="21"/>
                <w:szCs w:val="21"/>
                <w:lang w:val="en-US" w:eastAsia="zh-CN" w:bidi="ar-SA"/>
              </w:rPr>
              <w:t>幽芳河</w:t>
            </w:r>
          </w:p>
        </w:tc>
        <w:tc>
          <w:tcPr>
            <w:tcW w:w="659" w:type="pct"/>
            <w:noWrap w:val="0"/>
            <w:vAlign w:val="center"/>
          </w:tcPr>
          <w:p w14:paraId="727B54A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713872C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continue"/>
            <w:noWrap w:val="0"/>
            <w:vAlign w:val="center"/>
          </w:tcPr>
          <w:p w14:paraId="777F242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874" w:type="pct"/>
            <w:vMerge w:val="continue"/>
            <w:noWrap w:val="0"/>
            <w:vAlign w:val="center"/>
          </w:tcPr>
          <w:p w14:paraId="4B1A4FE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687" w:type="pct"/>
            <w:vMerge w:val="continue"/>
            <w:noWrap w:val="0"/>
            <w:vAlign w:val="center"/>
          </w:tcPr>
          <w:p w14:paraId="6769019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r>
      <w:tr w14:paraId="17A0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continue"/>
            <w:noWrap w:val="0"/>
            <w:vAlign w:val="center"/>
          </w:tcPr>
          <w:p w14:paraId="5308E3A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721" w:type="pct"/>
            <w:noWrap w:val="0"/>
            <w:vAlign w:val="center"/>
          </w:tcPr>
          <w:p w14:paraId="48AC4CF8">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sz w:val="21"/>
                <w:szCs w:val="21"/>
                <w:lang w:val="en-US" w:eastAsia="zh-CN" w:bidi="ar-SA"/>
              </w:rPr>
              <w:t>高庙河</w:t>
            </w:r>
          </w:p>
        </w:tc>
        <w:tc>
          <w:tcPr>
            <w:tcW w:w="659" w:type="pct"/>
            <w:noWrap w:val="0"/>
            <w:vAlign w:val="center"/>
          </w:tcPr>
          <w:p w14:paraId="0270333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70631DE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continue"/>
            <w:noWrap w:val="0"/>
            <w:vAlign w:val="center"/>
          </w:tcPr>
          <w:p w14:paraId="663CA29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874" w:type="pct"/>
            <w:vMerge w:val="continue"/>
            <w:noWrap w:val="0"/>
            <w:vAlign w:val="center"/>
          </w:tcPr>
          <w:p w14:paraId="4DEF1B9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687" w:type="pct"/>
            <w:vMerge w:val="continue"/>
            <w:noWrap w:val="0"/>
            <w:vAlign w:val="center"/>
          </w:tcPr>
          <w:p w14:paraId="39EDF2A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r>
      <w:tr w14:paraId="0025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continue"/>
            <w:noWrap w:val="0"/>
            <w:vAlign w:val="center"/>
          </w:tcPr>
          <w:p w14:paraId="4802114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721" w:type="pct"/>
            <w:noWrap w:val="0"/>
            <w:vAlign w:val="center"/>
          </w:tcPr>
          <w:p w14:paraId="3BEC4BED">
            <w:pPr>
              <w:pStyle w:val="202"/>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sz w:val="21"/>
                <w:szCs w:val="21"/>
                <w:lang w:val="en-US" w:eastAsia="zh-CN" w:bidi="ar-SA"/>
              </w:rPr>
              <w:t>柳林河</w:t>
            </w:r>
          </w:p>
        </w:tc>
        <w:tc>
          <w:tcPr>
            <w:tcW w:w="659" w:type="pct"/>
            <w:noWrap w:val="0"/>
            <w:vAlign w:val="center"/>
          </w:tcPr>
          <w:p w14:paraId="15815F6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40E4401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continue"/>
            <w:noWrap w:val="0"/>
            <w:vAlign w:val="center"/>
          </w:tcPr>
          <w:p w14:paraId="5305207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874" w:type="pct"/>
            <w:vMerge w:val="continue"/>
            <w:noWrap w:val="0"/>
            <w:vAlign w:val="center"/>
          </w:tcPr>
          <w:p w14:paraId="6BC7373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687" w:type="pct"/>
            <w:vMerge w:val="continue"/>
            <w:noWrap w:val="0"/>
            <w:vAlign w:val="center"/>
          </w:tcPr>
          <w:p w14:paraId="340522B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r>
      <w:tr w14:paraId="496D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restart"/>
            <w:noWrap w:val="0"/>
            <w:vAlign w:val="center"/>
          </w:tcPr>
          <w:p w14:paraId="26D51A2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生态</w:t>
            </w:r>
          </w:p>
          <w:p w14:paraId="71EACF9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环境</w:t>
            </w:r>
          </w:p>
        </w:tc>
        <w:tc>
          <w:tcPr>
            <w:tcW w:w="1300" w:type="dxa"/>
            <w:noWrap w:val="0"/>
            <w:vAlign w:val="center"/>
          </w:tcPr>
          <w:p w14:paraId="36270D7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color w:val="000000"/>
                <w:sz w:val="21"/>
                <w:szCs w:val="21"/>
                <w:highlight w:val="none"/>
                <w:lang w:val="en-US" w:eastAsia="zh-CN"/>
              </w:rPr>
              <w:t>陆域生态</w:t>
            </w:r>
          </w:p>
        </w:tc>
        <w:tc>
          <w:tcPr>
            <w:tcW w:w="6735" w:type="dxa"/>
            <w:gridSpan w:val="5"/>
            <w:noWrap w:val="0"/>
            <w:vAlign w:val="center"/>
          </w:tcPr>
          <w:p w14:paraId="31E8A3D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color w:val="000000"/>
                <w:sz w:val="21"/>
                <w:szCs w:val="21"/>
                <w:highlight w:val="none"/>
                <w:lang w:val="en-US" w:eastAsia="zh-CN"/>
              </w:rPr>
              <w:t>项目评价范围内无自然保护区、风景名胜区、文物古迹等特殊生态保护区，生态环境保护</w:t>
            </w:r>
            <w:r>
              <w:rPr>
                <w:rFonts w:hint="eastAsia" w:cs="Times New Roman"/>
                <w:color w:val="000000"/>
                <w:sz w:val="21"/>
                <w:szCs w:val="21"/>
                <w:highlight w:val="none"/>
                <w:lang w:val="en-US" w:eastAsia="zh-CN"/>
              </w:rPr>
              <w:t>目标为</w:t>
            </w:r>
            <w:r>
              <w:rPr>
                <w:rFonts w:hint="default" w:ascii="Times New Roman" w:hAnsi="Times New Roman" w:eastAsia="宋体" w:cs="Times New Roman"/>
                <w:color w:val="000000"/>
                <w:sz w:val="21"/>
                <w:szCs w:val="21"/>
                <w:highlight w:val="none"/>
                <w:lang w:val="en-US" w:eastAsia="zh-CN"/>
              </w:rPr>
              <w:t>可能受项目施工活动影响及运输路线周边的植被</w:t>
            </w:r>
            <w:r>
              <w:rPr>
                <w:rFonts w:hint="eastAsia" w:cs="Times New Roman"/>
                <w:color w:val="000000"/>
                <w:sz w:val="21"/>
                <w:szCs w:val="21"/>
                <w:highlight w:val="none"/>
                <w:lang w:val="en-US" w:eastAsia="zh-CN"/>
              </w:rPr>
              <w:t>、动物</w:t>
            </w:r>
            <w:r>
              <w:rPr>
                <w:rFonts w:hint="default" w:ascii="Times New Roman" w:hAnsi="Times New Roman" w:eastAsia="宋体" w:cs="Times New Roman"/>
                <w:color w:val="000000"/>
                <w:sz w:val="21"/>
                <w:szCs w:val="21"/>
                <w:highlight w:val="none"/>
                <w:lang w:val="en-US" w:eastAsia="zh-CN"/>
              </w:rPr>
              <w:t>及区域内的鸟类。施工过程中，为防止水土流失，不随意开挖，减少地表扰动，对临时占地区域，采取临时拦挡，排水措施，减少冲刷。施工结束后除采取水土保持措施外，还应从恢复和提高其生态、景观角度出发，选择该地区地带性植被类型植被群落的优势种类作为恢复植被的主要物种。加强对施工人员进行生态保护教育。在施工边界竖立防火、随意开挖，预防和杜绝森林火灾发生。</w:t>
            </w:r>
          </w:p>
        </w:tc>
      </w:tr>
      <w:tr w14:paraId="7F82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300A256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eastAsia="zh-CN"/>
              </w:rPr>
            </w:pPr>
          </w:p>
        </w:tc>
        <w:tc>
          <w:tcPr>
            <w:tcW w:w="1300" w:type="dxa"/>
            <w:noWrap w:val="0"/>
            <w:vAlign w:val="center"/>
          </w:tcPr>
          <w:p w14:paraId="15CFE32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color w:val="000000"/>
                <w:sz w:val="21"/>
                <w:szCs w:val="21"/>
                <w:highlight w:val="none"/>
                <w:lang w:val="en-US" w:eastAsia="zh-CN"/>
              </w:rPr>
              <w:t>水生生态</w:t>
            </w:r>
          </w:p>
        </w:tc>
        <w:tc>
          <w:tcPr>
            <w:tcW w:w="6735" w:type="dxa"/>
            <w:gridSpan w:val="5"/>
            <w:noWrap w:val="0"/>
            <w:vAlign w:val="center"/>
          </w:tcPr>
          <w:p w14:paraId="49883B2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sz w:val="21"/>
                <w:szCs w:val="21"/>
                <w:vertAlign w:val="baseline"/>
                <w:lang w:val="en-US" w:eastAsia="zh-CN" w:bidi="ar-SA"/>
              </w:rPr>
            </w:pPr>
            <w:r>
              <w:rPr>
                <w:rFonts w:hint="eastAsia" w:cs="Times New Roman"/>
                <w:color w:val="000000"/>
                <w:sz w:val="21"/>
                <w:szCs w:val="21"/>
                <w:highlight w:val="none"/>
                <w:lang w:val="en-US" w:eastAsia="zh-CN"/>
              </w:rPr>
              <w:t>施工</w:t>
            </w:r>
            <w:r>
              <w:rPr>
                <w:rFonts w:hint="default" w:ascii="Times New Roman" w:hAnsi="Times New Roman" w:eastAsia="宋体" w:cs="Times New Roman"/>
                <w:color w:val="000000"/>
                <w:sz w:val="21"/>
                <w:szCs w:val="21"/>
                <w:highlight w:val="none"/>
                <w:lang w:val="en-US" w:eastAsia="zh-CN"/>
              </w:rPr>
              <w:t>河道内的水生生物。对施工人员加强宣传，增强施工人员的环保意识。加强监管，严禁捕鱼，按环保要求施工，施工废水进行达标处理，不得随意排放，防止污染河道水质</w:t>
            </w:r>
          </w:p>
        </w:tc>
      </w:tr>
    </w:tbl>
    <w:p w14:paraId="50375415">
      <w:pPr>
        <w:pStyle w:val="4"/>
        <w:ind w:left="0" w:firstLine="0"/>
        <w:rPr>
          <w:rFonts w:hint="eastAsia"/>
          <w:color w:val="000000"/>
          <w:lang w:val="en-US" w:eastAsia="zh-CN"/>
        </w:rPr>
      </w:pPr>
      <w:bookmarkStart w:id="60" w:name="_Toc8003"/>
      <w:bookmarkStart w:id="61" w:name="_Toc9518"/>
      <w:r>
        <w:rPr>
          <w:rFonts w:hint="eastAsia"/>
          <w:color w:val="000000"/>
          <w:lang w:val="en-US" w:eastAsia="zh-CN"/>
        </w:rPr>
        <w:t>1.6评价内容</w:t>
      </w:r>
      <w:bookmarkEnd w:id="60"/>
      <w:bookmarkEnd w:id="61"/>
    </w:p>
    <w:p w14:paraId="229309A8">
      <w:pPr>
        <w:rPr>
          <w:rFonts w:hint="eastAsia"/>
          <w:color w:val="000000"/>
          <w:lang w:val="en-US" w:eastAsia="zh-CN"/>
        </w:rPr>
      </w:pPr>
      <w:r>
        <w:rPr>
          <w:rFonts w:hint="eastAsia"/>
          <w:color w:val="000000"/>
          <w:lang w:val="en-US" w:eastAsia="zh-CN"/>
        </w:rPr>
        <w:t>1、对建设项目的建设概况及工程分析；</w:t>
      </w:r>
    </w:p>
    <w:p w14:paraId="0888ED83">
      <w:pPr>
        <w:rPr>
          <w:rFonts w:hint="eastAsia"/>
          <w:color w:val="000000"/>
          <w:lang w:val="en-US" w:eastAsia="zh-CN"/>
        </w:rPr>
      </w:pPr>
      <w:r>
        <w:rPr>
          <w:rFonts w:hint="eastAsia"/>
          <w:color w:val="000000"/>
          <w:lang w:val="en-US" w:eastAsia="zh-CN"/>
        </w:rPr>
        <w:t>2、生态环境现状调查及评价；</w:t>
      </w:r>
    </w:p>
    <w:p w14:paraId="17742CDF">
      <w:pPr>
        <w:pStyle w:val="19"/>
        <w:rPr>
          <w:rFonts w:hint="default"/>
          <w:color w:val="000000"/>
          <w:lang w:val="en-US" w:eastAsia="zh-CN"/>
        </w:rPr>
      </w:pPr>
      <w:r>
        <w:rPr>
          <w:rFonts w:hint="eastAsia"/>
          <w:color w:val="000000"/>
          <w:lang w:val="en-US" w:eastAsia="zh-CN"/>
        </w:rPr>
        <w:t>3、生态环境影响预测及评价</w:t>
      </w:r>
    </w:p>
    <w:p w14:paraId="73C76F7C">
      <w:pPr>
        <w:rPr>
          <w:rFonts w:hint="eastAsia"/>
          <w:color w:val="000000"/>
          <w:lang w:val="en-US" w:eastAsia="zh-CN"/>
        </w:rPr>
      </w:pPr>
      <w:r>
        <w:rPr>
          <w:rFonts w:hint="eastAsia"/>
          <w:color w:val="000000"/>
          <w:lang w:val="en-US" w:eastAsia="zh-CN"/>
        </w:rPr>
        <w:t>4、主要生态环境影响及保护措施；</w:t>
      </w:r>
    </w:p>
    <w:p w14:paraId="219BC65D">
      <w:pPr>
        <w:ind w:left="0" w:firstLine="0"/>
        <w:rPr>
          <w:b/>
          <w:color w:val="000000"/>
          <w:highlight w:val="yellow"/>
        </w:rPr>
        <w:sectPr>
          <w:pgSz w:w="11911" w:h="16838" w:orient="landscape"/>
          <w:pgMar w:top="850" w:right="1417" w:bottom="850" w:left="1701" w:header="794" w:footer="1123" w:gutter="0"/>
          <w:cols w:space="720" w:num="1"/>
        </w:sectPr>
      </w:pPr>
    </w:p>
    <w:p w14:paraId="2E0C8639">
      <w:pPr>
        <w:pStyle w:val="4"/>
        <w:rPr>
          <w:rFonts w:hint="eastAsia"/>
          <w:color w:val="000000"/>
          <w:lang w:val="en-US" w:eastAsia="zh-CN"/>
        </w:rPr>
      </w:pPr>
      <w:bookmarkStart w:id="62" w:name="_Toc5161"/>
      <w:bookmarkStart w:id="63" w:name="_Toc1987"/>
      <w:r>
        <w:rPr>
          <w:rFonts w:hint="eastAsia"/>
          <w:color w:val="000000"/>
          <w:lang w:val="en-US" w:eastAsia="zh-CN"/>
        </w:rPr>
        <w:t>1.7 生态环境影响评价路线</w:t>
      </w:r>
      <w:bookmarkEnd w:id="62"/>
      <w:bookmarkEnd w:id="63"/>
    </w:p>
    <w:p w14:paraId="6A61F5CE">
      <w:pPr>
        <w:ind w:left="0" w:firstLine="0"/>
        <w:jc w:val="center"/>
        <w:rPr>
          <w:color w:val="000000"/>
        </w:rPr>
      </w:pPr>
      <w:r>
        <w:rPr>
          <w:color w:val="000000"/>
        </w:rPr>
        <w:drawing>
          <wp:inline distT="0" distB="0" distL="0" distR="0">
            <wp:extent cx="5576570" cy="4726305"/>
            <wp:effectExtent l="0" t="0" r="0" b="0"/>
            <wp:docPr id="44" name="_x0000_i1025"/>
            <wp:cNvGraphicFramePr/>
            <a:graphic xmlns:a="http://schemas.openxmlformats.org/drawingml/2006/main">
              <a:graphicData uri="http://schemas.openxmlformats.org/drawingml/2006/picture">
                <pic:pic xmlns:pic="http://schemas.openxmlformats.org/drawingml/2006/picture">
                  <pic:nvPicPr>
                    <pic:cNvPr id="44" name="_x0000_i1025"/>
                    <pic:cNvPicPr/>
                  </pic:nvPicPr>
                  <pic:blipFill>
                    <a:blip r:embed="rId45"/>
                    <a:stretch>
                      <a:fillRect/>
                    </a:stretch>
                  </pic:blipFill>
                  <pic:spPr>
                    <a:xfrm>
                      <a:off x="0" y="0"/>
                      <a:ext cx="5576570" cy="4726305"/>
                    </a:xfrm>
                    <a:prstGeom prst="rect">
                      <a:avLst/>
                    </a:prstGeom>
                    <a:noFill/>
                    <a:ln>
                      <a:noFill/>
                    </a:ln>
                  </pic:spPr>
                </pic:pic>
              </a:graphicData>
            </a:graphic>
          </wp:inline>
        </w:drawing>
      </w:r>
    </w:p>
    <w:p w14:paraId="135A0450">
      <w:pPr>
        <w:ind w:left="0" w:firstLine="0"/>
        <w:jc w:val="center"/>
        <w:outlineLvl w:val="9"/>
        <w:rPr>
          <w:rFonts w:hint="eastAsia"/>
          <w:b/>
          <w:bCs/>
          <w:color w:val="000000"/>
          <w:lang w:val="en-US" w:eastAsia="zh-CN"/>
        </w:rPr>
      </w:pPr>
      <w:r>
        <w:rPr>
          <w:rFonts w:hint="eastAsia"/>
          <w:b/>
          <w:bCs/>
          <w:color w:val="000000"/>
          <w:lang w:eastAsia="zh-CN"/>
        </w:rPr>
        <w:t>图</w:t>
      </w:r>
      <w:r>
        <w:rPr>
          <w:rFonts w:hint="eastAsia"/>
          <w:b/>
          <w:bCs/>
          <w:color w:val="000000"/>
          <w:lang w:val="en-US" w:eastAsia="zh-CN"/>
        </w:rPr>
        <w:t>1.6-1 生态环境影响评价工作程序</w:t>
      </w:r>
    </w:p>
    <w:p w14:paraId="0FC9F5EA">
      <w:pPr>
        <w:ind w:left="0" w:firstLine="0"/>
        <w:jc w:val="center"/>
        <w:outlineLvl w:val="9"/>
        <w:rPr>
          <w:rFonts w:hint="eastAsia"/>
          <w:color w:val="000000"/>
          <w:lang w:val="en-US" w:eastAsia="zh-CN"/>
        </w:rPr>
      </w:pPr>
      <w:r>
        <w:rPr>
          <w:rFonts w:hint="eastAsia"/>
          <w:color w:val="000000"/>
          <w:lang w:val="en-US" w:eastAsia="zh-CN"/>
        </w:rPr>
        <w:br w:type="page" w:clear="all"/>
      </w:r>
      <w:bookmarkStart w:id="64" w:name="_Toc11974"/>
      <w:r>
        <w:rPr>
          <w:rStyle w:val="221"/>
          <w:rFonts w:hint="eastAsia"/>
          <w:color w:val="000000"/>
          <w:lang w:val="en-US" w:eastAsia="zh-CN"/>
        </w:rPr>
        <w:t>2 建设项目概况</w:t>
      </w:r>
      <w:bookmarkEnd w:id="64"/>
    </w:p>
    <w:p w14:paraId="0F549A51">
      <w:pPr>
        <w:ind w:left="0" w:firstLine="0"/>
        <w:jc w:val="left"/>
        <w:outlineLvl w:val="1"/>
        <w:rPr>
          <w:rStyle w:val="222"/>
          <w:rFonts w:hint="eastAsia"/>
          <w:color w:val="000000"/>
          <w:lang w:val="en-US" w:eastAsia="zh-CN"/>
        </w:rPr>
      </w:pPr>
      <w:bookmarkStart w:id="65" w:name="_Toc30004"/>
      <w:bookmarkStart w:id="66" w:name="_Toc31119"/>
      <w:r>
        <w:rPr>
          <w:rStyle w:val="222"/>
          <w:rFonts w:hint="eastAsia"/>
          <w:color w:val="000000"/>
          <w:lang w:val="en-US" w:eastAsia="zh-CN"/>
        </w:rPr>
        <w:t>2.1 项目基本情况</w:t>
      </w:r>
      <w:bookmarkEnd w:id="65"/>
      <w:bookmarkEnd w:id="66"/>
    </w:p>
    <w:p w14:paraId="6FFFDDEF">
      <w:pPr>
        <w:pStyle w:val="5"/>
        <w:rPr>
          <w:rFonts w:hint="eastAsia"/>
          <w:color w:val="000000"/>
          <w:lang w:val="en-US" w:eastAsia="zh-CN"/>
        </w:rPr>
      </w:pPr>
      <w:bookmarkStart w:id="67" w:name="_Toc17074"/>
      <w:r>
        <w:rPr>
          <w:rFonts w:hint="eastAsia"/>
          <w:color w:val="000000"/>
          <w:lang w:val="en-US" w:eastAsia="zh-CN"/>
        </w:rPr>
        <w:t>2.1.1基本情况</w:t>
      </w:r>
      <w:bookmarkEnd w:id="67"/>
    </w:p>
    <w:p w14:paraId="1D3A996E">
      <w:pPr>
        <w:numPr>
          <w:ilvl w:val="0"/>
          <w:numId w:val="10"/>
        </w:numPr>
        <w:rPr>
          <w:rFonts w:hint="eastAsia"/>
          <w:color w:val="000000"/>
          <w:lang w:val="en-US" w:eastAsia="zh-CN"/>
        </w:rPr>
      </w:pPr>
      <w:r>
        <w:rPr>
          <w:rFonts w:hint="eastAsia"/>
          <w:color w:val="000000"/>
          <w:lang w:val="en-US" w:eastAsia="zh-CN"/>
        </w:rPr>
        <w:t>项目名称：六安市霍山县排水防涝能力提升项目；</w:t>
      </w:r>
    </w:p>
    <w:p w14:paraId="4E9DD364">
      <w:pPr>
        <w:numPr>
          <w:ilvl w:val="0"/>
          <w:numId w:val="10"/>
        </w:numPr>
        <w:ind w:left="0" w:firstLine="48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项目性质：新建；</w:t>
      </w:r>
    </w:p>
    <w:p w14:paraId="5A0184F2">
      <w:pPr>
        <w:pStyle w:val="19"/>
        <w:numPr>
          <w:ilvl w:val="0"/>
          <w:numId w:val="10"/>
        </w:numPr>
        <w:ind w:left="0" w:firstLine="480"/>
        <w:rPr>
          <w:rFonts w:hint="default"/>
          <w:color w:val="000000"/>
          <w:lang w:val="en-US" w:eastAsia="zh-CN"/>
        </w:rPr>
      </w:pPr>
      <w:r>
        <w:rPr>
          <w:rFonts w:hint="eastAsia"/>
          <w:color w:val="000000"/>
          <w:lang w:val="en-US" w:eastAsia="zh-CN"/>
        </w:rPr>
        <w:t>建设单位：</w:t>
      </w:r>
      <w:r>
        <w:rPr>
          <w:rFonts w:hint="eastAsia" w:cs="Times New Roman"/>
          <w:i w:val="0"/>
          <w:iCs w:val="0"/>
          <w:caps w:val="0"/>
          <w:color w:val="000000"/>
          <w:spacing w:val="0"/>
          <w:sz w:val="24"/>
          <w:szCs w:val="24"/>
          <w:shd w:val="clear" w:color="auto" w:fill="FFFFFF"/>
          <w:lang w:eastAsia="zh-CN"/>
        </w:rPr>
        <w:t>霍山县水务局；</w:t>
      </w:r>
    </w:p>
    <w:p w14:paraId="2F34BAF6">
      <w:pPr>
        <w:numPr>
          <w:ilvl w:val="0"/>
          <w:numId w:val="10"/>
        </w:numPr>
        <w:ind w:left="0" w:firstLine="480"/>
        <w:rPr>
          <w:rFonts w:hint="eastAsia" w:cs="Times New Roman"/>
          <w:i w:val="0"/>
          <w:iCs w:val="0"/>
          <w:caps w:val="0"/>
          <w:color w:val="000000"/>
          <w:spacing w:val="0"/>
          <w:sz w:val="24"/>
          <w:szCs w:val="24"/>
          <w:shd w:val="clear" w:color="auto" w:fill="FFFFFF"/>
          <w:lang w:eastAsia="zh-CN"/>
        </w:rPr>
      </w:pPr>
      <w:r>
        <w:rPr>
          <w:rFonts w:hint="eastAsia" w:cs="Times New Roman"/>
          <w:i w:val="0"/>
          <w:iCs w:val="0"/>
          <w:caps w:val="0"/>
          <w:color w:val="000000"/>
          <w:spacing w:val="0"/>
          <w:sz w:val="24"/>
          <w:szCs w:val="24"/>
          <w:shd w:val="clear" w:color="auto" w:fill="FFFFFF"/>
          <w:lang w:eastAsia="zh-CN"/>
        </w:rPr>
        <w:t>建设地点：</w:t>
      </w:r>
      <w:r>
        <w:rPr>
          <w:rFonts w:hint="default" w:ascii="Times New Roman" w:hAnsi="Times New Roman" w:eastAsia="宋体" w:cs="Times New Roman"/>
          <w:i w:val="0"/>
          <w:iCs w:val="0"/>
          <w:caps w:val="0"/>
          <w:color w:val="000000"/>
          <w:spacing w:val="0"/>
          <w:sz w:val="24"/>
          <w:szCs w:val="24"/>
          <w:shd w:val="clear" w:color="auto" w:fill="FFFFFF"/>
        </w:rPr>
        <w:t>位</w:t>
      </w:r>
      <w:r>
        <w:rPr>
          <w:rFonts w:hint="eastAsia" w:cs="Times New Roman"/>
          <w:i w:val="0"/>
          <w:iCs w:val="0"/>
          <w:caps w:val="0"/>
          <w:color w:val="000000"/>
          <w:spacing w:val="0"/>
          <w:sz w:val="24"/>
          <w:szCs w:val="24"/>
          <w:shd w:val="clear" w:color="auto" w:fill="FFFFFF"/>
          <w:lang w:eastAsia="zh-CN"/>
        </w:rPr>
        <w:t>于霍山县佛子岭镇、衡山镇、黑石渡镇境内；</w:t>
      </w:r>
    </w:p>
    <w:p w14:paraId="500F9E07">
      <w:pPr>
        <w:pStyle w:val="19"/>
        <w:numPr>
          <w:ilvl w:val="0"/>
          <w:numId w:val="10"/>
        </w:numPr>
        <w:ind w:left="0" w:firstLine="480"/>
        <w:rPr>
          <w:rFonts w:hint="eastAsia"/>
          <w:color w:val="000000"/>
          <w:highlight w:val="none"/>
          <w:lang w:val="en-US" w:eastAsia="zh-CN"/>
        </w:rPr>
      </w:pPr>
      <w:r>
        <w:rPr>
          <w:rFonts w:hint="eastAsia"/>
          <w:color w:val="000000"/>
          <w:lang w:val="en-US" w:eastAsia="zh-CN"/>
        </w:rPr>
        <w:t>项目投资：</w:t>
      </w:r>
      <w:r>
        <w:rPr>
          <w:rFonts w:hint="eastAsia" w:ascii="Times New Roman" w:hAnsi="Times New Roman" w:cs="Times New Roman"/>
          <w:i w:val="0"/>
          <w:iCs w:val="0"/>
          <w:caps w:val="0"/>
          <w:color w:val="000000"/>
          <w:spacing w:val="0"/>
          <w:sz w:val="24"/>
          <w:szCs w:val="24"/>
          <w:shd w:val="clear" w:color="auto" w:fill="FFFFFF"/>
          <w:lang w:val="en-US" w:eastAsia="zh-CN"/>
        </w:rPr>
        <w:t>项目</w:t>
      </w:r>
      <w:r>
        <w:rPr>
          <w:rFonts w:hint="default" w:ascii="Times New Roman" w:hAnsi="Times New Roman" w:eastAsia="宋体" w:cs="Times New Roman"/>
          <w:color w:val="000000"/>
          <w:sz w:val="24"/>
        </w:rPr>
        <w:t>总投资为</w:t>
      </w:r>
      <w:r>
        <w:rPr>
          <w:rFonts w:hint="eastAsia" w:eastAsia="宋体" w:cs="Times New Roman"/>
          <w:color w:val="000000"/>
          <w:sz w:val="24"/>
          <w:lang w:val="en-US" w:eastAsia="zh-CN"/>
        </w:rPr>
        <w:t>39550.68</w:t>
      </w:r>
      <w:r>
        <w:rPr>
          <w:rFonts w:hint="default" w:ascii="Times New Roman" w:hAnsi="Times New Roman" w:eastAsia="宋体" w:cs="Times New Roman"/>
          <w:color w:val="000000"/>
          <w:sz w:val="24"/>
        </w:rPr>
        <w:t>万元，其中环保投资</w:t>
      </w:r>
      <w:r>
        <w:rPr>
          <w:rFonts w:hint="eastAsia" w:eastAsia="宋体" w:cs="Times New Roman"/>
          <w:color w:val="000000"/>
          <w:sz w:val="24"/>
          <w:lang w:val="en-US" w:eastAsia="zh-CN"/>
        </w:rPr>
        <w:t>490</w:t>
      </w:r>
      <w:r>
        <w:rPr>
          <w:rFonts w:hint="default" w:ascii="Times New Roman" w:hAnsi="Times New Roman" w:eastAsia="宋体" w:cs="Times New Roman"/>
          <w:color w:val="000000"/>
          <w:sz w:val="24"/>
          <w:lang w:val="en-US" w:eastAsia="zh-CN"/>
        </w:rPr>
        <w:t>万元</w:t>
      </w:r>
      <w:r>
        <w:rPr>
          <w:rFonts w:hint="default" w:ascii="Times New Roman" w:hAnsi="Times New Roman" w:eastAsia="宋体" w:cs="Times New Roman"/>
          <w:color w:val="000000"/>
          <w:sz w:val="24"/>
        </w:rPr>
        <w:t>，占总投资的</w:t>
      </w:r>
      <w:r>
        <w:rPr>
          <w:rFonts w:hint="eastAsia" w:eastAsia="宋体" w:cs="Times New Roman"/>
          <w:color w:val="000000"/>
          <w:sz w:val="24"/>
          <w:lang w:val="en-US" w:eastAsia="zh-CN"/>
        </w:rPr>
        <w:t>1.24</w:t>
      </w:r>
      <w:r>
        <w:rPr>
          <w:rFonts w:hint="default" w:ascii="Times New Roman" w:hAnsi="Times New Roman" w:eastAsia="宋体" w:cs="Times New Roman"/>
          <w:color w:val="000000"/>
          <w:sz w:val="24"/>
        </w:rPr>
        <w:t>%</w:t>
      </w:r>
      <w:r>
        <w:rPr>
          <w:rFonts w:hint="eastAsia" w:cs="Times New Roman"/>
          <w:i w:val="0"/>
          <w:iCs w:val="0"/>
          <w:caps w:val="0"/>
          <w:color w:val="000000"/>
          <w:spacing w:val="0"/>
          <w:sz w:val="24"/>
          <w:szCs w:val="24"/>
          <w:highlight w:val="none"/>
          <w:shd w:val="clear" w:color="auto" w:fill="FFFFFF"/>
          <w:lang w:val="en-US" w:eastAsia="zh-CN"/>
        </w:rPr>
        <w:t>；</w:t>
      </w:r>
    </w:p>
    <w:p w14:paraId="2F6D7865">
      <w:pPr>
        <w:rPr>
          <w:rFonts w:hint="eastAsia"/>
          <w:color w:val="000000"/>
          <w:highlight w:val="none"/>
          <w:lang w:val="en-US" w:eastAsia="zh-CN"/>
        </w:rPr>
      </w:pPr>
      <w:r>
        <w:rPr>
          <w:rFonts w:hint="eastAsia" w:cs="Times New Roman"/>
          <w:i w:val="0"/>
          <w:iCs w:val="0"/>
          <w:caps w:val="0"/>
          <w:color w:val="000000"/>
          <w:spacing w:val="0"/>
          <w:sz w:val="24"/>
          <w:szCs w:val="24"/>
          <w:highlight w:val="none"/>
          <w:shd w:val="clear" w:color="auto" w:fill="FFFFFF"/>
          <w:lang w:val="en-US" w:eastAsia="zh-CN"/>
        </w:rPr>
        <w:t>（6）建设工期：</w:t>
      </w:r>
      <w:r>
        <w:rPr>
          <w:rFonts w:hint="default" w:ascii="Times New Roman" w:hAnsi="Times New Roman" w:eastAsia="宋体" w:cs="Times New Roman"/>
          <w:b w:val="0"/>
          <w:bCs w:val="0"/>
          <w:color w:val="000000"/>
          <w:sz w:val="24"/>
          <w:szCs w:val="24"/>
          <w:highlight w:val="none"/>
          <w:lang w:val="en-US" w:eastAsia="zh-CN" w:bidi="ar-SA"/>
        </w:rPr>
        <w:t>项目工程</w:t>
      </w:r>
      <w:r>
        <w:rPr>
          <w:rFonts w:hint="default" w:ascii="Times New Roman" w:hAnsi="Times New Roman" w:eastAsia="宋体" w:cs="Times New Roman"/>
          <w:color w:val="000000"/>
          <w:sz w:val="24"/>
          <w:szCs w:val="24"/>
          <w:highlight w:val="none"/>
          <w:lang w:val="en-US" w:eastAsia="zh-CN" w:bidi="ar-SA"/>
        </w:rPr>
        <w:t>建设工期为2026年10月至2027年12月</w:t>
      </w:r>
      <w:r>
        <w:rPr>
          <w:rFonts w:hint="eastAsia" w:ascii="Times New Roman" w:hAnsi="Times New Roman" w:eastAsia="宋体" w:cs="Times New Roman"/>
          <w:color w:val="000000"/>
          <w:sz w:val="24"/>
          <w:szCs w:val="24"/>
          <w:highlight w:val="none"/>
          <w:lang w:val="en-US" w:eastAsia="zh-CN" w:bidi="ar-SA"/>
        </w:rPr>
        <w:t>，共</w:t>
      </w:r>
      <w:r>
        <w:rPr>
          <w:rFonts w:hint="eastAsia" w:eastAsia="宋体" w:cs="Times New Roman"/>
          <w:b w:val="0"/>
          <w:bCs w:val="0"/>
          <w:color w:val="000000"/>
          <w:sz w:val="24"/>
          <w:szCs w:val="24"/>
          <w:highlight w:val="none"/>
          <w:lang w:val="en-US" w:eastAsia="zh-CN" w:bidi="ar-SA"/>
        </w:rPr>
        <w:t>14</w:t>
      </w:r>
      <w:r>
        <w:rPr>
          <w:rFonts w:hint="default" w:ascii="Times New Roman" w:hAnsi="Times New Roman" w:eastAsia="宋体" w:cs="Times New Roman"/>
          <w:b w:val="0"/>
          <w:bCs w:val="0"/>
          <w:color w:val="000000"/>
          <w:sz w:val="24"/>
          <w:szCs w:val="24"/>
          <w:highlight w:val="none"/>
          <w:lang w:val="en-US" w:eastAsia="zh-CN" w:bidi="ar-SA"/>
        </w:rPr>
        <w:t>个月</w:t>
      </w:r>
      <w:r>
        <w:rPr>
          <w:rFonts w:hint="eastAsia" w:cs="Times New Roman"/>
          <w:i w:val="0"/>
          <w:iCs w:val="0"/>
          <w:caps w:val="0"/>
          <w:color w:val="000000"/>
          <w:spacing w:val="0"/>
          <w:sz w:val="24"/>
          <w:szCs w:val="24"/>
          <w:highlight w:val="none"/>
          <w:shd w:val="clear" w:color="auto" w:fill="FFFFFF"/>
          <w:lang w:val="en-US" w:eastAsia="zh-CN"/>
        </w:rPr>
        <w:t>；</w:t>
      </w:r>
    </w:p>
    <w:p w14:paraId="12F04FF1">
      <w:pPr>
        <w:rPr>
          <w:rFonts w:hint="eastAsia" w:cs="Times New Roman"/>
          <w:i w:val="0"/>
          <w:iCs w:val="0"/>
          <w:caps w:val="0"/>
          <w:color w:val="000000"/>
          <w:spacing w:val="0"/>
          <w:sz w:val="24"/>
          <w:szCs w:val="24"/>
          <w:shd w:val="clear" w:color="auto" w:fill="FFFFFF"/>
          <w:lang w:eastAsia="zh-CN"/>
        </w:rPr>
      </w:pPr>
      <w:r>
        <w:rPr>
          <w:rFonts w:hint="eastAsia" w:cs="Times New Roman"/>
          <w:i w:val="0"/>
          <w:iCs w:val="0"/>
          <w:caps w:val="0"/>
          <w:color w:val="000000"/>
          <w:spacing w:val="0"/>
          <w:sz w:val="24"/>
          <w:szCs w:val="24"/>
          <w:shd w:val="clear" w:color="auto" w:fill="FFFFFF"/>
          <w:lang w:val="en-US" w:eastAsia="zh-CN"/>
        </w:rPr>
        <w:t>（7）工程规模：</w:t>
      </w:r>
      <w:r>
        <w:rPr>
          <w:rFonts w:hint="default" w:ascii="Times New Roman" w:hAnsi="Times New Roman" w:eastAsia="宋体" w:cs="Times New Roman"/>
          <w:color w:val="000000"/>
        </w:rPr>
        <w:t>新建排水管网30.80公里，其中:幽芳河及柳林河片排水管网长19.34公里，南岳花都片排水管网长0.46公里，衡山工业园片排水管网长11.00公里，配套建设检查井及提升泵站</w:t>
      </w:r>
      <w:r>
        <w:rPr>
          <w:rFonts w:hint="eastAsia" w:cs="Times New Roman"/>
          <w:color w:val="000000"/>
          <w:lang w:eastAsia="zh-CN"/>
        </w:rPr>
        <w:t>；</w:t>
      </w:r>
      <w:r>
        <w:rPr>
          <w:rFonts w:hint="default" w:ascii="Times New Roman" w:hAnsi="Times New Roman" w:eastAsia="宋体" w:cs="Times New Roman"/>
          <w:color w:val="000000"/>
        </w:rPr>
        <w:t>迎驾厂排涝片新建西部新城排涝泵站1座，排涝面积5.3平方公里，配套改造区内排涝沟总长10.07公里</w:t>
      </w:r>
      <w:r>
        <w:rPr>
          <w:rFonts w:hint="eastAsia" w:cs="Times New Roman"/>
          <w:color w:val="000000"/>
          <w:lang w:eastAsia="zh-CN"/>
        </w:rPr>
        <w:t>；</w:t>
      </w:r>
      <w:r>
        <w:rPr>
          <w:rFonts w:hint="default" w:ascii="Times New Roman" w:hAnsi="Times New Roman" w:eastAsia="宋体" w:cs="Times New Roman"/>
          <w:color w:val="000000"/>
        </w:rPr>
        <w:t>戴家河排涝片改造排涝沟总长1.43公里，配套建设穿堤路涵</w:t>
      </w:r>
      <w:r>
        <w:rPr>
          <w:rFonts w:hint="eastAsia" w:cs="Times New Roman"/>
          <w:color w:val="000000"/>
          <w:lang w:eastAsia="zh-CN"/>
        </w:rPr>
        <w:t>；</w:t>
      </w:r>
      <w:r>
        <w:rPr>
          <w:rFonts w:hint="default" w:ascii="Times New Roman" w:hAnsi="Times New Roman" w:eastAsia="宋体" w:cs="Times New Roman"/>
          <w:color w:val="000000"/>
        </w:rPr>
        <w:t>整治四条排涝通道，总长度25.62公里，其中:幽芳河排涝通道长6.36公里，高庙河排涝通道长5.65公里，柳林河排涝通道长11:10公里，新店河排涝通道长2.51公里，主要内容为清淤疏浚、新建加固护坡护岸等</w:t>
      </w:r>
      <w:r>
        <w:rPr>
          <w:rFonts w:hint="default" w:ascii="Times New Roman" w:hAnsi="Times New Roman" w:eastAsia="宋体" w:cs="Times New Roman"/>
          <w:i w:val="0"/>
          <w:iCs w:val="0"/>
          <w:caps w:val="0"/>
          <w:color w:val="000000"/>
          <w:spacing w:val="0"/>
          <w:sz w:val="24"/>
          <w:szCs w:val="24"/>
          <w:shd w:val="clear" w:color="auto" w:fill="FFFFFF"/>
        </w:rPr>
        <w:t>。</w:t>
      </w:r>
    </w:p>
    <w:p w14:paraId="233E6E6B">
      <w:pPr>
        <w:pStyle w:val="5"/>
        <w:rPr>
          <w:rFonts w:hint="eastAsia"/>
          <w:color w:val="000000"/>
          <w:lang w:val="en-US" w:eastAsia="zh-CN"/>
        </w:rPr>
      </w:pPr>
      <w:r>
        <w:rPr>
          <w:rFonts w:hint="eastAsia"/>
          <w:color w:val="000000"/>
          <w:lang w:val="en-US" w:eastAsia="zh-CN"/>
        </w:rPr>
        <w:t>2.1.2主要建设内容及建设规模</w:t>
      </w:r>
    </w:p>
    <w:p w14:paraId="51243A24">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（1）区域排涝能力提升工程</w:t>
      </w:r>
    </w:p>
    <w:p w14:paraId="5A3937E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本次工程迎驾厂排涝片拟新建西部新城排涝泵站1座，配套改造区内排涝沟总长10.065km；戴家河排涝片改造排涝沟总长1.425km</w:t>
      </w:r>
      <w:r>
        <w:rPr>
          <w:rFonts w:hint="default" w:ascii="Times New Roman" w:hAnsi="Times New Roman" w:eastAsia="宋体" w:cs="Times New Roman"/>
          <w:color w:val="000000"/>
        </w:rPr>
        <w:t>，配套建设穿堤路涵</w:t>
      </w:r>
      <w:r>
        <w:rPr>
          <w:rFonts w:hint="default" w:ascii="Times New Roman" w:hAnsi="Times New Roman" w:eastAsia="宋体" w:cs="Times New Roman"/>
          <w:color w:val="000000"/>
          <w:sz w:val="24"/>
          <w:highlight w:val="none"/>
          <w:lang w:val="en-US" w:eastAsia="zh-CN"/>
        </w:rPr>
        <w:t>。具体建设内容如下：</w:t>
      </w:r>
    </w:p>
    <w:p w14:paraId="3F229A9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1）在迎驾厂片新建西部新城排涝泵站1座，设计排涝面积为5.3km</w:t>
      </w:r>
      <w:r>
        <w:rPr>
          <w:rFonts w:hint="default" w:ascii="Times New Roman" w:hAnsi="Times New Roman" w:eastAsia="宋体" w:cs="Times New Roman"/>
          <w:color w:val="000000"/>
          <w:sz w:val="24"/>
          <w:highlight w:val="none"/>
          <w:vertAlign w:val="superscript"/>
          <w:lang w:val="en-US" w:eastAsia="zh-CN"/>
        </w:rPr>
        <w:t>2</w:t>
      </w:r>
      <w:r>
        <w:rPr>
          <w:rFonts w:hint="default" w:ascii="Times New Roman" w:hAnsi="Times New Roman" w:eastAsia="宋体" w:cs="Times New Roman"/>
          <w:color w:val="000000"/>
          <w:sz w:val="24"/>
          <w:highlight w:val="none"/>
          <w:lang w:val="en-US" w:eastAsia="zh-CN"/>
        </w:rPr>
        <w:t>，配备先进排水设备以满足高峰流量需求。同时，配套改建区内的多条排涝沟，包括北侧边沟、六佛路排涝沟、中心排涝沟以及项家院排涝沟等，总长度达10.065km；改建涉及沟渠的拓宽、加深及加固处理，以提升抗洪能力，确保排水通道畅通无阻。</w:t>
      </w:r>
    </w:p>
    <w:p w14:paraId="253BB0C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2）在戴家河排涝片扩挖截流沟、疏通区内农田沟，扩大S332穿路涵等工程措施。</w:t>
      </w:r>
    </w:p>
    <w:p w14:paraId="7B4B664F">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sz w:val="24"/>
          <w:szCs w:val="24"/>
          <w:lang w:val="en-US" w:eastAsia="zh-CN"/>
        </w:rPr>
      </w:pPr>
    </w:p>
    <w:p w14:paraId="6E512B24">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sz w:val="24"/>
          <w:szCs w:val="24"/>
          <w:lang w:val="en-US" w:eastAsia="zh-CN"/>
        </w:rPr>
      </w:pPr>
    </w:p>
    <w:p w14:paraId="2B7B4875">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sz w:val="24"/>
          <w:szCs w:val="24"/>
          <w:lang w:val="en-US" w:eastAsia="zh-CN"/>
        </w:rPr>
      </w:pPr>
    </w:p>
    <w:p w14:paraId="604B4865">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表2</w:t>
      </w:r>
      <w:r>
        <w:rPr>
          <w:rFonts w:hint="eastAsia" w:ascii="Times New Roman" w:hAnsi="Times New Roman" w:eastAsia="宋体" w:cs="Times New Roman"/>
          <w:b/>
          <w:color w:val="000000"/>
          <w:sz w:val="24"/>
          <w:szCs w:val="24"/>
          <w:lang w:val="en-US" w:eastAsia="zh-CN"/>
        </w:rPr>
        <w:t>.1-1</w:t>
      </w:r>
      <w:r>
        <w:rPr>
          <w:rFonts w:hint="default" w:ascii="Times New Roman" w:hAnsi="Times New Roman" w:eastAsia="宋体" w:cs="Times New Roman"/>
          <w:b/>
          <w:color w:val="000000"/>
          <w:sz w:val="24"/>
          <w:szCs w:val="24"/>
          <w:lang w:val="en-US" w:eastAsia="zh-CN"/>
        </w:rPr>
        <w:t xml:space="preserve">  区域排涝能力提升工程建设内容详表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014"/>
        <w:gridCol w:w="1505"/>
        <w:gridCol w:w="1391"/>
        <w:gridCol w:w="4387"/>
      </w:tblGrid>
      <w:tr w14:paraId="4A62E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7BFA4DC6">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930" w:type="dxa"/>
            <w:noWrap w:val="0"/>
            <w:vAlign w:val="center"/>
          </w:tcPr>
          <w:p w14:paraId="1C3AAEF0">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工程项目名称</w:t>
            </w:r>
          </w:p>
        </w:tc>
        <w:tc>
          <w:tcPr>
            <w:tcW w:w="1380" w:type="dxa"/>
            <w:noWrap w:val="0"/>
            <w:vAlign w:val="center"/>
          </w:tcPr>
          <w:p w14:paraId="5648B15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建设地点</w:t>
            </w:r>
          </w:p>
        </w:tc>
        <w:tc>
          <w:tcPr>
            <w:tcW w:w="1275" w:type="dxa"/>
            <w:noWrap w:val="0"/>
            <w:vAlign w:val="center"/>
          </w:tcPr>
          <w:p w14:paraId="371DBE3B">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建设内容</w:t>
            </w:r>
          </w:p>
        </w:tc>
        <w:tc>
          <w:tcPr>
            <w:tcW w:w="4022" w:type="dxa"/>
            <w:noWrap w:val="0"/>
            <w:vAlign w:val="center"/>
          </w:tcPr>
          <w:p w14:paraId="45F03BD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设计主要参数</w:t>
            </w:r>
          </w:p>
        </w:tc>
      </w:tr>
      <w:tr w14:paraId="43820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235FC66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930" w:type="dxa"/>
            <w:noWrap w:val="0"/>
            <w:vAlign w:val="center"/>
          </w:tcPr>
          <w:p w14:paraId="283D3626">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西部新城排涝站</w:t>
            </w:r>
          </w:p>
        </w:tc>
        <w:tc>
          <w:tcPr>
            <w:tcW w:w="1380" w:type="dxa"/>
            <w:noWrap w:val="0"/>
            <w:vAlign w:val="center"/>
          </w:tcPr>
          <w:p w14:paraId="5F16AD1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衡山镇永康桥村/柳林河堤防</w:t>
            </w:r>
          </w:p>
        </w:tc>
        <w:tc>
          <w:tcPr>
            <w:tcW w:w="1275" w:type="dxa"/>
            <w:noWrap w:val="0"/>
            <w:vAlign w:val="center"/>
          </w:tcPr>
          <w:p w14:paraId="0693F95D">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新建泵站1座</w:t>
            </w:r>
          </w:p>
        </w:tc>
        <w:tc>
          <w:tcPr>
            <w:tcW w:w="4022" w:type="dxa"/>
            <w:noWrap w:val="0"/>
            <w:vAlign w:val="center"/>
          </w:tcPr>
          <w:p w14:paraId="7D722D5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泵站设计流量10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/s，选用4台立式轴流泵，单泵流量2.5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/s，总装机功率740kw。</w:t>
            </w:r>
          </w:p>
        </w:tc>
      </w:tr>
      <w:tr w14:paraId="2FD10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150DEE4B">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930" w:type="dxa"/>
            <w:noWrap w:val="0"/>
            <w:vAlign w:val="center"/>
          </w:tcPr>
          <w:p w14:paraId="1B883A8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北侧边沟</w:t>
            </w:r>
          </w:p>
        </w:tc>
        <w:tc>
          <w:tcPr>
            <w:tcW w:w="1380" w:type="dxa"/>
            <w:noWrap w:val="0"/>
            <w:vAlign w:val="center"/>
          </w:tcPr>
          <w:p w14:paraId="7F74169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东淠河堤后</w:t>
            </w:r>
          </w:p>
        </w:tc>
        <w:tc>
          <w:tcPr>
            <w:tcW w:w="1275" w:type="dxa"/>
            <w:noWrap w:val="0"/>
            <w:vAlign w:val="center"/>
          </w:tcPr>
          <w:p w14:paraId="25D593BD">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65245E3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3.7k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5B1C88C1">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8"/>
                <w:sz w:val="21"/>
                <w:szCs w:val="21"/>
              </w:rPr>
              <w:t>矩形排涝沟长</w:t>
            </w:r>
            <w:r>
              <w:rPr>
                <w:rFonts w:hint="default" w:ascii="Times New Roman" w:hAnsi="Times New Roman" w:eastAsia="宋体" w:cs="Times New Roman"/>
                <w:color w:val="000000"/>
                <w:sz w:val="21"/>
                <w:szCs w:val="21"/>
              </w:rPr>
              <w:t>1.65k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5"/>
                <w:sz w:val="21"/>
                <w:szCs w:val="21"/>
              </w:rPr>
              <w:t>，净宽</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p w14:paraId="502FB6E3">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梯形断面排涝沟长2.05k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，底宽2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1"/>
                <w:sz w:val="21"/>
                <w:szCs w:val="21"/>
              </w:rPr>
              <w:t>，口宽约</w:t>
            </w:r>
            <w:r>
              <w:rPr>
                <w:rFonts w:hint="default" w:ascii="Times New Roman" w:hAnsi="Times New Roman" w:eastAsia="宋体" w:cs="Times New Roman"/>
                <w:color w:val="000000"/>
                <w:sz w:val="21"/>
                <w:szCs w:val="21"/>
              </w:rPr>
              <w:t>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5"/>
                <w:sz w:val="21"/>
                <w:szCs w:val="21"/>
              </w:rPr>
              <w:t>，边坡</w:t>
            </w:r>
            <w:r>
              <w:rPr>
                <w:rFonts w:hint="default" w:ascii="Times New Roman" w:hAnsi="Times New Roman" w:eastAsia="宋体" w:cs="Times New Roman"/>
                <w:color w:val="000000"/>
                <w:sz w:val="21"/>
                <w:szCs w:val="21"/>
              </w:rPr>
              <w:t>1：1.5，采用联锁块护坡。</w:t>
            </w:r>
          </w:p>
        </w:tc>
      </w:tr>
      <w:tr w14:paraId="6D65D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752495F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930" w:type="dxa"/>
            <w:noWrap w:val="0"/>
            <w:vAlign w:val="center"/>
          </w:tcPr>
          <w:p w14:paraId="45ECC29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六佛路排涝沟</w:t>
            </w:r>
          </w:p>
        </w:tc>
        <w:tc>
          <w:tcPr>
            <w:tcW w:w="1380" w:type="dxa"/>
            <w:noWrap w:val="0"/>
            <w:vAlign w:val="center"/>
          </w:tcPr>
          <w:p w14:paraId="363FE56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永康桥村六佛路南侧</w:t>
            </w:r>
          </w:p>
        </w:tc>
        <w:tc>
          <w:tcPr>
            <w:tcW w:w="1275" w:type="dxa"/>
            <w:noWrap w:val="0"/>
            <w:vAlign w:val="center"/>
          </w:tcPr>
          <w:p w14:paraId="00D2298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09ED1FC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2.58k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05EC330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矩形断面，净宽2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135FA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19C2B16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930" w:type="dxa"/>
            <w:noWrap w:val="0"/>
            <w:vAlign w:val="center"/>
          </w:tcPr>
          <w:p w14:paraId="39D3CD6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中心排涝沟</w:t>
            </w:r>
          </w:p>
        </w:tc>
        <w:tc>
          <w:tcPr>
            <w:tcW w:w="1380" w:type="dxa"/>
            <w:noWrap w:val="0"/>
            <w:vAlign w:val="center"/>
          </w:tcPr>
          <w:p w14:paraId="08FBA5D1">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永康桥村</w:t>
            </w:r>
          </w:p>
        </w:tc>
        <w:tc>
          <w:tcPr>
            <w:tcW w:w="1275" w:type="dxa"/>
            <w:noWrap w:val="0"/>
            <w:vAlign w:val="center"/>
          </w:tcPr>
          <w:p w14:paraId="781D334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10AFE0C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2.585k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44377996">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6"/>
                <w:sz w:val="21"/>
                <w:szCs w:val="21"/>
              </w:rPr>
              <w:t>矩形断面，分为规格</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4"/>
                <w:sz w:val="21"/>
                <w:szCs w:val="21"/>
              </w:rPr>
              <w:t>：净宽</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；规格</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pacing w:val="-15"/>
                <w:sz w:val="21"/>
                <w:szCs w:val="21"/>
              </w:rPr>
              <w:t>：净宽</w:t>
            </w:r>
            <w:r>
              <w:rPr>
                <w:rFonts w:hint="default" w:ascii="Times New Roman" w:hAnsi="Times New Roman" w:eastAsia="宋体" w:cs="Times New Roman"/>
                <w:color w:val="000000"/>
                <w:sz w:val="21"/>
                <w:szCs w:val="21"/>
              </w:rPr>
              <w:t>4.5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8"/>
                <w:sz w:val="21"/>
                <w:szCs w:val="21"/>
              </w:rPr>
              <w:t>、深</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61F9F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092A717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930" w:type="dxa"/>
            <w:noWrap w:val="0"/>
            <w:vAlign w:val="center"/>
          </w:tcPr>
          <w:p w14:paraId="39F2AE0A">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项家院排涝沟</w:t>
            </w:r>
          </w:p>
        </w:tc>
        <w:tc>
          <w:tcPr>
            <w:tcW w:w="1380" w:type="dxa"/>
            <w:noWrap w:val="0"/>
            <w:vAlign w:val="center"/>
          </w:tcPr>
          <w:p w14:paraId="2127520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永康桥村</w:t>
            </w:r>
          </w:p>
        </w:tc>
        <w:tc>
          <w:tcPr>
            <w:tcW w:w="1275" w:type="dxa"/>
            <w:noWrap w:val="0"/>
            <w:vAlign w:val="center"/>
          </w:tcPr>
          <w:p w14:paraId="6B18719B">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748DD8E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1.2k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55D44C7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8"/>
                <w:sz w:val="21"/>
                <w:szCs w:val="21"/>
              </w:rPr>
              <w:t>梯形断面，底宽</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1"/>
                <w:sz w:val="21"/>
                <w:szCs w:val="21"/>
              </w:rPr>
              <w:t>，口宽约</w:t>
            </w:r>
            <w:r>
              <w:rPr>
                <w:rFonts w:hint="default" w:ascii="Times New Roman" w:hAnsi="Times New Roman" w:eastAsia="宋体" w:cs="Times New Roman"/>
                <w:color w:val="000000"/>
                <w:sz w:val="21"/>
                <w:szCs w:val="21"/>
              </w:rPr>
              <w:t>6~8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7"/>
                <w:sz w:val="21"/>
                <w:szCs w:val="21"/>
              </w:rPr>
              <w:t>边坡</w:t>
            </w:r>
            <w:r>
              <w:rPr>
                <w:rFonts w:hint="default" w:ascii="Times New Roman" w:hAnsi="Times New Roman" w:eastAsia="宋体" w:cs="Times New Roman"/>
                <w:color w:val="000000"/>
                <w:sz w:val="21"/>
                <w:szCs w:val="21"/>
              </w:rPr>
              <w:t>1：1.5，采用联锁块护坡。</w:t>
            </w:r>
          </w:p>
        </w:tc>
      </w:tr>
      <w:tr w14:paraId="6CFEC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1271C34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p>
          <w:p w14:paraId="5EAE3B9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p>
          <w:p w14:paraId="5003CA86">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p>
          <w:p w14:paraId="7F86905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p>
          <w:p w14:paraId="4E29C5B3">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p>
          <w:p w14:paraId="74AD1BC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w:t>
            </w:r>
          </w:p>
        </w:tc>
        <w:tc>
          <w:tcPr>
            <w:tcW w:w="930" w:type="dxa"/>
            <w:noWrap w:val="0"/>
            <w:vAlign w:val="center"/>
          </w:tcPr>
          <w:p w14:paraId="313AB242">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戴家河排涝片</w:t>
            </w:r>
          </w:p>
        </w:tc>
        <w:tc>
          <w:tcPr>
            <w:tcW w:w="1380" w:type="dxa"/>
            <w:noWrap w:val="0"/>
            <w:vAlign w:val="center"/>
          </w:tcPr>
          <w:p w14:paraId="0CC6FA26">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戴家河</w:t>
            </w:r>
          </w:p>
        </w:tc>
        <w:tc>
          <w:tcPr>
            <w:tcW w:w="1275" w:type="dxa"/>
            <w:noWrap w:val="0"/>
            <w:vAlign w:val="center"/>
          </w:tcPr>
          <w:p w14:paraId="2C42F0B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拆建穿路涵13座，改造排涝沟总长1.425k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3C171584">
            <w:pPr>
              <w:pStyle w:val="202"/>
              <w:keepNext w:val="0"/>
              <w:keepLines w:val="0"/>
              <w:numPr>
                <w:ilvl w:val="0"/>
                <w:numId w:val="2"/>
              </w:numPr>
              <w:suppressLineNumbers w:val="0"/>
              <w:tabs>
                <w:tab w:val="left" w:pos="634"/>
              </w:tabs>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8"/>
                <w:sz w:val="21"/>
                <w:szCs w:val="21"/>
              </w:rPr>
              <w:t>拆建穿路涵共计</w:t>
            </w:r>
            <w:r>
              <w:rPr>
                <w:rFonts w:hint="default" w:ascii="Times New Roman" w:hAnsi="Times New Roman" w:eastAsia="宋体" w:cs="Times New Roman"/>
                <w:color w:val="000000"/>
                <w:sz w:val="21"/>
                <w:szCs w:val="21"/>
              </w:rPr>
              <w:t>13座，其中：S332</w:t>
            </w:r>
            <w:r>
              <w:rPr>
                <w:rFonts w:hint="default" w:ascii="Times New Roman" w:hAnsi="Times New Roman" w:eastAsia="宋体" w:cs="Times New Roman"/>
                <w:color w:val="000000"/>
                <w:spacing w:val="-14"/>
                <w:sz w:val="21"/>
                <w:szCs w:val="21"/>
              </w:rPr>
              <w:t>穿路涵</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1"/>
                <w:sz w:val="21"/>
                <w:szCs w:val="21"/>
              </w:rPr>
              <w:t>座，尺寸</w:t>
            </w:r>
            <w:r>
              <w:rPr>
                <w:rFonts w:hint="default" w:ascii="Times New Roman" w:hAnsi="Times New Roman" w:eastAsia="宋体" w:cs="Times New Roman"/>
                <w:color w:val="000000"/>
                <w:sz w:val="21"/>
                <w:szCs w:val="21"/>
              </w:rPr>
              <w:t>3×1.8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，长37</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；1#、2#、3#</w:t>
            </w:r>
            <w:r>
              <w:rPr>
                <w:rFonts w:hint="default" w:ascii="Times New Roman" w:hAnsi="Times New Roman" w:eastAsia="宋体" w:cs="Times New Roman"/>
                <w:color w:val="000000"/>
                <w:spacing w:val="-14"/>
                <w:sz w:val="21"/>
                <w:szCs w:val="21"/>
              </w:rPr>
              <w:t>穿路涵</w:t>
            </w:r>
            <w:r>
              <w:rPr>
                <w:rFonts w:hint="default" w:ascii="Times New Roman" w:hAnsi="Times New Roman" w:eastAsia="宋体" w:cs="Times New Roman"/>
                <w:color w:val="000000"/>
                <w:sz w:val="21"/>
                <w:szCs w:val="21"/>
              </w:rPr>
              <w:t>3座，尺寸3×1.8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，长9</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；4#穿路涵1座，尺寸3×3.8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，长7.3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。另拆建穿路管涵8座，管径0.5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p w14:paraId="5689A15C">
            <w:pPr>
              <w:pStyle w:val="202"/>
              <w:keepNext w:val="0"/>
              <w:keepLines w:val="0"/>
              <w:numPr>
                <w:ilvl w:val="0"/>
                <w:numId w:val="2"/>
              </w:numPr>
              <w:suppressLineNumbers w:val="0"/>
              <w:tabs>
                <w:tab w:val="left" w:pos="634"/>
              </w:tabs>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8"/>
                <w:sz w:val="21"/>
                <w:szCs w:val="21"/>
              </w:rPr>
              <w:t>拆建</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3"/>
                <w:sz w:val="21"/>
                <w:szCs w:val="21"/>
              </w:rPr>
              <w:t>排涝沟</w:t>
            </w:r>
            <w:r>
              <w:rPr>
                <w:rFonts w:hint="default" w:ascii="Times New Roman" w:hAnsi="Times New Roman" w:eastAsia="宋体" w:cs="Times New Roman"/>
                <w:color w:val="000000"/>
                <w:sz w:val="21"/>
                <w:szCs w:val="21"/>
              </w:rPr>
              <w:t>135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，尺寸1.5×1.5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；新建</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pacing w:val="-15"/>
                <w:sz w:val="21"/>
                <w:szCs w:val="21"/>
              </w:rPr>
              <w:t>排涝沟</w:t>
            </w:r>
            <w:r>
              <w:rPr>
                <w:rFonts w:hint="default" w:ascii="Times New Roman" w:hAnsi="Times New Roman" w:eastAsia="宋体" w:cs="Times New Roman"/>
                <w:color w:val="000000"/>
                <w:sz w:val="21"/>
                <w:szCs w:val="21"/>
              </w:rPr>
              <w:t>630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，尺寸2×1.8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0"/>
                <w:sz w:val="21"/>
                <w:szCs w:val="21"/>
              </w:rPr>
              <w:t>；清淤护砌</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pacing w:val="-14"/>
                <w:sz w:val="21"/>
                <w:szCs w:val="21"/>
              </w:rPr>
              <w:t>排涝沟</w:t>
            </w:r>
            <w:r>
              <w:rPr>
                <w:rFonts w:hint="default" w:ascii="Times New Roman" w:hAnsi="Times New Roman" w:eastAsia="宋体" w:cs="Times New Roman"/>
                <w:color w:val="000000"/>
                <w:sz w:val="21"/>
                <w:szCs w:val="21"/>
              </w:rPr>
              <w:t>630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8"/>
                <w:sz w:val="21"/>
                <w:szCs w:val="21"/>
              </w:rPr>
              <w:t>新建</w:t>
            </w:r>
            <w:r>
              <w:rPr>
                <w:rFonts w:hint="default" w:ascii="Times New Roman" w:hAnsi="Times New Roman" w:eastAsia="宋体" w:cs="Times New Roman"/>
                <w:color w:val="000000"/>
                <w:sz w:val="21"/>
                <w:szCs w:val="21"/>
              </w:rPr>
              <w:t>4#</w:t>
            </w:r>
            <w:r>
              <w:rPr>
                <w:rFonts w:hint="default" w:ascii="Times New Roman" w:hAnsi="Times New Roman" w:eastAsia="宋体" w:cs="Times New Roman"/>
                <w:color w:val="000000"/>
                <w:spacing w:val="-14"/>
                <w:sz w:val="21"/>
                <w:szCs w:val="21"/>
              </w:rPr>
              <w:t>排涝沟</w:t>
            </w:r>
            <w:r>
              <w:rPr>
                <w:rFonts w:hint="default" w:ascii="Times New Roman" w:hAnsi="Times New Roman" w:eastAsia="宋体" w:cs="Times New Roman"/>
                <w:color w:val="000000"/>
                <w:sz w:val="21"/>
                <w:szCs w:val="21"/>
              </w:rPr>
              <w:t>30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，尺寸</w:t>
            </w:r>
            <w:r>
              <w:rPr>
                <w:rFonts w:hint="default" w:ascii="Times New Roman" w:hAnsi="Times New Roman" w:eastAsia="宋体" w:cs="Times New Roman"/>
                <w:color w:val="000000"/>
                <w:sz w:val="21"/>
                <w:szCs w:val="21"/>
              </w:rPr>
              <w:t>4×1.8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。（4#排涝沟与3#穿路涵衔接）。</w:t>
            </w:r>
          </w:p>
        </w:tc>
      </w:tr>
    </w:tbl>
    <w:p w14:paraId="48D44A3D">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rPr>
      </w:pPr>
      <w:r>
        <w:rPr>
          <w:rFonts w:hint="default" w:ascii="Times New Roman" w:hAnsi="Times New Roman" w:eastAsia="宋体" w:cs="Times New Roman"/>
          <w:b/>
          <w:bCs/>
          <w:color w:val="000000"/>
          <w:sz w:val="24"/>
          <w:szCs w:val="24"/>
          <w:lang w:val="en-US" w:eastAsia="zh-CN" w:bidi="ar"/>
        </w:rPr>
        <w:t>（2）城区排涝通道整治工程</w:t>
      </w:r>
    </w:p>
    <w:p w14:paraId="0DFE18C8">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b/>
          <w:color w:val="000000"/>
          <w:sz w:val="21"/>
        </w:rPr>
      </w:pPr>
      <w:r>
        <w:rPr>
          <w:rFonts w:hint="default" w:ascii="Times New Roman" w:hAnsi="Times New Roman" w:eastAsia="宋体" w:cs="Times New Roman"/>
          <w:color w:val="000000"/>
        </w:rPr>
        <w:t>本次工程重点整治城区幽芳河、高庙河、柳林河、新店河等4条排涝通道，总长25.62k</w:t>
      </w:r>
      <w:r>
        <w:rPr>
          <w:rFonts w:hint="default" w:ascii="Times New Roman" w:hAnsi="Times New Roman" w:eastAsia="宋体" w:cs="Times New Roman"/>
          <w:color w:val="000000"/>
          <w:lang w:eastAsia="zh-CN"/>
        </w:rPr>
        <w:t>m</w:t>
      </w:r>
      <w:r>
        <w:rPr>
          <w:rFonts w:hint="default" w:ascii="Times New Roman" w:hAnsi="Times New Roman" w:eastAsia="宋体" w:cs="Times New Roman"/>
          <w:color w:val="000000"/>
        </w:rPr>
        <w:t>，建设内容包括河道疏浚、护岸加固、新（拆）建蓄水建筑物等</w:t>
      </w:r>
      <w:r>
        <w:rPr>
          <w:rFonts w:hint="default" w:ascii="Times New Roman" w:hAnsi="Times New Roman" w:eastAsia="宋体" w:cs="Times New Roman"/>
          <w:color w:val="000000"/>
          <w:sz w:val="24"/>
          <w:szCs w:val="24"/>
          <w:lang w:val="en-US" w:eastAsia="zh-CN" w:bidi="ar"/>
        </w:rPr>
        <w:t>。</w:t>
      </w:r>
    </w:p>
    <w:p w14:paraId="416BD8C2">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 2</w:t>
      </w:r>
      <w:r>
        <w:rPr>
          <w:rFonts w:hint="eastAsia"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lang w:val="en-US" w:eastAsia="zh-CN"/>
        </w:rPr>
        <w:t>-</w:t>
      </w:r>
      <w:r>
        <w:rPr>
          <w:rFonts w:hint="eastAsia" w:ascii="Times New Roman" w:hAnsi="Times New Roman" w:eastAsia="宋体" w:cs="Times New Roman"/>
          <w:b/>
          <w:color w:val="000000"/>
          <w:sz w:val="24"/>
          <w:szCs w:val="24"/>
          <w:lang w:val="en-US" w:eastAsia="zh-CN"/>
        </w:rPr>
        <w:t>2</w:t>
      </w:r>
      <w:r>
        <w:rPr>
          <w:rFonts w:hint="default"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color w:val="000000"/>
          <w:sz w:val="24"/>
          <w:szCs w:val="24"/>
          <w:lang w:val="en-US" w:eastAsia="zh-CN"/>
        </w:rPr>
        <w:tab/>
      </w:r>
      <w:r>
        <w:rPr>
          <w:rFonts w:hint="default" w:ascii="Times New Roman" w:hAnsi="Times New Roman" w:eastAsia="宋体" w:cs="Times New Roman"/>
          <w:b/>
          <w:color w:val="000000"/>
          <w:sz w:val="24"/>
          <w:szCs w:val="24"/>
          <w:lang w:val="en-US" w:eastAsia="zh-CN"/>
        </w:rPr>
        <w:t>城区排涝通道整治工程建设内容详表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915"/>
        <w:gridCol w:w="1342"/>
        <w:gridCol w:w="2160"/>
        <w:gridCol w:w="3805"/>
      </w:tblGrid>
      <w:tr w14:paraId="1256C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181BF38B">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839" w:type="dxa"/>
            <w:noWrap w:val="0"/>
            <w:vAlign w:val="center"/>
          </w:tcPr>
          <w:p w14:paraId="6258BA87">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工程项目名称</w:t>
            </w:r>
          </w:p>
        </w:tc>
        <w:tc>
          <w:tcPr>
            <w:tcW w:w="1230" w:type="dxa"/>
            <w:noWrap w:val="0"/>
            <w:vAlign w:val="center"/>
          </w:tcPr>
          <w:p w14:paraId="2DAF25A3">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工程范围</w:t>
            </w:r>
          </w:p>
        </w:tc>
        <w:tc>
          <w:tcPr>
            <w:tcW w:w="1980" w:type="dxa"/>
            <w:noWrap w:val="0"/>
            <w:vAlign w:val="center"/>
          </w:tcPr>
          <w:p w14:paraId="17480E60">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建设内容</w:t>
            </w:r>
          </w:p>
        </w:tc>
        <w:tc>
          <w:tcPr>
            <w:tcW w:w="3489" w:type="dxa"/>
            <w:noWrap w:val="0"/>
            <w:vAlign w:val="center"/>
          </w:tcPr>
          <w:p w14:paraId="3ED68106">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设计主要参数</w:t>
            </w:r>
          </w:p>
        </w:tc>
      </w:tr>
      <w:tr w14:paraId="40E2C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63853954">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839" w:type="dxa"/>
            <w:noWrap w:val="0"/>
            <w:vAlign w:val="center"/>
          </w:tcPr>
          <w:p w14:paraId="13F63BA1">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幽芳河排涝通道整治</w:t>
            </w:r>
          </w:p>
        </w:tc>
        <w:tc>
          <w:tcPr>
            <w:tcW w:w="1230" w:type="dxa"/>
            <w:noWrap w:val="0"/>
            <w:vAlign w:val="center"/>
          </w:tcPr>
          <w:p w14:paraId="6997EDE1">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东石门水库~高庙河，长6.36k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2A238263">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2"/>
                <w:sz w:val="21"/>
                <w:szCs w:val="21"/>
              </w:rPr>
              <w:t>河道疏拓</w:t>
            </w:r>
            <w:r>
              <w:rPr>
                <w:rFonts w:hint="default" w:ascii="Times New Roman" w:hAnsi="Times New Roman" w:eastAsia="宋体" w:cs="Times New Roman"/>
                <w:color w:val="000000"/>
                <w:sz w:val="21"/>
                <w:szCs w:val="21"/>
              </w:rPr>
              <w:t>6.36k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，防</w:t>
            </w:r>
            <w:r>
              <w:rPr>
                <w:rFonts w:hint="default" w:ascii="Times New Roman" w:hAnsi="Times New Roman" w:eastAsia="宋体" w:cs="Times New Roman"/>
                <w:color w:val="000000"/>
                <w:spacing w:val="-15"/>
                <w:sz w:val="21"/>
                <w:szCs w:val="21"/>
              </w:rPr>
              <w:t>洪达标</w:t>
            </w:r>
            <w:r>
              <w:rPr>
                <w:rFonts w:hint="default" w:ascii="Times New Roman" w:hAnsi="Times New Roman" w:eastAsia="宋体" w:cs="Times New Roman"/>
                <w:color w:val="000000"/>
                <w:sz w:val="21"/>
                <w:szCs w:val="21"/>
              </w:rPr>
              <w:t>2.4k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，护岸加</w:t>
            </w:r>
            <w:r>
              <w:rPr>
                <w:rFonts w:hint="default" w:ascii="Times New Roman" w:hAnsi="Times New Roman" w:eastAsia="宋体" w:cs="Times New Roman"/>
                <w:color w:val="000000"/>
                <w:spacing w:val="-29"/>
                <w:sz w:val="21"/>
                <w:szCs w:val="21"/>
              </w:rPr>
              <w:t>固</w:t>
            </w:r>
            <w:r>
              <w:rPr>
                <w:rFonts w:hint="default" w:ascii="Times New Roman" w:hAnsi="Times New Roman" w:eastAsia="宋体" w:cs="Times New Roman"/>
                <w:color w:val="000000"/>
                <w:sz w:val="21"/>
                <w:szCs w:val="21"/>
              </w:rPr>
              <w:t>12.72k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w:t>
            </w:r>
            <w:r>
              <w:rPr>
                <w:rFonts w:hint="default" w:ascii="Times New Roman" w:hAnsi="Times New Roman" w:eastAsia="宋体" w:cs="Times New Roman"/>
                <w:color w:val="000000"/>
                <w:spacing w:val="-8"/>
                <w:sz w:val="21"/>
                <w:szCs w:val="21"/>
              </w:rPr>
              <w:t>建蓄水建筑物</w:t>
            </w:r>
            <w:r>
              <w:rPr>
                <w:rFonts w:hint="default" w:ascii="Times New Roman" w:hAnsi="Times New Roman" w:eastAsia="宋体" w:cs="Times New Roman"/>
                <w:color w:val="000000"/>
                <w:sz w:val="21"/>
                <w:szCs w:val="21"/>
              </w:rPr>
              <w:t>7</w:t>
            </w:r>
            <w:r>
              <w:rPr>
                <w:rFonts w:hint="default" w:ascii="Times New Roman" w:hAnsi="Times New Roman" w:eastAsia="宋体" w:cs="Times New Roman"/>
                <w:color w:val="000000"/>
                <w:spacing w:val="-5"/>
                <w:sz w:val="21"/>
                <w:szCs w:val="21"/>
              </w:rPr>
              <w:t>座，改</w:t>
            </w:r>
            <w:r>
              <w:rPr>
                <w:rFonts w:hint="default" w:ascii="Times New Roman" w:hAnsi="Times New Roman" w:eastAsia="宋体" w:cs="Times New Roman"/>
                <w:color w:val="000000"/>
                <w:spacing w:val="-10"/>
                <w:sz w:val="21"/>
                <w:szCs w:val="21"/>
              </w:rPr>
              <w:t>造防汛道路</w:t>
            </w:r>
            <w:r>
              <w:rPr>
                <w:rFonts w:hint="default" w:ascii="Times New Roman" w:hAnsi="Times New Roman" w:eastAsia="宋体" w:cs="Times New Roman"/>
                <w:color w:val="000000"/>
                <w:sz w:val="21"/>
                <w:szCs w:val="21"/>
              </w:rPr>
              <w:t>1.8k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c>
          <w:tcPr>
            <w:tcW w:w="3489" w:type="dxa"/>
            <w:noWrap w:val="0"/>
            <w:vAlign w:val="center"/>
          </w:tcPr>
          <w:p w14:paraId="12BDE660">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①防洪达标采用挡浪墙，墙高1.0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左右。②护岸采用生态挡墙6.813k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，格宾石笼护脚3.727k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，岸坡清杂1.03k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，预制块护坡1.15k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。③拆建拦河坝1座，改造拦河坝2座，新建拦河坝2座，坝高0.8~1.74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9"/>
                <w:sz w:val="21"/>
                <w:szCs w:val="21"/>
              </w:rPr>
              <w:t>④新建气盾坝</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1"/>
                <w:sz w:val="21"/>
                <w:szCs w:val="21"/>
              </w:rPr>
              <w:t>座，坝高</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，拦</w:t>
            </w:r>
            <w:r>
              <w:rPr>
                <w:rFonts w:hint="default" w:ascii="Times New Roman" w:hAnsi="Times New Roman" w:eastAsia="宋体" w:cs="Times New Roman"/>
                <w:color w:val="000000"/>
                <w:spacing w:val="-3"/>
                <w:sz w:val="21"/>
                <w:szCs w:val="21"/>
              </w:rPr>
              <w:t>河坝拆建为气盾坝</w:t>
            </w:r>
            <w:r>
              <w:rPr>
                <w:rFonts w:hint="default" w:ascii="Times New Roman" w:hAnsi="Times New Roman" w:eastAsia="宋体" w:cs="Times New Roman"/>
                <w:color w:val="000000"/>
                <w:sz w:val="21"/>
                <w:szCs w:val="21"/>
              </w:rPr>
              <w:t>1座，坝高1.5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。⑤堤顶防汛道路白改黑长1.8k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，净宽4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056AA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30B21BA6">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839" w:type="dxa"/>
            <w:noWrap w:val="0"/>
            <w:vAlign w:val="center"/>
          </w:tcPr>
          <w:p w14:paraId="73789F26">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高庙河排涝通道整治</w:t>
            </w:r>
          </w:p>
        </w:tc>
        <w:tc>
          <w:tcPr>
            <w:tcW w:w="1230" w:type="dxa"/>
            <w:noWrap w:val="0"/>
            <w:vAlign w:val="center"/>
          </w:tcPr>
          <w:p w14:paraId="6B47E101">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牛角冲水库~东淠河，长5.65k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6EB043B2">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新建护岸7.22k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，石笼固脚3.19k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，拆（新）建蓄水建筑物4座，新建巡查便道0.525k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，新建防洪墙0.8k</w:t>
            </w:r>
            <w:r>
              <w:rPr>
                <w:rFonts w:hint="default" w:ascii="Times New Roman" w:hAnsi="Times New Roman" w:eastAsia="宋体" w:cs="Times New Roman"/>
                <w:color w:val="000000"/>
                <w:sz w:val="21"/>
                <w:szCs w:val="21"/>
                <w:lang w:eastAsia="zh-CN"/>
              </w:rPr>
              <w:t>m</w:t>
            </w:r>
          </w:p>
        </w:tc>
        <w:tc>
          <w:tcPr>
            <w:tcW w:w="3489" w:type="dxa"/>
            <w:noWrap w:val="0"/>
            <w:vAlign w:val="center"/>
          </w:tcPr>
          <w:p w14:paraId="2C13EB1C">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7"/>
                <w:sz w:val="21"/>
                <w:szCs w:val="21"/>
              </w:rPr>
              <w:t>①仰斜式挡墙护岸</w:t>
            </w:r>
            <w:r>
              <w:rPr>
                <w:rFonts w:hint="default" w:ascii="Times New Roman" w:hAnsi="Times New Roman" w:eastAsia="宋体" w:cs="Times New Roman"/>
                <w:color w:val="000000"/>
                <w:sz w:val="21"/>
                <w:szCs w:val="21"/>
              </w:rPr>
              <w:t>1580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，阶梯式</w:t>
            </w:r>
            <w:r>
              <w:rPr>
                <w:rFonts w:hint="default" w:ascii="Times New Roman" w:hAnsi="Times New Roman" w:eastAsia="宋体" w:cs="Times New Roman"/>
                <w:color w:val="000000"/>
                <w:spacing w:val="-8"/>
                <w:sz w:val="21"/>
                <w:szCs w:val="21"/>
              </w:rPr>
              <w:t>生态挡墙护岸</w:t>
            </w:r>
            <w:r>
              <w:rPr>
                <w:rFonts w:hint="default" w:ascii="Times New Roman" w:hAnsi="Times New Roman" w:eastAsia="宋体" w:cs="Times New Roman"/>
                <w:color w:val="000000"/>
                <w:sz w:val="21"/>
                <w:szCs w:val="21"/>
              </w:rPr>
              <w:t>4080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，浆砌石挡墙200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8"/>
                <w:sz w:val="21"/>
                <w:szCs w:val="21"/>
              </w:rPr>
              <w:t>，格宾石笼挡墙</w:t>
            </w:r>
            <w:r>
              <w:rPr>
                <w:rFonts w:hint="default" w:ascii="Times New Roman" w:hAnsi="Times New Roman" w:eastAsia="宋体" w:cs="Times New Roman"/>
                <w:color w:val="000000"/>
                <w:sz w:val="21"/>
                <w:szCs w:val="21"/>
              </w:rPr>
              <w:t>1180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，雷诺</w:t>
            </w:r>
            <w:r>
              <w:rPr>
                <w:rFonts w:hint="default" w:ascii="Times New Roman" w:hAnsi="Times New Roman" w:eastAsia="宋体" w:cs="Times New Roman"/>
                <w:color w:val="000000"/>
                <w:spacing w:val="-11"/>
                <w:sz w:val="21"/>
                <w:szCs w:val="21"/>
              </w:rPr>
              <w:t>护垫护坡</w:t>
            </w:r>
            <w:r>
              <w:rPr>
                <w:rFonts w:hint="default" w:ascii="Times New Roman" w:hAnsi="Times New Roman" w:eastAsia="宋体" w:cs="Times New Roman"/>
                <w:color w:val="000000"/>
                <w:sz w:val="21"/>
                <w:szCs w:val="21"/>
              </w:rPr>
              <w:t>200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，格宾石笼固脚3152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7"/>
                <w:sz w:val="21"/>
                <w:szCs w:val="21"/>
              </w:rPr>
              <w:t>。②拆建拦河坝</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pacing w:val="-3"/>
                <w:sz w:val="21"/>
                <w:szCs w:val="21"/>
              </w:rPr>
              <w:t>座，新建拦</w:t>
            </w:r>
            <w:r>
              <w:rPr>
                <w:rFonts w:hint="default" w:ascii="Times New Roman" w:hAnsi="Times New Roman" w:eastAsia="宋体" w:cs="Times New Roman"/>
                <w:color w:val="000000"/>
                <w:spacing w:val="-18"/>
                <w:sz w:val="21"/>
                <w:szCs w:val="21"/>
              </w:rPr>
              <w:t>河坝</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1"/>
                <w:sz w:val="21"/>
                <w:szCs w:val="21"/>
              </w:rPr>
              <w:t>座，净高</w:t>
            </w:r>
            <w:r>
              <w:rPr>
                <w:rFonts w:hint="default" w:ascii="Times New Roman" w:hAnsi="Times New Roman" w:eastAsia="宋体" w:cs="Times New Roman"/>
                <w:color w:val="000000"/>
                <w:sz w:val="21"/>
                <w:szCs w:val="21"/>
              </w:rPr>
              <w:t>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。③新建巡查</w:t>
            </w:r>
            <w:r>
              <w:rPr>
                <w:rFonts w:hint="default" w:ascii="Times New Roman" w:hAnsi="Times New Roman" w:eastAsia="宋体" w:cs="Times New Roman"/>
                <w:color w:val="000000"/>
                <w:spacing w:val="-18"/>
                <w:sz w:val="21"/>
                <w:szCs w:val="21"/>
              </w:rPr>
              <w:t>便道</w:t>
            </w:r>
            <w:r>
              <w:rPr>
                <w:rFonts w:hint="default" w:ascii="Times New Roman" w:hAnsi="Times New Roman" w:eastAsia="宋体" w:cs="Times New Roman"/>
                <w:color w:val="000000"/>
                <w:sz w:val="21"/>
                <w:szCs w:val="21"/>
              </w:rPr>
              <w:t>0.525k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8"/>
                <w:sz w:val="21"/>
                <w:szCs w:val="21"/>
              </w:rPr>
              <w:t>，宽</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。④新建防洪墙0.8k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，高1.0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42B66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292DE0C9">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839" w:type="dxa"/>
            <w:noWrap w:val="0"/>
            <w:vAlign w:val="center"/>
          </w:tcPr>
          <w:p w14:paraId="27D1E770">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柳林河排涝通道整治</w:t>
            </w:r>
          </w:p>
        </w:tc>
        <w:tc>
          <w:tcPr>
            <w:tcW w:w="1230" w:type="dxa"/>
            <w:noWrap w:val="0"/>
            <w:vAlign w:val="center"/>
          </w:tcPr>
          <w:p w14:paraId="78617BFB">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团结水库~东淠河，长11.1k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7F14DF8B">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3.415k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6"/>
                <w:sz w:val="21"/>
                <w:szCs w:val="21"/>
              </w:rPr>
              <w:t>、护</w:t>
            </w:r>
            <w:r>
              <w:rPr>
                <w:rFonts w:hint="default" w:ascii="Times New Roman" w:hAnsi="Times New Roman" w:eastAsia="宋体" w:cs="Times New Roman"/>
                <w:color w:val="000000"/>
                <w:spacing w:val="-28"/>
                <w:sz w:val="21"/>
                <w:szCs w:val="21"/>
              </w:rPr>
              <w:t>坡</w:t>
            </w:r>
            <w:r>
              <w:rPr>
                <w:rFonts w:hint="default" w:ascii="Times New Roman" w:hAnsi="Times New Roman" w:eastAsia="宋体" w:cs="Times New Roman"/>
                <w:color w:val="000000"/>
                <w:sz w:val="21"/>
                <w:szCs w:val="21"/>
              </w:rPr>
              <w:t>5.28k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，石笼固脚9.19k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，堤防封闭300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，加固拦河坝2座，拆建防洪闸1座，拆建（加固）排涝涵5座，堤顶防汛道路白改黑长7.2k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，水毁段修复16处。</w:t>
            </w:r>
          </w:p>
        </w:tc>
        <w:tc>
          <w:tcPr>
            <w:tcW w:w="3489" w:type="dxa"/>
            <w:noWrap w:val="0"/>
            <w:vAlign w:val="center"/>
          </w:tcPr>
          <w:p w14:paraId="189B7EB2">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①仰斜式挡墙护岸1535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，生态挡墙护岸1552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，格宾石笼固脚9190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，预制块护坡5280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；②加固拦河坝2座，设增设消能工③拆建防洪闸1座，孔口3×2.5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；④拆建排涝箱涵两座，孔口3.5×2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；DN1000涵管1座；维修涵闸2座；⑤堤顶防汛道路白改黑长7.2k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，宽5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；⑥水毁段修复16处。</w:t>
            </w:r>
          </w:p>
        </w:tc>
      </w:tr>
      <w:tr w14:paraId="27EF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0CE9AA67">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839" w:type="dxa"/>
            <w:noWrap w:val="0"/>
            <w:vAlign w:val="center"/>
          </w:tcPr>
          <w:p w14:paraId="05D54AEC">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新店河排涝通道整治</w:t>
            </w:r>
          </w:p>
        </w:tc>
        <w:tc>
          <w:tcPr>
            <w:tcW w:w="1230" w:type="dxa"/>
            <w:noWrap w:val="0"/>
            <w:vAlign w:val="center"/>
          </w:tcPr>
          <w:p w14:paraId="44A4C0B1">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印墩村~入戴家河河口，长2.51k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4C670FBA">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2.106k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，现</w:t>
            </w:r>
            <w:r>
              <w:rPr>
                <w:rFonts w:hint="default" w:ascii="Times New Roman" w:hAnsi="Times New Roman" w:eastAsia="宋体" w:cs="Times New Roman"/>
                <w:color w:val="000000"/>
                <w:spacing w:val="-11"/>
                <w:sz w:val="21"/>
                <w:szCs w:val="21"/>
              </w:rPr>
              <w:t>状护岸改造</w:t>
            </w:r>
            <w:r>
              <w:rPr>
                <w:rFonts w:hint="default" w:ascii="Times New Roman" w:hAnsi="Times New Roman" w:eastAsia="宋体" w:cs="Times New Roman"/>
                <w:color w:val="000000"/>
                <w:sz w:val="21"/>
                <w:szCs w:val="21"/>
              </w:rPr>
              <w:t>0.195k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1"/>
                <w:sz w:val="21"/>
                <w:szCs w:val="21"/>
              </w:rPr>
              <w:t>河道疏浚</w:t>
            </w:r>
            <w:r>
              <w:rPr>
                <w:rFonts w:hint="default" w:ascii="Times New Roman" w:hAnsi="Times New Roman" w:eastAsia="宋体" w:cs="Times New Roman"/>
                <w:color w:val="000000"/>
                <w:sz w:val="21"/>
                <w:szCs w:val="21"/>
              </w:rPr>
              <w:t>0.7k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w:t>
            </w:r>
            <w:r>
              <w:rPr>
                <w:rFonts w:hint="default" w:ascii="Times New Roman" w:hAnsi="Times New Roman" w:eastAsia="宋体" w:cs="Times New Roman"/>
                <w:color w:val="000000"/>
                <w:spacing w:val="-12"/>
                <w:sz w:val="21"/>
                <w:szCs w:val="21"/>
              </w:rPr>
              <w:t>建拦河坝</w:t>
            </w:r>
            <w:r>
              <w:rPr>
                <w:rFonts w:hint="default" w:ascii="Times New Roman" w:hAnsi="Times New Roman" w:eastAsia="宋体" w:cs="Times New Roman"/>
                <w:color w:val="000000"/>
                <w:sz w:val="21"/>
                <w:szCs w:val="21"/>
              </w:rPr>
              <w:t>5座，</w:t>
            </w:r>
            <w:r>
              <w:rPr>
                <w:rFonts w:hint="default" w:ascii="Times New Roman" w:hAnsi="Times New Roman" w:eastAsia="宋体" w:cs="Times New Roman"/>
                <w:color w:val="000000"/>
                <w:spacing w:val="-10"/>
                <w:sz w:val="21"/>
                <w:szCs w:val="21"/>
              </w:rPr>
              <w:t>加固拦河坝</w:t>
            </w:r>
            <w:r>
              <w:rPr>
                <w:rFonts w:hint="default" w:ascii="Times New Roman" w:hAnsi="Times New Roman" w:eastAsia="宋体" w:cs="Times New Roman"/>
                <w:color w:val="000000"/>
                <w:sz w:val="21"/>
                <w:szCs w:val="21"/>
              </w:rPr>
              <w:t>1座，拆建漫水桥1座（改建为桥涵）。</w:t>
            </w:r>
          </w:p>
        </w:tc>
        <w:tc>
          <w:tcPr>
            <w:tcW w:w="3489" w:type="dxa"/>
            <w:noWrap w:val="0"/>
            <w:vAlign w:val="center"/>
          </w:tcPr>
          <w:p w14:paraId="4E7B2200">
            <w:pPr>
              <w:pStyle w:val="202"/>
              <w:keepNext w:val="0"/>
              <w:keepLines w:val="0"/>
              <w:pageBreakBefore w:val="0"/>
              <w:widowControl w:val="0"/>
              <w:suppressLineNumbers w:val="0"/>
              <w:spacing w:before="0" w:beforeAutospacing="0" w:after="0" w:afterAutospacing="0" w:line="240" w:lineRule="auto"/>
              <w:ind w:left="24" w:right="24"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①新建浆砌石挡墙568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、素砼挡墙1538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；②左岸挡墙修复100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2"/>
                <w:sz w:val="21"/>
                <w:szCs w:val="21"/>
              </w:rPr>
              <w:t>，现状挡墙加</w:t>
            </w:r>
            <w:r>
              <w:rPr>
                <w:rFonts w:hint="default" w:ascii="Times New Roman" w:hAnsi="Times New Roman" w:eastAsia="宋体" w:cs="Times New Roman"/>
                <w:color w:val="000000"/>
                <w:sz w:val="21"/>
                <w:szCs w:val="21"/>
              </w:rPr>
              <w:t>高95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；③河道疏浚700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；④拆（新）建拦河坝5座，加固拦河坝1座，拆建漫水桥1座（改建为桥涵）。</w:t>
            </w:r>
          </w:p>
        </w:tc>
      </w:tr>
    </w:tbl>
    <w:p w14:paraId="51DC532D">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rPr>
      </w:pPr>
      <w:r>
        <w:rPr>
          <w:rFonts w:hint="default" w:ascii="Times New Roman" w:hAnsi="Times New Roman" w:eastAsia="宋体" w:cs="Times New Roman"/>
          <w:b/>
          <w:bCs/>
          <w:color w:val="000000"/>
          <w:sz w:val="24"/>
          <w:szCs w:val="24"/>
          <w:lang w:val="en-US" w:eastAsia="zh-CN" w:bidi="ar"/>
        </w:rPr>
        <w:t>（3）排水管网改造工程</w:t>
      </w:r>
    </w:p>
    <w:p w14:paraId="2DB633C0">
      <w:pPr>
        <w:keepNext w:val="0"/>
        <w:keepLines w:val="0"/>
        <w:pageBreakBefore w:val="0"/>
        <w:widowControl/>
        <w:suppressLineNumbers w:val="0"/>
        <w:spacing w:before="0" w:beforeAutospacing="0" w:after="0" w:afterAutospacing="0" w:line="360" w:lineRule="auto"/>
        <w:ind w:left="0" w:right="0" w:firstLine="480"/>
        <w:jc w:val="both"/>
        <w:rPr>
          <w:rFonts w:hint="default" w:ascii="Times New Roman" w:hAnsi="Times New Roman" w:eastAsia="宋体" w:cs="Times New Roman"/>
          <w:b/>
          <w:color w:val="000000"/>
          <w:spacing w:val="-28"/>
          <w:sz w:val="21"/>
        </w:rPr>
      </w:pPr>
      <w:r>
        <w:rPr>
          <w:rFonts w:hint="default" w:ascii="Times New Roman" w:hAnsi="Times New Roman" w:eastAsia="宋体" w:cs="Times New Roman"/>
          <w:color w:val="000000"/>
        </w:rPr>
        <w:t>本次整治工程坚持“系统治理、厂网并重、雨污分流、绿色韧性”的理念，针对幽芳河与柳林河沿岸区域、南岳花都片、衡山工业园片长期存在的雨水排放不畅、内涝频发、雨污混接、管网容量不足、调蓄能力弱等系统性问题，以系统治理、源头管控、韧性提升、智慧赋能为核心理念，全面推进雨水系统的整体性、结构性、前瞻性改造，构建“安全、生态、智慧、可持续”的城市管理体系。本次工程新建排水管网总长30.8k</w:t>
      </w:r>
      <w:r>
        <w:rPr>
          <w:rFonts w:hint="default" w:ascii="Times New Roman" w:hAnsi="Times New Roman" w:eastAsia="宋体" w:cs="Times New Roman"/>
          <w:color w:val="000000"/>
          <w:lang w:eastAsia="zh-CN"/>
        </w:rPr>
        <w:t>m</w:t>
      </w:r>
      <w:r>
        <w:rPr>
          <w:rFonts w:hint="default" w:ascii="Times New Roman" w:hAnsi="Times New Roman" w:eastAsia="宋体" w:cs="Times New Roman"/>
          <w:color w:val="000000"/>
        </w:rPr>
        <w:t>，并配套建设检查井、提升泵站等附属建筑物</w:t>
      </w:r>
      <w:r>
        <w:rPr>
          <w:rFonts w:hint="default" w:ascii="Times New Roman" w:hAnsi="Times New Roman" w:eastAsia="宋体" w:cs="Times New Roman"/>
          <w:color w:val="000000"/>
          <w:sz w:val="24"/>
          <w:szCs w:val="24"/>
          <w:lang w:val="en-US" w:eastAsia="zh-CN" w:bidi="ar"/>
        </w:rPr>
        <w:t>。</w:t>
      </w:r>
    </w:p>
    <w:p w14:paraId="6C11BB36">
      <w:pPr>
        <w:keepNext w:val="0"/>
        <w:keepLines w:val="0"/>
        <w:suppressLineNumbers w:val="0"/>
        <w:tabs>
          <w:tab w:val="left" w:pos="1173"/>
        </w:tabs>
        <w:spacing w:before="66" w:beforeAutospacing="0" w:after="0" w:afterAutospacing="0" w:line="360" w:lineRule="auto"/>
        <w:ind w:left="0" w:right="159" w:firstLine="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表2</w:t>
      </w:r>
      <w:r>
        <w:rPr>
          <w:rFonts w:hint="eastAsia"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lang w:val="en-US" w:eastAsia="zh-CN"/>
        </w:rPr>
        <w:t>-</w:t>
      </w:r>
      <w:r>
        <w:rPr>
          <w:rFonts w:hint="eastAsia" w:ascii="Times New Roman" w:hAnsi="Times New Roman" w:eastAsia="宋体" w:cs="Times New Roman"/>
          <w:b/>
          <w:color w:val="000000"/>
          <w:sz w:val="24"/>
          <w:szCs w:val="24"/>
          <w:lang w:val="en-US" w:eastAsia="zh-CN"/>
        </w:rPr>
        <w:t>3</w:t>
      </w:r>
      <w:r>
        <w:rPr>
          <w:rFonts w:hint="default" w:ascii="Times New Roman" w:hAnsi="Times New Roman" w:eastAsia="宋体" w:cs="Times New Roman"/>
          <w:b/>
          <w:color w:val="000000"/>
          <w:sz w:val="24"/>
          <w:szCs w:val="24"/>
          <w:lang w:val="en-US" w:eastAsia="zh-CN"/>
        </w:rPr>
        <w:t xml:space="preserve">    排水管网新建工程建设内容详表</w:t>
      </w:r>
    </w:p>
    <w:tbl>
      <w:tblPr>
        <w:tblStyle w:val="3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1721"/>
        <w:gridCol w:w="1250"/>
        <w:gridCol w:w="2192"/>
        <w:gridCol w:w="2922"/>
      </w:tblGrid>
      <w:tr w14:paraId="17EF5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7FAF49B7">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1578" w:type="dxa"/>
            <w:noWrap w:val="0"/>
            <w:vAlign w:val="center"/>
          </w:tcPr>
          <w:p w14:paraId="66920A5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工程项目名称</w:t>
            </w:r>
          </w:p>
        </w:tc>
        <w:tc>
          <w:tcPr>
            <w:tcW w:w="1146" w:type="dxa"/>
            <w:noWrap w:val="0"/>
            <w:vAlign w:val="center"/>
          </w:tcPr>
          <w:p w14:paraId="0055AE1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建设地点</w:t>
            </w:r>
          </w:p>
        </w:tc>
        <w:tc>
          <w:tcPr>
            <w:tcW w:w="2010" w:type="dxa"/>
            <w:noWrap w:val="0"/>
            <w:vAlign w:val="center"/>
          </w:tcPr>
          <w:p w14:paraId="6AB6B167">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建设内容</w:t>
            </w:r>
          </w:p>
        </w:tc>
        <w:tc>
          <w:tcPr>
            <w:tcW w:w="2679" w:type="dxa"/>
            <w:noWrap w:val="0"/>
            <w:vAlign w:val="center"/>
          </w:tcPr>
          <w:p w14:paraId="65D811D7">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设计主要参数</w:t>
            </w:r>
          </w:p>
        </w:tc>
      </w:tr>
      <w:tr w14:paraId="4A3DB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3BBEA730">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578" w:type="dxa"/>
            <w:noWrap w:val="0"/>
            <w:vAlign w:val="center"/>
          </w:tcPr>
          <w:p w14:paraId="6B0A95C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幽芳河、柳林河片区排水管网新建工程</w:t>
            </w:r>
          </w:p>
        </w:tc>
        <w:tc>
          <w:tcPr>
            <w:tcW w:w="1146" w:type="dxa"/>
            <w:noWrap w:val="0"/>
            <w:vAlign w:val="center"/>
          </w:tcPr>
          <w:p w14:paraId="78C2EC3E">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东石门社区、柳林河西片（柳林河左岸堤后）</w:t>
            </w:r>
          </w:p>
        </w:tc>
        <w:tc>
          <w:tcPr>
            <w:tcW w:w="2010" w:type="dxa"/>
            <w:noWrap w:val="0"/>
            <w:vAlign w:val="center"/>
          </w:tcPr>
          <w:p w14:paraId="5233AF6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排水管网总长19.34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，其中：幽芳河排水管网约13.74k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，设检查井270座，提升泵站1座。柳林河片区排水管网约5.6k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，设检查井127座。</w:t>
            </w:r>
          </w:p>
        </w:tc>
        <w:tc>
          <w:tcPr>
            <w:tcW w:w="2679" w:type="dxa"/>
            <w:noWrap w:val="0"/>
            <w:vAlign w:val="center"/>
          </w:tcPr>
          <w:p w14:paraId="7EB94CCB">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幽芳河片区排水管网主管采用De315，均为HDPE</w:t>
            </w:r>
            <w:r>
              <w:rPr>
                <w:rFonts w:hint="default" w:ascii="Times New Roman" w:hAnsi="Times New Roman" w:eastAsia="宋体" w:cs="Times New Roman"/>
                <w:color w:val="000000"/>
                <w:spacing w:val="-11"/>
                <w:sz w:val="21"/>
                <w:szCs w:val="21"/>
              </w:rPr>
              <w:t>排</w:t>
            </w:r>
            <w:r>
              <w:rPr>
                <w:rFonts w:hint="default" w:ascii="Times New Roman" w:hAnsi="Times New Roman" w:eastAsia="宋体" w:cs="Times New Roman"/>
                <w:color w:val="000000"/>
                <w:sz w:val="21"/>
                <w:szCs w:val="21"/>
              </w:rPr>
              <w:t>水管材；检查井Φ700；设计总处理规模约为70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/d。柳林河片区排水管网主管采用De315、De110，均为HDPE</w:t>
            </w:r>
            <w:r>
              <w:rPr>
                <w:rFonts w:hint="default" w:ascii="Times New Roman" w:hAnsi="Times New Roman" w:eastAsia="宋体" w:cs="Times New Roman"/>
                <w:color w:val="000000"/>
                <w:spacing w:val="-4"/>
                <w:sz w:val="21"/>
                <w:szCs w:val="21"/>
              </w:rPr>
              <w:t>排水管</w:t>
            </w:r>
            <w:r>
              <w:rPr>
                <w:rFonts w:hint="default" w:ascii="Times New Roman" w:hAnsi="Times New Roman" w:eastAsia="宋体" w:cs="Times New Roman"/>
                <w:color w:val="000000"/>
                <w:sz w:val="21"/>
                <w:szCs w:val="21"/>
              </w:rPr>
              <w:t>材；检查井Φ700；设计总处理规模约为40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w:t>
            </w:r>
          </w:p>
        </w:tc>
      </w:tr>
      <w:tr w14:paraId="5E6C5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2AF372F9">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1578" w:type="dxa"/>
            <w:noWrap w:val="0"/>
            <w:vAlign w:val="center"/>
          </w:tcPr>
          <w:p w14:paraId="0963012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南岳花都片排水管网新建工程</w:t>
            </w:r>
          </w:p>
        </w:tc>
        <w:tc>
          <w:tcPr>
            <w:tcW w:w="1146" w:type="dxa"/>
            <w:noWrap w:val="0"/>
            <w:vAlign w:val="center"/>
          </w:tcPr>
          <w:p w14:paraId="46E15E15">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南岳花都小区西侧绿地</w:t>
            </w:r>
          </w:p>
        </w:tc>
        <w:tc>
          <w:tcPr>
            <w:tcW w:w="2010" w:type="dxa"/>
            <w:noWrap w:val="0"/>
            <w:vAlign w:val="center"/>
          </w:tcPr>
          <w:p w14:paraId="017C5C1F">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排水管网约460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，检查井7座。</w:t>
            </w:r>
          </w:p>
        </w:tc>
        <w:tc>
          <w:tcPr>
            <w:tcW w:w="2679" w:type="dxa"/>
            <w:noWrap w:val="0"/>
            <w:vAlign w:val="center"/>
          </w:tcPr>
          <w:p w14:paraId="2576D1C8">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主管采用d1.8钢筋混凝土III级管，检查井为钢筋混凝土井。设计排水流量7.3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/s。</w:t>
            </w:r>
          </w:p>
        </w:tc>
      </w:tr>
      <w:tr w14:paraId="6DF6F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6D95A7FC">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1578" w:type="dxa"/>
            <w:noWrap w:val="0"/>
            <w:vAlign w:val="center"/>
          </w:tcPr>
          <w:p w14:paraId="765CCF9B">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衡山工业园片排水管网新建工程</w:t>
            </w:r>
          </w:p>
        </w:tc>
        <w:tc>
          <w:tcPr>
            <w:tcW w:w="1146" w:type="dxa"/>
            <w:noWrap w:val="0"/>
            <w:vAlign w:val="center"/>
          </w:tcPr>
          <w:p w14:paraId="0D811DA0">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衡山工业园</w:t>
            </w:r>
          </w:p>
        </w:tc>
        <w:tc>
          <w:tcPr>
            <w:tcW w:w="2010" w:type="dxa"/>
            <w:noWrap w:val="0"/>
            <w:vAlign w:val="center"/>
          </w:tcPr>
          <w:p w14:paraId="657F7684">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排水管网约11k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，设检查井约214座。</w:t>
            </w:r>
          </w:p>
        </w:tc>
        <w:tc>
          <w:tcPr>
            <w:tcW w:w="2679" w:type="dxa"/>
            <w:noWrap w:val="0"/>
            <w:vAlign w:val="center"/>
          </w:tcPr>
          <w:p w14:paraId="5992C07B">
            <w:pPr>
              <w:pStyle w:val="20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幽芳河排水管网主管采用d500-d1200，为Ⅱ级钢筋混凝土管，检查井主要为Φ1000、Φ1200的钢筋混凝土检查井。箱涵采用1500×2000、2000×2000，2500×3000的矩形钢筋混凝土预制箱涵。</w:t>
            </w:r>
          </w:p>
        </w:tc>
      </w:tr>
    </w:tbl>
    <w:p w14:paraId="5B7B41E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rPr>
      </w:pPr>
    </w:p>
    <w:p w14:paraId="1AD1521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rPr>
      </w:pPr>
    </w:p>
    <w:p w14:paraId="0F0AFB3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rPr>
      </w:pPr>
    </w:p>
    <w:p w14:paraId="5626AED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rPr>
      </w:pPr>
    </w:p>
    <w:p w14:paraId="7C7D51D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rPr>
      </w:pPr>
    </w:p>
    <w:p w14:paraId="3E9B1E4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rPr>
      </w:pPr>
    </w:p>
    <w:p w14:paraId="54009E9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rPr>
      </w:pPr>
    </w:p>
    <w:p w14:paraId="796928CB">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lang w:val="en-US"/>
        </w:rPr>
      </w:pPr>
      <w:r>
        <w:rPr>
          <w:rFonts w:hint="default" w:ascii="Times New Roman" w:hAnsi="Times New Roman" w:eastAsia="宋体" w:cs="Times New Roman"/>
          <w:color w:val="000000"/>
          <w:sz w:val="24"/>
          <w:highlight w:val="none"/>
          <w:lang w:val="en-US"/>
        </w:rPr>
        <w:t>具体的项目工程组成情况见</w:t>
      </w:r>
      <w:r>
        <w:rPr>
          <w:rFonts w:hint="eastAsia" w:ascii="Times New Roman" w:hAnsi="Times New Roman" w:eastAsia="宋体" w:cs="Times New Roman"/>
          <w:color w:val="000000"/>
          <w:sz w:val="24"/>
          <w:highlight w:val="none"/>
          <w:lang w:val="en-US" w:eastAsia="zh-CN"/>
        </w:rPr>
        <w:t>下表</w:t>
      </w:r>
      <w:r>
        <w:rPr>
          <w:rFonts w:hint="default" w:ascii="Times New Roman" w:hAnsi="Times New Roman" w:eastAsia="宋体" w:cs="Times New Roman"/>
          <w:color w:val="000000"/>
          <w:sz w:val="24"/>
          <w:highlight w:val="none"/>
          <w:lang w:val="en-US"/>
        </w:rPr>
        <w:t>。</w:t>
      </w:r>
    </w:p>
    <w:p w14:paraId="0452855C">
      <w:pPr>
        <w:keepNext w:val="0"/>
        <w:keepLines w:val="0"/>
        <w:suppressLineNumbers w:val="0"/>
        <w:tabs>
          <w:tab w:val="left" w:pos="1173"/>
        </w:tabs>
        <w:spacing w:before="66" w:beforeAutospacing="0" w:after="0" w:afterAutospacing="0" w:line="360" w:lineRule="auto"/>
        <w:ind w:left="0" w:right="159" w:firstLine="0"/>
        <w:jc w:val="center"/>
        <w:outlineLvl w:val="9"/>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表2</w:t>
      </w:r>
      <w:r>
        <w:rPr>
          <w:rFonts w:hint="eastAsia" w:ascii="Times New Roman" w:hAnsi="Times New Roman" w:eastAsia="宋体" w:cs="Times New Roman"/>
          <w:b/>
          <w:color w:val="000000"/>
          <w:sz w:val="24"/>
          <w:szCs w:val="24"/>
          <w:lang w:val="en-US" w:eastAsia="zh-CN"/>
        </w:rPr>
        <w:t xml:space="preserve">.1-4 </w:t>
      </w:r>
      <w:r>
        <w:rPr>
          <w:rFonts w:hint="default" w:ascii="Times New Roman" w:hAnsi="Times New Roman" w:eastAsia="宋体" w:cs="Times New Roman"/>
          <w:b/>
          <w:color w:val="000000"/>
          <w:sz w:val="24"/>
          <w:szCs w:val="24"/>
          <w:lang w:val="en-US" w:eastAsia="zh-CN"/>
        </w:rPr>
        <w:t xml:space="preserve"> 本项目工程组成一览表</w:t>
      </w:r>
    </w:p>
    <w:tbl>
      <w:tblPr>
        <w:tblStyle w:val="39"/>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72"/>
        <w:gridCol w:w="1268"/>
        <w:gridCol w:w="5909"/>
      </w:tblGrid>
      <w:tr w14:paraId="7B35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noWrap w:val="0"/>
            <w:vAlign w:val="center"/>
          </w:tcPr>
          <w:p w14:paraId="465BBBCE">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val="en-US" w:eastAsia="zh-CN"/>
              </w:rPr>
              <w:t>类别</w:t>
            </w:r>
          </w:p>
        </w:tc>
        <w:tc>
          <w:tcPr>
            <w:tcW w:w="1640" w:type="dxa"/>
            <w:gridSpan w:val="2"/>
            <w:noWrap w:val="0"/>
            <w:vAlign w:val="center"/>
          </w:tcPr>
          <w:p w14:paraId="0CF0F742">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lang w:val="en-US" w:eastAsia="zh-CN"/>
              </w:rPr>
              <w:t>项目</w:t>
            </w:r>
            <w:r>
              <w:rPr>
                <w:rFonts w:hint="default" w:ascii="Times New Roman" w:hAnsi="Times New Roman" w:eastAsia="宋体" w:cs="Times New Roman"/>
                <w:b/>
                <w:color w:val="000000"/>
                <w:sz w:val="21"/>
                <w:szCs w:val="21"/>
                <w:highlight w:val="none"/>
              </w:rPr>
              <w:t>名称</w:t>
            </w:r>
          </w:p>
        </w:tc>
        <w:tc>
          <w:tcPr>
            <w:tcW w:w="5909" w:type="dxa"/>
            <w:noWrap w:val="0"/>
            <w:vAlign w:val="center"/>
          </w:tcPr>
          <w:p w14:paraId="351CFF92">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建设内容</w:t>
            </w:r>
          </w:p>
        </w:tc>
      </w:tr>
      <w:tr w14:paraId="4BF8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620C5542">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主体工程</w:t>
            </w:r>
          </w:p>
        </w:tc>
        <w:tc>
          <w:tcPr>
            <w:tcW w:w="372" w:type="dxa"/>
            <w:vMerge w:val="restart"/>
            <w:noWrap w:val="0"/>
            <w:vAlign w:val="center"/>
          </w:tcPr>
          <w:p w14:paraId="1B33395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val="en-US" w:eastAsia="zh-CN"/>
              </w:rPr>
              <w:t>区域排涝能力提升工程</w:t>
            </w:r>
          </w:p>
          <w:p w14:paraId="313CDB84">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lang w:eastAsia="zh-CN"/>
              </w:rPr>
            </w:pPr>
          </w:p>
        </w:tc>
        <w:tc>
          <w:tcPr>
            <w:tcW w:w="1268" w:type="dxa"/>
            <w:noWrap w:val="0"/>
            <w:vAlign w:val="center"/>
          </w:tcPr>
          <w:p w14:paraId="32A50C9E">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rPr>
              <w:t>西部新城排涝站</w:t>
            </w:r>
          </w:p>
        </w:tc>
        <w:tc>
          <w:tcPr>
            <w:tcW w:w="5909" w:type="dxa"/>
            <w:noWrap w:val="0"/>
            <w:vAlign w:val="center"/>
          </w:tcPr>
          <w:p w14:paraId="5F457AFD">
            <w:pPr>
              <w:keepNext w:val="0"/>
              <w:keepLines w:val="0"/>
              <w:pageBreakBefore w:val="0"/>
              <w:suppressLineNumbers w:val="0"/>
              <w:tabs>
                <w:tab w:val="left" w:pos="556"/>
              </w:tabs>
              <w:spacing w:before="0" w:beforeAutospacing="0" w:after="0" w:afterAutospacing="0" w:line="240" w:lineRule="auto"/>
              <w:ind w:left="0" w:right="0" w:firstLine="0"/>
              <w:jc w:val="both"/>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新建泵站1座，</w:t>
            </w:r>
            <w:r>
              <w:rPr>
                <w:rFonts w:hint="default" w:ascii="Times New Roman" w:hAnsi="Times New Roman" w:eastAsia="宋体" w:cs="Times New Roman"/>
                <w:color w:val="000000"/>
                <w:sz w:val="21"/>
                <w:szCs w:val="21"/>
              </w:rPr>
              <w:t>设计流量10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/s，选用4台立式轴流泵，单泵流量2.5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/s，总装机功率740kw。</w:t>
            </w:r>
          </w:p>
        </w:tc>
      </w:tr>
      <w:tr w14:paraId="6665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58D432D1">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53FF3845">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lang w:eastAsia="zh-CN"/>
              </w:rPr>
            </w:pPr>
          </w:p>
        </w:tc>
        <w:tc>
          <w:tcPr>
            <w:tcW w:w="1268" w:type="dxa"/>
            <w:noWrap w:val="0"/>
            <w:vAlign w:val="center"/>
          </w:tcPr>
          <w:p w14:paraId="7C3EC6B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rPr>
              <w:t>北侧边沟</w:t>
            </w:r>
          </w:p>
        </w:tc>
        <w:tc>
          <w:tcPr>
            <w:tcW w:w="5909" w:type="dxa"/>
            <w:noWrap w:val="0"/>
            <w:vAlign w:val="center"/>
          </w:tcPr>
          <w:p w14:paraId="1A43EB44">
            <w:pPr>
              <w:keepNext w:val="0"/>
              <w:keepLines w:val="0"/>
              <w:pageBreakBefore w:val="0"/>
              <w:suppressLineNumbers w:val="0"/>
              <w:tabs>
                <w:tab w:val="left" w:pos="556"/>
              </w:tabs>
              <w:spacing w:before="0" w:beforeAutospacing="0" w:after="0" w:afterAutospacing="0" w:line="240" w:lineRule="auto"/>
              <w:ind w:left="0" w:right="0" w:firstLine="0"/>
              <w:jc w:val="both"/>
              <w:outlineLvl w:val="9"/>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北侧边沟长3.7km，其中：矩形排涝沟长1.65km，净宽2m、深1.5m；梯形断面排涝沟长2.05km，底宽2m，口宽约8m，边坡1：1.5，采用联锁块护坡。</w:t>
            </w:r>
          </w:p>
        </w:tc>
      </w:tr>
      <w:tr w14:paraId="0C93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1ED7CCCE">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5F3BEBD8">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268" w:type="dxa"/>
            <w:noWrap w:val="0"/>
            <w:vAlign w:val="center"/>
          </w:tcPr>
          <w:p w14:paraId="622DE01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六佛路排涝沟</w:t>
            </w:r>
          </w:p>
        </w:tc>
        <w:tc>
          <w:tcPr>
            <w:tcW w:w="5909" w:type="dxa"/>
            <w:noWrap w:val="0"/>
            <w:vAlign w:val="center"/>
          </w:tcPr>
          <w:p w14:paraId="7CD4B47C">
            <w:pPr>
              <w:keepNext w:val="0"/>
              <w:keepLines w:val="0"/>
              <w:pageBreakBefore w:val="0"/>
              <w:suppressLineNumbers w:val="0"/>
              <w:tabs>
                <w:tab w:val="left" w:pos="556"/>
              </w:tabs>
              <w:spacing w:before="0" w:beforeAutospacing="0" w:after="0" w:afterAutospacing="0" w:line="240" w:lineRule="auto"/>
              <w:ind w:left="0" w:right="0" w:firstLine="0"/>
              <w:jc w:val="both"/>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改造排涝沟</w:t>
            </w:r>
            <w:r>
              <w:rPr>
                <w:rFonts w:hint="default" w:ascii="Times New Roman" w:hAnsi="Times New Roman" w:eastAsia="宋体" w:cs="Times New Roman"/>
                <w:color w:val="000000"/>
                <w:sz w:val="21"/>
                <w:szCs w:val="21"/>
                <w:highlight w:val="none"/>
                <w:lang w:val="en-US" w:eastAsia="zh-CN" w:bidi="ar-SA"/>
              </w:rPr>
              <w:t>2.58km，矩形断面，净宽2m、深1.5m。</w:t>
            </w:r>
          </w:p>
        </w:tc>
      </w:tr>
      <w:tr w14:paraId="78D3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4C551AB2">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1975E117">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268" w:type="dxa"/>
            <w:noWrap w:val="0"/>
            <w:vAlign w:val="center"/>
          </w:tcPr>
          <w:p w14:paraId="293F335C">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中心排涝沟</w:t>
            </w:r>
          </w:p>
        </w:tc>
        <w:tc>
          <w:tcPr>
            <w:tcW w:w="5909" w:type="dxa"/>
            <w:noWrap w:val="0"/>
            <w:vAlign w:val="center"/>
          </w:tcPr>
          <w:p w14:paraId="39112FC6">
            <w:pPr>
              <w:pStyle w:val="202"/>
              <w:keepNext w:val="0"/>
              <w:keepLines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改造排涝沟2.585k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highlight w:val="none"/>
                <w:lang w:val="en-US" w:eastAsia="zh-CN" w:bidi="ar-SA"/>
              </w:rPr>
              <w:t>，</w:t>
            </w:r>
            <w:r>
              <w:rPr>
                <w:rFonts w:hint="default" w:ascii="Times New Roman" w:hAnsi="Times New Roman" w:eastAsia="宋体" w:cs="Times New Roman"/>
                <w:color w:val="000000"/>
                <w:spacing w:val="-6"/>
                <w:sz w:val="21"/>
                <w:szCs w:val="21"/>
              </w:rPr>
              <w:t>矩形断面，分为规格</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4"/>
                <w:sz w:val="21"/>
                <w:szCs w:val="21"/>
              </w:rPr>
              <w:t>：净宽</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；规格</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pacing w:val="-15"/>
                <w:sz w:val="21"/>
                <w:szCs w:val="21"/>
              </w:rPr>
              <w:t>：净宽</w:t>
            </w:r>
            <w:r>
              <w:rPr>
                <w:rFonts w:hint="default" w:ascii="Times New Roman" w:hAnsi="Times New Roman" w:eastAsia="宋体" w:cs="Times New Roman"/>
                <w:color w:val="000000"/>
                <w:sz w:val="21"/>
                <w:szCs w:val="21"/>
              </w:rPr>
              <w:t>4.5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8"/>
                <w:sz w:val="21"/>
                <w:szCs w:val="21"/>
              </w:rPr>
              <w:t>、深</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1182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06E150E7">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2D8B0788">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268" w:type="dxa"/>
            <w:noWrap w:val="0"/>
            <w:vAlign w:val="center"/>
          </w:tcPr>
          <w:p w14:paraId="46CBAEA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项家院排涝沟</w:t>
            </w:r>
          </w:p>
        </w:tc>
        <w:tc>
          <w:tcPr>
            <w:tcW w:w="5909" w:type="dxa"/>
            <w:noWrap w:val="0"/>
            <w:vAlign w:val="center"/>
          </w:tcPr>
          <w:p w14:paraId="2E27A982">
            <w:pPr>
              <w:keepNext w:val="0"/>
              <w:keepLines w:val="0"/>
              <w:pageBreakBefore w:val="0"/>
              <w:suppressLineNumbers w:val="0"/>
              <w:tabs>
                <w:tab w:val="left" w:pos="556"/>
              </w:tabs>
              <w:spacing w:before="0" w:beforeAutospacing="0" w:after="0" w:afterAutospacing="0" w:line="240" w:lineRule="auto"/>
              <w:ind w:left="0" w:right="0" w:firstLine="0"/>
              <w:jc w:val="both"/>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改造排涝沟</w:t>
            </w:r>
            <w:r>
              <w:rPr>
                <w:rFonts w:hint="default" w:ascii="Times New Roman" w:hAnsi="Times New Roman" w:eastAsia="宋体" w:cs="Times New Roman"/>
                <w:color w:val="000000"/>
                <w:sz w:val="21"/>
                <w:szCs w:val="21"/>
                <w:highlight w:val="none"/>
                <w:lang w:val="en-US" w:eastAsia="zh-CN" w:bidi="ar-SA"/>
              </w:rPr>
              <w:t>1.2km，梯形断面，底宽2m，口宽约6~8m，边坡1：1.5，采用联锁块护坡。</w:t>
            </w:r>
          </w:p>
        </w:tc>
      </w:tr>
      <w:tr w14:paraId="43E2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1B0BDECF">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0C4CA3B3">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268" w:type="dxa"/>
            <w:noWrap w:val="0"/>
            <w:vAlign w:val="center"/>
          </w:tcPr>
          <w:p w14:paraId="4E96D71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戴家河排涝片</w:t>
            </w:r>
          </w:p>
        </w:tc>
        <w:tc>
          <w:tcPr>
            <w:tcW w:w="5909" w:type="dxa"/>
            <w:noWrap w:val="0"/>
            <w:vAlign w:val="center"/>
          </w:tcPr>
          <w:p w14:paraId="06E069A6">
            <w:pPr>
              <w:keepNext w:val="0"/>
              <w:keepLines w:val="0"/>
              <w:pageBreakBefore w:val="0"/>
              <w:suppressLineNumbers w:val="0"/>
              <w:tabs>
                <w:tab w:val="left" w:pos="556"/>
              </w:tabs>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拆建穿路涵13座，改造排涝沟总长1.425k</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。（1）拆建穿路涵共计13座，其中：S332穿路涵1座，尺寸3×1.8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，长37</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；1#、2#、3#穿路涵3座，尺寸3×1.8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，长9</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；4#穿路涵1座，尺寸3×3.8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，长7.3</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。另拆建穿路管涵8座，管径0.5</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。（2）拆建1#排涝沟135</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，尺寸1.5×1.5</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；新建2#排涝沟630</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，尺寸2×1.8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；清淤护砌3#排涝沟630</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；新建4#排涝沟30</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，尺寸4×1.8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。（4#排涝沟与3#穿路涵衔接）</w:t>
            </w:r>
          </w:p>
        </w:tc>
      </w:tr>
      <w:tr w14:paraId="6956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331208DF">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restart"/>
            <w:noWrap w:val="0"/>
            <w:vAlign w:val="center"/>
          </w:tcPr>
          <w:p w14:paraId="25D8B8D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城区排涝通道整治工程</w:t>
            </w:r>
          </w:p>
        </w:tc>
        <w:tc>
          <w:tcPr>
            <w:tcW w:w="1268" w:type="dxa"/>
            <w:noWrap w:val="0"/>
            <w:vAlign w:val="center"/>
          </w:tcPr>
          <w:p w14:paraId="580AF46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幽芳河排涝通道整治</w:t>
            </w:r>
          </w:p>
        </w:tc>
        <w:tc>
          <w:tcPr>
            <w:tcW w:w="5909" w:type="dxa"/>
            <w:noWrap w:val="0"/>
            <w:vAlign w:val="center"/>
          </w:tcPr>
          <w:p w14:paraId="4D26032D">
            <w:pPr>
              <w:keepNext w:val="0"/>
              <w:keepLines w:val="0"/>
              <w:pageBreakBefore w:val="0"/>
              <w:suppressLineNumbers w:val="0"/>
              <w:tabs>
                <w:tab w:val="left" w:pos="556"/>
              </w:tabs>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东石门水库~高庙河，长6.36k</w:t>
            </w:r>
            <w:r>
              <w:rPr>
                <w:rFonts w:hint="default" w:ascii="Times New Roman" w:hAnsi="Times New Roman" w:eastAsia="宋体" w:cs="Times New Roman"/>
                <w:color w:val="000000"/>
                <w:sz w:val="21"/>
                <w:szCs w:val="21"/>
                <w:lang w:eastAsia="zh-CN"/>
              </w:rPr>
              <w:t>m；河道疏拓6.36km，防洪达标2.4km，护岸加固12.72km，拆（新）建蓄水建筑物7座，改造防汛道路1.8km。</w:t>
            </w:r>
          </w:p>
        </w:tc>
      </w:tr>
      <w:tr w14:paraId="29A5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7B8A27F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5904E751">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lang w:val="en-US" w:eastAsia="zh-CN"/>
              </w:rPr>
            </w:pPr>
          </w:p>
        </w:tc>
        <w:tc>
          <w:tcPr>
            <w:tcW w:w="1268" w:type="dxa"/>
            <w:noWrap w:val="0"/>
            <w:vAlign w:val="center"/>
          </w:tcPr>
          <w:p w14:paraId="3C60E4F7">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高庙河排涝通道整治</w:t>
            </w:r>
          </w:p>
        </w:tc>
        <w:tc>
          <w:tcPr>
            <w:tcW w:w="5909" w:type="dxa"/>
            <w:noWrap w:val="0"/>
            <w:vAlign w:val="center"/>
          </w:tcPr>
          <w:p w14:paraId="76E6231E">
            <w:pPr>
              <w:keepNext w:val="0"/>
              <w:keepLines w:val="0"/>
              <w:pageBreakBefore w:val="0"/>
              <w:suppressLineNumbers w:val="0"/>
              <w:tabs>
                <w:tab w:val="left" w:pos="556"/>
              </w:tabs>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牛角冲水库~东淠河，长5.65k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新建护岸7.22k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，石笼固脚3.19k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，拆（新）建蓄水建筑物4座，新建巡查便道0.525k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，新建防洪墙0.8k</w:t>
            </w:r>
            <w:r>
              <w:rPr>
                <w:rFonts w:hint="default" w:ascii="Times New Roman" w:hAnsi="Times New Roman" w:eastAsia="宋体" w:cs="Times New Roman"/>
                <w:color w:val="000000"/>
                <w:sz w:val="21"/>
                <w:szCs w:val="21"/>
                <w:lang w:eastAsia="zh-CN"/>
              </w:rPr>
              <w:t>m</w:t>
            </w:r>
          </w:p>
        </w:tc>
      </w:tr>
      <w:tr w14:paraId="52F3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38C5575D">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6B3DCDDF">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268" w:type="dxa"/>
            <w:noWrap w:val="0"/>
            <w:vAlign w:val="center"/>
          </w:tcPr>
          <w:p w14:paraId="0AB5189F">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柳林河排涝通道整治</w:t>
            </w:r>
          </w:p>
        </w:tc>
        <w:tc>
          <w:tcPr>
            <w:tcW w:w="5909" w:type="dxa"/>
            <w:noWrap w:val="0"/>
            <w:vAlign w:val="center"/>
          </w:tcPr>
          <w:p w14:paraId="1B1F2F26">
            <w:pPr>
              <w:keepNext w:val="0"/>
              <w:keepLines w:val="0"/>
              <w:pageBreakBefore w:val="0"/>
              <w:suppressLineNumbers w:val="0"/>
              <w:tabs>
                <w:tab w:val="left" w:pos="556"/>
              </w:tabs>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团结水库~东淠河，长11.1k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3.415k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6"/>
                <w:sz w:val="21"/>
                <w:szCs w:val="21"/>
              </w:rPr>
              <w:t>、护</w:t>
            </w:r>
            <w:r>
              <w:rPr>
                <w:rFonts w:hint="default" w:ascii="Times New Roman" w:hAnsi="Times New Roman" w:eastAsia="宋体" w:cs="Times New Roman"/>
                <w:color w:val="000000"/>
                <w:spacing w:val="-28"/>
                <w:sz w:val="21"/>
                <w:szCs w:val="21"/>
              </w:rPr>
              <w:t>坡</w:t>
            </w:r>
            <w:r>
              <w:rPr>
                <w:rFonts w:hint="default" w:ascii="Times New Roman" w:hAnsi="Times New Roman" w:eastAsia="宋体" w:cs="Times New Roman"/>
                <w:color w:val="000000"/>
                <w:sz w:val="21"/>
                <w:szCs w:val="21"/>
              </w:rPr>
              <w:t>5.28k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，石笼固脚9.19k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，堤防封闭300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，加固拦河坝2座，拆建防洪闸1座，拆建（加固）排涝涵5座，堤顶防汛道路白改黑长7.2k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，水毁段修复16处。</w:t>
            </w:r>
          </w:p>
        </w:tc>
      </w:tr>
      <w:tr w14:paraId="516E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2899A284">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6C233374">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268" w:type="dxa"/>
            <w:noWrap w:val="0"/>
            <w:vAlign w:val="center"/>
          </w:tcPr>
          <w:p w14:paraId="27DE137E">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新店河排涝通道整治</w:t>
            </w:r>
          </w:p>
        </w:tc>
        <w:tc>
          <w:tcPr>
            <w:tcW w:w="5909" w:type="dxa"/>
            <w:noWrap w:val="0"/>
            <w:vAlign w:val="center"/>
          </w:tcPr>
          <w:p w14:paraId="28DF7EA7">
            <w:pPr>
              <w:keepNext w:val="0"/>
              <w:keepLines w:val="0"/>
              <w:pageBreakBefore w:val="0"/>
              <w:suppressLineNumbers w:val="0"/>
              <w:tabs>
                <w:tab w:val="left" w:pos="556"/>
              </w:tabs>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印墩村~入戴家河河口，长2.51k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2.106k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，现</w:t>
            </w:r>
            <w:r>
              <w:rPr>
                <w:rFonts w:hint="default" w:ascii="Times New Roman" w:hAnsi="Times New Roman" w:eastAsia="宋体" w:cs="Times New Roman"/>
                <w:color w:val="000000"/>
                <w:spacing w:val="-11"/>
                <w:sz w:val="21"/>
                <w:szCs w:val="21"/>
              </w:rPr>
              <w:t>状护岸改造</w:t>
            </w:r>
            <w:r>
              <w:rPr>
                <w:rFonts w:hint="default" w:ascii="Times New Roman" w:hAnsi="Times New Roman" w:eastAsia="宋体" w:cs="Times New Roman"/>
                <w:color w:val="000000"/>
                <w:sz w:val="21"/>
                <w:szCs w:val="21"/>
              </w:rPr>
              <w:t>0.195k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1"/>
                <w:sz w:val="21"/>
                <w:szCs w:val="21"/>
              </w:rPr>
              <w:t>河道疏浚</w:t>
            </w:r>
            <w:r>
              <w:rPr>
                <w:rFonts w:hint="default" w:ascii="Times New Roman" w:hAnsi="Times New Roman" w:eastAsia="宋体" w:cs="Times New Roman"/>
                <w:color w:val="000000"/>
                <w:sz w:val="21"/>
                <w:szCs w:val="21"/>
              </w:rPr>
              <w:t>0.7k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w:t>
            </w:r>
            <w:r>
              <w:rPr>
                <w:rFonts w:hint="default" w:ascii="Times New Roman" w:hAnsi="Times New Roman" w:eastAsia="宋体" w:cs="Times New Roman"/>
                <w:color w:val="000000"/>
                <w:spacing w:val="-12"/>
                <w:sz w:val="21"/>
                <w:szCs w:val="21"/>
              </w:rPr>
              <w:t>建拦河坝</w:t>
            </w:r>
            <w:r>
              <w:rPr>
                <w:rFonts w:hint="default" w:ascii="Times New Roman" w:hAnsi="Times New Roman" w:eastAsia="宋体" w:cs="Times New Roman"/>
                <w:color w:val="000000"/>
                <w:sz w:val="21"/>
                <w:szCs w:val="21"/>
              </w:rPr>
              <w:t>5座，</w:t>
            </w:r>
            <w:r>
              <w:rPr>
                <w:rFonts w:hint="default" w:ascii="Times New Roman" w:hAnsi="Times New Roman" w:eastAsia="宋体" w:cs="Times New Roman"/>
                <w:color w:val="000000"/>
                <w:spacing w:val="-10"/>
                <w:sz w:val="21"/>
                <w:szCs w:val="21"/>
              </w:rPr>
              <w:t>加固拦河坝</w:t>
            </w:r>
            <w:r>
              <w:rPr>
                <w:rFonts w:hint="default" w:ascii="Times New Roman" w:hAnsi="Times New Roman" w:eastAsia="宋体" w:cs="Times New Roman"/>
                <w:color w:val="000000"/>
                <w:sz w:val="21"/>
                <w:szCs w:val="21"/>
              </w:rPr>
              <w:t>1座，拆建漫水桥1座（改建为桥涵）。</w:t>
            </w:r>
          </w:p>
        </w:tc>
      </w:tr>
      <w:tr w14:paraId="4C7B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7559C4B7">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restart"/>
            <w:noWrap w:val="0"/>
            <w:vAlign w:val="center"/>
          </w:tcPr>
          <w:p w14:paraId="4531EB4F">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排水管网改造工程</w:t>
            </w:r>
          </w:p>
        </w:tc>
        <w:tc>
          <w:tcPr>
            <w:tcW w:w="1268" w:type="dxa"/>
            <w:noWrap w:val="0"/>
            <w:vAlign w:val="center"/>
          </w:tcPr>
          <w:p w14:paraId="11A5BA50">
            <w:pPr>
              <w:pStyle w:val="202"/>
              <w:keepNext w:val="0"/>
              <w:keepLines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幽芳河、柳林河片区排水管网新建工程</w:t>
            </w:r>
          </w:p>
        </w:tc>
        <w:tc>
          <w:tcPr>
            <w:tcW w:w="5909" w:type="dxa"/>
            <w:noWrap w:val="0"/>
            <w:vAlign w:val="center"/>
          </w:tcPr>
          <w:p w14:paraId="64F23F3B">
            <w:pPr>
              <w:keepNext w:val="0"/>
              <w:keepLines w:val="0"/>
              <w:pageBreakBefore w:val="0"/>
              <w:suppressLineNumbers w:val="0"/>
              <w:tabs>
                <w:tab w:val="left" w:pos="556"/>
              </w:tabs>
              <w:spacing w:before="0" w:beforeAutospacing="0" w:after="0" w:afterAutospacing="0" w:line="240" w:lineRule="auto"/>
              <w:ind w:left="0" w:right="0" w:firstLine="0"/>
              <w:jc w:val="both"/>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东石门社区、柳林河西片（柳林河左岸堤后）</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排水管网总长19.34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，其中：幽芳河排水管网约13.74k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，设检查井270座，提升泵站1座。柳林河片区排水管网约5.6k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，设检查井127座。</w:t>
            </w:r>
          </w:p>
        </w:tc>
      </w:tr>
      <w:tr w14:paraId="1EDA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502E0DF4">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1846CFCD">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lang w:val="en-US" w:eastAsia="zh-CN"/>
              </w:rPr>
            </w:pPr>
          </w:p>
        </w:tc>
        <w:tc>
          <w:tcPr>
            <w:tcW w:w="1268" w:type="dxa"/>
            <w:noWrap w:val="0"/>
            <w:vAlign w:val="center"/>
          </w:tcPr>
          <w:p w14:paraId="0A7C586A">
            <w:pPr>
              <w:pStyle w:val="202"/>
              <w:keepNext w:val="0"/>
              <w:keepLines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南岳花都片排水管网新建工程</w:t>
            </w:r>
          </w:p>
        </w:tc>
        <w:tc>
          <w:tcPr>
            <w:tcW w:w="5909" w:type="dxa"/>
            <w:noWrap w:val="0"/>
            <w:vAlign w:val="center"/>
          </w:tcPr>
          <w:p w14:paraId="2C148132">
            <w:pPr>
              <w:keepNext w:val="0"/>
              <w:keepLines w:val="0"/>
              <w:pageBreakBefore w:val="0"/>
              <w:suppressLineNumbers w:val="0"/>
              <w:tabs>
                <w:tab w:val="left" w:pos="556"/>
              </w:tabs>
              <w:spacing w:before="0" w:beforeAutospacing="0" w:after="0" w:afterAutospacing="0" w:line="240" w:lineRule="auto"/>
              <w:ind w:left="0" w:right="0" w:firstLine="0"/>
              <w:jc w:val="both"/>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南岳花都小区西侧绿地</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排水管网约460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，检查井7座。</w:t>
            </w:r>
          </w:p>
        </w:tc>
      </w:tr>
      <w:tr w14:paraId="3D38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7DD6F741">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372" w:type="dxa"/>
            <w:vMerge w:val="continue"/>
            <w:noWrap w:val="0"/>
            <w:vAlign w:val="center"/>
          </w:tcPr>
          <w:p w14:paraId="70394D7E">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268" w:type="dxa"/>
            <w:noWrap w:val="0"/>
            <w:vAlign w:val="center"/>
          </w:tcPr>
          <w:p w14:paraId="22595D4E">
            <w:pPr>
              <w:pStyle w:val="202"/>
              <w:keepNext w:val="0"/>
              <w:keepLines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衡山工业园片排水管网新建工程</w:t>
            </w:r>
          </w:p>
        </w:tc>
        <w:tc>
          <w:tcPr>
            <w:tcW w:w="5909" w:type="dxa"/>
            <w:noWrap w:val="0"/>
            <w:vAlign w:val="center"/>
          </w:tcPr>
          <w:p w14:paraId="3E3C96D3">
            <w:pPr>
              <w:keepNext w:val="0"/>
              <w:keepLines w:val="0"/>
              <w:pageBreakBefore w:val="0"/>
              <w:suppressLineNumbers w:val="0"/>
              <w:tabs>
                <w:tab w:val="left" w:pos="556"/>
              </w:tabs>
              <w:spacing w:before="0" w:beforeAutospacing="0" w:after="0" w:afterAutospacing="0" w:line="240" w:lineRule="auto"/>
              <w:ind w:left="0" w:right="0" w:firstLine="0"/>
              <w:jc w:val="center"/>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衡山工业园</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排水管网约11k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，设检查井约214座。</w:t>
            </w:r>
          </w:p>
        </w:tc>
      </w:tr>
      <w:tr w14:paraId="19D0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0D1544C7">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临时工程</w:t>
            </w:r>
          </w:p>
        </w:tc>
        <w:tc>
          <w:tcPr>
            <w:tcW w:w="1640" w:type="dxa"/>
            <w:gridSpan w:val="2"/>
            <w:noWrap w:val="0"/>
            <w:vAlign w:val="center"/>
          </w:tcPr>
          <w:p w14:paraId="0C692A5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施工临时道路</w:t>
            </w:r>
          </w:p>
        </w:tc>
        <w:tc>
          <w:tcPr>
            <w:tcW w:w="5909" w:type="dxa"/>
            <w:noWrap w:val="0"/>
            <w:vAlign w:val="center"/>
          </w:tcPr>
          <w:p w14:paraId="01B6B4BE">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西部新城排涝站工程站址处有防汛道路相连，城区排涝通道整治工程和排水管新建工程中，工程沿线均有市政道路联通，场内交通便利。项目仅局部要修建临时道路便于材料和机械进场。</w:t>
            </w:r>
          </w:p>
        </w:tc>
      </w:tr>
      <w:tr w14:paraId="79A6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7784CA7F">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1640" w:type="dxa"/>
            <w:gridSpan w:val="2"/>
            <w:noWrap w:val="0"/>
            <w:vAlign w:val="center"/>
          </w:tcPr>
          <w:p w14:paraId="24312688">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临时施工区</w:t>
            </w:r>
          </w:p>
        </w:tc>
        <w:tc>
          <w:tcPr>
            <w:tcW w:w="5909" w:type="dxa"/>
            <w:noWrap w:val="0"/>
            <w:vAlign w:val="center"/>
          </w:tcPr>
          <w:p w14:paraId="45D4AE49">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本项目</w:t>
            </w:r>
            <w:r>
              <w:rPr>
                <w:rFonts w:hint="default" w:ascii="Times New Roman" w:hAnsi="Times New Roman" w:eastAsia="宋体" w:cs="Times New Roman"/>
                <w:bCs/>
                <w:color w:val="000000"/>
                <w:sz w:val="21"/>
                <w:szCs w:val="21"/>
                <w:highlight w:val="none"/>
                <w:lang w:eastAsia="zh-CN"/>
              </w:rPr>
              <w:t>不设</w:t>
            </w:r>
            <w:r>
              <w:rPr>
                <w:rFonts w:hint="default" w:ascii="Times New Roman" w:hAnsi="Times New Roman" w:eastAsia="宋体" w:cs="Times New Roman"/>
                <w:color w:val="000000"/>
                <w:sz w:val="21"/>
                <w:szCs w:val="21"/>
                <w:highlight w:val="none"/>
                <w:lang w:bidi="ar"/>
              </w:rPr>
              <w:t>施工营地</w:t>
            </w:r>
            <w:r>
              <w:rPr>
                <w:rFonts w:hint="default" w:ascii="Times New Roman" w:hAnsi="Times New Roman" w:eastAsia="宋体" w:cs="Times New Roman"/>
                <w:bCs/>
                <w:color w:val="000000"/>
                <w:sz w:val="21"/>
                <w:szCs w:val="21"/>
                <w:highlight w:val="none"/>
              </w:rPr>
              <w:t>；项目施工期较短，施工期施工人员依托周边村庄居住</w:t>
            </w:r>
            <w:r>
              <w:rPr>
                <w:rFonts w:hint="default" w:ascii="Times New Roman" w:hAnsi="Times New Roman" w:eastAsia="宋体" w:cs="Times New Roman"/>
                <w:bCs/>
                <w:color w:val="000000"/>
                <w:sz w:val="21"/>
                <w:szCs w:val="21"/>
                <w:highlight w:val="none"/>
                <w:lang w:val="en-US" w:eastAsia="zh-CN"/>
              </w:rPr>
              <w:t>；施工结束后对临时施工区进行土地平整</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播撒草籽</w:t>
            </w:r>
            <w:r>
              <w:rPr>
                <w:rFonts w:hint="default" w:ascii="Times New Roman" w:hAnsi="Times New Roman" w:eastAsia="宋体" w:cs="Times New Roman"/>
                <w:bCs/>
                <w:color w:val="000000"/>
                <w:sz w:val="21"/>
                <w:szCs w:val="21"/>
                <w:highlight w:val="none"/>
                <w:lang w:val="en-US" w:eastAsia="zh-CN"/>
              </w:rPr>
              <w:t>，施工过程中采取洒水降尘、彩钢板拦挡等措施。</w:t>
            </w:r>
          </w:p>
        </w:tc>
      </w:tr>
      <w:tr w14:paraId="69D3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466207EC">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1640" w:type="dxa"/>
            <w:gridSpan w:val="2"/>
            <w:noWrap w:val="0"/>
            <w:vAlign w:val="center"/>
          </w:tcPr>
          <w:p w14:paraId="42C235A0">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eastAsia="zh-CN"/>
              </w:rPr>
              <w:t>临时堆土场</w:t>
            </w:r>
          </w:p>
        </w:tc>
        <w:tc>
          <w:tcPr>
            <w:tcW w:w="5909" w:type="dxa"/>
            <w:noWrap w:val="0"/>
            <w:vAlign w:val="center"/>
          </w:tcPr>
          <w:p w14:paraId="129929AF">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本工程部分泵站主泵房全年施工，涉水工作面选择枯水期施工。考虑工程开挖与填筑时序的不匹配，在泵站施工区附近设置临时堆土场，暂存用于后续填筑的基坑开挖土石料。</w:t>
            </w:r>
            <w:r>
              <w:rPr>
                <w:rFonts w:hint="eastAsia" w:cs="Times New Roman"/>
                <w:bCs/>
                <w:color w:val="000000"/>
                <w:sz w:val="21"/>
                <w:szCs w:val="21"/>
                <w:highlight w:val="none"/>
                <w:lang w:val="en-US" w:eastAsia="zh-CN"/>
              </w:rPr>
              <w:t>河道疏浚、清淤及</w:t>
            </w:r>
            <w:r>
              <w:rPr>
                <w:rFonts w:hint="eastAsia" w:ascii="Times New Roman" w:hAnsi="Times New Roman" w:eastAsia="宋体" w:cs="Times New Roman"/>
                <w:bCs/>
                <w:color w:val="000000"/>
                <w:sz w:val="21"/>
                <w:szCs w:val="21"/>
                <w:highlight w:val="none"/>
                <w:lang w:val="en-US" w:eastAsia="zh-CN"/>
              </w:rPr>
              <w:t>余方土由县矿产公司统一运输安置</w:t>
            </w:r>
            <w:r>
              <w:rPr>
                <w:rFonts w:hint="default" w:ascii="Times New Roman" w:hAnsi="Times New Roman" w:eastAsia="宋体" w:cs="Times New Roman"/>
                <w:bCs/>
                <w:color w:val="000000"/>
                <w:sz w:val="21"/>
                <w:szCs w:val="21"/>
                <w:highlight w:val="none"/>
                <w:lang w:val="en-US" w:eastAsia="zh-CN"/>
              </w:rPr>
              <w:t>。</w:t>
            </w:r>
          </w:p>
        </w:tc>
      </w:tr>
      <w:tr w14:paraId="69B4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23AE66A5">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公用工程</w:t>
            </w:r>
          </w:p>
        </w:tc>
        <w:tc>
          <w:tcPr>
            <w:tcW w:w="1640" w:type="dxa"/>
            <w:gridSpan w:val="2"/>
            <w:noWrap w:val="0"/>
            <w:vAlign w:val="center"/>
          </w:tcPr>
          <w:p w14:paraId="3FF7A0A8">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给水</w:t>
            </w:r>
          </w:p>
        </w:tc>
        <w:tc>
          <w:tcPr>
            <w:tcW w:w="5909" w:type="dxa"/>
            <w:noWrap w:val="0"/>
            <w:vAlign w:val="center"/>
          </w:tcPr>
          <w:p w14:paraId="0B51FD84">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施工用水就近取用</w:t>
            </w:r>
          </w:p>
        </w:tc>
      </w:tr>
      <w:tr w14:paraId="5823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58F1FDF8">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1640" w:type="dxa"/>
            <w:gridSpan w:val="2"/>
            <w:noWrap w:val="0"/>
            <w:vAlign w:val="center"/>
          </w:tcPr>
          <w:p w14:paraId="4E110C65">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排水</w:t>
            </w:r>
          </w:p>
        </w:tc>
        <w:tc>
          <w:tcPr>
            <w:tcW w:w="5909" w:type="dxa"/>
            <w:noWrap w:val="0"/>
            <w:vAlign w:val="center"/>
          </w:tcPr>
          <w:p w14:paraId="240364BC">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color w:val="000000"/>
                <w:sz w:val="21"/>
                <w:szCs w:val="21"/>
                <w:highlight w:val="none"/>
              </w:rPr>
              <w:t>施工废水沉淀后用于场地泼洒抑尘；生活污水排放依托</w:t>
            </w:r>
            <w:r>
              <w:rPr>
                <w:rFonts w:hint="default" w:ascii="Times New Roman" w:hAnsi="Times New Roman" w:eastAsia="宋体" w:cs="Times New Roman"/>
                <w:color w:val="000000"/>
                <w:sz w:val="21"/>
                <w:szCs w:val="21"/>
                <w:highlight w:val="none"/>
                <w:lang w:val="en-US" w:eastAsia="zh-CN"/>
              </w:rPr>
              <w:t>附近</w:t>
            </w:r>
            <w:r>
              <w:rPr>
                <w:rFonts w:hint="default" w:ascii="Times New Roman" w:hAnsi="Times New Roman" w:eastAsia="宋体" w:cs="Times New Roman"/>
                <w:color w:val="000000"/>
                <w:sz w:val="21"/>
                <w:szCs w:val="21"/>
                <w:highlight w:val="none"/>
              </w:rPr>
              <w:t>租用民房</w:t>
            </w:r>
          </w:p>
        </w:tc>
      </w:tr>
      <w:tr w14:paraId="5CDD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4FBF8D23">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p>
        </w:tc>
        <w:tc>
          <w:tcPr>
            <w:tcW w:w="1640" w:type="dxa"/>
            <w:gridSpan w:val="2"/>
            <w:noWrap w:val="0"/>
            <w:vAlign w:val="center"/>
          </w:tcPr>
          <w:p w14:paraId="00FF3C57">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供电</w:t>
            </w:r>
          </w:p>
        </w:tc>
        <w:tc>
          <w:tcPr>
            <w:tcW w:w="5909" w:type="dxa"/>
            <w:noWrap w:val="0"/>
            <w:vAlign w:val="center"/>
          </w:tcPr>
          <w:p w14:paraId="19F5BA84">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工程用电负荷较小，可就近接用附近电网</w:t>
            </w:r>
          </w:p>
        </w:tc>
      </w:tr>
      <w:tr w14:paraId="0812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noWrap w:val="0"/>
            <w:vAlign w:val="center"/>
          </w:tcPr>
          <w:p w14:paraId="52FBE61C">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环保工程</w:t>
            </w:r>
          </w:p>
        </w:tc>
        <w:tc>
          <w:tcPr>
            <w:tcW w:w="1640" w:type="dxa"/>
            <w:gridSpan w:val="2"/>
            <w:noWrap w:val="0"/>
            <w:vAlign w:val="center"/>
          </w:tcPr>
          <w:p w14:paraId="158F59DB">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废气防治措施</w:t>
            </w:r>
          </w:p>
        </w:tc>
        <w:tc>
          <w:tcPr>
            <w:tcW w:w="5909" w:type="dxa"/>
            <w:noWrap w:val="0"/>
            <w:vAlign w:val="center"/>
          </w:tcPr>
          <w:p w14:paraId="4D394C11">
            <w:pPr>
              <w:keepNext w:val="0"/>
              <w:keepLines w:val="0"/>
              <w:pageBreakBefore w:val="0"/>
              <w:widowControl w:val="0"/>
              <w:suppressLineNumbers w:val="0"/>
              <w:spacing w:before="0" w:beforeAutospacing="0" w:after="0" w:afterAutospacing="0" w:line="240" w:lineRule="auto"/>
              <w:ind w:left="0" w:right="0" w:firstLine="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lang w:eastAsia="zh-CN"/>
              </w:rPr>
              <w:t>施工期</w:t>
            </w:r>
            <w:r>
              <w:rPr>
                <w:rFonts w:hint="default" w:ascii="Times New Roman" w:hAnsi="Times New Roman" w:eastAsia="宋体" w:cs="Times New Roman"/>
                <w:color w:val="000000"/>
                <w:lang w:eastAsia="zh-CN"/>
              </w:rPr>
              <w:t>：</w:t>
            </w:r>
            <w:r>
              <w:rPr>
                <w:rFonts w:hint="default" w:ascii="Times New Roman" w:hAnsi="Times New Roman" w:eastAsia="宋体" w:cs="Times New Roman"/>
                <w:color w:val="000000"/>
                <w:sz w:val="21"/>
                <w:szCs w:val="21"/>
              </w:rPr>
              <w:t>严格落实施工过程“六个百分百”中相关要求。沿施工现场四周连续设置施工围挡；施工现场出入口及现场内主要道路应进行混凝土硬化或铺设钢板；现场裸土应采取覆盖等措施，施工现场建筑材料和其他易飞扬的细颗粒建筑材料应密闭存放或采取密目网覆盖等措施；施工现场应采用机械喷雾与人工洒水相结合的方式有效控制施工扬尘；施工现场出入口应设置车辆冲洗设施，运输土石方、散装物料、建筑垃圾等车辆，密闭且冲洗后方可驶出施工现场，严禁车辆带泥上路。加强对施工机械、运输车辆的维修保养禁止以柴油为燃料的施工机械超负荷工作。</w:t>
            </w:r>
          </w:p>
          <w:p w14:paraId="34675F53">
            <w:pPr>
              <w:keepNext w:val="0"/>
              <w:keepLines w:val="0"/>
              <w:pageBreakBefore w:val="0"/>
              <w:suppressLineNumbers w:val="0"/>
              <w:spacing w:before="0" w:beforeAutospacing="0" w:after="0" w:afterAutospacing="0" w:line="240" w:lineRule="auto"/>
              <w:ind w:left="0" w:right="0" w:firstLine="0"/>
              <w:jc w:val="left"/>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
                <w:bCs/>
                <w:color w:val="000000"/>
                <w:sz w:val="21"/>
                <w:szCs w:val="21"/>
              </w:rPr>
              <w:t>运营期：</w:t>
            </w:r>
            <w:r>
              <w:rPr>
                <w:rFonts w:hint="default" w:ascii="Times New Roman" w:hAnsi="Times New Roman" w:eastAsia="宋体" w:cs="Times New Roman"/>
                <w:b w:val="0"/>
                <w:bCs w:val="0"/>
                <w:color w:val="000000"/>
                <w:sz w:val="21"/>
                <w:szCs w:val="21"/>
              </w:rPr>
              <w:t>项目区内无废气污染源</w:t>
            </w:r>
          </w:p>
        </w:tc>
      </w:tr>
      <w:tr w14:paraId="5998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7EFFCCD9">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640" w:type="dxa"/>
            <w:gridSpan w:val="2"/>
            <w:noWrap w:val="0"/>
            <w:vAlign w:val="center"/>
          </w:tcPr>
          <w:p w14:paraId="2A8AE206">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废水治理措施</w:t>
            </w:r>
          </w:p>
        </w:tc>
        <w:tc>
          <w:tcPr>
            <w:tcW w:w="5909" w:type="dxa"/>
            <w:noWrap w:val="0"/>
            <w:vAlign w:val="center"/>
          </w:tcPr>
          <w:p w14:paraId="02C2DDC1">
            <w:pPr>
              <w:keepNext w:val="0"/>
              <w:keepLines w:val="0"/>
              <w:pageBreakBefore w:val="0"/>
              <w:widowControl w:val="0"/>
              <w:suppressLineNumbers w:val="0"/>
              <w:spacing w:before="0" w:beforeAutospacing="0" w:after="0" w:afterAutospacing="0" w:line="240" w:lineRule="auto"/>
              <w:ind w:left="0" w:right="0" w:firstLine="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lang w:eastAsia="zh-CN"/>
              </w:rPr>
              <w:t>施工期：</w:t>
            </w:r>
            <w:r>
              <w:rPr>
                <w:rFonts w:hint="default" w:ascii="Times New Roman" w:hAnsi="Times New Roman" w:eastAsia="宋体" w:cs="Times New Roman"/>
                <w:color w:val="000000"/>
                <w:sz w:val="21"/>
                <w:szCs w:val="21"/>
              </w:rPr>
              <w:t>施工人员住宿全部通过就近租住民宅解决，生活污水经租住的民宅内的化粪池收集后用于农肥，不外排；车辆、设备冲洗废水经隔油、沉淀处理后回用于车辆冲洗、洒水降尘，不外排；</w:t>
            </w:r>
            <w:r>
              <w:rPr>
                <w:rFonts w:hint="default" w:ascii="Times New Roman" w:hAnsi="Times New Roman" w:eastAsia="宋体" w:cs="Times New Roman"/>
                <w:color w:val="000000"/>
                <w:sz w:val="21"/>
                <w:szCs w:val="21"/>
                <w:lang w:eastAsia="zh-CN"/>
              </w:rPr>
              <w:t>围堰及</w:t>
            </w:r>
            <w:r>
              <w:rPr>
                <w:rFonts w:hint="default" w:ascii="Times New Roman" w:hAnsi="Times New Roman" w:eastAsia="宋体" w:cs="Times New Roman"/>
                <w:color w:val="000000"/>
                <w:sz w:val="21"/>
                <w:szCs w:val="21"/>
              </w:rPr>
              <w:t>基坑废水经抽排至施工区沉淀池处理后回用于车辆冲洗、洒水降尘，不外排。</w:t>
            </w:r>
          </w:p>
          <w:p w14:paraId="7E9EC029">
            <w:pPr>
              <w:keepNext w:val="0"/>
              <w:keepLines w:val="0"/>
              <w:pageBreakBefore w:val="0"/>
              <w:suppressLineNumbers w:val="0"/>
              <w:spacing w:before="0" w:beforeAutospacing="0" w:after="0" w:afterAutospacing="0" w:line="240" w:lineRule="auto"/>
              <w:ind w:left="0" w:right="0" w:firstLine="0"/>
              <w:jc w:val="left"/>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
                <w:bCs/>
                <w:color w:val="000000"/>
                <w:sz w:val="21"/>
                <w:szCs w:val="21"/>
                <w:lang w:eastAsia="zh-CN"/>
              </w:rPr>
              <w:t>运营期：</w:t>
            </w:r>
            <w:r>
              <w:rPr>
                <w:rFonts w:hint="default" w:ascii="Times New Roman" w:hAnsi="Times New Roman" w:eastAsia="宋体" w:cs="Times New Roman"/>
                <w:color w:val="000000"/>
                <w:sz w:val="21"/>
                <w:szCs w:val="21"/>
                <w:lang w:val="en-US" w:eastAsia="zh-CN"/>
              </w:rPr>
              <w:t>本工程不设定点管理人员，运营期废水主要为收集的收集的沿河居民生活污水，除纳管的部分村庄外，较为集中的村庄采用集中污水处理，集中污水处理设施选用净化槽工艺；对于村庄较为分散的采用资源化利用工艺</w:t>
            </w:r>
            <w:r>
              <w:rPr>
                <w:rFonts w:hint="eastAsia" w:cs="Times New Roman"/>
                <w:color w:val="000000"/>
                <w:sz w:val="21"/>
                <w:szCs w:val="21"/>
                <w:lang w:val="en-US" w:eastAsia="zh-CN"/>
              </w:rPr>
              <w:t>。尾水</w:t>
            </w:r>
            <w:r>
              <w:rPr>
                <w:rFonts w:hint="default" w:ascii="Times New Roman" w:hAnsi="Times New Roman" w:eastAsia="宋体" w:cs="Times New Roman"/>
                <w:color w:val="000000"/>
                <w:sz w:val="21"/>
                <w:szCs w:val="21"/>
                <w:lang w:val="en-US" w:eastAsia="zh-CN"/>
              </w:rPr>
              <w:t>结合周边情况，可排入农灌沟进行农用回灌，或者进行林地漫灌。</w:t>
            </w:r>
          </w:p>
        </w:tc>
      </w:tr>
      <w:tr w14:paraId="0B45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5A2F6FDE">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640" w:type="dxa"/>
            <w:gridSpan w:val="2"/>
            <w:noWrap w:val="0"/>
            <w:vAlign w:val="center"/>
          </w:tcPr>
          <w:p w14:paraId="335C3C27">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噪声治理措施</w:t>
            </w:r>
          </w:p>
        </w:tc>
        <w:tc>
          <w:tcPr>
            <w:tcW w:w="5909" w:type="dxa"/>
            <w:noWrap w:val="0"/>
            <w:vAlign w:val="center"/>
          </w:tcPr>
          <w:p w14:paraId="63D10C58">
            <w:pPr>
              <w:keepNext w:val="0"/>
              <w:keepLines w:val="0"/>
              <w:pageBreakBefore w:val="0"/>
              <w:widowControl w:val="0"/>
              <w:suppressLineNumbers w:val="0"/>
              <w:spacing w:before="0" w:beforeAutospacing="0" w:after="0" w:afterAutospacing="0" w:line="240" w:lineRule="auto"/>
              <w:ind w:left="0" w:right="0" w:firstLine="0"/>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lang w:eastAsia="zh-CN"/>
              </w:rPr>
              <w:t>施工期：</w:t>
            </w:r>
            <w:r>
              <w:rPr>
                <w:rFonts w:hint="default" w:ascii="Times New Roman" w:hAnsi="Times New Roman" w:eastAsia="宋体" w:cs="Times New Roman"/>
                <w:color w:val="000000"/>
                <w:sz w:val="21"/>
                <w:szCs w:val="21"/>
              </w:rPr>
              <w:t>合理安排施工机械作业时间，禁止夜间施工，选用低噪声的机械设备，合理布局施工设备，采取基础减振等降噪措施，避免高噪声设备同时运行，施工机械等。明确施工噪声控制责任，对施工期间运输车辆，也应合理安排，限制车辆鸣笛等综合降噪措施。</w:t>
            </w:r>
          </w:p>
          <w:p w14:paraId="33164E58">
            <w:pPr>
              <w:keepNext w:val="0"/>
              <w:keepLines w:val="0"/>
              <w:pageBreakBefore w:val="0"/>
              <w:suppressLineNumbers w:val="0"/>
              <w:spacing w:before="0" w:beforeAutospacing="0" w:after="0" w:afterAutospacing="0" w:line="240" w:lineRule="auto"/>
              <w:ind w:left="0" w:right="0" w:firstLine="0"/>
              <w:jc w:val="left"/>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
                <w:bCs/>
                <w:color w:val="000000"/>
                <w:sz w:val="21"/>
                <w:szCs w:val="21"/>
                <w:lang w:eastAsia="zh-CN"/>
              </w:rPr>
              <w:t>运营期：</w:t>
            </w:r>
            <w:r>
              <w:rPr>
                <w:rFonts w:hint="default" w:ascii="Times New Roman" w:hAnsi="Times New Roman" w:eastAsia="宋体" w:cs="Times New Roman"/>
                <w:b w:val="0"/>
                <w:bCs w:val="0"/>
                <w:color w:val="000000"/>
                <w:sz w:val="21"/>
                <w:szCs w:val="21"/>
                <w:lang w:eastAsia="zh-CN"/>
              </w:rPr>
              <w:t>泵站</w:t>
            </w:r>
            <w:r>
              <w:rPr>
                <w:rFonts w:hint="default" w:ascii="Times New Roman" w:hAnsi="Times New Roman" w:eastAsia="宋体" w:cs="Times New Roman"/>
                <w:color w:val="000000"/>
                <w:sz w:val="21"/>
                <w:szCs w:val="21"/>
              </w:rPr>
              <w:t>优先选用低噪声设备，基础减震、加强机电设备维修及保养、距离衰减、</w:t>
            </w:r>
            <w:r>
              <w:rPr>
                <w:rFonts w:hint="default" w:ascii="Times New Roman" w:hAnsi="Times New Roman" w:eastAsia="宋体" w:cs="Times New Roman"/>
                <w:color w:val="000000"/>
                <w:sz w:val="21"/>
                <w:szCs w:val="21"/>
                <w:lang w:eastAsia="zh-CN"/>
              </w:rPr>
              <w:t>房屋</w:t>
            </w:r>
            <w:r>
              <w:rPr>
                <w:rFonts w:hint="default" w:ascii="Times New Roman" w:hAnsi="Times New Roman" w:eastAsia="宋体" w:cs="Times New Roman"/>
                <w:color w:val="000000"/>
                <w:sz w:val="21"/>
                <w:szCs w:val="21"/>
              </w:rPr>
              <w:t>隔声等措施。</w:t>
            </w:r>
          </w:p>
        </w:tc>
      </w:tr>
      <w:tr w14:paraId="0A58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6F7D6060">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640" w:type="dxa"/>
            <w:gridSpan w:val="2"/>
            <w:noWrap w:val="0"/>
            <w:vAlign w:val="center"/>
          </w:tcPr>
          <w:p w14:paraId="2F26ED42">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固废治理措施</w:t>
            </w:r>
          </w:p>
        </w:tc>
        <w:tc>
          <w:tcPr>
            <w:tcW w:w="5909" w:type="dxa"/>
            <w:noWrap w:val="0"/>
            <w:vAlign w:val="center"/>
          </w:tcPr>
          <w:p w14:paraId="74DCB075">
            <w:pPr>
              <w:keepNext w:val="0"/>
              <w:keepLines w:val="0"/>
              <w:pageBreakBefore w:val="0"/>
              <w:widowControl w:val="0"/>
              <w:suppressLineNumbers w:val="0"/>
              <w:spacing w:before="0" w:beforeAutospacing="0" w:after="0" w:afterAutospacing="0" w:line="240" w:lineRule="auto"/>
              <w:ind w:left="0" w:right="0" w:firstLine="0"/>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color w:val="000000"/>
                <w:sz w:val="21"/>
                <w:szCs w:val="21"/>
                <w:lang w:eastAsia="zh-CN"/>
              </w:rPr>
              <w:t>施工期：</w:t>
            </w:r>
            <w:r>
              <w:rPr>
                <w:rFonts w:hint="default" w:ascii="Times New Roman" w:hAnsi="Times New Roman" w:eastAsia="宋体" w:cs="Times New Roman"/>
                <w:color w:val="000000"/>
                <w:sz w:val="21"/>
                <w:szCs w:val="21"/>
                <w:highlight w:val="none"/>
              </w:rPr>
              <w:t>生活</w:t>
            </w:r>
            <w:r>
              <w:rPr>
                <w:rFonts w:hint="default" w:ascii="Times New Roman" w:hAnsi="Times New Roman" w:eastAsia="宋体" w:cs="Times New Roman"/>
                <w:color w:val="000000"/>
                <w:sz w:val="21"/>
                <w:szCs w:val="21"/>
                <w:highlight w:val="none"/>
                <w:lang w:eastAsia="zh-CN"/>
              </w:rPr>
              <w:t>垃圾</w:t>
            </w:r>
            <w:r>
              <w:rPr>
                <w:rFonts w:hint="default" w:ascii="Times New Roman" w:hAnsi="Times New Roman" w:eastAsia="宋体" w:cs="Times New Roman"/>
                <w:color w:val="000000"/>
                <w:sz w:val="21"/>
                <w:szCs w:val="21"/>
                <w:highlight w:val="none"/>
              </w:rPr>
              <w:t>采用垃圾桶集中收集后，委托环卫部门定期处理；具有回收利用价值建筑垃圾的尽可能回收利用，剩余建筑垃圾运至相关建筑垃圾处理单位综合利用；</w:t>
            </w:r>
            <w:r>
              <w:rPr>
                <w:rFonts w:hint="default" w:ascii="Times New Roman" w:hAnsi="Times New Roman" w:eastAsia="宋体" w:cs="Times New Roman"/>
                <w:color w:val="000000"/>
                <w:sz w:val="21"/>
                <w:szCs w:val="21"/>
                <w:highlight w:val="none"/>
                <w:lang w:eastAsia="zh-CN"/>
              </w:rPr>
              <w:t>本项目</w:t>
            </w:r>
            <w:r>
              <w:rPr>
                <w:rFonts w:hint="default" w:ascii="Times New Roman" w:hAnsi="Times New Roman" w:eastAsia="宋体" w:cs="Times New Roman"/>
                <w:color w:val="000000"/>
                <w:sz w:val="21"/>
                <w:szCs w:val="21"/>
                <w:highlight w:val="none"/>
                <w:lang w:val="en-US" w:eastAsia="zh-CN"/>
              </w:rPr>
              <w:t>余方土由县矿产公司统一运输安置</w:t>
            </w:r>
            <w:r>
              <w:rPr>
                <w:rFonts w:hint="default" w:ascii="Times New Roman" w:hAnsi="Times New Roman" w:eastAsia="宋体" w:cs="Times New Roman"/>
                <w:color w:val="000000"/>
                <w:sz w:val="21"/>
                <w:szCs w:val="21"/>
                <w:highlight w:val="none"/>
              </w:rPr>
              <w:t>。</w:t>
            </w:r>
          </w:p>
          <w:p w14:paraId="71215C30">
            <w:pPr>
              <w:keepNext w:val="0"/>
              <w:keepLines w:val="0"/>
              <w:pageBreakBefore w:val="0"/>
              <w:suppressLineNumbers w:val="0"/>
              <w:spacing w:before="0" w:beforeAutospacing="0" w:after="0" w:afterAutospacing="0" w:line="240" w:lineRule="auto"/>
              <w:ind w:left="0" w:right="0" w:firstLine="0"/>
              <w:jc w:val="left"/>
              <w:outlineLvl w:val="9"/>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eastAsia="zh-CN"/>
              </w:rPr>
              <w:t>运营期：</w:t>
            </w:r>
            <w:r>
              <w:rPr>
                <w:rFonts w:hint="default" w:ascii="Times New Roman" w:hAnsi="Times New Roman" w:eastAsia="宋体" w:cs="Times New Roman"/>
                <w:color w:val="000000"/>
                <w:sz w:val="21"/>
                <w:szCs w:val="21"/>
                <w:highlight w:val="none"/>
                <w:lang w:val="en-US" w:eastAsia="zh-CN"/>
              </w:rPr>
              <w:t>本工程不设定点管理人员，运营期无生活垃圾生</w:t>
            </w:r>
            <w:r>
              <w:rPr>
                <w:rFonts w:hint="default" w:ascii="Times New Roman" w:hAnsi="Times New Roman" w:eastAsia="宋体" w:cs="Times New Roman"/>
                <w:color w:val="000000"/>
                <w:sz w:val="21"/>
                <w:szCs w:val="21"/>
                <w:lang w:val="en-US" w:eastAsia="zh-CN"/>
              </w:rPr>
              <w:t>产；泵站拦截的垃圾量应打捞后由环卫部门运至垃圾填埋场处理；泵站、闸门检修产生的废矿物油及沾染物，按危险废物管理要求进行集中回收处理。</w:t>
            </w:r>
          </w:p>
        </w:tc>
      </w:tr>
      <w:tr w14:paraId="1E9B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noWrap w:val="0"/>
            <w:vAlign w:val="center"/>
          </w:tcPr>
          <w:p w14:paraId="3C0D1A50">
            <w:pPr>
              <w:keepNext w:val="0"/>
              <w:keepLines w:val="0"/>
              <w:pageBreakBefore w:val="0"/>
              <w:widowControl/>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p>
        </w:tc>
        <w:tc>
          <w:tcPr>
            <w:tcW w:w="1640" w:type="dxa"/>
            <w:gridSpan w:val="2"/>
            <w:noWrap w:val="0"/>
            <w:vAlign w:val="center"/>
          </w:tcPr>
          <w:p w14:paraId="666FC585">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生态恢复、水土保持措施</w:t>
            </w:r>
          </w:p>
        </w:tc>
        <w:tc>
          <w:tcPr>
            <w:tcW w:w="5909" w:type="dxa"/>
            <w:noWrap w:val="0"/>
            <w:vAlign w:val="center"/>
          </w:tcPr>
          <w:p w14:paraId="32BF40BB">
            <w:pPr>
              <w:keepNext w:val="0"/>
              <w:keepLines w:val="0"/>
              <w:pageBreakBefore w:val="0"/>
              <w:suppressLineNumbers w:val="0"/>
              <w:spacing w:before="0" w:beforeAutospacing="0" w:after="0" w:afterAutospacing="0" w:line="240" w:lineRule="auto"/>
              <w:ind w:left="0" w:right="0" w:firstLine="0"/>
              <w:jc w:val="center"/>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施工结束后，及时对临时占地区域进行植被恢复或复垦。</w:t>
            </w:r>
          </w:p>
        </w:tc>
      </w:tr>
    </w:tbl>
    <w:p w14:paraId="64E30984">
      <w:pPr>
        <w:outlineLvl w:val="9"/>
        <w:rPr>
          <w:rFonts w:hint="eastAsia"/>
          <w:color w:val="000000"/>
          <w:lang w:val="en-US" w:eastAsia="zh-CN"/>
        </w:rPr>
      </w:pPr>
    </w:p>
    <w:p w14:paraId="52DA8185">
      <w:pPr>
        <w:ind w:left="0" w:firstLine="0"/>
        <w:jc w:val="both"/>
        <w:rPr>
          <w:rFonts w:hint="eastAsia"/>
          <w:color w:val="000000"/>
          <w:lang w:eastAsia="zh-CN"/>
        </w:rPr>
      </w:pPr>
    </w:p>
    <w:p w14:paraId="5F3779B3">
      <w:pPr>
        <w:pStyle w:val="4"/>
        <w:rPr>
          <w:rFonts w:hint="eastAsia"/>
          <w:color w:val="000000"/>
          <w:lang w:val="en-US" w:eastAsia="zh-CN"/>
        </w:rPr>
      </w:pPr>
      <w:bookmarkStart w:id="68" w:name="_Toc3579"/>
      <w:bookmarkStart w:id="69" w:name="_Toc14412"/>
      <w:r>
        <w:rPr>
          <w:rStyle w:val="222"/>
          <w:rFonts w:hint="eastAsia"/>
          <w:b/>
          <w:color w:val="000000"/>
          <w:lang w:val="en-US" w:eastAsia="zh-CN"/>
        </w:rPr>
        <w:t>2.2 施</w:t>
      </w:r>
      <w:r>
        <w:rPr>
          <w:rFonts w:hint="eastAsia"/>
          <w:color w:val="000000"/>
          <w:lang w:val="en-US" w:eastAsia="zh-CN"/>
        </w:rPr>
        <w:t>工组织设计</w:t>
      </w:r>
      <w:bookmarkEnd w:id="68"/>
      <w:bookmarkEnd w:id="69"/>
    </w:p>
    <w:p w14:paraId="52D2ED6F">
      <w:pPr>
        <w:pStyle w:val="5"/>
        <w:rPr>
          <w:rFonts w:hint="eastAsia"/>
          <w:color w:val="000000"/>
          <w:lang w:val="en-US" w:eastAsia="zh-CN"/>
        </w:rPr>
      </w:pPr>
      <w:bookmarkStart w:id="70" w:name="_Toc10087"/>
      <w:r>
        <w:rPr>
          <w:rFonts w:hint="eastAsia"/>
          <w:color w:val="000000"/>
          <w:lang w:val="en-US" w:eastAsia="zh-CN"/>
        </w:rPr>
        <w:t>2.2.1工程条件</w:t>
      </w:r>
      <w:bookmarkEnd w:id="70"/>
    </w:p>
    <w:p w14:paraId="7C1A5F5F">
      <w:pPr>
        <w:numPr>
          <w:ilvl w:val="0"/>
          <w:numId w:val="0"/>
        </w:numPr>
        <w:rPr>
          <w:rFonts w:hint="eastAsia" w:ascii="Times New Roman" w:hAnsi="Times New Roman" w:eastAsia="宋体" w:cs="Times New Roman"/>
          <w:color w:val="000000"/>
          <w:lang w:val="en-US" w:eastAsia="zh-CN"/>
        </w:rPr>
      </w:pPr>
      <w:r>
        <w:rPr>
          <w:rFonts w:hint="eastAsia" w:ascii="Times New Roman" w:hAnsi="Times New Roman" w:eastAsia="宋体" w:cs="Times New Roman"/>
          <w:b/>
          <w:bCs/>
          <w:color w:val="000000"/>
          <w:lang w:val="en-US" w:eastAsia="zh-CN"/>
        </w:rPr>
        <w:t>（1）对外交通运输</w:t>
      </w:r>
    </w:p>
    <w:p w14:paraId="586CCF31">
      <w:pPr>
        <w:numPr>
          <w:ilvl w:val="0"/>
          <w:numId w:val="0"/>
        </w:numPr>
        <w:ind w:firstLine="48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本工程所在地各级公路纵横交错，交通网发达，外部交通满足本次施工的运输条件。</w:t>
      </w:r>
    </w:p>
    <w:p w14:paraId="2381B066">
      <w:pPr>
        <w:numPr>
          <w:ilvl w:val="0"/>
          <w:numId w:val="0"/>
        </w:numPr>
        <w:rPr>
          <w:rFonts w:hint="eastAsia" w:ascii="Times New Roman" w:hAnsi="Times New Roman" w:eastAsia="宋体" w:cs="Times New Roman"/>
          <w:color w:val="000000"/>
          <w:lang w:val="en-US" w:eastAsia="zh-CN"/>
        </w:rPr>
      </w:pPr>
      <w:r>
        <w:rPr>
          <w:rFonts w:hint="eastAsia" w:ascii="Times New Roman" w:hAnsi="Times New Roman" w:eastAsia="宋体" w:cs="Times New Roman"/>
          <w:b/>
          <w:bCs/>
          <w:color w:val="000000"/>
          <w:lang w:val="en-US" w:eastAsia="zh-CN"/>
        </w:rPr>
        <w:t>（2）场内交通运输</w:t>
      </w:r>
    </w:p>
    <w:p w14:paraId="456B8E73">
      <w:pPr>
        <w:numPr>
          <w:ilvl w:val="0"/>
          <w:numId w:val="0"/>
        </w:numPr>
        <w:ind w:firstLine="48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西部新城排涝站工程站址处有防汛道路相连，城区排涝通道整治工程和排水管新建工程中，工程沿线均有市政道路联通，场内交通便利。项目仅局部要修建临时道路便于材料和机械进场。</w:t>
      </w:r>
    </w:p>
    <w:p w14:paraId="06BDA023">
      <w:pPr>
        <w:numPr>
          <w:ilvl w:val="0"/>
          <w:numId w:val="0"/>
        </w:numPr>
        <w:ind w:firstLine="48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S322省道穿路涵施工需采用道路半幅开挖施工，结合预制箱涵结构缩短工期，减少对S322道路交通的影响，施工前需由施工单位编制专项方案，并组织专项论证后方可施工。</w:t>
      </w:r>
    </w:p>
    <w:p w14:paraId="26950440">
      <w:pPr>
        <w:pStyle w:val="5"/>
        <w:rPr>
          <w:rFonts w:hint="eastAsia"/>
          <w:color w:val="000000"/>
          <w:lang w:val="en-US" w:eastAsia="zh-CN"/>
        </w:rPr>
      </w:pPr>
      <w:bookmarkStart w:id="71" w:name="_Toc4582"/>
      <w:r>
        <w:rPr>
          <w:rFonts w:hint="eastAsia"/>
          <w:color w:val="000000"/>
          <w:lang w:val="en-US" w:eastAsia="zh-CN"/>
        </w:rPr>
        <w:t>2.2.2施工</w:t>
      </w:r>
      <w:bookmarkEnd w:id="71"/>
      <w:r>
        <w:rPr>
          <w:rFonts w:hint="eastAsia"/>
          <w:color w:val="000000"/>
          <w:lang w:val="en-US" w:eastAsia="zh-CN"/>
        </w:rPr>
        <w:t>方案</w:t>
      </w:r>
    </w:p>
    <w:p w14:paraId="4BF3E092">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1、施工导流</w:t>
      </w:r>
    </w:p>
    <w:p w14:paraId="0993DDC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西部新城排涝泵站工程圩内施工无需导流，来水可通过现有沟渠排入现有张家湾涵闸和永康桥涵闸。</w:t>
      </w:r>
    </w:p>
    <w:p w14:paraId="408B807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城区排涝整治工程施工主要安排在非汛期，本地降雨较少，施工期间河道来水较少，同时利用上游水库溢洪道控泄，区域少量降雨临时架机抽排。</w:t>
      </w:r>
    </w:p>
    <w:p w14:paraId="2F5D675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本工程在新建排水管道期间，需对两侧道路污水管道及现状污水支管实施调排水。针对整段开挖更换的管道可采取逐段封堵调排的方式，针对局部开挖更换，可采取在该段管道上、下游封堵调排的方式。</w:t>
      </w:r>
    </w:p>
    <w:p w14:paraId="550D70C3">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2、施工截流</w:t>
      </w:r>
    </w:p>
    <w:p w14:paraId="54ECC00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（1）西部新城排涝泵站工程在外河侧设置挡水围堰，施工安排在非汛期施工。</w:t>
      </w:r>
    </w:p>
    <w:p w14:paraId="78AFB6A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（2）城区排涝整治工程中，堤顶道路施工无需专门的截流设施。堤防达标选择枯水季节施工，河道上游来水少，无需专门的截流设施。</w:t>
      </w:r>
    </w:p>
    <w:p w14:paraId="7B7A25D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岸坡防护和配套建筑物施工时，利用沿河的滚水坝和临时施工围堰，分段施工。围堰所需土方可利用开挖土方。围堰顶高程为施工期水位加安全加高0.5m，围堰级别为5级，初步拟定平均净高为2.5m，顶宽2.00m，边坡1：2.5。</w:t>
      </w:r>
    </w:p>
    <w:p w14:paraId="401FF97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（3）排水管网新建工程中，污水管道工程无需导截流。</w:t>
      </w:r>
    </w:p>
    <w:p w14:paraId="40AE96B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（4）围堰稳定计算</w:t>
      </w:r>
    </w:p>
    <w:p w14:paraId="1621450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根据有关规范，本计算中对围堰的渗透量、等势线分布、出逸段和下游坝身表面的渗透坡降进行分析计算，具体见下表和附图，表中给定的容许渗透坡降根据《水利水电工程地质勘察规范》（GB50487），由下式求得：</w:t>
      </w:r>
    </w:p>
    <w:p w14:paraId="559B93F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drawing>
          <wp:inline distT="0" distB="0" distL="0" distR="0">
            <wp:extent cx="1637665" cy="278130"/>
            <wp:effectExtent l="0" t="0" r="0" b="0"/>
            <wp:docPr id="45" name="_x0000_i1026"/>
            <wp:cNvGraphicFramePr/>
            <a:graphic xmlns:a="http://schemas.openxmlformats.org/drawingml/2006/main">
              <a:graphicData uri="http://schemas.openxmlformats.org/drawingml/2006/picture">
                <pic:pic xmlns:pic="http://schemas.openxmlformats.org/drawingml/2006/picture">
                  <pic:nvPicPr>
                    <pic:cNvPr id="45" name="_x0000_i1026"/>
                    <pic:cNvPicPr/>
                  </pic:nvPicPr>
                  <pic:blipFill>
                    <a:blip r:embed="rId37"/>
                    <a:stretch>
                      <a:fillRect/>
                    </a:stretch>
                  </pic:blipFill>
                  <pic:spPr>
                    <a:xfrm>
                      <a:off x="0" y="0"/>
                      <a:ext cx="1637665" cy="278130"/>
                    </a:xfrm>
                    <a:prstGeom prst="rect">
                      <a:avLst/>
                    </a:prstGeom>
                    <a:noFill/>
                    <a:ln>
                      <a:noFill/>
                    </a:ln>
                  </pic:spPr>
                </pic:pic>
              </a:graphicData>
            </a:graphic>
          </wp:inline>
        </w:drawing>
      </w:r>
    </w:p>
    <w:p w14:paraId="3700799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式中：Gs－－土的比重；</w:t>
      </w:r>
    </w:p>
    <w:p w14:paraId="15BEC6A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n－－土的孔隙率；</w:t>
      </w:r>
    </w:p>
    <w:p w14:paraId="0F4B94B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kp－－折减系数，式中kp=2。</w:t>
      </w:r>
    </w:p>
    <w:p w14:paraId="661152DF">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表</w:t>
      </w:r>
      <w:r>
        <w:rPr>
          <w:rFonts w:hint="eastAsia" w:ascii="Times New Roman" w:hAnsi="Times New Roman" w:eastAsia="宋体" w:cs="Times New Roman"/>
          <w:b/>
          <w:bCs/>
          <w:color w:val="000000"/>
          <w:sz w:val="24"/>
          <w:szCs w:val="24"/>
          <w:highlight w:val="none"/>
          <w:lang w:val="en-US" w:eastAsia="zh-CN" w:bidi="ar-SA"/>
        </w:rPr>
        <w:t>2.2-1</w:t>
      </w:r>
      <w:r>
        <w:rPr>
          <w:rFonts w:hint="default" w:ascii="Times New Roman" w:hAnsi="Times New Roman" w:eastAsia="宋体" w:cs="Times New Roman"/>
          <w:b/>
          <w:bCs/>
          <w:color w:val="000000"/>
          <w:sz w:val="24"/>
          <w:szCs w:val="24"/>
          <w:highlight w:val="none"/>
          <w:lang w:val="en-US" w:eastAsia="zh-CN" w:bidi="ar-SA"/>
        </w:rPr>
        <w:t xml:space="preserve">  围堰渗流计算结果表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786"/>
        <w:gridCol w:w="1651"/>
        <w:gridCol w:w="2063"/>
        <w:gridCol w:w="2027"/>
      </w:tblGrid>
      <w:tr w14:paraId="79D5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noWrap w:val="0"/>
            <w:vAlign w:val="center"/>
          </w:tcPr>
          <w:p w14:paraId="56416A2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计算工况</w:t>
            </w:r>
          </w:p>
        </w:tc>
        <w:tc>
          <w:tcPr>
            <w:tcW w:w="1907" w:type="pct"/>
            <w:gridSpan w:val="2"/>
            <w:noWrap w:val="0"/>
            <w:vAlign w:val="center"/>
          </w:tcPr>
          <w:p w14:paraId="15BE87F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最大渗透坡降</w:t>
            </w:r>
          </w:p>
        </w:tc>
        <w:tc>
          <w:tcPr>
            <w:tcW w:w="1145" w:type="pct"/>
            <w:noWrap w:val="0"/>
            <w:vAlign w:val="center"/>
          </w:tcPr>
          <w:p w14:paraId="524D549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坡降容许值</w:t>
            </w:r>
          </w:p>
        </w:tc>
        <w:tc>
          <w:tcPr>
            <w:tcW w:w="1125" w:type="pct"/>
            <w:noWrap w:val="0"/>
            <w:vAlign w:val="center"/>
          </w:tcPr>
          <w:p w14:paraId="06F9EB2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渗流量m</w:t>
            </w:r>
            <w:r>
              <w:rPr>
                <w:rFonts w:hint="default" w:ascii="Times New Roman" w:hAnsi="Times New Roman" w:eastAsia="宋体" w:cs="Times New Roman"/>
                <w:b/>
                <w:bCs/>
                <w:color w:val="000000"/>
                <w:sz w:val="21"/>
                <w:szCs w:val="21"/>
                <w:highlight w:val="none"/>
                <w:vertAlign w:val="superscript"/>
                <w:lang w:val="en-US" w:eastAsia="zh-CN" w:bidi="ar-SA"/>
              </w:rPr>
              <w:t>3</w:t>
            </w:r>
            <w:r>
              <w:rPr>
                <w:rFonts w:hint="default" w:ascii="Times New Roman" w:hAnsi="Times New Roman" w:eastAsia="宋体" w:cs="Times New Roman"/>
                <w:b/>
                <w:bCs/>
                <w:color w:val="000000"/>
                <w:sz w:val="21"/>
                <w:szCs w:val="21"/>
                <w:highlight w:val="none"/>
                <w:lang w:val="en-US" w:eastAsia="zh-CN" w:bidi="ar-SA"/>
              </w:rPr>
              <w:t>/天</w:t>
            </w:r>
          </w:p>
        </w:tc>
      </w:tr>
      <w:tr w14:paraId="6639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restart"/>
            <w:noWrap w:val="0"/>
            <w:vAlign w:val="center"/>
          </w:tcPr>
          <w:p w14:paraId="62230D2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工况一</w:t>
            </w:r>
          </w:p>
        </w:tc>
        <w:tc>
          <w:tcPr>
            <w:tcW w:w="991" w:type="pct"/>
            <w:noWrap w:val="0"/>
            <w:vAlign w:val="center"/>
          </w:tcPr>
          <w:p w14:paraId="5894181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背水坡</w:t>
            </w:r>
          </w:p>
        </w:tc>
        <w:tc>
          <w:tcPr>
            <w:tcW w:w="916" w:type="pct"/>
            <w:noWrap w:val="0"/>
            <w:vAlign w:val="center"/>
          </w:tcPr>
          <w:p w14:paraId="119F0F8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0.29</w:t>
            </w:r>
          </w:p>
        </w:tc>
        <w:tc>
          <w:tcPr>
            <w:tcW w:w="1145" w:type="pct"/>
            <w:noWrap w:val="0"/>
            <w:vAlign w:val="center"/>
          </w:tcPr>
          <w:p w14:paraId="27D9474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0.48</w:t>
            </w:r>
          </w:p>
        </w:tc>
        <w:tc>
          <w:tcPr>
            <w:tcW w:w="1125" w:type="pct"/>
            <w:vMerge w:val="restart"/>
            <w:noWrap w:val="0"/>
            <w:vAlign w:val="center"/>
          </w:tcPr>
          <w:p w14:paraId="0E5949C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0.002</w:t>
            </w:r>
          </w:p>
        </w:tc>
      </w:tr>
      <w:tr w14:paraId="3E88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continue"/>
            <w:noWrap w:val="0"/>
            <w:vAlign w:val="center"/>
          </w:tcPr>
          <w:p w14:paraId="7867503E">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eastAsia="宋体" w:cs="Times New Roman"/>
                <w:color w:val="000000"/>
                <w:sz w:val="21"/>
                <w:szCs w:val="21"/>
                <w:highlight w:val="none"/>
                <w:lang w:val="en-US" w:eastAsia="zh-CN" w:bidi="ar-SA"/>
              </w:rPr>
            </w:pPr>
          </w:p>
        </w:tc>
        <w:tc>
          <w:tcPr>
            <w:tcW w:w="991" w:type="pct"/>
            <w:noWrap w:val="0"/>
            <w:vAlign w:val="center"/>
          </w:tcPr>
          <w:p w14:paraId="7583B3E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坝基</w:t>
            </w:r>
          </w:p>
        </w:tc>
        <w:tc>
          <w:tcPr>
            <w:tcW w:w="916" w:type="pct"/>
            <w:noWrap w:val="0"/>
            <w:vAlign w:val="center"/>
          </w:tcPr>
          <w:p w14:paraId="3AC536D6">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0.01</w:t>
            </w:r>
          </w:p>
        </w:tc>
        <w:tc>
          <w:tcPr>
            <w:tcW w:w="1145" w:type="pct"/>
            <w:noWrap w:val="0"/>
            <w:vAlign w:val="center"/>
          </w:tcPr>
          <w:p w14:paraId="01ABA68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0.48</w:t>
            </w:r>
          </w:p>
        </w:tc>
        <w:tc>
          <w:tcPr>
            <w:tcW w:w="1125" w:type="pct"/>
            <w:vMerge w:val="continue"/>
            <w:noWrap w:val="0"/>
            <w:vAlign w:val="center"/>
          </w:tcPr>
          <w:p w14:paraId="7D03B384">
            <w:pPr>
              <w:keepNext w:val="0"/>
              <w:keepLines w:val="0"/>
              <w:pageBreakBefore w:val="0"/>
              <w:widowControl w:val="0"/>
              <w:suppressLineNumbers w:val="0"/>
              <w:spacing w:before="0" w:beforeAutospacing="0" w:after="0" w:afterAutospacing="0" w:line="240" w:lineRule="auto"/>
              <w:ind w:left="0" w:right="0" w:firstLine="420"/>
              <w:jc w:val="both"/>
              <w:rPr>
                <w:rFonts w:hint="default" w:ascii="Times New Roman" w:hAnsi="Times New Roman" w:eastAsia="宋体" w:cs="Times New Roman"/>
                <w:color w:val="000000"/>
                <w:sz w:val="21"/>
                <w:szCs w:val="21"/>
                <w:highlight w:val="none"/>
                <w:lang w:val="en-US" w:eastAsia="zh-CN" w:bidi="ar-SA"/>
              </w:rPr>
            </w:pPr>
          </w:p>
        </w:tc>
      </w:tr>
    </w:tbl>
    <w:p w14:paraId="1A4D4A9D">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drawing>
          <wp:inline distT="0" distB="0" distL="0" distR="0">
            <wp:extent cx="4712335" cy="921385"/>
            <wp:effectExtent l="0" t="0" r="0" b="0"/>
            <wp:docPr id="46" name="_x0000_i1027"/>
            <wp:cNvGraphicFramePr/>
            <a:graphic xmlns:a="http://schemas.openxmlformats.org/drawingml/2006/main">
              <a:graphicData uri="http://schemas.openxmlformats.org/drawingml/2006/picture">
                <pic:pic xmlns:pic="http://schemas.openxmlformats.org/drawingml/2006/picture">
                  <pic:nvPicPr>
                    <pic:cNvPr id="46" name="_x0000_i1027"/>
                    <pic:cNvPicPr/>
                  </pic:nvPicPr>
                  <pic:blipFill>
                    <a:blip r:embed="rId38"/>
                    <a:srcRect b="9037"/>
                    <a:stretch>
                      <a:fillRect/>
                    </a:stretch>
                  </pic:blipFill>
                  <pic:spPr>
                    <a:xfrm>
                      <a:off x="0" y="0"/>
                      <a:ext cx="4712335" cy="921385"/>
                    </a:xfrm>
                    <a:prstGeom prst="rect">
                      <a:avLst/>
                    </a:prstGeom>
                    <a:noFill/>
                    <a:ln>
                      <a:noFill/>
                    </a:ln>
                  </pic:spPr>
                </pic:pic>
              </a:graphicData>
            </a:graphic>
          </wp:inline>
        </w:drawing>
      </w:r>
    </w:p>
    <w:p w14:paraId="7A3656E5">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图2</w:t>
      </w:r>
      <w:r>
        <w:rPr>
          <w:rFonts w:hint="eastAsia" w:ascii="Times New Roman" w:hAnsi="Times New Roman" w:eastAsia="宋体" w:cs="Times New Roman"/>
          <w:b/>
          <w:bCs/>
          <w:color w:val="000000"/>
          <w:sz w:val="24"/>
          <w:szCs w:val="24"/>
          <w:highlight w:val="none"/>
          <w:lang w:val="en-US" w:eastAsia="zh-CN" w:bidi="ar-SA"/>
        </w:rPr>
        <w:t>.2</w:t>
      </w:r>
      <w:r>
        <w:rPr>
          <w:rFonts w:hint="default" w:ascii="Times New Roman" w:hAnsi="Times New Roman" w:eastAsia="宋体" w:cs="Times New Roman"/>
          <w:b/>
          <w:bCs/>
          <w:color w:val="000000"/>
          <w:sz w:val="24"/>
          <w:szCs w:val="24"/>
          <w:highlight w:val="none"/>
          <w:lang w:val="en-US" w:eastAsia="zh-CN" w:bidi="ar-SA"/>
        </w:rPr>
        <w:t>-</w:t>
      </w:r>
      <w:r>
        <w:rPr>
          <w:rFonts w:hint="eastAsia" w:ascii="Times New Roman" w:hAnsi="Times New Roman" w:eastAsia="宋体" w:cs="Times New Roman"/>
          <w:b/>
          <w:bCs/>
          <w:color w:val="000000"/>
          <w:sz w:val="24"/>
          <w:szCs w:val="24"/>
          <w:highlight w:val="none"/>
          <w:lang w:val="en-US" w:eastAsia="zh-CN" w:bidi="ar-SA"/>
        </w:rPr>
        <w:t>1</w:t>
      </w:r>
      <w:r>
        <w:rPr>
          <w:rFonts w:hint="default" w:ascii="Times New Roman" w:hAnsi="Times New Roman" w:eastAsia="宋体" w:cs="Times New Roman"/>
          <w:b/>
          <w:bCs/>
          <w:color w:val="000000"/>
          <w:sz w:val="24"/>
          <w:szCs w:val="24"/>
          <w:highlight w:val="none"/>
          <w:lang w:val="en-US" w:eastAsia="zh-CN" w:bidi="ar-SA"/>
        </w:rPr>
        <w:t xml:space="preserve">  围堰渗流计算图</w:t>
      </w:r>
    </w:p>
    <w:p w14:paraId="782BD7D1">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表2</w:t>
      </w:r>
      <w:r>
        <w:rPr>
          <w:rFonts w:hint="eastAsia" w:ascii="Times New Roman" w:hAnsi="Times New Roman" w:eastAsia="宋体" w:cs="Times New Roman"/>
          <w:b/>
          <w:bCs/>
          <w:color w:val="000000"/>
          <w:sz w:val="24"/>
          <w:szCs w:val="24"/>
          <w:highlight w:val="none"/>
          <w:lang w:val="en-US" w:eastAsia="zh-CN" w:bidi="ar-SA"/>
        </w:rPr>
        <w:t>.2-2</w:t>
      </w:r>
      <w:r>
        <w:rPr>
          <w:rFonts w:hint="default" w:ascii="Times New Roman" w:hAnsi="Times New Roman" w:eastAsia="宋体" w:cs="Times New Roman"/>
          <w:b/>
          <w:bCs/>
          <w:color w:val="000000"/>
          <w:sz w:val="24"/>
          <w:szCs w:val="24"/>
          <w:highlight w:val="none"/>
          <w:lang w:val="en-US" w:eastAsia="zh-CN" w:bidi="ar-SA"/>
        </w:rPr>
        <w:t xml:space="preserve"> 围堰抗滑稳定计算水位组合表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696"/>
        <w:gridCol w:w="2434"/>
        <w:gridCol w:w="2434"/>
      </w:tblGrid>
      <w:tr w14:paraId="34A0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14:paraId="4DC6B7E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工况</w:t>
            </w:r>
          </w:p>
        </w:tc>
        <w:tc>
          <w:tcPr>
            <w:tcW w:w="1496" w:type="pct"/>
            <w:noWrap w:val="0"/>
            <w:vAlign w:val="center"/>
          </w:tcPr>
          <w:p w14:paraId="28C5871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上游水位</w:t>
            </w:r>
          </w:p>
        </w:tc>
        <w:tc>
          <w:tcPr>
            <w:tcW w:w="1351" w:type="pct"/>
            <w:noWrap w:val="0"/>
            <w:vAlign w:val="center"/>
          </w:tcPr>
          <w:p w14:paraId="13482CB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下游水位</w:t>
            </w:r>
          </w:p>
        </w:tc>
        <w:tc>
          <w:tcPr>
            <w:tcW w:w="1351" w:type="pct"/>
            <w:noWrap w:val="0"/>
            <w:vAlign w:val="center"/>
          </w:tcPr>
          <w:p w14:paraId="7AB070E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计算边坡</w:t>
            </w:r>
          </w:p>
        </w:tc>
      </w:tr>
      <w:tr w14:paraId="5DE6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14:paraId="308DF0DA">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工况一</w:t>
            </w:r>
          </w:p>
        </w:tc>
        <w:tc>
          <w:tcPr>
            <w:tcW w:w="1496" w:type="pct"/>
            <w:noWrap w:val="0"/>
            <w:vAlign w:val="center"/>
          </w:tcPr>
          <w:p w14:paraId="24C063F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2.0</w:t>
            </w:r>
          </w:p>
        </w:tc>
        <w:tc>
          <w:tcPr>
            <w:tcW w:w="1351" w:type="pct"/>
            <w:noWrap w:val="0"/>
            <w:vAlign w:val="center"/>
          </w:tcPr>
          <w:p w14:paraId="0D9CDE8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0.00</w:t>
            </w:r>
          </w:p>
        </w:tc>
        <w:tc>
          <w:tcPr>
            <w:tcW w:w="1351" w:type="pct"/>
            <w:noWrap w:val="0"/>
            <w:vAlign w:val="center"/>
          </w:tcPr>
          <w:p w14:paraId="5BE289A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背水坡</w:t>
            </w:r>
          </w:p>
        </w:tc>
      </w:tr>
    </w:tbl>
    <w:p w14:paraId="092E0FD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计算结果见下表及附图，表中安全系数容许值参见《堤防工程设计规范》（GB50286-2013）。</w:t>
      </w:r>
    </w:p>
    <w:p w14:paraId="26D51EA0">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表</w:t>
      </w:r>
      <w:r>
        <w:rPr>
          <w:rFonts w:hint="eastAsia" w:ascii="Times New Roman" w:hAnsi="Times New Roman" w:eastAsia="宋体" w:cs="Times New Roman"/>
          <w:b/>
          <w:bCs/>
          <w:color w:val="000000"/>
          <w:sz w:val="24"/>
          <w:szCs w:val="24"/>
          <w:highlight w:val="none"/>
          <w:lang w:val="en-US" w:eastAsia="zh-CN" w:bidi="ar-SA"/>
        </w:rPr>
        <w:t>2.2-3</w:t>
      </w:r>
      <w:r>
        <w:rPr>
          <w:rFonts w:hint="default" w:ascii="Times New Roman" w:hAnsi="Times New Roman" w:eastAsia="宋体" w:cs="Times New Roman"/>
          <w:b/>
          <w:bCs/>
          <w:color w:val="000000"/>
          <w:sz w:val="24"/>
          <w:szCs w:val="24"/>
          <w:highlight w:val="none"/>
          <w:lang w:val="en-US" w:eastAsia="zh-CN" w:bidi="ar-SA"/>
        </w:rPr>
        <w:t xml:space="preserve">  围堰抗滑稳定安全系数计算结果</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3003"/>
        <w:gridCol w:w="3004"/>
      </w:tblGrid>
      <w:tr w14:paraId="77F5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noWrap w:val="0"/>
            <w:vAlign w:val="center"/>
          </w:tcPr>
          <w:p w14:paraId="1203A5F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计算工况</w:t>
            </w:r>
          </w:p>
        </w:tc>
        <w:tc>
          <w:tcPr>
            <w:tcW w:w="3095" w:type="dxa"/>
            <w:noWrap w:val="0"/>
            <w:vAlign w:val="center"/>
          </w:tcPr>
          <w:p w14:paraId="5380F80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安全系数</w:t>
            </w:r>
          </w:p>
        </w:tc>
        <w:tc>
          <w:tcPr>
            <w:tcW w:w="3096" w:type="dxa"/>
            <w:noWrap w:val="0"/>
            <w:vAlign w:val="center"/>
          </w:tcPr>
          <w:p w14:paraId="0539956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highlight w:val="none"/>
                <w:lang w:val="en-US" w:eastAsia="zh-CN" w:bidi="ar-SA"/>
              </w:rPr>
            </w:pPr>
            <w:r>
              <w:rPr>
                <w:rFonts w:hint="default" w:ascii="Times New Roman" w:hAnsi="Times New Roman" w:eastAsia="宋体" w:cs="Times New Roman"/>
                <w:b/>
                <w:bCs/>
                <w:color w:val="000000"/>
                <w:sz w:val="21"/>
                <w:szCs w:val="21"/>
                <w:highlight w:val="none"/>
                <w:lang w:val="en-US" w:eastAsia="zh-CN" w:bidi="ar-SA"/>
              </w:rPr>
              <w:t>规范允许值</w:t>
            </w:r>
          </w:p>
        </w:tc>
      </w:tr>
      <w:tr w14:paraId="40C5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noWrap w:val="0"/>
            <w:vAlign w:val="center"/>
          </w:tcPr>
          <w:p w14:paraId="5C03844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施工期</w:t>
            </w:r>
          </w:p>
        </w:tc>
        <w:tc>
          <w:tcPr>
            <w:tcW w:w="3095" w:type="dxa"/>
            <w:noWrap w:val="0"/>
            <w:vAlign w:val="center"/>
          </w:tcPr>
          <w:p w14:paraId="23CB69E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1.64</w:t>
            </w:r>
          </w:p>
        </w:tc>
        <w:tc>
          <w:tcPr>
            <w:tcW w:w="3096" w:type="dxa"/>
            <w:noWrap w:val="0"/>
            <w:vAlign w:val="center"/>
          </w:tcPr>
          <w:p w14:paraId="77EEBD7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1.25</w:t>
            </w:r>
          </w:p>
        </w:tc>
      </w:tr>
    </w:tbl>
    <w:p w14:paraId="7C24176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drawing>
          <wp:inline distT="0" distB="0" distL="0" distR="0">
            <wp:extent cx="4339590" cy="743585"/>
            <wp:effectExtent l="0" t="0" r="0" b="0"/>
            <wp:docPr id="47" name="_x0000_i1028"/>
            <wp:cNvGraphicFramePr/>
            <a:graphic xmlns:a="http://schemas.openxmlformats.org/drawingml/2006/main">
              <a:graphicData uri="http://schemas.openxmlformats.org/drawingml/2006/picture">
                <pic:pic xmlns:pic="http://schemas.openxmlformats.org/drawingml/2006/picture">
                  <pic:nvPicPr>
                    <pic:cNvPr id="47" name="_x0000_i1028"/>
                    <pic:cNvPicPr/>
                  </pic:nvPicPr>
                  <pic:blipFill>
                    <a:blip r:embed="rId39"/>
                    <a:srcRect b="21603"/>
                    <a:stretch>
                      <a:fillRect/>
                    </a:stretch>
                  </pic:blipFill>
                  <pic:spPr>
                    <a:xfrm>
                      <a:off x="0" y="0"/>
                      <a:ext cx="4339590" cy="743585"/>
                    </a:xfrm>
                    <a:prstGeom prst="rect">
                      <a:avLst/>
                    </a:prstGeom>
                    <a:noFill/>
                    <a:ln>
                      <a:noFill/>
                    </a:ln>
                  </pic:spPr>
                </pic:pic>
              </a:graphicData>
            </a:graphic>
          </wp:inline>
        </w:drawing>
      </w:r>
    </w:p>
    <w:p w14:paraId="3E6E50B0">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图</w:t>
      </w:r>
      <w:r>
        <w:rPr>
          <w:rFonts w:hint="eastAsia" w:ascii="Times New Roman" w:hAnsi="Times New Roman" w:eastAsia="宋体" w:cs="Times New Roman"/>
          <w:b/>
          <w:bCs/>
          <w:color w:val="000000"/>
          <w:sz w:val="24"/>
          <w:szCs w:val="24"/>
          <w:highlight w:val="none"/>
          <w:lang w:val="en-US" w:eastAsia="zh-CN" w:bidi="ar-SA"/>
        </w:rPr>
        <w:t>2.2-3</w:t>
      </w:r>
      <w:r>
        <w:rPr>
          <w:rFonts w:hint="default" w:ascii="Times New Roman" w:hAnsi="Times New Roman" w:eastAsia="宋体" w:cs="Times New Roman"/>
          <w:b/>
          <w:bCs/>
          <w:color w:val="000000"/>
          <w:sz w:val="24"/>
          <w:szCs w:val="24"/>
          <w:highlight w:val="none"/>
          <w:lang w:val="en-US" w:eastAsia="zh-CN" w:bidi="ar-SA"/>
        </w:rPr>
        <w:t xml:space="preserve"> 抗滑稳定计算结果图</w:t>
      </w:r>
    </w:p>
    <w:p w14:paraId="61FCA90F">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3、基坑降水、排水与基坑支护</w:t>
      </w:r>
    </w:p>
    <w:p w14:paraId="4A22211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本工程基坑均采用开挖，坡比1：2，基坑内渗水、降水及施工弃水采用明沟汇集，排至集水坑，自排外河，明沟断面0.3×0.5m。基坑排水派专人值班，随时排水。基坑外围地面结合道路布置，在四周开挖截水沟，以防止地面雨水汇入基坑，截水沟断面0.3×0.5m。</w:t>
      </w:r>
    </w:p>
    <w:p w14:paraId="21D8761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衡山工业园箱涵埋置较深，开挖后采用钢板桩进行支护，基坑内不得带水施工，必须采取有效的降排水措施，防止结构上浮，确保结构安全。</w:t>
      </w:r>
    </w:p>
    <w:p w14:paraId="1F881A4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lang w:val="en-US" w:eastAsia="zh-CN" w:bidi="ar"/>
        </w:rPr>
        <w:t>根据施工进度安排，本工程主要涉水作业均采用枯水期施工，工程中泵站、拦河坝等建筑物应在汛期前完成水下工程部分。</w:t>
      </w:r>
    </w:p>
    <w:p w14:paraId="13A6D2FB">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4、主体工程施工</w:t>
      </w:r>
    </w:p>
    <w:p w14:paraId="44355F10">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4.1土石方工程</w:t>
      </w:r>
    </w:p>
    <w:p w14:paraId="5F69DA1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1、土方开挖：土方开挖前，先进行地表层清理，将场内所有障碍物清除，然后测量、放线、定位。土方开挖以机械为主，采用挖掘机挖土，自卸汽车外运，并将废渣、废土和好土分开堆放。</w:t>
      </w:r>
    </w:p>
    <w:p w14:paraId="23CB4F6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土方回填：堤防和围堰填筑采用均利用开挖土，填方量不足时外购土方。建筑物四周2m范围内用回填好土、蛙式打夯机夯实；2m以外土用挖掘机挖土，自卸汽车运土，推土机铺土，用拖拉机辅以蛙式打夯机分层碾压。回填土需满足压实度要求。</w:t>
      </w:r>
    </w:p>
    <w:p w14:paraId="3ECDFE9E">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4.2砼和钢筋砼工程</w:t>
      </w:r>
    </w:p>
    <w:p w14:paraId="6CBCC81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1、基础开挖后，基面找平，放线，加强抽水，严禁地基表层被水浸入，及时将混凝土垫层浇好。然后立模，扎筋，安装止水、沥青板和混凝土浇筑，养护拆模。</w:t>
      </w:r>
    </w:p>
    <w:p w14:paraId="37CDED0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2、钢筋制作与安装：钢筋按设计选型，在加工场集中加工，运至现场绑扎，主筋采用电焊，为控制混凝土保护层厚度，钢筋与模板之间放置适当数量水泥砂浆垫块，钢筋层之间设置撑筋。</w:t>
      </w:r>
    </w:p>
    <w:p w14:paraId="6D10257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3、模板制作与安装：模板应有足够的强度和刚度，支撑选用ф50mm钢管或[14槽钢，内外模用ф12对销螺栓联结，达到稳定牢固，拼缝要求紧密，板面刷脱模剂。</w:t>
      </w:r>
    </w:p>
    <w:p w14:paraId="55A5025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4、混凝土浇筑：混凝土采用现场集中拌和，用混凝土泵、管道输送到施工现场浇灌，插入式振捣器震实。施工缝采用人工打糙混凝土面层，用水冲洗干净，再在施工缝上铺一层厚1～2cm的1：2水泥砂浆，然后分层浇筑。</w:t>
      </w:r>
    </w:p>
    <w:p w14:paraId="29BA6C65">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5、止水、沉陷缝施工：止水、沉陷缝按设计要求，选用好材料，由加工厂集中加工制作成型，运至现场安装。</w:t>
      </w:r>
    </w:p>
    <w:p w14:paraId="0B5906FA">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4.3高压旋喷桩</w:t>
      </w:r>
    </w:p>
    <w:p w14:paraId="6698DDE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本工程柳林河水毁段采用高压旋喷桩。</w:t>
      </w:r>
    </w:p>
    <w:p w14:paraId="5D5EA35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1、施工工艺</w:t>
      </w:r>
    </w:p>
    <w:p w14:paraId="39C489D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双管法高压旋喷桩，每次成型一根桩。先施工下游排孔，后施工上游排孔，最后施工中间排孔。主要施工过程：钻机就位—钻孔—喷射注浆—旋喷成桩。</w:t>
      </w:r>
    </w:p>
    <w:p w14:paraId="6151880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（1）钻机就位：钻机移动到施工的桩位上，水平校正机身，钻头对准标识的孔位，钻杆轴线垂直。桩位偏差＜50mm，垂直度偏差＜1%桩长。</w:t>
      </w:r>
    </w:p>
    <w:p w14:paraId="50EFF88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钻孔：根据地层情况和加固深度选择合适钻机，本项目采用跟管钻进，如遇坚硬土层，选择地质钻机引孔。为防喷头堵塞，钻孔过程中可利用喷射管喷射水成孔至设定孔底高程（孔底高程低于设计底高程300mm）。</w:t>
      </w:r>
    </w:p>
    <w:p w14:paraId="456CA77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3）喷射注浆：喷射管下沉至设定深度后，输入符合要求的空气、浆液静喷1～3min，待灌入浆液冒出后，按试桩确定的提升及旋转速度、流量，自下而上，边旋喷边提升，观察记录气、浆压力，现场抽测水泥浆液密度。</w:t>
      </w:r>
    </w:p>
    <w:p w14:paraId="5B6BE33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4）旋喷成桩：全程持续旋喷提升，直到设定高程后，停送气、浆，旋喷过程中，时刻控制浆液的流量及压力、气压、提升及旋转速度等在设定的范围内，做好过程记录。旋喷完成后，移动桩机，及时将各管路冲洗干净，进入下一桩施工。</w:t>
      </w:r>
    </w:p>
    <w:p w14:paraId="1309052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2、检测</w:t>
      </w:r>
    </w:p>
    <w:p w14:paraId="0B9771B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（1）成桩后3天内，采用轻型动力触探（N10）检查桩身的均匀性，检验数量为施工总桩数的1%，且不少于3根。所检测的水泥土桩轻便触探击数均匀，变异系数小于0.3，受检桩桩身水泥土搅拌均匀。</w:t>
      </w:r>
    </w:p>
    <w:p w14:paraId="009284B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（2）成桩7天后，采用浅部开挖桩头进行检查，检查成桩直径和均匀性，检查数量为总桩数的5%。</w:t>
      </w:r>
    </w:p>
    <w:p w14:paraId="2507335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3）成桩7天后现场取桩身芯样，进行强度检验，抗压强度不小于0.5mpa，另外取样备份，做28d后的强度试验，抗压强度不小于1mpa，检验数量为施工总桩数的0.5%，且不少于6点。检验结果：受检桩桩身水泥土搅拌均匀，芯样连续、完整，桩长满足设计桩长，受检桩水泥土芯样单轴抗压强度值满足设计要求。</w:t>
      </w:r>
    </w:p>
    <w:p w14:paraId="51D6ECE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（4）复合地基载荷试验应在桩身强度满足试验荷载条件时，并宜在成桩28天后进行。检验数量为桩总数的0.5%～1%，且每单体工程不应少于3根。载荷试验受水利工程施工工期影响，选择实施。</w:t>
      </w:r>
    </w:p>
    <w:p w14:paraId="518672F4">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4.4、水泥土换填</w:t>
      </w:r>
    </w:p>
    <w:p w14:paraId="7D052EC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本工程泵室及穿堤箱涵主要采用水泥土换填进行地基处理。</w:t>
      </w:r>
    </w:p>
    <w:p w14:paraId="68953A7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水泥土换填的施工工艺为：基槽清理→软土挖除→拌制水泥土→水泥土夯实；</w:t>
      </w:r>
    </w:p>
    <w:p w14:paraId="298DB7D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垫层中水泥与土料的比例可用体积重量比控制，宜采用5%；土料较湿时,可采用8%~15%。垫层用的土料不得混入耕（植）土、淤泥质土和冻土块，有机质含量不得大于5%，水溶盐含量不应大于3%；不得采用膨胀土、盐渍土。</w:t>
      </w:r>
    </w:p>
    <w:p w14:paraId="2A1B7B79">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用于制作水泥土的土料，结块粒径不应过大；当用人力或小型机械拌和时,土料应过筛使用;当采用搅拌粉碎专用设备时，土块粒径可放宽到不大于50mm,但应拌和均匀，碾压时土块粒径不应大于20mm。水泥土从拌和开始到碾压或夯实结束，不宜超过24h。拌和好的水泥土,除处于十分干燥状态外,搁置时间不宜超过12h。根据土料和施工机械的具体情况,通过现场试验确定水泥土的分层铺填厚度、每层压实遍数；水泥土垫层的回填料含水量宜控制在击实试验的最优含水量Wop（100士4）%范围内，水泥土的压实度应满足设计要求。</w:t>
      </w:r>
    </w:p>
    <w:p w14:paraId="06958BAE">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color w:val="000000"/>
        </w:rPr>
      </w:pPr>
      <w:r>
        <w:rPr>
          <w:rFonts w:hint="default" w:ascii="Times New Roman" w:hAnsi="Times New Roman" w:eastAsia="宋体" w:cs="Times New Roman"/>
          <w:b/>
          <w:bCs/>
          <w:color w:val="000000"/>
          <w:sz w:val="24"/>
          <w:szCs w:val="24"/>
          <w:lang w:val="en-US" w:eastAsia="zh-CN" w:bidi="ar"/>
        </w:rPr>
        <w:t>4.5、帷幕灌浆</w:t>
      </w:r>
    </w:p>
    <w:p w14:paraId="4DB5CA7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本工程对穿堤箱涵下层及两侧采用帷幕灌浆处理。施工的主要顺序包括：钻孔→注浆→反渗试验→监测与评估。</w:t>
      </w:r>
    </w:p>
    <w:p w14:paraId="6F86046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rPr>
      </w:pPr>
      <w:r>
        <w:rPr>
          <w:rFonts w:hint="default" w:ascii="Times New Roman" w:hAnsi="Times New Roman" w:eastAsia="宋体" w:cs="Times New Roman"/>
          <w:b w:val="0"/>
          <w:bCs w:val="0"/>
          <w:color w:val="000000"/>
          <w:sz w:val="24"/>
          <w:szCs w:val="24"/>
          <w:highlight w:val="none"/>
          <w:lang w:val="en-US" w:eastAsia="zh-CN" w:bidi="ar-SA"/>
        </w:rPr>
        <w:t>帷幕灌浆一序孔→二序孔分序施工，孔距为1.5m。灌浆压力：帷幕灌浆初定为0.5～2.0MPa，应通过灌浆试验确定最终采用压力值；防渗帷幕透水率不得大于5Lu，水泥采用强度等级42.5的普通硅酸盐水泥，水泥浆液的水灰比取1.0，灌浆孔进入坝身素填土层内不小于500mm，灌浆采用自下而上分段灌浆法。</w:t>
      </w:r>
    </w:p>
    <w:p w14:paraId="5AFBB2A7">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4.6、建筑物施工</w:t>
      </w:r>
    </w:p>
    <w:p w14:paraId="2AAADFD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（1）土石方开挖</w:t>
      </w:r>
    </w:p>
    <w:p w14:paraId="1CB1D6A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土方开挖：土方开挖采用1～2m</w:t>
      </w:r>
      <w:r>
        <w:rPr>
          <w:rFonts w:hint="default" w:ascii="Times New Roman" w:hAnsi="Times New Roman" w:eastAsia="宋体" w:cs="Times New Roman"/>
          <w:b w:val="0"/>
          <w:bCs w:val="0"/>
          <w:color w:val="000000"/>
          <w:sz w:val="24"/>
          <w:szCs w:val="24"/>
          <w:highlight w:val="none"/>
          <w:vertAlign w:val="superscript"/>
          <w:lang w:val="en-US" w:eastAsia="zh-CN" w:bidi="ar-SA"/>
        </w:rPr>
        <w:t>3</w:t>
      </w:r>
      <w:r>
        <w:rPr>
          <w:rFonts w:hint="default" w:ascii="Times New Roman" w:hAnsi="Times New Roman" w:eastAsia="宋体" w:cs="Times New Roman"/>
          <w:b w:val="0"/>
          <w:bCs w:val="0"/>
          <w:color w:val="000000"/>
          <w:sz w:val="24"/>
          <w:szCs w:val="24"/>
          <w:highlight w:val="none"/>
          <w:lang w:val="en-US" w:eastAsia="zh-CN" w:bidi="ar-SA"/>
        </w:rPr>
        <w:t>挖土，75kW推土机集料，可利用土方运至0.5km以内临时堆放。土方开挖以机械开挖为主，人工开挖为辅。大部分采用推土机挖推至临近填筑区域，减少回填土料的重复运输，工程沿线附近尽可能平衡补充。</w:t>
      </w:r>
    </w:p>
    <w:p w14:paraId="0EEA232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石方开挖及原建筑物拆除：石方开挖及原渠道、泵房等构筑物拆除采用反向挖掘机挂冲击钻头凿拆除；拆除渣料采用12t自卸汽车运输出渣。</w:t>
      </w:r>
    </w:p>
    <w:p w14:paraId="7681DAC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（2）土石方回填</w:t>
      </w:r>
    </w:p>
    <w:p w14:paraId="48A9553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水闸工程土石方回填料为开挖土料，其中土料应采用开挖料中土质相对较好的上层部分。采用反铲挖掘机及装载机挖装填筑料，5.0T自卸汽车运输，采用后退法卸料，推土机平整。回填料必须分层回填，严禁不分层大体积回填，对于一般土料控制在20~30cm左右。</w:t>
      </w:r>
    </w:p>
    <w:p w14:paraId="6453245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（3）混凝土施工</w:t>
      </w:r>
    </w:p>
    <w:p w14:paraId="77A9B45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混凝土采用商品混凝土。采用标准钢模，用钢管、扣件予以固定，内拉外撑进行加固。浇筑前，用脱模制涂刷模板，将浇筑面用水湿润。钢筋制安作业必经遵照规范的规定执行。入仓的混凝土拌和料，采用人工平仓、插入式振捣器捣实，振捣时应快插慢拔，以混凝土开始泛浆，不再显著下沉为准。平仓时如遇局部骨料集中，应将骨料分散，不准将砂浆覆盖在骨料上。混凝土浇筑要保持平整进程，连续浇筑，防止冷缝而影响质量，如遇无法避免的因素中途停工，则需按施工缝处理。混凝土浇筑后12～18小时要进行洒水养护，养护期不少于14天，如遇低温天气，则要采取加盖草袋或塑料布等保温措施。</w:t>
      </w:r>
    </w:p>
    <w:p w14:paraId="0158015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①消力池、铺盖施工在水闸底板浇筑后，即可进行施工。</w:t>
      </w:r>
    </w:p>
    <w:p w14:paraId="7B5D656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②启闭机房应一次浇筑至大梁底高程，然后整体浇筑启闭机工作面板。钢筋混凝土工作闸门在预制场预制运至工地现场，从检修平台吊至闸门槽附近，待装止水橡皮等材料后，吊至闸槽内。</w:t>
      </w:r>
    </w:p>
    <w:p w14:paraId="6572942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③各部位施工均应按照现行有关规范要求进行，严格施工程序监理、质量监督和</w:t>
      </w:r>
      <w:r>
        <w:rPr>
          <w:rFonts w:hint="default" w:ascii="Times New Roman" w:hAnsi="Times New Roman" w:eastAsia="宋体" w:cs="Times New Roman"/>
          <w:b w:val="0"/>
          <w:bCs w:val="0"/>
          <w:color w:val="000000"/>
          <w:sz w:val="24"/>
          <w:szCs w:val="24"/>
          <w:lang w:val="en-US" w:eastAsia="zh-CN" w:bidi="ar"/>
        </w:rPr>
        <w:t>检查验收，对隐蔽工程更应重点加强。</w:t>
      </w:r>
    </w:p>
    <w:p w14:paraId="70B9B102">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4.7机电及金属结构设备安装</w:t>
      </w:r>
    </w:p>
    <w:p w14:paraId="3E3D8DF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泵站需安装钢管、拍门、铸铁闸门等，要求由专业化工厂集中制作，经验收合格后运至场地，由监理工程师及相关人员对产品进行验收。合格后用汽车吊配合人工安装，安装后防腐处理，然后进行校准、调合、试水等，均应应符合《水利工程铸铁闸门设计制造安装验收规范》（DB32/T1712-2011）等有关规定。启闭机要求在工厂组装总成后运至现场安装、调试后安装。</w:t>
      </w:r>
    </w:p>
    <w:p w14:paraId="34E9CB08">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泵站的机电安装工程应以主机泵为核心，全面展开，穿插进行，主机泵由汽车运至汽车吊作业范围，通过汽车吊和辅助机械吊装就位，主机泵可形成平面流水作业，安装精度应满足设计及规范要求。</w:t>
      </w:r>
    </w:p>
    <w:p w14:paraId="007528F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闸门安装前应进行门槽一期混凝土的凿毛，调整预埋插筋或基础螺栓，并清除门槽内渣土与积水，再进行埋件安装。埋件安装和二期混凝土采用搭设脚手架进行施工，按先埋设底槛，后埋设主机轨、反轨、侧轨及门楣的顺序进行，同时在组装场进行门叶组装，待埋件和门叶检查、测量合格后，由扒杆将闸门吊入门槽内进行启闭试验。</w:t>
      </w:r>
    </w:p>
    <w:p w14:paraId="4992DFA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整个设备安装工程中的大量预埋件及设备安装准备工作，应在土建部分施工中相应进行，要求埋置及时，位置准确，避免发生漏埋与错埋事故，以保证安装工作质量可靠，进展顺利。</w:t>
      </w:r>
    </w:p>
    <w:p w14:paraId="1FC67FFD">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4.8、原建筑拆除</w:t>
      </w:r>
    </w:p>
    <w:p w14:paraId="116B632F">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原水闸主体结构进行拆除，采用人工与机械结合方案，自上而下运用挖掘机、人工、风镐、吊机等相互配合，拆除后将废料运输出去。</w:t>
      </w:r>
    </w:p>
    <w:p w14:paraId="5C8D7AA3">
      <w:pPr>
        <w:keepNext w:val="0"/>
        <w:keepLines w:val="0"/>
        <w:pageBreakBefore w:val="0"/>
        <w:widowControl w:val="0"/>
        <w:suppressLineNumbers w:val="0"/>
        <w:spacing w:before="0" w:beforeAutospacing="0" w:after="0" w:afterAutospacing="0" w:line="360" w:lineRule="auto"/>
        <w:ind w:left="0" w:right="0" w:firstLine="482"/>
        <w:jc w:val="both"/>
        <w:rPr>
          <w:rFonts w:hint="default" w:ascii="Times New Roman" w:hAnsi="Times New Roman" w:eastAsia="宋体" w:cs="Times New Roman"/>
          <w:b/>
          <w:bCs/>
          <w:color w:val="000000"/>
          <w:sz w:val="24"/>
          <w:szCs w:val="24"/>
          <w:highlight w:val="none"/>
          <w:lang w:val="en-US" w:eastAsia="zh-CN" w:bidi="ar-SA"/>
        </w:rPr>
      </w:pPr>
      <w:r>
        <w:rPr>
          <w:rFonts w:hint="default" w:ascii="Times New Roman" w:hAnsi="Times New Roman" w:eastAsia="宋体" w:cs="Times New Roman"/>
          <w:b/>
          <w:bCs/>
          <w:color w:val="000000"/>
          <w:sz w:val="24"/>
          <w:szCs w:val="24"/>
          <w:highlight w:val="none"/>
          <w:lang w:val="en-US" w:eastAsia="zh-CN" w:bidi="ar-SA"/>
        </w:rPr>
        <w:t>5、管道施工</w:t>
      </w:r>
    </w:p>
    <w:p w14:paraId="0B679AA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（1）测量放线</w:t>
      </w:r>
    </w:p>
    <w:p w14:paraId="7355B4A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①按设计施工图要求进行管道定位、放线，在各变坡点、三通处标出桩号、埋深。</w:t>
      </w:r>
    </w:p>
    <w:p w14:paraId="772A702A">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②每隔一段距离进行复测，必须经设计、业主等各方复测签字后方可开挖。</w:t>
      </w:r>
    </w:p>
    <w:p w14:paraId="06913E3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（2）管沟开挖</w:t>
      </w:r>
    </w:p>
    <w:p w14:paraId="7BE3F161">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highlight w:val="none"/>
          <w:lang w:val="en-US" w:eastAsia="zh-CN" w:bidi="ar-SA"/>
        </w:rPr>
        <w:t>①管道沟槽应按设计要求的平面位置和标高开挖，管沟开挖应使沟底原土层不被拢动，人工开挖且无地下水时，槽底宜预留50-100㎜，机械开挖或有地下水时，槽底宜预留200㎜，预留部分的管道安装前用人工清底，如局部超挖，需用砂土或素土填补并分层夯实。管沟堆土宜一边堆放，另一边作安装场地或安全通道。挖出的旧构筑物、石块、砖块、木块、垃圾等杂物与泥土应分别堆放。沟底遇有不易清除的块石</w:t>
      </w:r>
      <w:r>
        <w:rPr>
          <w:rFonts w:hint="default" w:ascii="Times New Roman" w:hAnsi="Times New Roman" w:eastAsia="宋体" w:cs="Times New Roman"/>
          <w:color w:val="000000"/>
          <w:sz w:val="24"/>
          <w:szCs w:val="24"/>
          <w:lang w:val="en-US" w:eastAsia="zh-CN" w:bidi="ar"/>
        </w:rPr>
        <w:t>等坚硬物体及凡可能引起不均匀沉降的地段，其他基应深挖至设计标高以下200㎜铺垫砂土或素土，并夯实平整。管沟内现场接点处按需加宽。沟槽没有支撑时，二边另外支撑宽度。</w:t>
      </w:r>
    </w:p>
    <w:p w14:paraId="32D71E3C">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②开挖中严格控制沟槽直顺度，沟底标高，严禁超挖，并对相邻管线做好保护措施，清除沟底硬、杂物；管道安装前人工清底至设计标高，如下雨，必须每隔25米设一集水坑，配备足够水泵，严禁发生积水泡槽现象；间距6-10米进行检查验收，合格后方可进入下一道工序施工。</w:t>
      </w:r>
    </w:p>
    <w:p w14:paraId="24405A9D">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rPr>
      </w:pPr>
      <w:r>
        <w:rPr>
          <w:rFonts w:hint="default" w:ascii="Times New Roman" w:hAnsi="Times New Roman" w:eastAsia="宋体" w:cs="Times New Roman"/>
          <w:color w:val="000000"/>
          <w:sz w:val="24"/>
          <w:szCs w:val="24"/>
          <w:lang w:val="en-US" w:eastAsia="zh-CN" w:bidi="ar"/>
        </w:rPr>
        <w:t>③管道埋深要保证管顶覆土0.7m，穿越道路、农田、河流或沿公路铺设时覆土不小于1.0m。</w:t>
      </w:r>
    </w:p>
    <w:p w14:paraId="18E55E84">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rPr>
      </w:pPr>
      <w:r>
        <w:rPr>
          <w:rFonts w:hint="eastAsia" w:cs="Times New Roman"/>
          <w:b/>
          <w:bCs/>
          <w:color w:val="000000"/>
          <w:sz w:val="24"/>
          <w:szCs w:val="24"/>
          <w:lang w:val="en-US" w:eastAsia="zh-CN" w:bidi="ar"/>
        </w:rPr>
        <w:t>6</w:t>
      </w:r>
      <w:r>
        <w:rPr>
          <w:rFonts w:hint="default" w:ascii="Times New Roman" w:hAnsi="Times New Roman" w:eastAsia="宋体" w:cs="Times New Roman"/>
          <w:b/>
          <w:bCs/>
          <w:color w:val="000000"/>
          <w:sz w:val="24"/>
          <w:szCs w:val="24"/>
          <w:lang w:val="en-US" w:eastAsia="zh-CN" w:bidi="ar"/>
        </w:rPr>
        <w:t>、</w:t>
      </w:r>
      <w:r>
        <w:rPr>
          <w:rFonts w:hint="eastAsia" w:cs="Times New Roman"/>
          <w:b/>
          <w:bCs/>
          <w:color w:val="000000"/>
          <w:sz w:val="24"/>
          <w:szCs w:val="24"/>
          <w:lang w:val="en-US" w:eastAsia="zh-CN" w:bidi="ar"/>
        </w:rPr>
        <w:t>疏浚、</w:t>
      </w:r>
      <w:r>
        <w:rPr>
          <w:rFonts w:hint="default" w:ascii="Times New Roman" w:hAnsi="Times New Roman" w:eastAsia="宋体" w:cs="Times New Roman"/>
          <w:b/>
          <w:bCs/>
          <w:color w:val="000000"/>
          <w:sz w:val="24"/>
          <w:szCs w:val="24"/>
          <w:lang w:val="en-US" w:eastAsia="zh-CN" w:bidi="ar"/>
        </w:rPr>
        <w:t>清淤施工</w:t>
      </w:r>
    </w:p>
    <w:p w14:paraId="18660B7D">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rPr>
      </w:pPr>
      <w:r>
        <w:rPr>
          <w:rFonts w:hint="default" w:ascii="Times New Roman" w:hAnsi="Times New Roman" w:eastAsia="宋体" w:cs="Times New Roman"/>
          <w:color w:val="000000"/>
          <w:sz w:val="24"/>
          <w:szCs w:val="24"/>
          <w:lang w:val="en-US" w:eastAsia="zh-CN" w:bidi="ar"/>
        </w:rPr>
        <w:t>河道由于多年来的淤积，严重影响河道的行洪能力，需对河道进行清淤疏浚，清淤应注意对两岸沿河建筑物的保护。本次清淤拟采用挖掘机清淤。</w:t>
      </w:r>
    </w:p>
    <w:p w14:paraId="58A0DD8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（1）排水干挖清淤（人工清淤-人工倒运-汽车运输）</w:t>
      </w:r>
    </w:p>
    <w:p w14:paraId="29D6474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对于一些墙角零星角落位置，任何施工机械均无法进入的区域，采用人工清淤人工倒运至自卸汽车可以到达的位置，再用挖掘机转运至自卸汽车上。人工清淤具体施工方式为：人工用锹装手推车，人工推手推车在已搭设好的跳板上行走，运到挖掘机有效作业范围内，再按照机械清淤的工序倒运、装车、运输。</w:t>
      </w:r>
    </w:p>
    <w:p w14:paraId="20B1D9B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（2）排水干挖清淤（挖机清淤-汽车运输）</w:t>
      </w:r>
    </w:p>
    <w:p w14:paraId="4BE62804">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lang w:val="en-US" w:eastAsia="zh-CN" w:bidi="ar"/>
        </w:rPr>
        <w:t>对于交通条件较好的河段，形成干地施工条件后，先在干地条件下晾晒，经晾晒后，采用1.25m</w:t>
      </w:r>
      <w:r>
        <w:rPr>
          <w:rFonts w:hint="default" w:ascii="Times New Roman" w:hAnsi="Times New Roman" w:eastAsia="宋体" w:cs="Times New Roman"/>
          <w:color w:val="000000"/>
          <w:sz w:val="24"/>
          <w:szCs w:val="24"/>
          <w:vertAlign w:val="superscript"/>
          <w:lang w:val="en-US" w:eastAsia="zh-CN" w:bidi="ar"/>
        </w:rPr>
        <w:t>3</w:t>
      </w:r>
      <w:r>
        <w:rPr>
          <w:rFonts w:hint="default" w:ascii="Times New Roman" w:hAnsi="Times New Roman" w:eastAsia="宋体" w:cs="Times New Roman"/>
          <w:color w:val="000000"/>
          <w:sz w:val="24"/>
          <w:szCs w:val="24"/>
          <w:lang w:val="en-US" w:eastAsia="zh-CN" w:bidi="ar"/>
        </w:rPr>
        <w:t>挖掘机在河道内清理淤泥，将淤泥清理堆至0.5m</w:t>
      </w:r>
      <w:r>
        <w:rPr>
          <w:rFonts w:hint="default" w:ascii="Times New Roman" w:hAnsi="Times New Roman" w:eastAsia="宋体" w:cs="Times New Roman"/>
          <w:color w:val="000000"/>
          <w:sz w:val="24"/>
          <w:szCs w:val="24"/>
          <w:vertAlign w:val="superscript"/>
          <w:lang w:val="en-US" w:eastAsia="zh-CN" w:bidi="ar"/>
        </w:rPr>
        <w:t>3</w:t>
      </w:r>
      <w:r>
        <w:rPr>
          <w:rFonts w:hint="default" w:ascii="Times New Roman" w:hAnsi="Times New Roman" w:eastAsia="宋体" w:cs="Times New Roman"/>
          <w:color w:val="000000"/>
          <w:sz w:val="24"/>
          <w:szCs w:val="24"/>
          <w:lang w:val="en-US" w:eastAsia="zh-CN" w:bidi="ar"/>
        </w:rPr>
        <w:t>长臂挖掘机有效作业范围内，再用0.5m</w:t>
      </w:r>
      <w:r>
        <w:rPr>
          <w:rFonts w:hint="default" w:ascii="Times New Roman" w:hAnsi="Times New Roman" w:eastAsia="宋体" w:cs="Times New Roman"/>
          <w:color w:val="000000"/>
          <w:sz w:val="24"/>
          <w:szCs w:val="24"/>
          <w:vertAlign w:val="superscript"/>
          <w:lang w:val="en-US" w:eastAsia="zh-CN" w:bidi="ar"/>
        </w:rPr>
        <w:t>3</w:t>
      </w:r>
      <w:r>
        <w:rPr>
          <w:rFonts w:hint="default" w:ascii="Times New Roman" w:hAnsi="Times New Roman" w:eastAsia="宋体" w:cs="Times New Roman"/>
          <w:color w:val="000000"/>
          <w:sz w:val="24"/>
          <w:szCs w:val="24"/>
          <w:lang w:val="en-US" w:eastAsia="zh-CN" w:bidi="ar"/>
        </w:rPr>
        <w:t>长臂挖掘机清理有效作业范围内的淤泥至岸边，采用1.25m3挖掘机将淤泥装入20t自卸车外运。</w:t>
      </w:r>
    </w:p>
    <w:p w14:paraId="07B88E89">
      <w:pPr>
        <w:keepNext w:val="0"/>
        <w:keepLines w:val="0"/>
        <w:pageBreakBefore w:val="0"/>
        <w:widowControl w:val="0"/>
        <w:suppressLineNumbers w:val="0"/>
        <w:spacing w:before="0" w:beforeAutospacing="0" w:after="0" w:afterAutospacing="0" w:line="360" w:lineRule="auto"/>
        <w:ind w:left="0" w:right="0" w:firstLine="480"/>
        <w:jc w:val="both"/>
        <w:rPr>
          <w:rFonts w:hint="eastAsia"/>
          <w:color w:val="000000"/>
          <w:highlight w:val="none"/>
          <w:lang w:val="en-US" w:eastAsia="zh-CN"/>
        </w:rPr>
      </w:pPr>
    </w:p>
    <w:p w14:paraId="6E289DAD">
      <w:pPr>
        <w:pStyle w:val="5"/>
        <w:rPr>
          <w:rFonts w:hint="eastAsia"/>
          <w:color w:val="000000"/>
          <w:lang w:val="en-US" w:eastAsia="zh-CN"/>
        </w:rPr>
      </w:pPr>
      <w:bookmarkStart w:id="72" w:name="_Toc9172"/>
      <w:r>
        <w:rPr>
          <w:rFonts w:hint="eastAsia"/>
          <w:color w:val="000000"/>
          <w:lang w:val="en-US" w:eastAsia="zh-CN"/>
        </w:rPr>
        <w:t>2.2.3土方量及调配</w:t>
      </w:r>
      <w:bookmarkEnd w:id="72"/>
    </w:p>
    <w:p w14:paraId="0F258C0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sz w:val="24"/>
          <w:highlight w:val="none"/>
          <w:lang w:val="en-US" w:eastAsia="zh-CN"/>
        </w:rPr>
        <w:t>土石方主要有：拆除、清淤、清杂、清表、土方开挖、土方填筑等。本工程开挖总量约</w:t>
      </w:r>
      <w:r>
        <w:rPr>
          <w:rFonts w:hint="eastAsia" w:ascii="Times New Roman" w:hAnsi="Times New Roman" w:eastAsia="宋体" w:cs="Times New Roman"/>
          <w:color w:val="000000"/>
          <w:sz w:val="24"/>
          <w:highlight w:val="none"/>
          <w:lang w:val="en-US" w:eastAsia="zh-CN"/>
        </w:rPr>
        <w:t>57.4261</w:t>
      </w:r>
      <w:r>
        <w:rPr>
          <w:rFonts w:hint="default" w:ascii="Times New Roman" w:hAnsi="Times New Roman" w:eastAsia="宋体" w:cs="Times New Roman"/>
          <w:color w:val="000000"/>
          <w:sz w:val="24"/>
          <w:highlight w:val="none"/>
          <w:lang w:val="en-US" w:eastAsia="zh-CN"/>
        </w:rPr>
        <w:t>万m</w:t>
      </w:r>
      <w:r>
        <w:rPr>
          <w:rFonts w:hint="default" w:ascii="Times New Roman" w:hAnsi="Times New Roman" w:eastAsia="宋体" w:cs="Times New Roman"/>
          <w:color w:val="000000"/>
          <w:sz w:val="24"/>
          <w:highlight w:val="none"/>
          <w:vertAlign w:val="superscript"/>
          <w:lang w:val="en-US" w:eastAsia="zh-CN"/>
        </w:rPr>
        <w:t>3</w:t>
      </w:r>
      <w:r>
        <w:rPr>
          <w:rFonts w:hint="default" w:ascii="Times New Roman" w:hAnsi="Times New Roman" w:eastAsia="宋体" w:cs="Times New Roman"/>
          <w:color w:val="000000"/>
          <w:sz w:val="24"/>
          <w:highlight w:val="none"/>
          <w:lang w:val="en-US" w:eastAsia="zh-CN"/>
        </w:rPr>
        <w:t>；土方填筑总量</w:t>
      </w:r>
      <w:r>
        <w:rPr>
          <w:rFonts w:hint="eastAsia" w:ascii="Times New Roman" w:hAnsi="Times New Roman" w:eastAsia="宋体" w:cs="Times New Roman"/>
          <w:color w:val="000000"/>
          <w:sz w:val="24"/>
          <w:highlight w:val="none"/>
          <w:lang w:val="en-US" w:eastAsia="zh-CN"/>
        </w:rPr>
        <w:t>52.2508</w:t>
      </w:r>
      <w:r>
        <w:rPr>
          <w:rFonts w:hint="default" w:ascii="Times New Roman" w:hAnsi="Times New Roman" w:eastAsia="宋体" w:cs="Times New Roman"/>
          <w:color w:val="000000"/>
          <w:sz w:val="24"/>
          <w:highlight w:val="none"/>
          <w:lang w:val="en-US" w:eastAsia="zh-CN"/>
        </w:rPr>
        <w:t>万m</w:t>
      </w:r>
      <w:r>
        <w:rPr>
          <w:rFonts w:hint="default" w:ascii="Times New Roman" w:hAnsi="Times New Roman" w:eastAsia="宋体" w:cs="Times New Roman"/>
          <w:color w:val="000000"/>
          <w:sz w:val="24"/>
          <w:highlight w:val="none"/>
          <w:vertAlign w:val="superscript"/>
          <w:lang w:val="en-US" w:eastAsia="zh-CN"/>
        </w:rPr>
        <w:t>3</w:t>
      </w:r>
      <w:r>
        <w:rPr>
          <w:rFonts w:hint="default" w:ascii="Times New Roman" w:hAnsi="Times New Roman" w:eastAsia="宋体" w:cs="Times New Roman"/>
          <w:color w:val="000000"/>
          <w:sz w:val="24"/>
          <w:highlight w:val="none"/>
          <w:lang w:val="en-US" w:eastAsia="zh-CN"/>
        </w:rPr>
        <w:t>；共计余方土约</w:t>
      </w:r>
      <w:r>
        <w:rPr>
          <w:rFonts w:hint="eastAsia" w:ascii="Times New Roman" w:hAnsi="Times New Roman" w:eastAsia="宋体" w:cs="Times New Roman"/>
          <w:color w:val="000000"/>
          <w:sz w:val="24"/>
          <w:highlight w:val="none"/>
          <w:lang w:val="en-US" w:eastAsia="zh-CN"/>
        </w:rPr>
        <w:t>5.1753</w:t>
      </w:r>
      <w:r>
        <w:rPr>
          <w:rFonts w:hint="default" w:ascii="Times New Roman" w:hAnsi="Times New Roman" w:eastAsia="宋体" w:cs="Times New Roman"/>
          <w:color w:val="000000"/>
          <w:sz w:val="24"/>
          <w:highlight w:val="none"/>
          <w:lang w:val="en-US" w:eastAsia="zh-CN"/>
        </w:rPr>
        <w:t>万m</w:t>
      </w:r>
      <w:r>
        <w:rPr>
          <w:rFonts w:hint="default"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，余方土由县矿产公司统一运输安置</w:t>
      </w:r>
      <w:r>
        <w:rPr>
          <w:rFonts w:hint="default" w:ascii="Times New Roman" w:hAnsi="Times New Roman" w:eastAsia="宋体" w:cs="Times New Roman"/>
          <w:color w:val="000000"/>
          <w:sz w:val="24"/>
          <w:highlight w:val="none"/>
          <w:lang w:val="en-US" w:eastAsia="zh-CN"/>
        </w:rPr>
        <w:t>。</w:t>
      </w:r>
    </w:p>
    <w:p w14:paraId="65916AF7">
      <w:pPr>
        <w:keepNext w:val="0"/>
        <w:keepLines w:val="0"/>
        <w:pageBreakBefore w:val="0"/>
        <w:widowControl/>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sz w:val="24"/>
          <w:highlight w:val="none"/>
          <w:vertAlign w:val="superscript"/>
          <w:lang w:val="en-US" w:eastAsia="zh-CN"/>
        </w:rPr>
      </w:pPr>
      <w:r>
        <w:rPr>
          <w:rFonts w:hint="default" w:ascii="Times New Roman" w:hAnsi="Times New Roman" w:eastAsia="宋体" w:cs="Times New Roman"/>
          <w:b/>
          <w:bCs/>
          <w:color w:val="000000"/>
          <w:sz w:val="24"/>
          <w:highlight w:val="none"/>
          <w:lang w:val="en-US" w:eastAsia="zh-CN"/>
        </w:rPr>
        <w:t>表2</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w:t>
      </w:r>
      <w:r>
        <w:rPr>
          <w:rFonts w:hint="eastAsia" w:ascii="Times New Roman" w:hAnsi="Times New Roman" w:eastAsia="宋体" w:cs="Times New Roman"/>
          <w:b/>
          <w:bCs/>
          <w:color w:val="000000"/>
          <w:sz w:val="24"/>
          <w:highlight w:val="none"/>
          <w:lang w:val="en-US" w:eastAsia="zh-CN"/>
        </w:rPr>
        <w:t>4</w:t>
      </w:r>
      <w:r>
        <w:rPr>
          <w:rFonts w:hint="default" w:ascii="Times New Roman" w:hAnsi="Times New Roman" w:eastAsia="宋体" w:cs="Times New Roman"/>
          <w:b/>
          <w:bCs/>
          <w:color w:val="000000"/>
          <w:sz w:val="24"/>
          <w:highlight w:val="none"/>
          <w:lang w:val="en-US" w:eastAsia="zh-CN"/>
        </w:rPr>
        <w:t xml:space="preserve"> 土石方平衡一览表  单位：万m</w:t>
      </w:r>
      <w:r>
        <w:rPr>
          <w:rFonts w:hint="default" w:ascii="Times New Roman" w:hAnsi="Times New Roman" w:eastAsia="宋体" w:cs="Times New Roman"/>
          <w:b/>
          <w:bCs/>
          <w:color w:val="000000"/>
          <w:sz w:val="24"/>
          <w:highlight w:val="none"/>
          <w:vertAlign w:val="superscript"/>
          <w:lang w:val="en-US" w:eastAsia="zh-CN"/>
        </w:rPr>
        <w:t>3</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2251"/>
        <w:gridCol w:w="2251"/>
        <w:gridCol w:w="2255"/>
      </w:tblGrid>
      <w:tr w14:paraId="68A0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5AD90B0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工程名称</w:t>
            </w:r>
          </w:p>
        </w:tc>
        <w:tc>
          <w:tcPr>
            <w:tcW w:w="2017" w:type="dxa"/>
            <w:noWrap w:val="0"/>
            <w:vAlign w:val="center"/>
          </w:tcPr>
          <w:p w14:paraId="02826A0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开挖土</w:t>
            </w:r>
          </w:p>
        </w:tc>
        <w:tc>
          <w:tcPr>
            <w:tcW w:w="2017" w:type="dxa"/>
            <w:noWrap w:val="0"/>
            <w:vAlign w:val="center"/>
          </w:tcPr>
          <w:p w14:paraId="37528CD9">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填筑土</w:t>
            </w:r>
          </w:p>
        </w:tc>
        <w:tc>
          <w:tcPr>
            <w:tcW w:w="2020" w:type="dxa"/>
            <w:noWrap w:val="0"/>
            <w:vAlign w:val="center"/>
          </w:tcPr>
          <w:p w14:paraId="1052EC42">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弃方</w:t>
            </w:r>
          </w:p>
        </w:tc>
      </w:tr>
      <w:tr w14:paraId="6412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6591E7E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数量</w:t>
            </w:r>
          </w:p>
        </w:tc>
        <w:tc>
          <w:tcPr>
            <w:tcW w:w="2017" w:type="dxa"/>
            <w:noWrap w:val="0"/>
            <w:vAlign w:val="center"/>
          </w:tcPr>
          <w:p w14:paraId="2402DE00">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highlight w:val="none"/>
                <w:lang w:val="en-US" w:eastAsia="zh-CN"/>
              </w:rPr>
              <w:t>57.4261</w:t>
            </w:r>
          </w:p>
        </w:tc>
        <w:tc>
          <w:tcPr>
            <w:tcW w:w="2017" w:type="dxa"/>
            <w:noWrap w:val="0"/>
            <w:vAlign w:val="center"/>
          </w:tcPr>
          <w:p w14:paraId="76D5021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52.2508</w:t>
            </w:r>
          </w:p>
        </w:tc>
        <w:tc>
          <w:tcPr>
            <w:tcW w:w="2020" w:type="dxa"/>
            <w:noWrap w:val="0"/>
            <w:vAlign w:val="center"/>
          </w:tcPr>
          <w:p w14:paraId="299B8F9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5.1753</w:t>
            </w:r>
          </w:p>
        </w:tc>
      </w:tr>
      <w:tr w14:paraId="2CD1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09355A6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2017" w:type="dxa"/>
            <w:noWrap w:val="0"/>
            <w:vAlign w:val="center"/>
          </w:tcPr>
          <w:p w14:paraId="4FB06C47">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highlight w:val="none"/>
                <w:lang w:val="en-US" w:eastAsia="zh-CN"/>
              </w:rPr>
              <w:t>57.4261</w:t>
            </w:r>
          </w:p>
        </w:tc>
        <w:tc>
          <w:tcPr>
            <w:tcW w:w="4037" w:type="dxa"/>
            <w:gridSpan w:val="2"/>
            <w:noWrap w:val="0"/>
            <w:vAlign w:val="center"/>
          </w:tcPr>
          <w:p w14:paraId="75AD6F0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highlight w:val="none"/>
                <w:lang w:val="en-US" w:eastAsia="zh-CN"/>
              </w:rPr>
              <w:t>57.4261</w:t>
            </w:r>
          </w:p>
        </w:tc>
      </w:tr>
    </w:tbl>
    <w:p w14:paraId="4B9A19DF">
      <w:pPr>
        <w:pStyle w:val="5"/>
        <w:ind w:left="0" w:firstLine="0"/>
        <w:rPr>
          <w:rFonts w:hint="eastAsia"/>
          <w:color w:val="000000"/>
          <w:lang w:val="en-US" w:eastAsia="zh-CN"/>
        </w:rPr>
      </w:pPr>
      <w:bookmarkStart w:id="73" w:name="_Toc29386"/>
      <w:r>
        <w:rPr>
          <w:rFonts w:hint="eastAsia"/>
          <w:color w:val="000000"/>
          <w:lang w:val="en-US" w:eastAsia="zh-CN"/>
        </w:rPr>
        <w:t>2.2.4施工总布置</w:t>
      </w:r>
      <w:bookmarkEnd w:id="73"/>
    </w:p>
    <w:p w14:paraId="0DF2571C">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highlight w:val="none"/>
        </w:rPr>
      </w:pPr>
      <w:bookmarkStart w:id="74" w:name="_Toc24007"/>
      <w:r>
        <w:rPr>
          <w:rFonts w:hint="default" w:ascii="Times New Roman" w:hAnsi="Times New Roman" w:eastAsia="宋体" w:cs="Times New Roman"/>
          <w:b/>
          <w:color w:val="000000"/>
          <w:sz w:val="24"/>
          <w:highlight w:val="none"/>
        </w:rPr>
        <w:t>1、工程布局情况</w:t>
      </w:r>
    </w:p>
    <w:p w14:paraId="49D38F3C">
      <w:pPr>
        <w:keepNext/>
        <w:keepLines/>
        <w:pageBreakBefore w:val="0"/>
        <w:widowControl w:val="0"/>
        <w:suppressLineNumbers w:val="0"/>
        <w:spacing w:before="0" w:beforeAutospacing="0" w:after="0" w:afterAutospacing="0" w:line="360" w:lineRule="auto"/>
        <w:ind w:left="0" w:right="0" w:firstLine="480"/>
        <w:jc w:val="both"/>
        <w:outlineLvl w:val="3"/>
        <w:rPr>
          <w:rFonts w:hint="default" w:ascii="Times New Roman" w:hAnsi="Times New Roman" w:eastAsia="宋体" w:cs="Times New Roman"/>
          <w:b w:val="0"/>
          <w:bCs w:val="0"/>
          <w:color w:val="000000"/>
          <w:sz w:val="24"/>
          <w:szCs w:val="24"/>
          <w:highlight w:val="none"/>
          <w:lang w:val="en-US" w:eastAsia="zh-CN" w:bidi="ar"/>
        </w:rPr>
      </w:pPr>
      <w:r>
        <w:rPr>
          <w:rFonts w:hint="default" w:ascii="Times New Roman" w:hAnsi="Times New Roman" w:eastAsia="宋体" w:cs="Times New Roman"/>
          <w:b w:val="0"/>
          <w:bCs w:val="0"/>
          <w:color w:val="000000"/>
          <w:sz w:val="24"/>
          <w:szCs w:val="24"/>
          <w:highlight w:val="none"/>
          <w:lang w:val="en-US" w:eastAsia="zh-CN" w:bidi="ar"/>
        </w:rPr>
        <w:t>1.1区域排涝能力提升工程</w:t>
      </w:r>
      <w:r>
        <w:rPr>
          <w:rFonts w:hint="default" w:ascii="Times New Roman" w:hAnsi="Times New Roman" w:eastAsia="宋体" w:cs="Times New Roman"/>
          <w:b w:val="0"/>
          <w:bCs w:val="0"/>
          <w:color w:val="000000"/>
          <w:spacing w:val="-2"/>
          <w:sz w:val="24"/>
          <w:szCs w:val="24"/>
          <w:highlight w:val="none"/>
        </w:rPr>
        <w:t>布置</w:t>
      </w:r>
    </w:p>
    <w:p w14:paraId="3DFEA376">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1、迎驾厂片排涝能力提升工程：</w:t>
      </w:r>
    </w:p>
    <w:p w14:paraId="71A2454D">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新建泵站设计流量10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/s，选用4台立式轴流泵，单泵流量2.5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/s，总装机功率740kw。</w:t>
      </w:r>
    </w:p>
    <w:p w14:paraId="0AAE8B37">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北侧边沟长3.7k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，其中：矩形排涝沟长1.65k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，净宽2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、深1.5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；梯形断面排涝沟长2.05k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，底宽2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，口宽约8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，边坡1：1.5，采用联锁块护坡。</w:t>
      </w:r>
    </w:p>
    <w:p w14:paraId="3096D092">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六佛路排涝沟长2.58k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，矩形断面，净宽2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、深1.5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791FEB73">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中心排涝沟长2.585k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，矩形断面，分为规格1：净宽3</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、深2.5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；规格2：净宽4.5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、深2.5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04960CF3">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项家院排涝沟长1.2k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，梯形断面，底宽2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，口宽约6~8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，边坡1：1.5，采用联锁块护坡。</w:t>
      </w:r>
    </w:p>
    <w:p w14:paraId="208AACCE">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2、戴家河片排涝能力提升工程：拆建穿路涵13座，改造排涝沟总长1.425k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2A436B73">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（1）拆建穿路涵共计13座，其中：S332穿路涵1座，尺寸3×1.8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，长37</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；1#、2#、3#穿路涵3座，尺寸3×1.8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，长9</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；4#穿路涵1座，尺寸3×3.8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，长7.3</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。另拆建穿路管涵8座，管径0.5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7822B90A">
      <w:pPr>
        <w:pStyle w:val="16"/>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（2）拆建1#排涝沟135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，尺寸1.5×1.5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；新建2#排涝沟630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，尺寸2×1.8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；清淤护砌3#排涝沟630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；新建4#排涝沟30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，尺寸4×1.8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。（4#排涝沟与3#穿路涵衔接）。</w:t>
      </w:r>
    </w:p>
    <w:p w14:paraId="4E640FE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1.2城区排涝通道整治工程布置</w:t>
      </w:r>
    </w:p>
    <w:p w14:paraId="201B9F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幽芳河治理范围东石门水库~高庙河汇入口，治理河道6.36k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。其中河道疏拓6.36k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，防洪达标2.4k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，护岸加固12.72k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，拆（新）建蓄水建筑物7座，改造防汛道路1.8k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w:t>
      </w:r>
    </w:p>
    <w:p w14:paraId="1BFB150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高庙河治理范围牛角冲水库~东淠河汇入口，治理河道5.65k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。其中新建护岸7.24k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，石笼固脚3.15k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，拆（新）建蓄水建筑物4座，新建巡查便道0.525k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，防洪达标0.8k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w:t>
      </w:r>
    </w:p>
    <w:p w14:paraId="05ACC74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柳林河治理范围团结水库~东淠河汇入口，治理河道11.1k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。其中新建护岸3.415k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、护坡5.28k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，石笼固脚9.19k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，堤防封闭300</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，加固拦河坝2座，拆建防洪闸1座，拆建（加固）排涝涵5座，堤顶防汛道路白改黑长7.2k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，水毁段修复16处。</w:t>
      </w:r>
    </w:p>
    <w:p w14:paraId="715F6AE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新店河治理范围印墩村~戴家河汇入口，治理河道2.51k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。其中新建护岸2.106k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，现状护岸改造0.195k</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w:t>
      </w:r>
    </w:p>
    <w:p w14:paraId="67BA9109">
      <w:pPr>
        <w:keepNext w:val="0"/>
        <w:keepLines w:val="0"/>
        <w:pageBreakBefore w:val="0"/>
        <w:widowControl w:val="0"/>
        <w:numPr>
          <w:ilvl w:val="0"/>
          <w:numId w:val="0"/>
        </w:numPr>
        <w:suppressLineNumbers w:val="0"/>
        <w:spacing w:before="0" w:beforeAutospacing="0" w:after="0" w:afterAutospacing="0" w:line="360" w:lineRule="auto"/>
        <w:ind w:left="480" w:right="0"/>
        <w:rPr>
          <w:rFonts w:hint="default" w:ascii="Times New Roman" w:hAnsi="Times New Roman" w:eastAsia="宋体" w:cs="Times New Roman"/>
          <w:b w:val="0"/>
          <w:bCs w:val="0"/>
          <w:color w:val="000000"/>
          <w:spacing w:val="-2"/>
          <w:sz w:val="24"/>
          <w:szCs w:val="24"/>
          <w:highlight w:val="none"/>
          <w:lang w:eastAsia="zh-CN"/>
        </w:rPr>
      </w:pPr>
      <w:r>
        <w:rPr>
          <w:rFonts w:hint="default" w:ascii="Times New Roman" w:hAnsi="Times New Roman" w:eastAsia="宋体" w:cs="Times New Roman"/>
          <w:b w:val="0"/>
          <w:bCs w:val="0"/>
          <w:color w:val="000000"/>
          <w:spacing w:val="-2"/>
          <w:sz w:val="24"/>
          <w:szCs w:val="24"/>
          <w:highlight w:val="none"/>
          <w:lang w:val="en-US" w:eastAsia="zh-CN"/>
        </w:rPr>
        <w:t>1.3</w:t>
      </w:r>
      <w:r>
        <w:rPr>
          <w:rFonts w:hint="default" w:ascii="Times New Roman" w:hAnsi="Times New Roman" w:eastAsia="宋体" w:cs="Times New Roman"/>
          <w:b w:val="0"/>
          <w:bCs w:val="0"/>
          <w:color w:val="000000"/>
          <w:spacing w:val="-2"/>
          <w:sz w:val="24"/>
          <w:szCs w:val="24"/>
          <w:highlight w:val="none"/>
          <w:lang w:eastAsia="zh-CN"/>
        </w:rPr>
        <w:t>排水管网改造工程</w:t>
      </w:r>
    </w:p>
    <w:p w14:paraId="23747B7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rPr>
      </w:pPr>
      <w:r>
        <w:rPr>
          <w:rFonts w:hint="default" w:ascii="Times New Roman" w:hAnsi="Times New Roman" w:eastAsia="宋体" w:cs="Times New Roman"/>
          <w:b w:val="0"/>
          <w:bCs/>
          <w:color w:val="000000"/>
          <w:sz w:val="24"/>
          <w:highlight w:val="none"/>
          <w:lang w:val="en-US" w:eastAsia="zh-CN"/>
        </w:rPr>
        <w:t>沿柳林河两侧布置De315主管，由南向北接入现状市政管道，新建污水主管网总长度3354</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；新建Φ700混凝土模块式井127座；本工程沿河设计居民接管户数150户，包含接户井、接户管等，接户管为2250</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，设计总处理规模约为40</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vertAlign w:val="superscript"/>
          <w:lang w:val="en-US" w:eastAsia="zh-CN"/>
        </w:rPr>
        <w:t>3</w:t>
      </w:r>
      <w:r>
        <w:rPr>
          <w:rFonts w:hint="default" w:ascii="Times New Roman" w:hAnsi="Times New Roman" w:eastAsia="宋体" w:cs="Times New Roman"/>
          <w:b w:val="0"/>
          <w:bCs/>
          <w:color w:val="000000"/>
          <w:sz w:val="24"/>
          <w:highlight w:val="none"/>
          <w:lang w:val="en-US" w:eastAsia="zh-CN"/>
        </w:rPr>
        <w:t>/d。沿幽芳河两侧布置De315主管，由南向北接入现状市政管道，新建污水主管网总长度7429</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；新建Φ700混凝土模块式井270座；新建一体化提升泵站1座；本工程沿河设计居民接管户数416户，包含接户井、接户管等，接户管6240</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，设计总处理规模约为70</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vertAlign w:val="superscript"/>
          <w:lang w:val="en-US" w:eastAsia="zh-CN"/>
        </w:rPr>
        <w:t>3</w:t>
      </w:r>
      <w:r>
        <w:rPr>
          <w:rFonts w:hint="default" w:ascii="Times New Roman" w:hAnsi="Times New Roman" w:eastAsia="宋体" w:cs="Times New Roman"/>
          <w:b w:val="0"/>
          <w:bCs/>
          <w:color w:val="000000"/>
          <w:sz w:val="24"/>
          <w:highlight w:val="none"/>
          <w:lang w:val="en-US" w:eastAsia="zh-CN"/>
        </w:rPr>
        <w:t>/d。</w:t>
      </w:r>
    </w:p>
    <w:p w14:paraId="15BE566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rPr>
      </w:pPr>
      <w:r>
        <w:rPr>
          <w:rFonts w:hint="default" w:ascii="Times New Roman" w:hAnsi="Times New Roman" w:eastAsia="宋体" w:cs="Times New Roman"/>
          <w:b w:val="0"/>
          <w:bCs/>
          <w:color w:val="000000"/>
          <w:sz w:val="24"/>
          <w:highlight w:val="none"/>
          <w:lang w:val="en-US" w:eastAsia="zh-CN"/>
        </w:rPr>
        <w:t>本次南岳花都片排水管网新建工程，对片区雨水集中外排，本工程沿惠民路新建d1.8</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排水暗涵，由南向北排入淠源渠。新建排水管网设计排水流量7.3</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vertAlign w:val="superscript"/>
          <w:lang w:val="en-US" w:eastAsia="zh-CN"/>
        </w:rPr>
        <w:t>3</w:t>
      </w:r>
      <w:r>
        <w:rPr>
          <w:rFonts w:hint="default" w:ascii="Times New Roman" w:hAnsi="Times New Roman" w:eastAsia="宋体" w:cs="Times New Roman"/>
          <w:b w:val="0"/>
          <w:bCs/>
          <w:color w:val="000000"/>
          <w:sz w:val="24"/>
          <w:highlight w:val="none"/>
          <w:lang w:val="en-US" w:eastAsia="zh-CN"/>
        </w:rPr>
        <w:t>/s，总长度460</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；新建管涵长度450</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，钢筋砼检查井7座。</w:t>
      </w:r>
    </w:p>
    <w:p w14:paraId="781216C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rPr>
      </w:pPr>
      <w:r>
        <w:rPr>
          <w:rFonts w:hint="default" w:ascii="Times New Roman" w:hAnsi="Times New Roman" w:eastAsia="宋体" w:cs="Times New Roman"/>
          <w:b w:val="0"/>
          <w:bCs/>
          <w:color w:val="000000"/>
          <w:sz w:val="24"/>
          <w:highlight w:val="none"/>
          <w:lang w:val="en-US" w:eastAsia="zh-CN"/>
        </w:rPr>
        <w:t>衡山工业园片区雨污水管网建设滞后，本次衡山工业园片区通过雨污水管道及雨水箱涵建设解决片区的排水能力不足的问题。本次建设污水钢筋混凝土管道DN400~DN800约4.19k</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，建设雨水钢筋混凝土管道DN600~DN1200约4.28k</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，建设雨水箱涵及明渠2.53k</w:t>
      </w:r>
      <w:r>
        <w:rPr>
          <w:rFonts w:hint="eastAsia" w:eastAsia="宋体" w:cs="Times New Roman"/>
          <w:b w:val="0"/>
          <w:bCs/>
          <w:color w:val="000000"/>
          <w:sz w:val="24"/>
          <w:highlight w:val="none"/>
          <w:lang w:val="en-US" w:eastAsia="zh-CN"/>
        </w:rPr>
        <w:t>m</w:t>
      </w:r>
      <w:r>
        <w:rPr>
          <w:rFonts w:hint="default" w:ascii="Times New Roman" w:hAnsi="Times New Roman" w:eastAsia="宋体" w:cs="Times New Roman"/>
          <w:b w:val="0"/>
          <w:bCs/>
          <w:color w:val="000000"/>
          <w:sz w:val="24"/>
          <w:highlight w:val="none"/>
          <w:lang w:val="en-US" w:eastAsia="zh-CN"/>
        </w:rPr>
        <w:t>。</w:t>
      </w:r>
    </w:p>
    <w:p w14:paraId="40C3D637">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highlight w:val="none"/>
          <w:lang w:val="en-US"/>
        </w:rPr>
      </w:pPr>
      <w:r>
        <w:rPr>
          <w:rFonts w:hint="default" w:ascii="Times New Roman" w:hAnsi="Times New Roman" w:eastAsia="宋体" w:cs="Times New Roman"/>
          <w:b/>
          <w:color w:val="000000"/>
          <w:sz w:val="24"/>
          <w:highlight w:val="none"/>
          <w:lang w:val="en-US"/>
        </w:rPr>
        <w:t>2、施工布置情况</w:t>
      </w:r>
    </w:p>
    <w:p w14:paraId="4E2B807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施工生产区场地布置由施工单位结合拟建场地现状进行布置，要求少占地并尽量减小对汛期防汛的影响。施工中临时道路可结合永久进场道路进行设置，并做好临时围堰及基坑排水，做到文明施工、安全施工。生活用房可就近租用民房。</w:t>
      </w:r>
    </w:p>
    <w:p w14:paraId="1AE5A229">
      <w:pPr>
        <w:rPr>
          <w:rFonts w:hint="eastAsia"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项目总平面布局依据河道走向，严格规范施工红线，项目分段施工，布局紧凑，施工临时占地面积小，有利于缩短施工时间，做到各段施工互不干扰，施工场地配套的环保设施齐全，有利于进一步地控制施工扬尘、废水、固废对环境的影响。施工段沿线分布居住区，可满足施工用水用电需求，因此，从环保角度考虑，项目施工平面布置合理</w:t>
      </w:r>
      <w:r>
        <w:rPr>
          <w:rFonts w:hint="eastAsia" w:ascii="Times New Roman" w:hAnsi="Times New Roman" w:eastAsia="宋体" w:cs="Times New Roman"/>
          <w:b w:val="0"/>
          <w:bCs/>
          <w:color w:val="000000"/>
          <w:sz w:val="24"/>
          <w:highlight w:val="none"/>
          <w:lang w:val="en-US" w:eastAsia="zh-CN"/>
        </w:rPr>
        <w:t>。</w:t>
      </w:r>
    </w:p>
    <w:p w14:paraId="62FB5D9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（1）施工供电、供水系统布置</w:t>
      </w:r>
    </w:p>
    <w:p w14:paraId="1396D69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1）供水</w:t>
      </w:r>
    </w:p>
    <w:p w14:paraId="3242409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本工程生活用水可采用市政自来水管网供水，施工用水就近从附近河道取水或采用市政自来水管网供水。</w:t>
      </w:r>
    </w:p>
    <w:p w14:paraId="582C2FC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2）供电</w:t>
      </w:r>
    </w:p>
    <w:p w14:paraId="1660EC57">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本工程施工用电供电范围包括泵站、河道护岸工程及配套建筑物、排水沟、排水管网。施工用电负荷集中在泵站、拦河坝及水闸施工区。本工程泵站、拦河坝及水闸施工供电拟采用永临结合方式，利用附近系统电。排水管网、排水沟施工用电较为分散，可就近从市政电网取电或自备柴油机发电。</w:t>
      </w:r>
    </w:p>
    <w:p w14:paraId="2A6E3F4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（2）混凝土生产设施</w:t>
      </w:r>
    </w:p>
    <w:p w14:paraId="41DDCE5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本工程位于六安市县城内，交通运输发达，制备商品混凝土的厂家较多，具备使用商品混凝土的良好条件。若采用现场集中拌制混凝土的方案，需要较大的临时场地，因此本阶段选择外购商品混凝土的方式作为混凝土的来源。</w:t>
      </w:r>
    </w:p>
    <w:p w14:paraId="1A20665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（3）临时生产设施</w:t>
      </w:r>
    </w:p>
    <w:p w14:paraId="6F25DEB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工程所需的钢筋、木材均在现场加工，拟建立相应的综合材料加工场，布置在主要建筑物附近缓坡地。</w:t>
      </w:r>
    </w:p>
    <w:p w14:paraId="067678C0">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（4）临时堆土场</w:t>
      </w:r>
    </w:p>
    <w:p w14:paraId="2483214E">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本工程部分泵站主泵房全年施工，涉水工作面选择枯水期施工。考虑工程开挖与填筑时序的不匹配，考虑在泵站施工区附近设置临时堆土场，暂存用于后续填筑的基坑开挖土石料。</w:t>
      </w:r>
    </w:p>
    <w:p w14:paraId="662B076B">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b w:val="0"/>
          <w:bCs w:val="0"/>
          <w:color w:val="000000"/>
          <w:sz w:val="24"/>
          <w:szCs w:val="24"/>
          <w:highlight w:val="none"/>
          <w:lang w:val="en-US" w:eastAsia="zh-CN" w:bidi="ar-SA"/>
        </w:rPr>
        <w:t>（5）临时生活办公区</w:t>
      </w:r>
    </w:p>
    <w:p w14:paraId="1B8C3487">
      <w:pPr>
        <w:keepNext w:val="0"/>
        <w:keepLines w:val="0"/>
        <w:pageBreakBefore w:val="0"/>
        <w:widowControl w:val="0"/>
        <w:suppressLineNumbers w:val="0"/>
        <w:spacing w:before="0" w:beforeAutospacing="0" w:after="0" w:afterAutospacing="0" w:line="360" w:lineRule="auto"/>
        <w:ind w:left="0" w:right="0" w:firstLine="480"/>
        <w:jc w:val="both"/>
        <w:rPr>
          <w:rFonts w:hint="eastAsia"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bidi="ar-SA"/>
        </w:rPr>
        <w:t>临时生活与办公用房拟采用租赁型式，拟租用附近民房作为施工承包商现场办公及生活营地。</w:t>
      </w:r>
    </w:p>
    <w:p w14:paraId="5E27EF82">
      <w:pPr>
        <w:rPr>
          <w:rFonts w:hint="eastAsia" w:ascii="Times New Roman" w:hAnsi="Times New Roman" w:eastAsia="黑体" w:cs="Times New Roman"/>
          <w:b/>
          <w:color w:val="000000"/>
          <w:sz w:val="28"/>
          <w:szCs w:val="28"/>
          <w:lang w:val="en-US" w:eastAsia="zh-CN" w:bidi="ar-SA"/>
        </w:rPr>
      </w:pPr>
      <w:r>
        <w:rPr>
          <w:rFonts w:hint="eastAsia" w:ascii="Times New Roman" w:hAnsi="Times New Roman" w:eastAsia="黑体" w:cs="Times New Roman"/>
          <w:b/>
          <w:color w:val="000000"/>
          <w:sz w:val="28"/>
          <w:szCs w:val="28"/>
          <w:lang w:val="en-US" w:eastAsia="zh-CN" w:bidi="ar-SA"/>
        </w:rPr>
        <w:t>2.2.5施工总进度</w:t>
      </w:r>
      <w:bookmarkEnd w:id="74"/>
    </w:p>
    <w:p w14:paraId="600BF5A4">
      <w:pPr>
        <w:pStyle w:val="6"/>
        <w:rPr>
          <w:rFonts w:hint="eastAsia"/>
          <w:color w:val="000000"/>
          <w:lang w:val="en-US" w:eastAsia="zh-CN"/>
        </w:rPr>
      </w:pPr>
      <w:r>
        <w:rPr>
          <w:rFonts w:hint="eastAsia"/>
          <w:color w:val="000000"/>
          <w:lang w:val="en-US" w:eastAsia="zh-CN"/>
        </w:rPr>
        <w:t>1施工进度编制原则</w:t>
      </w:r>
    </w:p>
    <w:p w14:paraId="12D6B247">
      <w:pPr>
        <w:rPr>
          <w:rFonts w:hint="eastAsia"/>
          <w:color w:val="000000"/>
          <w:lang w:val="en-US" w:eastAsia="zh-CN"/>
        </w:rPr>
      </w:pPr>
      <w:r>
        <w:rPr>
          <w:rFonts w:hint="eastAsia"/>
          <w:color w:val="000000"/>
          <w:lang w:val="en-US" w:eastAsia="zh-CN"/>
        </w:rPr>
        <w:t>本工程施工总进度依据建筑物特点、施工条件，本着合理安排施工强度的原则进行编制。</w:t>
      </w:r>
    </w:p>
    <w:p w14:paraId="3724D698">
      <w:pPr>
        <w:rPr>
          <w:rFonts w:hint="eastAsia"/>
          <w:color w:val="000000"/>
          <w:lang w:val="en-US" w:eastAsia="zh-CN"/>
        </w:rPr>
      </w:pPr>
      <w:r>
        <w:rPr>
          <w:rFonts w:hint="eastAsia"/>
          <w:color w:val="000000"/>
          <w:lang w:val="en-US" w:eastAsia="zh-CN"/>
        </w:rPr>
        <w:t>（1）本次工程建设范围区较大，施工互不干扰，因此可根据建设规格和施工能力安排施工进度，力求均衡施工，确保工程高效、保质、按期完成。</w:t>
      </w:r>
    </w:p>
    <w:p w14:paraId="0EF1B465">
      <w:pPr>
        <w:outlineLvl w:val="9"/>
        <w:rPr>
          <w:rFonts w:hint="eastAsia"/>
          <w:color w:val="000000"/>
          <w:lang w:val="en-US" w:eastAsia="zh-CN"/>
        </w:rPr>
      </w:pPr>
      <w:bookmarkStart w:id="75" w:name="_Toc22898"/>
      <w:bookmarkStart w:id="76" w:name="_Toc23203"/>
      <w:r>
        <w:rPr>
          <w:rFonts w:hint="eastAsia"/>
          <w:color w:val="000000"/>
          <w:lang w:val="en-US" w:eastAsia="zh-CN"/>
        </w:rPr>
        <w:t>（2）考虑季节及度汛要求，汛期不安排主体工程施工。</w:t>
      </w:r>
      <w:bookmarkEnd w:id="75"/>
      <w:bookmarkEnd w:id="76"/>
    </w:p>
    <w:p w14:paraId="28143117">
      <w:pPr>
        <w:rPr>
          <w:rFonts w:hint="eastAsia"/>
          <w:color w:val="000000"/>
          <w:lang w:val="en-US" w:eastAsia="zh-CN"/>
        </w:rPr>
      </w:pPr>
      <w:r>
        <w:rPr>
          <w:rFonts w:hint="eastAsia"/>
          <w:color w:val="000000"/>
          <w:lang w:val="en-US" w:eastAsia="zh-CN"/>
        </w:rPr>
        <w:t>（3）依据工程的特点，尽可能采用较为先进的施工工艺和技术设备，以提高工效。</w:t>
      </w:r>
    </w:p>
    <w:p w14:paraId="23411AFF">
      <w:pPr>
        <w:pStyle w:val="6"/>
        <w:outlineLvl w:val="2"/>
        <w:rPr>
          <w:rFonts w:hint="eastAsia"/>
          <w:color w:val="000000"/>
          <w:lang w:val="en-US" w:eastAsia="zh-CN"/>
        </w:rPr>
      </w:pPr>
      <w:bookmarkStart w:id="77" w:name="_Toc28217"/>
      <w:r>
        <w:rPr>
          <w:rFonts w:hint="eastAsia"/>
          <w:color w:val="000000"/>
          <w:lang w:val="en-US" w:eastAsia="zh-CN"/>
        </w:rPr>
        <w:t>2施工总工期及分期计划</w:t>
      </w:r>
      <w:bookmarkEnd w:id="77"/>
    </w:p>
    <w:p w14:paraId="3A622718">
      <w:pPr>
        <w:rPr>
          <w:rFonts w:hint="eastAsia"/>
          <w:color w:val="000000"/>
          <w:highlight w:val="none"/>
          <w:lang w:val="en-US" w:eastAsia="zh-CN"/>
        </w:rPr>
      </w:pPr>
      <w:r>
        <w:rPr>
          <w:rFonts w:hint="eastAsia"/>
          <w:color w:val="000000"/>
          <w:highlight w:val="none"/>
          <w:lang w:val="en-US" w:eastAsia="zh-CN"/>
        </w:rPr>
        <w:t>根据本工程施工特点及要求，施工进度计划本着缩短工期、主体工程避开汛期施工、尽早建成、尽快受益的原则进行编制。参考附近的类似工程的施工经验，结合工程特点，地形条件，施工以机械为主，人工为辅的原则。</w:t>
      </w:r>
    </w:p>
    <w:p w14:paraId="7B76B6D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sz w:val="24"/>
          <w:szCs w:val="24"/>
          <w:highlight w:val="none"/>
          <w:lang w:val="en-US" w:eastAsia="zh-CN" w:bidi="ar-SA"/>
        </w:rPr>
      </w:pPr>
      <w:r>
        <w:rPr>
          <w:rFonts w:hint="default" w:ascii="Times New Roman" w:hAnsi="Times New Roman" w:eastAsia="宋体" w:cs="Times New Roman"/>
          <w:color w:val="000000"/>
          <w:sz w:val="24"/>
          <w:highlight w:val="none"/>
          <w:lang w:val="en-US" w:eastAsia="zh-CN"/>
        </w:rPr>
        <w:t>根据霍山县水务局制定的建设计划以及《水利水电工程施工组织设计规范》SL303-2017的规定，本项目，其工程建设全过程依据规范要求被划分为四个明确的施工时段：工程筹建期、工程施工准备期、主体工程施工期和工程完建期。其中，工程筹建期主要涉及项目前期工作，如规划审批、资源协调和手续办理，因此不计入工程总工期之内。本项目的具体施工分期安排如下：工程筹建期预计2个月；工程施工准备期2个月，用于场地平整、设备进场和人员组织；主体工程施工期计划为10个月，负责核心结构建设和设施安装；工程完建期为2个月，用于收尾清理、调试和验收工作。</w:t>
      </w:r>
    </w:p>
    <w:p w14:paraId="0115B794">
      <w:pPr>
        <w:keepNext w:val="0"/>
        <w:keepLines w:val="0"/>
        <w:pageBreakBefore w:val="0"/>
        <w:widowControl w:val="0"/>
        <w:suppressLineNumbers w:val="0"/>
        <w:spacing w:before="0" w:beforeAutospacing="0" w:after="0" w:afterAutospacing="0" w:line="360" w:lineRule="auto"/>
        <w:ind w:left="0" w:right="0" w:firstLine="480"/>
        <w:jc w:val="both"/>
        <w:rPr>
          <w:rFonts w:hint="eastAsia"/>
          <w:color w:val="000000"/>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bidi="ar-SA"/>
        </w:rPr>
        <w:t>项目工程</w:t>
      </w:r>
      <w:r>
        <w:rPr>
          <w:rFonts w:hint="default" w:ascii="Times New Roman" w:hAnsi="Times New Roman" w:eastAsia="宋体" w:cs="Times New Roman"/>
          <w:color w:val="000000"/>
          <w:sz w:val="24"/>
          <w:szCs w:val="24"/>
          <w:highlight w:val="none"/>
          <w:lang w:val="en-US" w:eastAsia="zh-CN" w:bidi="ar-SA"/>
        </w:rPr>
        <w:t>建设工期为2026年10月至2027年12月，共</w:t>
      </w:r>
      <w:r>
        <w:rPr>
          <w:rFonts w:hint="default" w:ascii="Times New Roman" w:hAnsi="Times New Roman" w:eastAsia="宋体" w:cs="Times New Roman"/>
          <w:b w:val="0"/>
          <w:bCs w:val="0"/>
          <w:color w:val="000000"/>
          <w:sz w:val="24"/>
          <w:szCs w:val="24"/>
          <w:highlight w:val="none"/>
          <w:lang w:val="en-US" w:eastAsia="zh-CN" w:bidi="ar-SA"/>
        </w:rPr>
        <w:t>14个月。平均施工人数约50人。</w:t>
      </w:r>
    </w:p>
    <w:p w14:paraId="77579A34">
      <w:pPr>
        <w:pStyle w:val="5"/>
        <w:rPr>
          <w:rFonts w:hint="eastAsia"/>
          <w:color w:val="000000"/>
          <w:highlight w:val="none"/>
          <w:lang w:val="en-US" w:eastAsia="zh-CN"/>
        </w:rPr>
      </w:pPr>
      <w:r>
        <w:rPr>
          <w:rFonts w:hint="eastAsia"/>
          <w:color w:val="000000"/>
          <w:highlight w:val="none"/>
          <w:lang w:val="en-US" w:eastAsia="zh-CN"/>
        </w:rPr>
        <w:t>2.2.6工程征地与拆迁</w:t>
      </w:r>
    </w:p>
    <w:p w14:paraId="2ADED126">
      <w:pPr>
        <w:rPr>
          <w:rFonts w:hint="eastAsia"/>
          <w:color w:val="000000"/>
          <w:lang w:val="en-US" w:eastAsia="zh-CN"/>
        </w:rPr>
        <w:sectPr>
          <w:pgSz w:w="11911" w:h="16838" w:orient="landscape"/>
          <w:pgMar w:top="850" w:right="1417" w:bottom="850" w:left="1701" w:header="794" w:footer="1123" w:gutter="0"/>
          <w:cols w:space="720" w:num="1"/>
        </w:sectPr>
      </w:pPr>
      <w:r>
        <w:rPr>
          <w:rFonts w:hint="default"/>
          <w:color w:val="000000"/>
          <w:lang w:val="en-US" w:eastAsia="zh-CN"/>
        </w:rPr>
        <w:t>本项目不涉及新增拆迁内容</w:t>
      </w:r>
    </w:p>
    <w:p w14:paraId="73D21956">
      <w:pPr>
        <w:rPr>
          <w:rFonts w:hint="eastAsia"/>
          <w:color w:val="000000"/>
          <w:lang w:val="en-US" w:eastAsia="zh-CN"/>
        </w:rPr>
      </w:pPr>
    </w:p>
    <w:p w14:paraId="0339FD1B">
      <w:pPr>
        <w:pStyle w:val="4"/>
        <w:rPr>
          <w:rFonts w:hint="eastAsia"/>
          <w:color w:val="000000"/>
          <w:lang w:val="en-US" w:eastAsia="zh-CN"/>
        </w:rPr>
      </w:pPr>
      <w:bookmarkStart w:id="78" w:name="_Toc4906"/>
      <w:bookmarkStart w:id="79" w:name="_Toc24653"/>
      <w:r>
        <w:rPr>
          <w:rFonts w:hint="eastAsia"/>
          <w:color w:val="000000"/>
          <w:lang w:val="en-US" w:eastAsia="zh-CN"/>
        </w:rPr>
        <w:t>2.3主要施工工艺及产排污</w:t>
      </w:r>
      <w:bookmarkEnd w:id="78"/>
      <w:bookmarkEnd w:id="79"/>
      <w:bookmarkStart w:id="80" w:name="_Toc19118"/>
    </w:p>
    <w:p w14:paraId="5CAB5676">
      <w:pPr>
        <w:pStyle w:val="5"/>
        <w:rPr>
          <w:rFonts w:hint="eastAsia"/>
          <w:color w:val="000000"/>
          <w:lang w:val="en-US" w:eastAsia="zh-CN"/>
        </w:rPr>
      </w:pPr>
      <w:r>
        <w:rPr>
          <w:rFonts w:hint="eastAsia"/>
          <w:color w:val="000000"/>
          <w:lang w:val="en-US" w:eastAsia="zh-CN"/>
        </w:rPr>
        <w:t>2.3.1施工期污染源强分析</w:t>
      </w:r>
      <w:bookmarkEnd w:id="80"/>
    </w:p>
    <w:p w14:paraId="5BA7AC34">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color w:val="000000"/>
          <w:sz w:val="24"/>
          <w:lang w:val="en-US" w:eastAsia="zh-CN"/>
        </w:rPr>
      </w:pPr>
      <w:bookmarkStart w:id="81" w:name="_Toc8394"/>
      <w:r>
        <w:rPr>
          <w:rFonts w:hint="default" w:ascii="Times New Roman" w:hAnsi="Times New Roman" w:eastAsia="宋体" w:cs="Times New Roman"/>
          <w:b w:val="0"/>
          <w:bCs/>
          <w:color w:val="000000"/>
          <w:sz w:val="24"/>
          <w:lang w:val="en-US" w:eastAsia="zh-CN"/>
        </w:rPr>
        <w:drawing>
          <wp:inline distT="0" distB="0" distL="0" distR="0">
            <wp:extent cx="4905375" cy="1409700"/>
            <wp:effectExtent l="0" t="0" r="0" b="0"/>
            <wp:docPr id="48" name="_x0000_i1029"/>
            <wp:cNvGraphicFramePr/>
            <a:graphic xmlns:a="http://schemas.openxmlformats.org/drawingml/2006/main">
              <a:graphicData uri="http://schemas.openxmlformats.org/drawingml/2006/picture">
                <pic:pic xmlns:pic="http://schemas.openxmlformats.org/drawingml/2006/picture">
                  <pic:nvPicPr>
                    <pic:cNvPr id="48" name="_x0000_i1029"/>
                    <pic:cNvPicPr/>
                  </pic:nvPicPr>
                  <pic:blipFill>
                    <a:blip r:embed="rId43"/>
                    <a:stretch>
                      <a:fillRect/>
                    </a:stretch>
                  </pic:blipFill>
                  <pic:spPr>
                    <a:xfrm>
                      <a:off x="0" y="0"/>
                      <a:ext cx="4905375" cy="1409700"/>
                    </a:xfrm>
                    <a:prstGeom prst="rect">
                      <a:avLst/>
                    </a:prstGeom>
                    <a:noFill/>
                    <a:ln>
                      <a:noFill/>
                    </a:ln>
                  </pic:spPr>
                </pic:pic>
              </a:graphicData>
            </a:graphic>
          </wp:inline>
        </w:drawing>
      </w:r>
    </w:p>
    <w:p w14:paraId="139C5E72">
      <w:pPr>
        <w:keepNext w:val="0"/>
        <w:keepLines w:val="0"/>
        <w:widowControl/>
        <w:suppressLineNumbers w:val="0"/>
        <w:ind w:left="0" w:firstLine="0"/>
        <w:jc w:val="center"/>
        <w:rPr>
          <w:rFonts w:hint="default" w:ascii="Times New Roman" w:hAnsi="Times New Roman" w:eastAsia="宋体" w:cs="Times New Roman"/>
          <w:b w:val="0"/>
          <w:bCs/>
          <w:color w:val="000000"/>
          <w:sz w:val="24"/>
          <w:lang w:val="en-US" w:eastAsia="zh-CN"/>
        </w:rPr>
      </w:pPr>
      <w:r>
        <w:rPr>
          <w:rFonts w:hint="default" w:ascii="Times New Roman" w:hAnsi="Times New Roman" w:eastAsia="宋体" w:cs="Times New Roman"/>
          <w:b/>
          <w:bCs/>
          <w:color w:val="000000"/>
          <w:sz w:val="24"/>
          <w:szCs w:val="24"/>
          <w:lang w:val="en-US" w:eastAsia="zh-CN" w:bidi="ar"/>
        </w:rPr>
        <w:t xml:space="preserve">图2.3-1 </w:t>
      </w:r>
      <w:r>
        <w:rPr>
          <w:rFonts w:hint="eastAsia" w:ascii="宋体" w:hAnsi="宋体" w:eastAsia="宋体" w:cs="宋体"/>
          <w:b/>
          <w:bCs/>
          <w:color w:val="000000"/>
          <w:sz w:val="24"/>
          <w:szCs w:val="24"/>
          <w:lang w:val="en-US" w:eastAsia="zh-CN" w:bidi="ar"/>
        </w:rPr>
        <w:t>建筑物工程施工过程和产污节点图</w:t>
      </w:r>
    </w:p>
    <w:p w14:paraId="1BA07689">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color w:val="000000"/>
          <w:sz w:val="24"/>
          <w:lang w:val="en-US" w:eastAsia="zh-CN"/>
        </w:rPr>
      </w:pPr>
      <w:r>
        <w:rPr>
          <w:rFonts w:hint="default" w:ascii="Times New Roman" w:hAnsi="Times New Roman" w:eastAsia="宋体" w:cs="Times New Roman"/>
          <w:b w:val="0"/>
          <w:bCs/>
          <w:color w:val="000000"/>
          <w:sz w:val="24"/>
          <w:lang w:val="en-US" w:eastAsia="zh-CN"/>
        </w:rPr>
        <w:drawing>
          <wp:inline distT="0" distB="0" distL="0" distR="0">
            <wp:extent cx="5007610" cy="1598295"/>
            <wp:effectExtent l="0" t="0" r="0" b="0"/>
            <wp:docPr id="49" name="_x0000_i1030"/>
            <wp:cNvGraphicFramePr/>
            <a:graphic xmlns:a="http://schemas.openxmlformats.org/drawingml/2006/main">
              <a:graphicData uri="http://schemas.openxmlformats.org/drawingml/2006/picture">
                <pic:pic xmlns:pic="http://schemas.openxmlformats.org/drawingml/2006/picture">
                  <pic:nvPicPr>
                    <pic:cNvPr id="49" name="_x0000_i1030"/>
                    <pic:cNvPicPr/>
                  </pic:nvPicPr>
                  <pic:blipFill>
                    <a:blip r:embed="rId44"/>
                    <a:stretch>
                      <a:fillRect/>
                    </a:stretch>
                  </pic:blipFill>
                  <pic:spPr>
                    <a:xfrm>
                      <a:off x="0" y="0"/>
                      <a:ext cx="5007610" cy="1598295"/>
                    </a:xfrm>
                    <a:prstGeom prst="rect">
                      <a:avLst/>
                    </a:prstGeom>
                    <a:noFill/>
                    <a:ln>
                      <a:noFill/>
                    </a:ln>
                  </pic:spPr>
                </pic:pic>
              </a:graphicData>
            </a:graphic>
          </wp:inline>
        </w:drawing>
      </w:r>
    </w:p>
    <w:p w14:paraId="43BFD741">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val="0"/>
          <w:bCs/>
          <w:color w:val="000000"/>
          <w:sz w:val="24"/>
          <w:lang w:val="en-US" w:eastAsia="zh-CN"/>
        </w:rPr>
      </w:pPr>
      <w:r>
        <w:rPr>
          <w:rFonts w:hint="eastAsia" w:ascii="宋体" w:hAnsi="宋体" w:eastAsia="宋体" w:cs="宋体"/>
          <w:b/>
          <w:bCs/>
          <w:color w:val="000000"/>
          <w:sz w:val="24"/>
          <w:szCs w:val="24"/>
          <w:lang w:val="en-US" w:eastAsia="zh-CN" w:bidi="ar"/>
        </w:rPr>
        <w:t>图</w:t>
      </w:r>
      <w:r>
        <w:rPr>
          <w:rFonts w:hint="eastAsia" w:ascii="Times New Roman" w:hAnsi="Times New Roman" w:eastAsia="宋体" w:cs="Times New Roman"/>
          <w:b/>
          <w:bCs/>
          <w:color w:val="000000"/>
          <w:sz w:val="24"/>
          <w:szCs w:val="24"/>
          <w:lang w:val="en-US" w:eastAsia="zh-CN" w:bidi="ar"/>
        </w:rPr>
        <w:t>2.3</w:t>
      </w:r>
      <w:r>
        <w:rPr>
          <w:rFonts w:hint="default" w:ascii="Times New Roman" w:hAnsi="Times New Roman" w:eastAsia="宋体" w:cs="Times New Roman"/>
          <w:b/>
          <w:bCs/>
          <w:color w:val="000000"/>
          <w:sz w:val="24"/>
          <w:szCs w:val="24"/>
          <w:lang w:val="en-US" w:eastAsia="zh-CN" w:bidi="ar"/>
        </w:rPr>
        <w:t>-</w:t>
      </w:r>
      <w:r>
        <w:rPr>
          <w:rFonts w:hint="eastAsia" w:ascii="Times New Roman" w:hAnsi="Times New Roman" w:eastAsia="宋体" w:cs="Times New Roman"/>
          <w:b/>
          <w:bCs/>
          <w:color w:val="000000"/>
          <w:sz w:val="24"/>
          <w:szCs w:val="24"/>
          <w:lang w:val="en-US" w:eastAsia="zh-CN" w:bidi="ar"/>
        </w:rPr>
        <w:t>2</w:t>
      </w:r>
      <w:r>
        <w:rPr>
          <w:rFonts w:hint="default" w:ascii="Times New Roman" w:hAnsi="Times New Roman" w:eastAsia="宋体" w:cs="Times New Roman"/>
          <w:b/>
          <w:bCs/>
          <w:color w:val="000000"/>
          <w:sz w:val="24"/>
          <w:szCs w:val="24"/>
          <w:lang w:val="en-US" w:eastAsia="zh-CN" w:bidi="ar"/>
        </w:rPr>
        <w:t xml:space="preserve"> </w:t>
      </w:r>
      <w:r>
        <w:rPr>
          <w:rFonts w:hint="eastAsia" w:ascii="宋体" w:hAnsi="宋体" w:eastAsia="宋体" w:cs="宋体"/>
          <w:b/>
          <w:bCs/>
          <w:color w:val="000000"/>
          <w:sz w:val="24"/>
          <w:szCs w:val="24"/>
          <w:lang w:val="en-US" w:eastAsia="zh-CN" w:bidi="ar"/>
        </w:rPr>
        <w:t>临时道路工程产污环节图</w:t>
      </w:r>
    </w:p>
    <w:p w14:paraId="55015A9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1）施工噪声：主要由施工机械噪声和运输车辆交通噪声，其中施工机械噪声主要是由施工时物件碰撞产生的，噪声排放具有瞬间性和不定性；运输车辆交通噪声主要是车辆发动机及车辆鸣笛产生的噪声，具有短暂性特点。</w:t>
      </w:r>
    </w:p>
    <w:p w14:paraId="76F17B6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（2）施工废气：施工开挖、土石方回填、施工现场的清理平整，以及施工车辆行驶产生的二次扬尘和对环境空气质量造成的暂时性的和局部的影响；清淤过程产生的淤泥恶臭废气。</w:t>
      </w:r>
    </w:p>
    <w:p w14:paraId="05669B4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（3）施工废污水：施工废水及施工人员的生活污水。</w:t>
      </w:r>
    </w:p>
    <w:p w14:paraId="365353E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（4）固体废弃物：施工过程中可能产生的余方及淤泥、弃渣、施工人员产生的生活垃圾等。</w:t>
      </w:r>
    </w:p>
    <w:p w14:paraId="08704E8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color w:val="000000"/>
          <w:sz w:val="24"/>
        </w:rPr>
      </w:pPr>
      <w:r>
        <w:rPr>
          <w:rFonts w:hint="default" w:ascii="Times New Roman" w:hAnsi="Times New Roman" w:eastAsia="宋体" w:cs="Times New Roman"/>
          <w:b w:val="0"/>
          <w:bCs/>
          <w:color w:val="000000"/>
          <w:sz w:val="24"/>
          <w:lang w:val="en-US" w:eastAsia="zh-CN"/>
        </w:rPr>
        <w:t>（5）生态环境：施工期对生态环境的影响主要为工程建设导致水土流失的影响。施工开挖、平整、土方临时堆放等将造成植被面积减少，对原地貌的扰动、损坏有可能引起水土流失。</w:t>
      </w:r>
    </w:p>
    <w:p w14:paraId="7B329100">
      <w:pPr>
        <w:pStyle w:val="6"/>
        <w:ind w:left="0" w:firstLine="0"/>
        <w:outlineLvl w:val="2"/>
        <w:rPr>
          <w:rFonts w:hint="eastAsia"/>
          <w:color w:val="000000"/>
          <w:lang w:val="en-US" w:eastAsia="zh-CN"/>
        </w:rPr>
      </w:pPr>
    </w:p>
    <w:p w14:paraId="1D5D949D">
      <w:pPr>
        <w:rPr>
          <w:rFonts w:hint="eastAsia"/>
          <w:color w:val="000000"/>
          <w:lang w:val="en-US" w:eastAsia="zh-CN"/>
        </w:rPr>
      </w:pPr>
    </w:p>
    <w:bookmarkEnd w:id="81"/>
    <w:p w14:paraId="0A86001D">
      <w:pPr>
        <w:rPr>
          <w:rFonts w:hint="eastAsia"/>
          <w:color w:val="000000"/>
          <w:lang w:val="en-US" w:eastAsia="zh-CN"/>
        </w:rPr>
      </w:pPr>
    </w:p>
    <w:p w14:paraId="602A260F">
      <w:pPr>
        <w:pStyle w:val="5"/>
        <w:rPr>
          <w:rFonts w:hint="eastAsia"/>
          <w:color w:val="000000"/>
          <w:lang w:val="en-US" w:eastAsia="zh-CN"/>
        </w:rPr>
      </w:pPr>
      <w:bookmarkStart w:id="82" w:name="_Toc17378"/>
      <w:r>
        <w:rPr>
          <w:rFonts w:hint="eastAsia"/>
          <w:color w:val="000000"/>
          <w:lang w:val="en-US" w:eastAsia="zh-CN"/>
        </w:rPr>
        <w:t>2.3.2运营期污染源强分析</w:t>
      </w:r>
      <w:bookmarkEnd w:id="82"/>
    </w:p>
    <w:p w14:paraId="506FB0F6">
      <w:pPr>
        <w:keepNext w:val="0"/>
        <w:keepLines w:val="0"/>
        <w:pageBreakBefore w:val="0"/>
        <w:widowControl/>
        <w:suppressLineNumbers w:val="0"/>
        <w:spacing w:before="0" w:beforeAutospacing="0" w:after="0" w:afterAutospacing="0" w:line="360" w:lineRule="auto"/>
        <w:ind w:left="0" w:right="0" w:firstLine="480"/>
        <w:jc w:val="left"/>
        <w:rPr>
          <w:rFonts w:hint="eastAsia"/>
          <w:color w:val="000000"/>
          <w:lang w:val="en-US" w:eastAsia="zh-CN"/>
        </w:rPr>
      </w:pPr>
      <w:r>
        <w:rPr>
          <w:rFonts w:hint="default" w:ascii="Times New Roman" w:hAnsi="Times New Roman" w:eastAsia="宋体" w:cs="Times New Roman"/>
          <w:color w:val="000000"/>
          <w:sz w:val="24"/>
          <w:highlight w:val="none"/>
          <w:lang w:eastAsia="zh-CN"/>
        </w:rPr>
        <w:t>本项目为生态环境影响类建设项目，</w:t>
      </w:r>
      <w:r>
        <w:rPr>
          <w:rFonts w:hint="default" w:ascii="Times New Roman" w:hAnsi="Times New Roman" w:cs="Times New Roman"/>
          <w:color w:val="000000"/>
        </w:rPr>
        <w:t>运营期废</w:t>
      </w:r>
      <w:r>
        <w:rPr>
          <w:rFonts w:hint="default" w:ascii="Times New Roman" w:hAnsi="Times New Roman" w:cs="Times New Roman"/>
          <w:color w:val="000000"/>
          <w:lang w:val="en-US" w:eastAsia="zh-CN"/>
        </w:rPr>
        <w:t>不设定点管理人员，运营期废水主要为收集的收集的沿河居民生活污水，除纳管的部分村庄外，较为集中的村庄采用集中污水处理，集中污水处理设施选用净化槽工艺，对于村庄较为分散的采用资源化利用工艺，结合周边情况，可排入农灌沟进行农用回灌，或者进行林地漫灌</w:t>
      </w:r>
      <w:r>
        <w:rPr>
          <w:rFonts w:hint="eastAsia" w:ascii="Times New Roman" w:hAnsi="Times New Roman" w:cs="Times New Roman"/>
          <w:color w:val="000000"/>
          <w:lang w:val="en-US" w:eastAsia="zh-CN"/>
        </w:rPr>
        <w:t>。</w:t>
      </w:r>
    </w:p>
    <w:p w14:paraId="7A8AC36D">
      <w:pPr>
        <w:pStyle w:val="4"/>
        <w:rPr>
          <w:rFonts w:hint="eastAsia"/>
          <w:color w:val="000000"/>
          <w:lang w:val="en-US" w:eastAsia="zh-CN"/>
        </w:rPr>
      </w:pPr>
      <w:bookmarkStart w:id="83" w:name="_Toc14111"/>
      <w:bookmarkStart w:id="84" w:name="_Toc27694"/>
      <w:r>
        <w:rPr>
          <w:rFonts w:hint="eastAsia"/>
          <w:color w:val="000000"/>
          <w:lang w:val="en-US" w:eastAsia="zh-CN"/>
        </w:rPr>
        <w:t>2.4项目与相关规划的协调性分析</w:t>
      </w:r>
      <w:bookmarkEnd w:id="83"/>
      <w:bookmarkEnd w:id="84"/>
    </w:p>
    <w:p w14:paraId="7748F5BE">
      <w:pPr>
        <w:pStyle w:val="5"/>
        <w:rPr>
          <w:color w:val="000000"/>
        </w:rPr>
      </w:pPr>
      <w:bookmarkStart w:id="85" w:name="_Toc30939"/>
      <w:r>
        <w:rPr>
          <w:rFonts w:hint="eastAsia"/>
          <w:color w:val="000000"/>
          <w:lang w:val="en-US" w:eastAsia="zh-CN"/>
        </w:rPr>
        <w:t>2.4.1 与《中华人民共和国湿地保护法》（2021年）</w:t>
      </w:r>
      <w:r>
        <w:rPr>
          <w:color w:val="000000"/>
        </w:rPr>
        <w:t>相符性分析</w:t>
      </w:r>
    </w:p>
    <w:p w14:paraId="526C82F2">
      <w:pPr>
        <w:ind w:firstLine="48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根据《中华人民共和国湿地保护法》（2021年）：</w:t>
      </w:r>
    </w:p>
    <w:p w14:paraId="3FE3447E">
      <w:pPr>
        <w:widowControl/>
        <w:shd w:val="clear" w:color="auto" w:fill="auto"/>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第二十八条</w:t>
      </w:r>
      <w:r>
        <w:rPr>
          <w:rFonts w:hint="eastAsia" w:ascii="Times New Roman" w:hAnsi="Times New Roman" w:eastAsia="宋体" w:cs="Times New Roman"/>
          <w:color w:val="000000"/>
          <w:sz w:val="24"/>
          <w:szCs w:val="24"/>
          <w:lang w:val="en-US" w:eastAsia="zh-CN"/>
        </w:rPr>
        <w:t xml:space="preserve">  </w:t>
      </w:r>
      <w:r>
        <w:rPr>
          <w:rFonts w:hint="eastAsia" w:ascii="Times New Roman" w:hAnsi="Times New Roman" w:eastAsia="宋体" w:cs="Times New Roman"/>
          <w:color w:val="000000"/>
          <w:sz w:val="24"/>
          <w:szCs w:val="24"/>
        </w:rPr>
        <w:t>禁止下列破坏湿地及其生态功能的行为：</w:t>
      </w:r>
    </w:p>
    <w:p w14:paraId="770859C9">
      <w:pPr>
        <w:widowControl/>
        <w:shd w:val="clear" w:color="auto" w:fill="auto"/>
        <w:spacing w:before="0"/>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（一）开（围）垦、排干自然湿地，永久性截断自然湿地水源；</w:t>
      </w:r>
    </w:p>
    <w:p w14:paraId="71F19B91">
      <w:pPr>
        <w:widowControl/>
        <w:shd w:val="clear" w:color="auto" w:fill="auto"/>
        <w:spacing w:before="0"/>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（二）擅自填埋自然湿地，擅自采砂、采矿、取土；</w:t>
      </w:r>
    </w:p>
    <w:p w14:paraId="1B4ED970">
      <w:pPr>
        <w:widowControl/>
        <w:shd w:val="clear" w:color="auto" w:fill="auto"/>
        <w:spacing w:before="0"/>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（三）排放不符合水污染物排放标准的工业废水、生活污水及其他污染湿地的废水、污水，倾倒、堆放、丢弃、遗撒固体废物；</w:t>
      </w:r>
    </w:p>
    <w:p w14:paraId="07980E9E">
      <w:pPr>
        <w:widowControl/>
        <w:shd w:val="clear" w:color="auto" w:fill="auto"/>
        <w:spacing w:before="0"/>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（四）过度放牧或者滥采野生植物，过度捕捞或者灭绝式捕捞，过度施肥、投药、投放饵料等污染湿地的种植养殖行为；</w:t>
      </w:r>
    </w:p>
    <w:p w14:paraId="4CC21329">
      <w:pPr>
        <w:widowControl/>
        <w:shd w:val="clear" w:color="auto" w:fill="auto"/>
        <w:spacing w:before="0"/>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（五）其他破坏湿地及其生态功能的行为。</w:t>
      </w:r>
    </w:p>
    <w:p w14:paraId="217D50F7">
      <w:pPr>
        <w:widowControl/>
        <w:shd w:val="clear" w:color="auto" w:fill="auto"/>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第三十七条</w:t>
      </w:r>
      <w:r>
        <w:rPr>
          <w:rFonts w:hint="eastAsia" w:ascii="Times New Roman" w:hAnsi="Times New Roman" w:eastAsia="宋体" w:cs="Times New Roman"/>
          <w:color w:val="000000"/>
          <w:sz w:val="24"/>
          <w:szCs w:val="24"/>
          <w:lang w:val="en-US" w:eastAsia="zh-CN"/>
        </w:rPr>
        <w:t xml:space="preserve"> </w:t>
      </w:r>
      <w:r>
        <w:rPr>
          <w:rFonts w:hint="eastAsia" w:ascii="Times New Roman" w:hAnsi="Times New Roman" w:eastAsia="宋体" w:cs="Times New Roman"/>
          <w:color w:val="000000"/>
          <w:sz w:val="24"/>
          <w:szCs w:val="24"/>
        </w:rPr>
        <w:t>县级以上人民政府应当坚持自然恢复为主、自然恢复和人工修复相结合的原则，加强湿地修复工作，恢复湿地面积，提高湿地生态系统质量。</w:t>
      </w:r>
    </w:p>
    <w:p w14:paraId="6BE01EB8">
      <w:pPr>
        <w:widowControl/>
        <w:shd w:val="clear" w:color="auto" w:fill="auto"/>
        <w:spacing w:before="0"/>
        <w:ind w:firstLine="48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县级以上人民政府对破碎化严重或者功能退化的自然湿地进行综合整治和修复，优先修复生态功能严重退化的重要湿地。</w:t>
      </w:r>
    </w:p>
    <w:p w14:paraId="5773B7FC">
      <w:pPr>
        <w:widowControl/>
        <w:shd w:val="clear" w:color="auto" w:fill="auto"/>
        <w:spacing w:before="0"/>
        <w:ind w:firstLine="480"/>
        <w:jc w:val="left"/>
        <w:rPr>
          <w:rFonts w:hint="eastAsia" w:eastAsia="宋体"/>
          <w:color w:val="000000"/>
          <w:lang w:val="en-US" w:eastAsia="zh-CN"/>
        </w:rPr>
      </w:pPr>
      <w:r>
        <w:rPr>
          <w:rFonts w:hint="eastAsia" w:ascii="Times New Roman" w:hAnsi="Times New Roman" w:eastAsia="宋体" w:cs="Times New Roman"/>
          <w:color w:val="000000"/>
          <w:sz w:val="24"/>
          <w:szCs w:val="24"/>
          <w:lang w:val="en-US" w:eastAsia="zh-CN" w:bidi="ar"/>
        </w:rPr>
        <w:t>本项目主要是排水防涝能力提升项目，</w:t>
      </w:r>
      <w:r>
        <w:rPr>
          <w:rFonts w:hint="eastAsia"/>
          <w:color w:val="000000"/>
          <w:lang w:val="en-US" w:eastAsia="zh-CN"/>
        </w:rPr>
        <w:t>不涉及湿地</w:t>
      </w:r>
      <w:r>
        <w:rPr>
          <w:rFonts w:hint="eastAsia" w:ascii="Times New Roman" w:hAnsi="Times New Roman" w:eastAsia="宋体" w:cs="Times New Roman"/>
          <w:color w:val="000000"/>
          <w:sz w:val="24"/>
          <w:szCs w:val="24"/>
          <w:lang w:eastAsia="zh-CN"/>
        </w:rPr>
        <w:t>。</w:t>
      </w:r>
    </w:p>
    <w:p w14:paraId="5BF444F1">
      <w:pPr>
        <w:pStyle w:val="5"/>
        <w:rPr>
          <w:rFonts w:hint="eastAsia"/>
          <w:color w:val="000000"/>
          <w:lang w:val="en-US" w:eastAsia="zh-CN"/>
        </w:rPr>
      </w:pPr>
      <w:r>
        <w:rPr>
          <w:rFonts w:hint="eastAsia"/>
          <w:color w:val="000000"/>
          <w:lang w:val="en-US" w:eastAsia="zh-CN"/>
        </w:rPr>
        <w:t>2.4.2 与《中华人民共和国野生动物保护法（2022年修正版）》相符性分析</w:t>
      </w:r>
    </w:p>
    <w:p w14:paraId="097C5991">
      <w:pPr>
        <w:ind w:firstLine="480"/>
        <w:rPr>
          <w:rFonts w:hint="eastAsia"/>
          <w:color w:val="000000"/>
          <w:lang w:val="en-US" w:eastAsia="zh-CN"/>
        </w:rPr>
      </w:pPr>
      <w:r>
        <w:rPr>
          <w:rFonts w:hint="eastAsia"/>
          <w:color w:val="000000"/>
          <w:lang w:eastAsia="zh-CN"/>
        </w:rPr>
        <w:t>根据</w:t>
      </w:r>
      <w:r>
        <w:rPr>
          <w:rFonts w:hint="eastAsia"/>
          <w:color w:val="000000"/>
          <w:lang w:val="en-US" w:eastAsia="zh-CN"/>
        </w:rPr>
        <w:t>中华人民共和国野生动物保护法（2022年修正版）：</w:t>
      </w:r>
    </w:p>
    <w:p w14:paraId="10C1264C">
      <w:pPr>
        <w:ind w:firstLine="480"/>
        <w:rPr>
          <w:rFonts w:hint="eastAsia"/>
          <w:color w:val="000000"/>
        </w:rPr>
      </w:pPr>
      <w:r>
        <w:rPr>
          <w:rFonts w:hint="eastAsia"/>
          <w:color w:val="000000"/>
        </w:rPr>
        <w:t>第十条国家对野生动物实行分类分级保护。</w:t>
      </w:r>
    </w:p>
    <w:p w14:paraId="09BDAEAF">
      <w:pPr>
        <w:ind w:firstLine="480"/>
        <w:rPr>
          <w:rFonts w:hint="eastAsia"/>
          <w:color w:val="000000"/>
        </w:rPr>
      </w:pPr>
      <w:r>
        <w:rPr>
          <w:rFonts w:hint="eastAsia"/>
          <w:color w:val="000000"/>
        </w:rPr>
        <w:t>国家对珍贵、濒危的野生动物实行重点保护。国家重点保护的野生动物分为一级保护野生动物和二级保护野生动物。国家重点保护野生动物名录，由国务院野生动物保护主管部门组织科学论证评估后，报国务院批准公布。</w:t>
      </w:r>
    </w:p>
    <w:p w14:paraId="6052BE28">
      <w:pPr>
        <w:ind w:firstLine="480"/>
        <w:rPr>
          <w:rFonts w:hint="eastAsia"/>
          <w:color w:val="000000"/>
        </w:rPr>
      </w:pPr>
      <w:r>
        <w:rPr>
          <w:rFonts w:hint="eastAsia"/>
          <w:color w:val="000000"/>
        </w:rPr>
        <w:t>第十一条县级以上人民政府野生动物保护主管部门应当加强信息技术应用，</w:t>
      </w:r>
    </w:p>
    <w:p w14:paraId="6F8F06AC">
      <w:pPr>
        <w:ind w:firstLine="480"/>
        <w:rPr>
          <w:rFonts w:hint="eastAsia"/>
          <w:color w:val="000000"/>
        </w:rPr>
      </w:pPr>
      <w:r>
        <w:rPr>
          <w:rFonts w:hint="eastAsia"/>
          <w:color w:val="000000"/>
        </w:rPr>
        <w:t>定期组织或者委托有关科学研究机构对野生动物及其栖息地状况进行调查、监测和评估，建立健全野生动物及其栖息地档案。</w:t>
      </w:r>
    </w:p>
    <w:p w14:paraId="1FB9C078">
      <w:pPr>
        <w:ind w:firstLine="480"/>
        <w:rPr>
          <w:rFonts w:hint="eastAsia"/>
          <w:color w:val="000000"/>
        </w:rPr>
      </w:pPr>
      <w:r>
        <w:rPr>
          <w:rFonts w:hint="eastAsia"/>
          <w:color w:val="000000"/>
        </w:rPr>
        <w:t>对野生动物及其栖息地状况的调查、监测和评估应当包括下列内容：</w:t>
      </w:r>
    </w:p>
    <w:p w14:paraId="47CC6567">
      <w:pPr>
        <w:ind w:firstLine="480"/>
        <w:rPr>
          <w:rFonts w:hint="eastAsia"/>
          <w:color w:val="000000"/>
        </w:rPr>
      </w:pPr>
      <w:r>
        <w:rPr>
          <w:rFonts w:hint="eastAsia"/>
          <w:color w:val="000000"/>
        </w:rPr>
        <w:t>（一）野生动物野外分布区域、种群数量及结构；</w:t>
      </w:r>
    </w:p>
    <w:p w14:paraId="393F758E">
      <w:pPr>
        <w:ind w:firstLine="480"/>
        <w:rPr>
          <w:rFonts w:hint="eastAsia"/>
          <w:color w:val="000000"/>
        </w:rPr>
      </w:pPr>
      <w:r>
        <w:rPr>
          <w:rFonts w:hint="eastAsia"/>
          <w:color w:val="000000"/>
        </w:rPr>
        <w:t>（二）野生动物栖息地的面积、生态状况；</w:t>
      </w:r>
    </w:p>
    <w:p w14:paraId="48435CE6">
      <w:pPr>
        <w:ind w:firstLine="480"/>
        <w:rPr>
          <w:rFonts w:hint="eastAsia"/>
          <w:color w:val="000000"/>
        </w:rPr>
      </w:pPr>
      <w:r>
        <w:rPr>
          <w:rFonts w:hint="eastAsia"/>
          <w:color w:val="000000"/>
        </w:rPr>
        <w:t>（三）野生动物及其栖息地的主要威胁因素；</w:t>
      </w:r>
    </w:p>
    <w:p w14:paraId="6D26D862">
      <w:pPr>
        <w:ind w:firstLine="480"/>
        <w:rPr>
          <w:rFonts w:hint="eastAsia"/>
          <w:color w:val="000000"/>
        </w:rPr>
      </w:pPr>
      <w:r>
        <w:rPr>
          <w:rFonts w:hint="eastAsia"/>
          <w:color w:val="000000"/>
        </w:rPr>
        <w:t>（四）野生动物人工繁育情况等其他需要调查、监测和评估的内容。</w:t>
      </w:r>
    </w:p>
    <w:p w14:paraId="436B774F">
      <w:pPr>
        <w:ind w:firstLine="480"/>
        <w:rPr>
          <w:rFonts w:hint="eastAsia"/>
          <w:color w:val="000000"/>
        </w:rPr>
      </w:pPr>
      <w:r>
        <w:rPr>
          <w:rFonts w:hint="eastAsia"/>
          <w:color w:val="000000"/>
        </w:rPr>
        <w:t>第十二条国务院野生动物保护主管部门应当会同国务院有关部门，根据野生动物及其栖息地状况的调查、监测和评估结果，确定并发布野生动物重要栖息地名录。</w:t>
      </w:r>
    </w:p>
    <w:p w14:paraId="4F86D1B0">
      <w:pPr>
        <w:ind w:firstLine="480"/>
        <w:rPr>
          <w:rFonts w:hint="eastAsia"/>
          <w:color w:val="000000"/>
        </w:rPr>
      </w:pPr>
      <w:r>
        <w:rPr>
          <w:rFonts w:hint="eastAsia"/>
          <w:color w:val="000000"/>
        </w:rPr>
        <w:t>省级以上人民政府依法将野生动物重要栖息地划入国家公园、自然保护区等自然保护地，保护、恢复和改善野生动物生存环境。对不具备划定自然保护地条件的，县级以上人民政府可以采取划定禁猎（渔）区、规定禁猎（渔）期等措施予以保护。</w:t>
      </w:r>
    </w:p>
    <w:p w14:paraId="2DEE3A34">
      <w:pPr>
        <w:ind w:firstLine="480"/>
        <w:rPr>
          <w:rFonts w:hint="eastAsia"/>
          <w:color w:val="000000"/>
        </w:rPr>
      </w:pPr>
      <w:r>
        <w:rPr>
          <w:rFonts w:hint="eastAsia"/>
          <w:color w:val="000000"/>
        </w:rPr>
        <w:t>禁止或者限制在自然保护地内引入外来物种、营造单一纯林、过量施洒农药等人为干扰、威胁野生动物生息繁衍的行为。自然保护地依照有关法律法规的规定划定和管理，野生动物保护主管部门依法加强对野生动物及其栖息地的保护</w:t>
      </w:r>
    </w:p>
    <w:p w14:paraId="3DE00E50">
      <w:pPr>
        <w:ind w:firstLine="480"/>
        <w:rPr>
          <w:color w:val="000000"/>
        </w:rPr>
      </w:pPr>
      <w:r>
        <w:rPr>
          <w:rFonts w:hint="eastAsia"/>
          <w:color w:val="000000"/>
        </w:rPr>
        <w:t>第十四条各级野生动物保护主管部门应当监测环境对野生动物的影响，发现环境影响对野生动物造成危害时，应当会同有关部门及时进行调查处理。</w:t>
      </w:r>
    </w:p>
    <w:p w14:paraId="215D2BEF">
      <w:pPr>
        <w:keepNext w:val="0"/>
        <w:keepLines w:val="0"/>
        <w:widowControl/>
        <w:suppressLineNumbers w:val="0"/>
        <w:jc w:val="left"/>
        <w:rPr>
          <w:color w:val="000000"/>
        </w:rPr>
      </w:pPr>
      <w:r>
        <w:rPr>
          <w:rFonts w:hint="eastAsia" w:ascii="宋体" w:hAnsi="宋体" w:eastAsia="宋体" w:cs="宋体"/>
          <w:color w:val="000000"/>
          <w:sz w:val="24"/>
          <w:szCs w:val="24"/>
          <w:lang w:val="en-US" w:eastAsia="zh-CN" w:bidi="ar"/>
        </w:rPr>
        <w:t>第二十一条第一款 禁止猎捕、杀害国家重点保护野生动物。</w:t>
      </w:r>
    </w:p>
    <w:p w14:paraId="52A46F50">
      <w:pPr>
        <w:keepNext w:val="0"/>
        <w:keepLines w:val="0"/>
        <w:pageBreakBefore w:val="0"/>
        <w:widowControl w:val="0"/>
        <w:suppressLineNumbers w:val="0"/>
        <w:spacing w:before="0" w:beforeAutospacing="0" w:after="0" w:afterAutospacing="0" w:line="360" w:lineRule="auto"/>
        <w:ind w:left="0" w:right="0" w:firstLine="480"/>
        <w:rPr>
          <w:rFonts w:hint="default" w:eastAsia="宋体"/>
          <w:color w:val="000000"/>
          <w:lang w:val="en-US" w:eastAsia="zh-CN"/>
        </w:rPr>
      </w:pPr>
      <w:r>
        <w:rPr>
          <w:rFonts w:hint="eastAsia"/>
          <w:color w:val="000000"/>
          <w:lang w:eastAsia="zh-CN"/>
        </w:rPr>
        <w:t>根据国家林业和草原局公告2023年第23号《陆生野生动物重要栖息地名录》（第一批），本项目不涉及重要栖息地名录。</w:t>
      </w: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r>
        <w:rPr>
          <w:rFonts w:hint="eastAsia"/>
          <w:color w:val="000000"/>
          <w:lang w:eastAsia="zh-CN"/>
        </w:rPr>
        <w:t>，施工期严禁施工人员捕杀保护动植物。综上所述，本项目修复方案与中华人民共和国野生动物保护法（2022年修正版）相符。</w:t>
      </w:r>
      <w:bookmarkEnd w:id="85"/>
    </w:p>
    <w:p w14:paraId="7C21D22D">
      <w:pPr>
        <w:pStyle w:val="5"/>
        <w:rPr>
          <w:rFonts w:hint="default" w:ascii="Times New Roman" w:hAnsi="Times New Roman" w:eastAsia="宋体" w:cs="Times New Roman"/>
          <w:b/>
          <w:bCs/>
          <w:color w:val="000000"/>
          <w:sz w:val="24"/>
          <w:highlight w:val="none"/>
          <w:lang w:val="en-US" w:eastAsia="zh-CN"/>
        </w:rPr>
      </w:pPr>
      <w:bookmarkStart w:id="86" w:name="_Toc29054"/>
      <w:r>
        <w:rPr>
          <w:rFonts w:hint="eastAsia" w:ascii="Times New Roman" w:hAnsi="Times New Roman" w:cs="Times New Roman"/>
          <w:color w:val="000000"/>
          <w:lang w:val="en-US" w:eastAsia="zh-CN"/>
        </w:rPr>
        <w:t>2.4.3</w:t>
      </w:r>
      <w:r>
        <w:rPr>
          <w:rFonts w:hint="default" w:ascii="Times New Roman" w:hAnsi="Times New Roman" w:cs="Times New Roman"/>
          <w:color w:val="000000"/>
          <w:lang w:val="en-US" w:eastAsia="zh-CN"/>
        </w:rPr>
        <w:t>与《水利建设项目（河湖整治与河湖整治工程）环境影响评价文件审批原则》符合性分析</w:t>
      </w:r>
    </w:p>
    <w:p w14:paraId="431265B6">
      <w:pPr>
        <w:keepNext w:val="0"/>
        <w:keepLines w:val="0"/>
        <w:pageBreakBefore w:val="0"/>
        <w:widowControl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表</w:t>
      </w:r>
      <w:r>
        <w:rPr>
          <w:rFonts w:hint="eastAsia" w:ascii="Times New Roman" w:hAnsi="Times New Roman" w:eastAsia="宋体" w:cs="Times New Roman"/>
          <w:b/>
          <w:bCs/>
          <w:color w:val="000000"/>
          <w:sz w:val="24"/>
          <w:highlight w:val="none"/>
          <w:lang w:val="en-US" w:eastAsia="zh-CN"/>
        </w:rPr>
        <w:t>2.4-1</w:t>
      </w:r>
      <w:r>
        <w:rPr>
          <w:rFonts w:hint="default" w:ascii="Times New Roman" w:hAnsi="Times New Roman" w:eastAsia="宋体" w:cs="Times New Roman"/>
          <w:b/>
          <w:bCs/>
          <w:color w:val="000000"/>
          <w:sz w:val="24"/>
          <w:highlight w:val="none"/>
          <w:lang w:val="en-US" w:eastAsia="zh-CN"/>
        </w:rPr>
        <w:t xml:space="preserve">  </w:t>
      </w:r>
      <w:r>
        <w:rPr>
          <w:rFonts w:hint="eastAsia" w:ascii="Times New Roman" w:hAnsi="Times New Roman" w:eastAsia="宋体" w:cs="Times New Roman"/>
          <w:b/>
          <w:bCs/>
          <w:color w:val="000000"/>
          <w:sz w:val="24"/>
          <w:highlight w:val="none"/>
          <w:lang w:val="en-US" w:eastAsia="zh-CN"/>
        </w:rPr>
        <w:t>相符性分析</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3176"/>
      </w:tblGrid>
      <w:tr w14:paraId="44DD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6BBB4A05">
            <w:pPr>
              <w:keepNext w:val="0"/>
              <w:keepLines w:val="0"/>
              <w:pageBreakBefore w:val="0"/>
              <w:widowControl w:val="0"/>
              <w:suppressLineNumbers w:val="0"/>
              <w:spacing w:before="0" w:beforeAutospacing="0" w:after="0" w:afterAutospacing="0" w:line="240" w:lineRule="auto"/>
              <w:ind w:left="0" w:right="0" w:firstLine="0"/>
              <w:jc w:val="center"/>
              <w:rPr>
                <w:rFonts w:hint="eastAsia" w:ascii="宋体" w:hAnsi="宋体" w:eastAsia="宋体" w:cs="宋体"/>
                <w:b/>
                <w:bCs/>
                <w:color w:val="000000"/>
                <w:sz w:val="21"/>
                <w:szCs w:val="21"/>
                <w:highlight w:val="none"/>
                <w:vertAlign w:val="baseline"/>
                <w:lang w:eastAsia="zh-CN"/>
              </w:rPr>
            </w:pPr>
            <w:r>
              <w:rPr>
                <w:rFonts w:hint="eastAsia" w:ascii="宋体" w:hAnsi="宋体" w:eastAsia="宋体" w:cs="宋体"/>
                <w:b/>
                <w:bCs/>
                <w:color w:val="000000"/>
                <w:sz w:val="21"/>
                <w:szCs w:val="21"/>
                <w:highlight w:val="none"/>
                <w:vertAlign w:val="baseline"/>
                <w:lang w:eastAsia="zh-CN"/>
              </w:rPr>
              <w:t>审批原则</w:t>
            </w:r>
          </w:p>
        </w:tc>
        <w:tc>
          <w:tcPr>
            <w:tcW w:w="3176" w:type="dxa"/>
            <w:noWrap w:val="0"/>
            <w:vAlign w:val="center"/>
          </w:tcPr>
          <w:p w14:paraId="1DA0D5EC">
            <w:pPr>
              <w:keepNext w:val="0"/>
              <w:keepLines w:val="0"/>
              <w:pageBreakBefore w:val="0"/>
              <w:widowControl w:val="0"/>
              <w:suppressLineNumbers w:val="0"/>
              <w:spacing w:before="0" w:beforeAutospacing="0" w:after="0" w:afterAutospacing="0" w:line="240" w:lineRule="auto"/>
              <w:ind w:left="0" w:right="0" w:firstLine="0"/>
              <w:jc w:val="center"/>
              <w:rPr>
                <w:rFonts w:hint="eastAsia" w:ascii="宋体" w:hAnsi="宋体" w:eastAsia="宋体" w:cs="宋体"/>
                <w:b/>
                <w:bCs/>
                <w:color w:val="000000"/>
                <w:sz w:val="21"/>
                <w:szCs w:val="21"/>
                <w:highlight w:val="none"/>
                <w:vertAlign w:val="baseline"/>
                <w:lang w:eastAsia="zh-CN"/>
              </w:rPr>
            </w:pPr>
            <w:r>
              <w:rPr>
                <w:rFonts w:hint="eastAsia" w:ascii="宋体" w:hAnsi="宋体" w:eastAsia="宋体" w:cs="宋体"/>
                <w:b/>
                <w:bCs/>
                <w:color w:val="000000"/>
                <w:sz w:val="21"/>
                <w:szCs w:val="21"/>
                <w:highlight w:val="none"/>
                <w:vertAlign w:val="baseline"/>
                <w:lang w:eastAsia="zh-CN"/>
              </w:rPr>
              <w:t>本项目</w:t>
            </w:r>
          </w:p>
        </w:tc>
      </w:tr>
      <w:tr w14:paraId="26B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25B31064">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项目符合环境保护相关法律法规和政策要求，与主体功能区规划、生态功能区划、水环境功能区划、水功能区划、生态环境保护规划、流域综合规划、防洪规划等协调，满足相关规划环评要求。</w:t>
            </w:r>
          </w:p>
        </w:tc>
        <w:tc>
          <w:tcPr>
            <w:tcW w:w="3176" w:type="dxa"/>
            <w:noWrap w:val="0"/>
            <w:vAlign w:val="center"/>
          </w:tcPr>
          <w:p w14:paraId="19B956F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本项目符合环境保护相关法律法规和政策要求，符合</w:t>
            </w:r>
            <w:r>
              <w:rPr>
                <w:rFonts w:hint="eastAsia" w:eastAsia="宋体" w:cs="Times New Roman"/>
                <w:color w:val="000000"/>
                <w:sz w:val="21"/>
                <w:szCs w:val="21"/>
                <w:highlight w:val="none"/>
                <w:vertAlign w:val="baseline"/>
                <w:lang w:val="en-US" w:eastAsia="zh-CN"/>
              </w:rPr>
              <w:t>六安市</w:t>
            </w:r>
            <w:r>
              <w:rPr>
                <w:rFonts w:hint="default" w:ascii="Times New Roman" w:hAnsi="Times New Roman" w:eastAsia="宋体" w:cs="Times New Roman"/>
                <w:color w:val="000000"/>
                <w:sz w:val="21"/>
                <w:szCs w:val="21"/>
                <w:highlight w:val="none"/>
                <w:vertAlign w:val="baseline"/>
                <w:lang w:val="en-US" w:eastAsia="zh-CN"/>
              </w:rPr>
              <w:t>生态管控</w:t>
            </w:r>
            <w:r>
              <w:rPr>
                <w:rFonts w:hint="eastAsia" w:eastAsia="宋体" w:cs="Times New Roman"/>
                <w:color w:val="000000"/>
                <w:sz w:val="21"/>
                <w:szCs w:val="21"/>
                <w:highlight w:val="none"/>
                <w:vertAlign w:val="baseline"/>
                <w:lang w:val="en-US" w:eastAsia="zh-CN"/>
              </w:rPr>
              <w:t>要求</w:t>
            </w:r>
            <w:r>
              <w:rPr>
                <w:rFonts w:hint="default" w:ascii="Times New Roman" w:hAnsi="Times New Roman" w:eastAsia="宋体" w:cs="Times New Roman"/>
                <w:color w:val="000000"/>
                <w:sz w:val="21"/>
                <w:szCs w:val="21"/>
                <w:highlight w:val="none"/>
                <w:vertAlign w:val="baseline"/>
                <w:lang w:val="en-US" w:eastAsia="zh-CN"/>
              </w:rPr>
              <w:t>。</w:t>
            </w:r>
          </w:p>
        </w:tc>
      </w:tr>
      <w:tr w14:paraId="255D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6928A6F1">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3176" w:type="dxa"/>
            <w:noWrap w:val="0"/>
            <w:vAlign w:val="center"/>
          </w:tcPr>
          <w:p w14:paraId="4D59B82E">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本项目不占用自然保护区、风景名胜区、世界文化和自然遗产地以及其他生态保护红线等环境敏感区中法律法规禁止占用的区域。</w:t>
            </w:r>
          </w:p>
        </w:tc>
      </w:tr>
      <w:tr w14:paraId="61BC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04EDA87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项目实施改变水动力条件或水文过程且对水质产生不利影响的，提出了工程优化调整、科学调度、实施区域流域水污染防治等措施。对地下水环境产生不利影响或次生影响的，提出了优化工程设计、导排、防护等针对性的防治措施。在采取上述措施后，对水环境的不利影响能够得到缓解和控制，居民用水安全能够得到保障，相关区域不会出现显著的土壤潜育化、沼泽化、盐碱化等次生问题</w:t>
            </w:r>
          </w:p>
        </w:tc>
        <w:tc>
          <w:tcPr>
            <w:tcW w:w="3176" w:type="dxa"/>
            <w:noWrap w:val="0"/>
            <w:vAlign w:val="center"/>
          </w:tcPr>
          <w:p w14:paraId="6116994B">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本项目施工过程中会对水环境产生一定的不利影响，本环评提出了相应的施工期水污染防治措施，在施工结束后，施工不利影响消失，项目的实施有利于提高河流水质和防洪减灾能力；本项目建设基本不会对地下水产生影响。项目严格执行各项污染防治措施，减少对水环境的影响；项目建成后有利于防洪能力的提升、水环境和生态环境的改善。</w:t>
            </w:r>
          </w:p>
        </w:tc>
      </w:tr>
      <w:tr w14:paraId="32EC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14BA849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项目施工组织方案具有环境合理性，对料场、弃土(渣)场等施工场地提出了水士流失防治和生态修复等措施。根据环境保护相关标准和要求，对施工期各类废(污)水、扬尘、废气、噪声、固体废物等提出子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在采取上述措施后，施工期的不利环境影响能够得到缓解和控制，不会对周围环境和敏感保护目标造成重大不利影响。</w:t>
            </w:r>
          </w:p>
        </w:tc>
        <w:tc>
          <w:tcPr>
            <w:tcW w:w="3176" w:type="dxa"/>
            <w:noWrap w:val="0"/>
            <w:vAlign w:val="center"/>
          </w:tcPr>
          <w:p w14:paraId="4661DEA5">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对工程区提出了水土流失防治措施和生态修复等措施；并根据环保要求，对废水、废气、噪声、固废等均提出了防治或处置措施。</w:t>
            </w:r>
          </w:p>
          <w:p w14:paraId="06F960C3">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p>
        </w:tc>
      </w:tr>
      <w:tr w14:paraId="4196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6E31CD0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3176" w:type="dxa"/>
            <w:noWrap w:val="0"/>
            <w:vAlign w:val="center"/>
          </w:tcPr>
          <w:p w14:paraId="50F8524D">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已按要求编制相关监测计划、保护措施、管理要求。</w:t>
            </w:r>
          </w:p>
          <w:p w14:paraId="1692604F">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p>
        </w:tc>
      </w:tr>
      <w:tr w14:paraId="7476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294AFDBC">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环境影响评价文件编制规范，符合相关管理规定和环评技术标准要求。</w:t>
            </w:r>
          </w:p>
        </w:tc>
        <w:tc>
          <w:tcPr>
            <w:tcW w:w="3176" w:type="dxa"/>
            <w:noWrap w:val="0"/>
            <w:vAlign w:val="center"/>
          </w:tcPr>
          <w:p w14:paraId="0A45F438">
            <w:pPr>
              <w:keepNext w:val="0"/>
              <w:keepLines w:val="0"/>
              <w:pageBreakBefore w:val="0"/>
              <w:widowControl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已按环境影响评价文件编制，符合相关管理规定和环境技术标准要求。</w:t>
            </w:r>
          </w:p>
        </w:tc>
      </w:tr>
    </w:tbl>
    <w:p w14:paraId="42F7BD93">
      <w:pPr>
        <w:jc w:val="center"/>
        <w:rPr>
          <w:rFonts w:hint="default"/>
          <w:color w:val="000000"/>
          <w:lang w:val="en-US" w:eastAsia="zh-CN"/>
        </w:rPr>
      </w:pPr>
    </w:p>
    <w:p w14:paraId="0A1FDB8A">
      <w:pPr>
        <w:pStyle w:val="5"/>
        <w:ind w:left="0" w:firstLine="0"/>
        <w:rPr>
          <w:rFonts w:hint="default" w:ascii="Times New Roman" w:hAnsi="Times New Roman" w:eastAsia="宋体" w:cs="Times New Roman"/>
          <w:b/>
          <w:color w:val="000000"/>
          <w:sz w:val="24"/>
          <w:highlight w:val="none"/>
          <w:lang w:val="en-US" w:eastAsia="zh-CN"/>
        </w:rPr>
      </w:pPr>
      <w:r>
        <w:rPr>
          <w:rFonts w:hint="eastAsia"/>
          <w:color w:val="000000"/>
          <w:lang w:val="en-US" w:eastAsia="zh-CN"/>
        </w:rPr>
        <w:t>2.4.4</w:t>
      </w:r>
      <w:r>
        <w:rPr>
          <w:rFonts w:hint="default" w:ascii="Times New Roman" w:hAnsi="Times New Roman" w:cs="Times New Roman"/>
          <w:color w:val="000000"/>
          <w:lang w:val="en-US" w:eastAsia="zh-CN"/>
        </w:rPr>
        <w:t>与《六安市水利发展“十四五”规划》符合性分析</w:t>
      </w:r>
    </w:p>
    <w:p w14:paraId="7C0FB3F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根据《六安市水利发展“十四五”规划》：（三）中小河流治理：结合2020年等大水年份的洪涝灾情，按照系统治理的思路，加快主要支流治理，全面提高防洪标准。完成杭埠河治理工程，推进史河、淠河防洪治理和汲河流域综合治理。加快流域面积200～3000平方公里中小河流治理，优先安排防洪问题突出、近几年发生过较大洪涝灾害的中小河流治理，适当安排因社会经济发展亟需提高防洪标准的中小河流城镇河段治理，解决中小河流城镇河段防洪不达标、近年洪涝灾害频发、河堤损毁等问题。推进32条中小河流治理，完成其中15条中小河流治理，治理总长度269公里。</w:t>
      </w:r>
    </w:p>
    <w:p w14:paraId="17E79E3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四）重点涝区排涝能力建设：加快重点涝区排涝能力建设，提高易涝地区排涝能力，保障粮食安全。根据易涝区工程现状、历年受灾情况，按照轻重缓急、逐步实施的原则，完成沿淮行蓄洪区等其他洼地近期治理工程；加快推进淮河流域重点涝区排涝能力建设、长江流域重点涝区排涝能力建设工程。</w:t>
      </w:r>
    </w:p>
    <w:p w14:paraId="144E68D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六）城市防洪体系建设：进一步完善城市防洪规划，强化城市防洪与流域、区域防洪体系统筹协调，科学确定防洪保护范围、防洪排涝标准。提高六安市城区，叶集区、舒城县、金寨县、霍山县的城镇防洪标准。完善堤防、涵闸、泵站、蓄滞场所等水利设施，增强城市防洪排涝减灾能力。”</w:t>
      </w:r>
    </w:p>
    <w:p w14:paraId="045C86B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sz w:val="24"/>
          <w:highlight w:val="none"/>
        </w:rPr>
        <w:t>本</w:t>
      </w:r>
      <w:r>
        <w:rPr>
          <w:rFonts w:hint="default" w:ascii="Times New Roman" w:hAnsi="Times New Roman" w:eastAsia="宋体" w:cs="Times New Roman"/>
          <w:color w:val="000000"/>
          <w:sz w:val="24"/>
          <w:highlight w:val="none"/>
          <w:lang w:val="en-US" w:eastAsia="zh-CN"/>
        </w:rPr>
        <w:t>项目</w:t>
      </w:r>
      <w:r>
        <w:rPr>
          <w:rFonts w:hint="default" w:ascii="Times New Roman" w:hAnsi="Times New Roman" w:eastAsia="宋体" w:cs="Times New Roman"/>
          <w:color w:val="000000"/>
          <w:sz w:val="24"/>
          <w:highlight w:val="none"/>
        </w:rPr>
        <w:t>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lang w:eastAsia="zh-CN"/>
        </w:rPr>
        <w:t>，通过区域排涝工程建设，解决区域排涝能力不足、排水沟渠不成系统的问题，保障区域工农业生产及人民群众的生命财产安全，促进霍山县经济发展。通过高庙河、柳林河、新店河等霍山县城区排涝通道整治，解决排涝通道防洪排涝不达标，护岸损毁、滩地坡面裸露、河床下切等问题，为区域发展提供安全的水利基础设施，并建设山洪灾害预防系统以提升水利工程管理能力。通过排水管网改造工程，保证柳林河沿岸生活污水搜集排放，促进污水处理提质增效。项目整体提升霍山县城区排水防涝能力。</w:t>
      </w:r>
    </w:p>
    <w:p w14:paraId="1C38F33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lang w:eastAsia="zh-CN"/>
        </w:rPr>
        <w:t>项目</w:t>
      </w:r>
      <w:r>
        <w:rPr>
          <w:rFonts w:hint="default" w:ascii="Times New Roman" w:hAnsi="Times New Roman" w:eastAsia="宋体" w:cs="Times New Roman"/>
          <w:color w:val="000000"/>
          <w:sz w:val="24"/>
          <w:highlight w:val="none"/>
        </w:rPr>
        <w:t>施工严格控制施工红线，本项目不设置弃土场；施工期间不得随意调整临时设施的位置，</w:t>
      </w:r>
      <w:r>
        <w:rPr>
          <w:rFonts w:hint="default" w:ascii="Times New Roman" w:hAnsi="Times New Roman" w:eastAsia="宋体" w:cs="Times New Roman"/>
          <w:color w:val="000000"/>
          <w:sz w:val="24"/>
          <w:highlight w:val="none"/>
          <w:lang w:val="en-US" w:eastAsia="zh-CN"/>
        </w:rPr>
        <w:t>施工营地租用周边闲置房屋</w:t>
      </w:r>
      <w:r>
        <w:rPr>
          <w:rFonts w:hint="default" w:ascii="Times New Roman" w:hAnsi="Times New Roman" w:eastAsia="宋体" w:cs="Times New Roman"/>
          <w:color w:val="000000"/>
          <w:sz w:val="24"/>
          <w:highlight w:val="none"/>
        </w:rPr>
        <w:t>，施工期通过采取洒水抑尘、设置沉淀池等措施；建设完成后采取土地平整，恢复植被等措施，使得本工程对生态的影响降为最低</w:t>
      </w:r>
      <w:r>
        <w:rPr>
          <w:rFonts w:hint="default" w:ascii="Times New Roman" w:hAnsi="Times New Roman" w:eastAsia="宋体" w:cs="Times New Roman"/>
          <w:color w:val="000000"/>
          <w:sz w:val="24"/>
          <w:highlight w:val="none"/>
          <w:lang w:eastAsia="zh-CN"/>
        </w:rPr>
        <w:t>。</w:t>
      </w:r>
    </w:p>
    <w:p w14:paraId="20B42277">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黑体" w:cs="Times New Roman"/>
          <w:b/>
          <w:color w:val="000000"/>
          <w:sz w:val="28"/>
          <w:szCs w:val="28"/>
          <w:lang w:val="en-US" w:eastAsia="zh-CN" w:bidi="ar-SA"/>
        </w:rPr>
      </w:pPr>
      <w:r>
        <w:rPr>
          <w:rFonts w:hint="default" w:ascii="Times New Roman" w:hAnsi="Times New Roman" w:eastAsia="宋体" w:cs="Times New Roman"/>
          <w:color w:val="000000"/>
          <w:sz w:val="24"/>
          <w:highlight w:val="none"/>
          <w:lang w:val="en-US" w:eastAsia="zh-CN"/>
        </w:rPr>
        <w:t>因此，本项目的建设</w:t>
      </w:r>
      <w:r>
        <w:rPr>
          <w:rFonts w:hint="default" w:ascii="Times New Roman" w:hAnsi="Times New Roman" w:eastAsia="宋体" w:cs="Times New Roman"/>
          <w:color w:val="000000"/>
          <w:sz w:val="24"/>
          <w:highlight w:val="none"/>
        </w:rPr>
        <w:t>符合</w:t>
      </w:r>
      <w:r>
        <w:rPr>
          <w:rFonts w:hint="default" w:ascii="Times New Roman" w:hAnsi="Times New Roman" w:eastAsia="宋体" w:cs="Times New Roman"/>
          <w:color w:val="000000"/>
          <w:sz w:val="24"/>
          <w:highlight w:val="none"/>
          <w:lang w:val="en-US" w:eastAsia="zh-CN"/>
        </w:rPr>
        <w:t>《六安市水利发展“十四五”规划》</w:t>
      </w:r>
      <w:r>
        <w:rPr>
          <w:rFonts w:hint="default" w:ascii="Times New Roman" w:hAnsi="Times New Roman" w:eastAsia="宋体" w:cs="Times New Roman"/>
          <w:color w:val="000000"/>
          <w:sz w:val="24"/>
          <w:highlight w:val="none"/>
        </w:rPr>
        <w:t>的要求。</w:t>
      </w:r>
    </w:p>
    <w:p w14:paraId="03D188FF">
      <w:pPr>
        <w:keepNext w:val="0"/>
        <w:keepLines w:val="0"/>
        <w:pageBreakBefore w:val="0"/>
        <w:widowControl w:val="0"/>
        <w:numPr>
          <w:ilvl w:val="0"/>
          <w:numId w:val="0"/>
        </w:numPr>
        <w:suppressLineNumbers w:val="0"/>
        <w:spacing w:before="0" w:beforeAutospacing="0" w:after="0" w:afterAutospacing="0" w:line="360" w:lineRule="auto"/>
        <w:ind w:right="0" w:firstLine="281"/>
        <w:rPr>
          <w:rFonts w:hint="eastAsia" w:ascii="Times New Roman" w:hAnsi="Times New Roman" w:eastAsia="黑体" w:cs="Times New Roman"/>
          <w:b/>
          <w:color w:val="000000"/>
          <w:sz w:val="28"/>
          <w:szCs w:val="28"/>
          <w:lang w:val="en-US" w:eastAsia="zh-CN" w:bidi="ar-SA"/>
        </w:rPr>
      </w:pPr>
      <w:r>
        <w:rPr>
          <w:rFonts w:hint="eastAsia" w:ascii="Times New Roman" w:hAnsi="Times New Roman" w:eastAsia="黑体" w:cs="Times New Roman"/>
          <w:b/>
          <w:color w:val="000000"/>
          <w:sz w:val="28"/>
          <w:szCs w:val="28"/>
          <w:lang w:val="en-US" w:eastAsia="zh-CN" w:bidi="ar-SA"/>
        </w:rPr>
        <w:t>2.4.5与《霍山县城市防洪规划》(2020-2035)符合性分析</w:t>
      </w:r>
    </w:p>
    <w:p w14:paraId="421D723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1、规划范围</w:t>
      </w:r>
    </w:p>
    <w:p w14:paraId="41E6B4F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规划范围与《霍山县城市总体规划》(2011~2030)确定的规划范围相一致，规划范围为城市中心城区建设用地27.50km</w:t>
      </w:r>
      <w:r>
        <w:rPr>
          <w:rFonts w:hint="eastAsia" w:eastAsia="宋体" w:cs="Times New Roman"/>
          <w:color w:val="000000"/>
          <w:sz w:val="24"/>
          <w:highlight w:val="none"/>
          <w:vertAlign w:val="superscript"/>
          <w:lang w:val="en-US" w:eastAsia="zh-CN"/>
        </w:rPr>
        <w:t>2</w:t>
      </w:r>
      <w:r>
        <w:rPr>
          <w:rFonts w:hint="default" w:ascii="Times New Roman" w:hAnsi="Times New Roman" w:eastAsia="宋体" w:cs="Times New Roman"/>
          <w:color w:val="000000"/>
          <w:sz w:val="24"/>
          <w:highlight w:val="none"/>
          <w:lang w:val="en-US" w:eastAsia="zh-CN"/>
        </w:rPr>
        <w:t>范围。</w:t>
      </w:r>
    </w:p>
    <w:p w14:paraId="31A5430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2、规划目标</w:t>
      </w:r>
    </w:p>
    <w:p w14:paraId="63CE70F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通过工程与非工程措施相结合，逐步构建安全可靠的城市综合防洪体系，使规划范围内防洪保护对象的防洪能力达到国家规定的防洪标准，遇超标准洪水有可靠的防洪对策，最大限度地减轻洪涝灾害损失，为霍山县社会经济、城市建设可持续发展提供良好的防洪保障。同时，通过防洪工程的实施，着力构建集防洪、蓄水、景观、生态为一体的城市防洪保安体系，实现“水宁、水活、水清、水美”的综合治理目标。</w:t>
      </w:r>
    </w:p>
    <w:p w14:paraId="5248AAC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3、规划水平年</w:t>
      </w:r>
    </w:p>
    <w:p w14:paraId="55D06D9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基准年为2020年，近期2025年，远期为2035年。</w:t>
      </w:r>
    </w:p>
    <w:p w14:paraId="21AE01E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4、规划标准</w:t>
      </w:r>
    </w:p>
    <w:p w14:paraId="0FD973E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(1)防洪标准</w:t>
      </w:r>
    </w:p>
    <w:p w14:paraId="429F545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参照《防洪标准》(GB50201-2014)、《治涝标准》(SL723-2016)，结合淠河流域防洪规划的要求，并考虑经济、政治、社会、环境等因素以及与城市总体规划相衔接，霍山县中心城区近期2020年，城市人口为16.5万人，霍山县城区属于一般城市，防洪标准确定为20年一遇</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规划远期2030年，霍山县城区属于比较重要城市，防洪标准确定为50年一遇。本次霍山县城市防洪规划标准确定为</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霍山县城区防洪标准为50年一遇。</w:t>
      </w:r>
    </w:p>
    <w:p w14:paraId="1356052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(2)治涝标准</w:t>
      </w:r>
    </w:p>
    <w:p w14:paraId="1ABC1B2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城区治涝采取自排和抽排相结合，排水区自排和抽排均按20年一遇标准。</w:t>
      </w:r>
    </w:p>
    <w:p w14:paraId="6994343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5、防洪规划方案</w:t>
      </w:r>
    </w:p>
    <w:p w14:paraId="3FBAFB3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(1)柳林河两岸</w:t>
      </w:r>
    </w:p>
    <w:p w14:paraId="4C82820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堤防级别</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柳林河从小河沿~柳林河口，长2.1km构成封闭堤，堤防的防洪标准为50年一遇，堤防级别为2级。</w:t>
      </w:r>
    </w:p>
    <w:p w14:paraId="754E8E2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规划方案</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柳林河两岸封闭堤堤防高程已达到20一年一遇，但堤防防护标准较低，局部护坡塌陷，堤顶为土路。规划维修护坡护岸，新建混凝土堤顶防汛道路，两岸堤顶道路长1.58km，道路采用宽4m混凝土道路。</w:t>
      </w:r>
    </w:p>
    <w:p w14:paraId="73826D1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(2)幽芳河、高庙河</w:t>
      </w:r>
    </w:p>
    <w:p w14:paraId="6FFFE20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幽芳河、高庙河高程局部段落不满足防洪要求，按照防洪标准为50年一遇规划对不达标堤段进行加固，幽芳河不达标堤段规划采用增设混凝土防浪墙方案，墙高1.05m。高庙河采用堤身加培，坡比为1</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2.5，堤顶宽度不小于5m。</w:t>
      </w:r>
    </w:p>
    <w:p w14:paraId="446558A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eastAsia" w:eastAsia="宋体" w:cs="Times New Roman"/>
          <w:color w:val="000000"/>
          <w:sz w:val="24"/>
          <w:highlight w:val="none"/>
          <w:lang w:val="en-US" w:eastAsia="zh-CN"/>
        </w:rPr>
        <w:t>6、</w:t>
      </w:r>
      <w:r>
        <w:rPr>
          <w:rFonts w:hint="default" w:ascii="Times New Roman" w:hAnsi="Times New Roman" w:eastAsia="宋体" w:cs="Times New Roman"/>
          <w:color w:val="000000"/>
          <w:sz w:val="24"/>
          <w:highlight w:val="none"/>
          <w:lang w:val="en-US" w:eastAsia="zh-CN"/>
        </w:rPr>
        <w:t>治涝规划方案</w:t>
      </w:r>
    </w:p>
    <w:p w14:paraId="36D0B9C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(1)城市排水通道</w:t>
      </w:r>
    </w:p>
    <w:p w14:paraId="4FAB905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规划对各排区的排涝沟进行整治，主要内容是排涝干沟的清淤、清障、拓宽及跨沟建筑物的配套。根据规划排涝方案、结合河道现状情况对城市内河水系进行疏(拓)浚，本次规划治理河道主要包括</w:t>
      </w:r>
      <w:r>
        <w:rPr>
          <w:rFonts w:hint="eastAsia" w:eastAsia="宋体" w:cs="Times New Roman"/>
          <w:color w:val="000000"/>
          <w:sz w:val="24"/>
          <w:highlight w:val="none"/>
          <w:lang w:val="en-US" w:eastAsia="zh-CN"/>
        </w:rPr>
        <w:t>：</w:t>
      </w:r>
    </w:p>
    <w:p w14:paraId="776AD16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迎驾厂片</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规划新建、疏通排涝渠道，底宽1.5m，长1.8km。</w:t>
      </w:r>
    </w:p>
    <w:p w14:paraId="230CB00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柳林河西片</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新建北外环排涝沟，疏浚中心排涝沟，采用底宽2.5m、坡比1</w:t>
      </w:r>
      <w:r>
        <w:rPr>
          <w:rFonts w:hint="eastAsia" w:eastAsia="宋体" w:cs="Times New Roman"/>
          <w:color w:val="000000"/>
          <w:sz w:val="24"/>
          <w:highlight w:val="none"/>
          <w:lang w:val="en-US" w:eastAsia="zh-CN"/>
        </w:rPr>
        <w:t>：</w:t>
      </w:r>
      <w:r>
        <w:rPr>
          <w:rFonts w:hint="default" w:ascii="Times New Roman" w:hAnsi="Times New Roman" w:eastAsia="宋体" w:cs="Times New Roman"/>
          <w:color w:val="000000"/>
          <w:sz w:val="24"/>
          <w:highlight w:val="none"/>
          <w:lang w:val="en-US" w:eastAsia="zh-CN"/>
        </w:rPr>
        <w:t>2的梯形渠。</w:t>
      </w:r>
    </w:p>
    <w:p w14:paraId="00B4842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新建、扩建排涝沟采用能与岸坡水体交互且能植草的生态挡土墙护岸或护坡。</w:t>
      </w:r>
    </w:p>
    <w:p w14:paraId="3C9D493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（2）排涝泵站及自排涵闸</w:t>
      </w:r>
    </w:p>
    <w:p w14:paraId="2ED64D6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柳林河口排涝站：迎驾厂片主要通过项家院排涝涵、张家湾排涝涵、永康排涝涵排涝，本次规划新建北外环排涝沟，将涝水引至张家湾排涝涵。</w:t>
      </w:r>
    </w:p>
    <w:p w14:paraId="6A9BD70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7、山洪灾害防治</w:t>
      </w:r>
    </w:p>
    <w:p w14:paraId="4497DDD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山丘区发生的暴涨暴落的溪河洪水，威胁人民生命安全，造成财产损失和基础设施毁坏的灾害，为增强沿岸城镇、集中居民区、重要基础设施等防护对象的山洪灾害综合防御能力，有效减少人员伤亡和财产损失，对涉及城区的山洪沟进行综合治理是非常必要的，防治措施如下</w:t>
      </w:r>
      <w:r>
        <w:rPr>
          <w:rFonts w:hint="eastAsia" w:eastAsia="宋体" w:cs="Times New Roman"/>
          <w:color w:val="000000"/>
          <w:sz w:val="24"/>
          <w:highlight w:val="none"/>
          <w:lang w:val="en-US" w:eastAsia="zh-CN"/>
        </w:rPr>
        <w:t>：</w:t>
      </w:r>
    </w:p>
    <w:p w14:paraId="60232BF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(1)柳林河山洪沟治理</w:t>
      </w:r>
    </w:p>
    <w:p w14:paraId="7C33D1D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柳林河为东淠河支流，主流发源于桃花寨，总流向先向西北，后折转向东北，流经通水灌(黄泥)、谢家畈、俞家山根、西门畈(俞家畈)，在潜台寺西汇入东淠河干流。河道全长约15.92km，流域面积35.78km</w:t>
      </w:r>
      <w:r>
        <w:rPr>
          <w:rFonts w:hint="default" w:ascii="Times New Roman" w:hAnsi="Times New Roman" w:eastAsia="宋体" w:cs="Times New Roman"/>
          <w:color w:val="000000"/>
          <w:sz w:val="24"/>
          <w:highlight w:val="none"/>
          <w:vertAlign w:val="superscript"/>
          <w:lang w:val="en-US" w:eastAsia="zh-CN"/>
        </w:rPr>
        <w:t>2</w:t>
      </w:r>
      <w:r>
        <w:rPr>
          <w:rFonts w:hint="default" w:ascii="Times New Roman" w:hAnsi="Times New Roman" w:eastAsia="宋体" w:cs="Times New Roman"/>
          <w:color w:val="000000"/>
          <w:sz w:val="24"/>
          <w:highlight w:val="none"/>
          <w:lang w:val="en-US" w:eastAsia="zh-CN"/>
        </w:rPr>
        <w:t>，河道平均坡降8.1%o。</w:t>
      </w:r>
    </w:p>
    <w:p w14:paraId="7545F32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规划对柳林河山洪沟进行治理，起点从太平地，终点至小河沿，总长约8.6km，规划实施河道疏浚工程、护坡护岸工程、险工段治理、蓄水堰坝等。</w:t>
      </w:r>
    </w:p>
    <w:p w14:paraId="7F8AB20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(2)幽芳河山洪沟治理</w:t>
      </w:r>
    </w:p>
    <w:p w14:paraId="462FD34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幽芳河发源于白石岗，经东石门，在县城东门外石担桥下汇入护城河，河道全长约10.5km，流域面积28.25km</w:t>
      </w:r>
      <w:r>
        <w:rPr>
          <w:rFonts w:hint="default" w:ascii="Times New Roman" w:hAnsi="Times New Roman" w:eastAsia="宋体" w:cs="Times New Roman"/>
          <w:color w:val="000000"/>
          <w:sz w:val="24"/>
          <w:highlight w:val="none"/>
          <w:vertAlign w:val="superscript"/>
          <w:lang w:val="en-US" w:eastAsia="zh-CN"/>
        </w:rPr>
        <w:t>2</w:t>
      </w:r>
      <w:r>
        <w:rPr>
          <w:rFonts w:hint="default" w:ascii="Times New Roman" w:hAnsi="Times New Roman" w:eastAsia="宋体" w:cs="Times New Roman"/>
          <w:color w:val="000000"/>
          <w:sz w:val="24"/>
          <w:highlight w:val="none"/>
          <w:lang w:val="en-US" w:eastAsia="zh-CN"/>
        </w:rPr>
        <w:t>，平均比降10.2%o。</w:t>
      </w:r>
    </w:p>
    <w:p w14:paraId="407A216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规划对幽芳河山洪沟进行治理，起点从友谊水库，终点至迎宾大道，总长约3.9km，规划实施河道疏浚工程、护坡护岸工程、险工段治理、蓄水堰坝等。</w:t>
      </w:r>
    </w:p>
    <w:p w14:paraId="79EDC8B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(3)高庙河山洪沟治理</w:t>
      </w:r>
    </w:p>
    <w:p w14:paraId="6478EB7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高庙河源于霍山县白沙岭，向北流经牛角冲、桥头堰、县渔场，在北镇庙汇入东淠河干流，河道全长约为27.14km，流域面积27.14km</w:t>
      </w:r>
      <w:r>
        <w:rPr>
          <w:rFonts w:hint="default" w:ascii="Times New Roman" w:hAnsi="Times New Roman" w:eastAsia="宋体" w:cs="Times New Roman"/>
          <w:color w:val="000000"/>
          <w:sz w:val="24"/>
          <w:highlight w:val="none"/>
          <w:vertAlign w:val="superscript"/>
          <w:lang w:val="en-US" w:eastAsia="zh-CN"/>
        </w:rPr>
        <w:t>2</w:t>
      </w:r>
      <w:r>
        <w:rPr>
          <w:rFonts w:hint="default" w:ascii="Times New Roman" w:hAnsi="Times New Roman" w:eastAsia="宋体" w:cs="Times New Roman"/>
          <w:color w:val="000000"/>
          <w:sz w:val="24"/>
          <w:highlight w:val="none"/>
          <w:lang w:val="en-US" w:eastAsia="zh-CN"/>
        </w:rPr>
        <w:t>，河道平均坡降8.3%o。规划对高庙河山洪沟进行治理，起点从友谊水库，终点至迎宾大道，总长约3.9km，规划实施河道疏浚工程、护坡护岸工程、险工段治理、蓄水堰坝等。</w:t>
      </w:r>
    </w:p>
    <w:p w14:paraId="0033CFD7">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黑体" w:cs="Times New Roman"/>
          <w:b/>
          <w:color w:val="000000"/>
          <w:sz w:val="28"/>
          <w:szCs w:val="28"/>
          <w:lang w:val="en-US" w:eastAsia="zh-CN" w:bidi="ar-SA"/>
        </w:rPr>
      </w:pPr>
      <w:r>
        <w:rPr>
          <w:rFonts w:hint="default" w:ascii="Times New Roman" w:hAnsi="Times New Roman" w:eastAsia="宋体" w:cs="Times New Roman"/>
          <w:b w:val="0"/>
          <w:bCs/>
          <w:color w:val="000000"/>
          <w:sz w:val="24"/>
          <w:highlight w:val="none"/>
          <w:lang w:val="en-US" w:eastAsia="zh-CN"/>
        </w:rPr>
        <w:t>本项目与《霍山县城市防洪规划》的符合性：本次项目建设标准、等级参照规划执行，工程建设内容完全符合规划的相关内容，包括区域排涝及幽芳河、高庙河、柳林河等山洪沟本次为排涝通道整治。</w:t>
      </w:r>
    </w:p>
    <w:p w14:paraId="5EBE1F44">
      <w:pPr>
        <w:keepNext w:val="0"/>
        <w:keepLines w:val="0"/>
        <w:pageBreakBefore w:val="0"/>
        <w:widowControl w:val="0"/>
        <w:numPr>
          <w:ilvl w:val="0"/>
          <w:numId w:val="0"/>
        </w:numPr>
        <w:suppressLineNumbers w:val="0"/>
        <w:spacing w:before="0" w:beforeAutospacing="0" w:after="0" w:afterAutospacing="0" w:line="360" w:lineRule="auto"/>
        <w:ind w:right="0" w:firstLine="281"/>
        <w:rPr>
          <w:rFonts w:hint="eastAsia" w:ascii="Times New Roman" w:hAnsi="Times New Roman" w:eastAsia="黑体" w:cs="Times New Roman"/>
          <w:b/>
          <w:color w:val="000000"/>
          <w:sz w:val="28"/>
          <w:szCs w:val="28"/>
          <w:lang w:val="en-US" w:eastAsia="zh-CN" w:bidi="ar-SA"/>
        </w:rPr>
      </w:pPr>
      <w:r>
        <w:rPr>
          <w:rFonts w:hint="eastAsia" w:ascii="Times New Roman" w:hAnsi="Times New Roman" w:eastAsia="黑体" w:cs="Times New Roman"/>
          <w:b/>
          <w:color w:val="000000"/>
          <w:sz w:val="28"/>
          <w:szCs w:val="28"/>
          <w:lang w:val="en-US" w:eastAsia="zh-CN" w:bidi="ar-SA"/>
        </w:rPr>
        <w:t>2.4.6与《霍山县水利发展规划“十四五”》符合性分析</w:t>
      </w:r>
    </w:p>
    <w:p w14:paraId="30A8FE8B">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1、规划目标</w:t>
      </w:r>
    </w:p>
    <w:p w14:paraId="301F1A6F">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(1)总体目标</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建成与经济社会发展和生态文明建设要求相适应与社会主义现代化进程相协调的水早灾害防御、水资源集约节约利用与优化配置、水资源保护和河湖健康保障、涉水事务监管四大体系。</w:t>
      </w:r>
    </w:p>
    <w:p w14:paraId="3D54E128">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到2025年，</w:t>
      </w:r>
      <w:r>
        <w:rPr>
          <w:rFonts w:hint="eastAsia" w:cs="Times New Roman"/>
          <w:b w:val="0"/>
          <w:bCs/>
          <w:color w:val="000000"/>
          <w:sz w:val="24"/>
          <w:highlight w:val="none"/>
          <w:lang w:val="en-US" w:eastAsia="zh-CN"/>
        </w:rPr>
        <w:t>防汛</w:t>
      </w:r>
      <w:bookmarkStart w:id="211" w:name="_GoBack"/>
      <w:bookmarkEnd w:id="211"/>
      <w:r>
        <w:rPr>
          <w:rFonts w:hint="default" w:ascii="Times New Roman" w:hAnsi="Times New Roman" w:eastAsia="宋体" w:cs="Times New Roman"/>
          <w:b w:val="0"/>
          <w:bCs/>
          <w:color w:val="000000"/>
          <w:sz w:val="24"/>
          <w:highlight w:val="none"/>
          <w:lang w:val="en-US" w:eastAsia="zh-CN"/>
        </w:rPr>
        <w:t>抗早减灾能力全面提升，水资源利用效率和效益明显提高，城乡供水安全保障程度明显增强，重点河湖水生态环境明显改善，涉水事务监管和风险防控能力全面增强，水安全保障能力显著提升。</w:t>
      </w:r>
    </w:p>
    <w:p w14:paraId="51B6EB7D">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(2)具体目标</w:t>
      </w:r>
      <w:r>
        <w:rPr>
          <w:rFonts w:hint="eastAsia" w:eastAsia="宋体" w:cs="Times New Roman"/>
          <w:b w:val="0"/>
          <w:bCs/>
          <w:color w:val="000000"/>
          <w:sz w:val="24"/>
          <w:highlight w:val="none"/>
          <w:lang w:val="en-US" w:eastAsia="zh-CN"/>
        </w:rPr>
        <w:t>：</w:t>
      </w:r>
    </w:p>
    <w:p w14:paraId="6C6569BB">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1)水旱灾害防御目标。进行水利自然灾害风险普查，完善水旱灾害分析预警能力。霍山县城市防洪标准由20年一遇提高到50年一遇，县城排涝标准达到20年一遇</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主要支流、中小河流防洪标准达到规划确定的防洪标准，淠河洼地等重点易涝区排涝标准达到5~10年一遇</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V级及以上江河堤防达标率提高到60%，水早灾害风险防范化解能力进一步增强</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重点山洪灾害易发区得到有效治理</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现有病险水库、水闸安全隐患全面消除</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中小河流重要河段达到规划确定的防洪标准。</w:t>
      </w:r>
    </w:p>
    <w:p w14:paraId="017005C6">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2)水资源集约节约利用与优化配置目标。节水型生产和生活方式基本建立，全社会节水意识明显增强，水资源和人口社会经济均衡协调发展的格局进一步完善</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全县用水总量控制在1.7亿m</w:t>
      </w:r>
      <w:r>
        <w:rPr>
          <w:rFonts w:hint="default" w:ascii="Times New Roman" w:hAnsi="Times New Roman" w:eastAsia="宋体" w:cs="Times New Roman"/>
          <w:b w:val="0"/>
          <w:bCs/>
          <w:color w:val="000000"/>
          <w:sz w:val="24"/>
          <w:highlight w:val="none"/>
          <w:vertAlign w:val="superscript"/>
          <w:lang w:val="en-US" w:eastAsia="zh-CN"/>
        </w:rPr>
        <w:t>3</w:t>
      </w:r>
      <w:r>
        <w:rPr>
          <w:rFonts w:hint="default" w:ascii="Times New Roman" w:hAnsi="Times New Roman" w:eastAsia="宋体" w:cs="Times New Roman"/>
          <w:b w:val="0"/>
          <w:bCs/>
          <w:color w:val="000000"/>
          <w:sz w:val="24"/>
          <w:highlight w:val="none"/>
          <w:lang w:val="en-US" w:eastAsia="zh-CN"/>
        </w:rPr>
        <w:t>以内，万元国内生产总值用水量、万元工业增加值用水量较2020年分别下降15%，农田灌溉水有效利用系数提高到0.57</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提升水利工程的调控能力，现有中小型水库通过清淤逐步恢复其设计供水能力，实现标准化管理</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水资源配置格局逐步完善，水利工程新增年供水能力200万m，供水保障能力和抗早应急能力明显增强</w:t>
      </w:r>
      <w:r>
        <w:rPr>
          <w:rFonts w:hint="eastAsia" w:eastAsia="宋体" w:cs="Times New Roman"/>
          <w:b w:val="0"/>
          <w:bCs/>
          <w:color w:val="000000"/>
          <w:sz w:val="24"/>
          <w:highlight w:val="none"/>
          <w:lang w:val="en-US" w:eastAsia="zh-CN"/>
        </w:rPr>
        <w:t>；</w:t>
      </w:r>
      <w:r>
        <w:rPr>
          <w:rFonts w:hint="default" w:ascii="Times New Roman" w:hAnsi="Times New Roman" w:eastAsia="宋体" w:cs="Times New Roman"/>
          <w:b w:val="0"/>
          <w:bCs/>
          <w:color w:val="000000"/>
          <w:sz w:val="24"/>
          <w:highlight w:val="none"/>
          <w:lang w:val="en-US" w:eastAsia="zh-CN"/>
        </w:rPr>
        <w:t>城乡供水一体化覆盖程度大幅提高，乡镇自来水普及率达到95%。</w:t>
      </w:r>
    </w:p>
    <w:p w14:paraId="596E4841">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3)水资源保护和河湖健康保障目标。水生态空间管控体系基本建立，完成流域面积50km</w:t>
      </w:r>
      <w:r>
        <w:rPr>
          <w:rFonts w:hint="default" w:ascii="Times New Roman" w:hAnsi="Times New Roman" w:eastAsia="宋体" w:cs="Times New Roman"/>
          <w:b w:val="0"/>
          <w:bCs/>
          <w:color w:val="000000"/>
          <w:sz w:val="24"/>
          <w:highlight w:val="none"/>
          <w:vertAlign w:val="superscript"/>
          <w:lang w:val="en-US" w:eastAsia="zh-CN"/>
        </w:rPr>
        <w:t>2</w:t>
      </w:r>
      <w:r>
        <w:rPr>
          <w:rFonts w:hint="default" w:ascii="Times New Roman" w:hAnsi="Times New Roman" w:eastAsia="宋体" w:cs="Times New Roman"/>
          <w:b w:val="0"/>
          <w:bCs/>
          <w:color w:val="000000"/>
          <w:sz w:val="24"/>
          <w:highlight w:val="none"/>
          <w:lang w:val="en-US" w:eastAsia="zh-CN"/>
        </w:rPr>
        <w:t>及以上河流和常年水面面积1km以上的水库管理范围划定。水源涵养与保护能力明显提升，河流水生态环境明显改善，水景观质量明显提高，主要断面生态流量基本得到保障，水质满足水功能区及断面考核管理目标，乡镇水系水环境状况明显改善，区域主要河流水系、水库等地表水达到或好于Ⅲ类水体占地表水比例大于75%；人为水土流失得到有效控制，重点地区水土流失得到有效治理，水土流失治理面积40km</w:t>
      </w:r>
      <w:r>
        <w:rPr>
          <w:rFonts w:hint="default" w:ascii="Times New Roman" w:hAnsi="Times New Roman" w:eastAsia="宋体" w:cs="Times New Roman"/>
          <w:b w:val="0"/>
          <w:bCs/>
          <w:color w:val="000000"/>
          <w:sz w:val="24"/>
          <w:highlight w:val="none"/>
          <w:vertAlign w:val="superscript"/>
          <w:lang w:val="en-US" w:eastAsia="zh-CN"/>
        </w:rPr>
        <w:t>2</w:t>
      </w:r>
      <w:r>
        <w:rPr>
          <w:rFonts w:hint="default" w:ascii="Times New Roman" w:hAnsi="Times New Roman" w:eastAsia="宋体" w:cs="Times New Roman"/>
          <w:b w:val="0"/>
          <w:bCs/>
          <w:color w:val="000000"/>
          <w:sz w:val="24"/>
          <w:highlight w:val="none"/>
          <w:lang w:val="en-US" w:eastAsia="zh-CN"/>
        </w:rPr>
        <w:t>，水土保持率达到60%。</w:t>
      </w:r>
    </w:p>
    <w:p w14:paraId="2D1F0FD7">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4）涉水事务监管目标。水文水资源、河湖生态、水土流失、水灾害等监测预警体系基本建立，水利信息化水平显著提升。河长制湖长制深入推进，主要河湖水域岸线得到有效管控。最严格水资源管理考核体系逐步完善，水资源节约、开发、利用、保护配置、调度等各环节得到全面监管。基本实现大中型水利工程安全监测全覆盖，水工程安全风险防控能力明显提升。水权水价水市场改革取得重要进展。政府主导、金融支持、社会参与的水利投融资机制进一步完善。</w:t>
      </w:r>
    </w:p>
    <w:p w14:paraId="2B605FAE">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2、提升防洪保安能力</w:t>
      </w:r>
    </w:p>
    <w:p w14:paraId="367A73A5">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加强防洪排涝基础设施体系建设，构筑全县防洪保安网，全面提升防洪保安能力和超标准洪水应对能力。以防御水灾害、保障人民群众生命财产安全、促进经济社会稳定发展为根本出发点坚持兴利除害结合、防洪排涝并举，全面实施防汛水利提升工程提升洪涝灾害防御能力，保障人民群众生命财产安全。</w:t>
      </w:r>
    </w:p>
    <w:p w14:paraId="175269FD">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推进山洪灾害防治。坚持以防为主、防治结合，非工程措施和工程措施相结合，加强山洪灾害防治能力建设，全面提升防灾减灾效益。对南部山丘进行全面调查，以山洪灾害严重、影响人口较多的重点山洪沟为重点，优先开展近期发生过山洪且损失严重的重点山洪沟进行治理，根据山洪及泥石流、滑坡发生的特点因地制宜，采取可行的治理措施。同时，强化山洪灾害监测预警，优化调整雨情监测站网布局，定期开展山洪灾害防御常识与自救技能培训，切实增强群众防灾避灾能力。“十四五”计划治理宋家河等18条山洪沟，主要工程措施有疏浚整治、滑坡防治、居民区避险搬迁、加固堤岸等，共治理长度18.84km。</w:t>
      </w:r>
    </w:p>
    <w:p w14:paraId="6A6F3F2B">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加强重点涝区排涝能力建设。继续推进安徽省沿淮行蓄洪区等其他洼地治理工程。改建小河口排涝站工程。规划对现有小河口排涝闸进行拆除重建，排涝标准采用20年一遇。新建潜台寺排涝站工程：规划新增潜台寺区域排涝面积10km</w:t>
      </w:r>
      <w:r>
        <w:rPr>
          <w:rFonts w:hint="default" w:ascii="Times New Roman" w:hAnsi="Times New Roman" w:eastAsia="宋体" w:cs="Times New Roman"/>
          <w:b w:val="0"/>
          <w:bCs/>
          <w:color w:val="000000"/>
          <w:sz w:val="24"/>
          <w:highlight w:val="none"/>
          <w:vertAlign w:val="superscript"/>
          <w:lang w:val="en-US" w:eastAsia="zh-CN"/>
        </w:rPr>
        <w:t>2</w:t>
      </w:r>
      <w:r>
        <w:rPr>
          <w:rFonts w:hint="default" w:ascii="Times New Roman" w:hAnsi="Times New Roman" w:eastAsia="宋体" w:cs="Times New Roman"/>
          <w:b w:val="0"/>
          <w:bCs/>
          <w:color w:val="000000"/>
          <w:sz w:val="24"/>
          <w:highlight w:val="none"/>
          <w:lang w:val="en-US" w:eastAsia="zh-CN"/>
        </w:rPr>
        <w:t>，排涝标准采用20年一遇。实施重灾区下符桥镇防洪排涝提升工程。主要建设内容包括但家庙河下符桥镇段右岸堤防加固、新建挡墙，左岸新建排涝泵站。</w:t>
      </w:r>
    </w:p>
    <w:p w14:paraId="0F904ACC">
      <w:pPr>
        <w:keepNext w:val="0"/>
        <w:keepLines w:val="0"/>
        <w:pageBreakBefore w:val="0"/>
        <w:widowControl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drawing>
          <wp:inline distT="0" distB="0" distL="0" distR="0">
            <wp:extent cx="4632325" cy="1165860"/>
            <wp:effectExtent l="0" t="0" r="0" b="0"/>
            <wp:docPr id="50" name="_x0000_i1031"/>
            <wp:cNvGraphicFramePr/>
            <a:graphic xmlns:a="http://schemas.openxmlformats.org/drawingml/2006/main">
              <a:graphicData uri="http://schemas.openxmlformats.org/drawingml/2006/picture">
                <pic:pic xmlns:pic="http://schemas.openxmlformats.org/drawingml/2006/picture">
                  <pic:nvPicPr>
                    <pic:cNvPr id="50" name="_x0000_i1031"/>
                    <pic:cNvPicPr/>
                  </pic:nvPicPr>
                  <pic:blipFill>
                    <a:blip r:embed="rId9"/>
                    <a:stretch>
                      <a:fillRect/>
                    </a:stretch>
                  </pic:blipFill>
                  <pic:spPr>
                    <a:xfrm>
                      <a:off x="0" y="0"/>
                      <a:ext cx="4632325" cy="1165860"/>
                    </a:xfrm>
                    <a:prstGeom prst="rect">
                      <a:avLst/>
                    </a:prstGeom>
                    <a:noFill/>
                    <a:ln>
                      <a:noFill/>
                    </a:ln>
                  </pic:spPr>
                </pic:pic>
              </a:graphicData>
            </a:graphic>
          </wp:inline>
        </w:drawing>
      </w:r>
    </w:p>
    <w:p w14:paraId="325E0C4D">
      <w:pPr>
        <w:keepNext w:val="0"/>
        <w:keepLines w:val="0"/>
        <w:pageBreakBefore w:val="0"/>
        <w:widowControl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bCs w:val="0"/>
          <w:color w:val="000000"/>
          <w:sz w:val="24"/>
          <w:highlight w:val="none"/>
          <w:lang w:val="en-US" w:eastAsia="zh-CN"/>
        </w:rPr>
        <w:t xml:space="preserve">图 </w:t>
      </w:r>
      <w:r>
        <w:rPr>
          <w:rFonts w:hint="eastAsia" w:ascii="Times New Roman" w:hAnsi="Times New Roman" w:eastAsia="宋体" w:cs="Times New Roman"/>
          <w:b/>
          <w:bCs w:val="0"/>
          <w:color w:val="000000"/>
          <w:sz w:val="24"/>
          <w:highlight w:val="none"/>
          <w:lang w:val="en-US" w:eastAsia="zh-CN"/>
        </w:rPr>
        <w:t>2.4</w:t>
      </w:r>
      <w:r>
        <w:rPr>
          <w:rFonts w:hint="default" w:ascii="Times New Roman" w:hAnsi="Times New Roman" w:eastAsia="宋体" w:cs="Times New Roman"/>
          <w:b/>
          <w:bCs w:val="0"/>
          <w:color w:val="000000"/>
          <w:sz w:val="24"/>
          <w:highlight w:val="none"/>
          <w:lang w:val="en-US" w:eastAsia="zh-CN"/>
        </w:rPr>
        <w:t>-1</w:t>
      </w:r>
      <w:r>
        <w:rPr>
          <w:rFonts w:hint="eastAsia" w:eastAsia="宋体" w:cs="Times New Roman"/>
          <w:b/>
          <w:bCs w:val="0"/>
          <w:color w:val="000000"/>
          <w:sz w:val="24"/>
          <w:highlight w:val="none"/>
          <w:lang w:val="en-US" w:eastAsia="zh-CN"/>
        </w:rPr>
        <w:t xml:space="preserve">  </w:t>
      </w:r>
      <w:r>
        <w:rPr>
          <w:rFonts w:hint="default" w:ascii="Times New Roman" w:hAnsi="Times New Roman" w:eastAsia="宋体" w:cs="Times New Roman"/>
          <w:b/>
          <w:bCs w:val="0"/>
          <w:color w:val="000000"/>
          <w:sz w:val="24"/>
          <w:highlight w:val="none"/>
          <w:lang w:val="en-US" w:eastAsia="zh-CN"/>
        </w:rPr>
        <w:t>《霍山县水利发展“十四五”规划》中项目所在页面</w:t>
      </w:r>
    </w:p>
    <w:p w14:paraId="60192C81">
      <w:pPr>
        <w:keepNext w:val="0"/>
        <w:keepLines w:val="0"/>
        <w:pageBreakBefore w:val="0"/>
        <w:widowControl w:val="0"/>
        <w:numPr>
          <w:ilvl w:val="0"/>
          <w:numId w:val="0"/>
        </w:numPr>
        <w:suppressLineNumbers w:val="0"/>
        <w:spacing w:before="0" w:beforeAutospacing="0" w:after="0" w:afterAutospacing="0" w:line="360" w:lineRule="auto"/>
        <w:ind w:left="0" w:right="0" w:firstLine="480"/>
        <w:jc w:val="left"/>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本项目已列入《霍山县水利发展“十四五”规划》的霍山县水利发展“十四五”规划项目表，属于重点建设项目。</w:t>
      </w:r>
    </w:p>
    <w:p w14:paraId="7B944C3D">
      <w:pPr>
        <w:keepNext w:val="0"/>
        <w:keepLines w:val="0"/>
        <w:pageBreakBefore w:val="0"/>
        <w:widowControl w:val="0"/>
        <w:numPr>
          <w:ilvl w:val="0"/>
          <w:numId w:val="0"/>
        </w:numPr>
        <w:suppressLineNumbers w:val="0"/>
        <w:spacing w:before="0" w:beforeAutospacing="0" w:after="0" w:afterAutospacing="0" w:line="360" w:lineRule="auto"/>
        <w:ind w:right="0" w:firstLine="281"/>
        <w:rPr>
          <w:rFonts w:hint="eastAsia" w:ascii="Times New Roman" w:hAnsi="Times New Roman" w:eastAsia="黑体" w:cs="Times New Roman"/>
          <w:b/>
          <w:color w:val="000000"/>
          <w:sz w:val="28"/>
          <w:szCs w:val="28"/>
          <w:lang w:val="en-US" w:eastAsia="zh-CN" w:bidi="ar-SA"/>
        </w:rPr>
      </w:pPr>
      <w:r>
        <w:rPr>
          <w:rFonts w:hint="eastAsia" w:ascii="Times New Roman" w:hAnsi="Times New Roman" w:eastAsia="黑体" w:cs="Times New Roman"/>
          <w:b/>
          <w:color w:val="000000"/>
          <w:sz w:val="28"/>
          <w:szCs w:val="28"/>
          <w:lang w:val="en-US" w:eastAsia="zh-CN" w:bidi="ar-SA"/>
        </w:rPr>
        <w:t>2.4.7与《霍山县国土空间总体规划（2021-2035年）》符合性分析</w:t>
      </w:r>
    </w:p>
    <w:p w14:paraId="052B3C14">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eastAsia" w:eastAsia="宋体" w:cs="Times New Roman"/>
          <w:b w:val="0"/>
          <w:bCs/>
          <w:color w:val="000000"/>
          <w:sz w:val="24"/>
          <w:highlight w:val="none"/>
          <w:lang w:val="en-US" w:eastAsia="zh-CN"/>
        </w:rPr>
        <w:t>《霍山县国土空间总体规划（2021-2035年）》（以下简称《总体规划》）中提出“优化排水设施布局，中心城区排水体制采用雨、污分流制。到2035年，城市污水处理率达到100%，并与国家同时期相关标准一致……”</w:t>
      </w:r>
    </w:p>
    <w:p w14:paraId="633A795F">
      <w:pPr>
        <w:keepNext w:val="0"/>
        <w:keepLines w:val="0"/>
        <w:pageBreakBefore w:val="0"/>
        <w:widowControl w:val="0"/>
        <w:numPr>
          <w:ilvl w:val="0"/>
          <w:numId w:val="0"/>
        </w:numPr>
        <w:suppressLineNumbers w:val="0"/>
        <w:spacing w:before="0" w:beforeAutospacing="0" w:after="0" w:afterAutospacing="0" w:line="360" w:lineRule="auto"/>
        <w:ind w:right="0" w:firstLine="24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本项目是霍山县城市防洪排涝提升工程，符合《规划》中的优化排水设施布局要求，是提高防洪排涝能力，建立安全韧性的综合防灾设施体系的具体措施。</w:t>
      </w:r>
    </w:p>
    <w:p w14:paraId="34C90EE2">
      <w:pPr>
        <w:pStyle w:val="2"/>
        <w:rPr>
          <w:rFonts w:hint="default"/>
          <w:color w:val="000000"/>
          <w:lang w:val="en-US" w:eastAsia="zh-CN"/>
        </w:rPr>
      </w:pPr>
    </w:p>
    <w:p w14:paraId="2666B4DC">
      <w:pPr>
        <w:keepNext w:val="0"/>
        <w:keepLines w:val="0"/>
        <w:pageBreakBefore w:val="0"/>
        <w:widowControl w:val="0"/>
        <w:numPr>
          <w:ilvl w:val="0"/>
          <w:numId w:val="0"/>
        </w:numPr>
        <w:suppressLineNumbers w:val="0"/>
        <w:spacing w:before="0" w:beforeAutospacing="0" w:after="0" w:afterAutospacing="0" w:line="360" w:lineRule="auto"/>
        <w:ind w:right="0" w:firstLine="281"/>
        <w:rPr>
          <w:rFonts w:hint="default" w:ascii="Times New Roman" w:hAnsi="Times New Roman" w:eastAsia="黑体" w:cs="Times New Roman"/>
          <w:b/>
          <w:color w:val="000000"/>
          <w:sz w:val="28"/>
          <w:szCs w:val="28"/>
          <w:lang w:val="en-US" w:eastAsia="zh-CN" w:bidi="ar-SA"/>
        </w:rPr>
      </w:pPr>
      <w:r>
        <w:rPr>
          <w:rFonts w:hint="eastAsia" w:ascii="Times New Roman" w:hAnsi="Times New Roman" w:eastAsia="黑体" w:cs="Times New Roman"/>
          <w:b/>
          <w:color w:val="000000"/>
          <w:sz w:val="28"/>
          <w:szCs w:val="28"/>
          <w:lang w:val="en-US" w:eastAsia="zh-CN" w:bidi="ar-SA"/>
        </w:rPr>
        <w:t>2.4.8</w:t>
      </w:r>
      <w:r>
        <w:rPr>
          <w:rFonts w:hint="default" w:ascii="Times New Roman" w:hAnsi="Times New Roman" w:eastAsia="黑体" w:cs="Times New Roman"/>
          <w:b/>
          <w:color w:val="000000"/>
          <w:sz w:val="28"/>
          <w:szCs w:val="28"/>
          <w:lang w:val="en-US" w:eastAsia="zh-CN" w:bidi="ar-SA"/>
        </w:rPr>
        <w:t>与《霍山县城市排水（雨水）防涝综合规划》（2014-2030）符合性分析</w:t>
      </w:r>
    </w:p>
    <w:p w14:paraId="755811D4">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color w:val="000000"/>
          <w:lang w:eastAsia="zh-CN"/>
        </w:rPr>
        <w:t>根据</w:t>
      </w:r>
      <w:r>
        <w:rPr>
          <w:rFonts w:hint="default" w:ascii="Times New Roman" w:hAnsi="Times New Roman" w:eastAsia="宋体" w:cs="Times New Roman"/>
          <w:color w:val="000000"/>
        </w:rPr>
        <w:t>《霍山县城市排水（</w:t>
      </w:r>
      <w:r>
        <w:rPr>
          <w:rFonts w:hint="default" w:ascii="Times New Roman" w:hAnsi="Times New Roman" w:eastAsia="宋体" w:cs="Times New Roman"/>
          <w:color w:val="000000"/>
          <w:spacing w:val="2"/>
        </w:rPr>
        <w:t>雨水</w:t>
      </w:r>
      <w:r>
        <w:rPr>
          <w:rFonts w:hint="default" w:ascii="Times New Roman" w:hAnsi="Times New Roman" w:eastAsia="宋体" w:cs="Times New Roman"/>
          <w:color w:val="000000"/>
          <w:spacing w:val="4"/>
        </w:rPr>
        <w:t>）</w:t>
      </w:r>
      <w:r>
        <w:rPr>
          <w:rFonts w:hint="default" w:ascii="Times New Roman" w:hAnsi="Times New Roman" w:eastAsia="宋体" w:cs="Times New Roman"/>
          <w:color w:val="000000"/>
        </w:rPr>
        <w:t>防涝综合规划（2014-2030）</w:t>
      </w:r>
      <w:r>
        <w:rPr>
          <w:rFonts w:hint="default" w:ascii="Times New Roman" w:hAnsi="Times New Roman" w:eastAsia="宋体" w:cs="Times New Roman"/>
          <w:color w:val="000000"/>
          <w:spacing w:val="2"/>
        </w:rPr>
        <w:t>》规划目标</w:t>
      </w:r>
      <w:r>
        <w:rPr>
          <w:rFonts w:hint="default" w:ascii="Times New Roman" w:hAnsi="Times New Roman" w:eastAsia="宋体" w:cs="Times New Roman"/>
          <w:color w:val="000000"/>
          <w:spacing w:val="2"/>
          <w:lang w:eastAsia="zh-CN"/>
        </w:rPr>
        <w:t>：</w:t>
      </w:r>
      <w:r>
        <w:rPr>
          <w:rFonts w:hint="default" w:ascii="Times New Roman" w:hAnsi="Times New Roman" w:eastAsia="宋体" w:cs="Times New Roman"/>
          <w:b w:val="0"/>
          <w:bCs/>
          <w:color w:val="000000"/>
          <w:sz w:val="24"/>
          <w:highlight w:val="none"/>
          <w:lang w:val="en-US" w:eastAsia="zh-CN"/>
        </w:rPr>
        <w:t>统筹气象降雨、地表径流、雨水管网系统、城市内河，在霍山县总体规划指导下，根据相关规划要求，完善城市排水防涝体系，提高城市排水防涝系统功能，促进城市排水防涝设施规划建设，促进城市快速、健康、可持续发展。至规划期末，通过规划的实施，最大限度保证在城市内涝防治标准以内的暴雨不造成灾害，不造成较大的经济损失和人员伤亡。</w:t>
      </w:r>
    </w:p>
    <w:p w14:paraId="156FC5B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sz w:val="24"/>
          <w:highlight w:val="none"/>
        </w:rPr>
        <w:t>本</w:t>
      </w:r>
      <w:r>
        <w:rPr>
          <w:rFonts w:hint="default" w:ascii="Times New Roman" w:hAnsi="Times New Roman" w:eastAsia="宋体" w:cs="Times New Roman"/>
          <w:color w:val="000000"/>
          <w:sz w:val="24"/>
          <w:highlight w:val="none"/>
          <w:lang w:val="en-US" w:eastAsia="zh-CN"/>
        </w:rPr>
        <w:t>项目</w:t>
      </w:r>
      <w:r>
        <w:rPr>
          <w:rFonts w:hint="default" w:ascii="Times New Roman" w:hAnsi="Times New Roman" w:eastAsia="宋体" w:cs="Times New Roman"/>
          <w:color w:val="000000"/>
          <w:sz w:val="24"/>
          <w:highlight w:val="none"/>
        </w:rPr>
        <w:t>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lang w:eastAsia="zh-CN"/>
        </w:rPr>
        <w:t>，通过区域排涝工程建设，解决区域排涝能力不足、排水沟渠不成系统的问题；通过高庙河、柳林河、新店河等霍山县城区排涝通道整治，解决排涝通道防洪排涝不达标，护岸损毁、滩地坡面裸露、河床下切等问题；通过排水管网改造工程，保证柳林河沿岸生活污水</w:t>
      </w:r>
      <w:r>
        <w:rPr>
          <w:rFonts w:hint="eastAsia" w:eastAsia="宋体" w:cs="Times New Roman"/>
          <w:color w:val="000000"/>
          <w:lang w:eastAsia="zh-CN"/>
        </w:rPr>
        <w:t>收</w:t>
      </w:r>
      <w:r>
        <w:rPr>
          <w:rFonts w:hint="default" w:ascii="Times New Roman" w:hAnsi="Times New Roman" w:eastAsia="宋体" w:cs="Times New Roman"/>
          <w:color w:val="000000"/>
          <w:lang w:eastAsia="zh-CN"/>
        </w:rPr>
        <w:t>集排放，促进污水处理提质增效。项目整体提升霍山县城区排水防涝能力。</w:t>
      </w:r>
    </w:p>
    <w:p w14:paraId="5D1F6709">
      <w:pPr>
        <w:rPr>
          <w:rFonts w:hint="eastAsia" w:eastAsia="宋体"/>
          <w:color w:val="000000"/>
          <w:lang w:val="en-US" w:eastAsia="zh-CN"/>
        </w:rPr>
      </w:pPr>
      <w:r>
        <w:rPr>
          <w:rFonts w:hint="default" w:ascii="Times New Roman" w:hAnsi="Times New Roman" w:eastAsia="宋体" w:cs="Times New Roman"/>
          <w:color w:val="000000"/>
          <w:sz w:val="24"/>
          <w:highlight w:val="none"/>
          <w:lang w:val="en-US" w:eastAsia="zh-CN"/>
        </w:rPr>
        <w:t>因此，本项目的建设</w:t>
      </w:r>
      <w:r>
        <w:rPr>
          <w:rFonts w:hint="default" w:ascii="Times New Roman" w:hAnsi="Times New Roman" w:eastAsia="宋体" w:cs="Times New Roman"/>
          <w:color w:val="000000"/>
          <w:sz w:val="24"/>
          <w:highlight w:val="none"/>
        </w:rPr>
        <w:t>符合</w:t>
      </w:r>
      <w:r>
        <w:rPr>
          <w:rFonts w:hint="default" w:ascii="Times New Roman" w:hAnsi="Times New Roman" w:eastAsia="宋体" w:cs="Times New Roman"/>
          <w:color w:val="000000"/>
          <w:sz w:val="24"/>
          <w:highlight w:val="none"/>
          <w:lang w:val="en-US" w:eastAsia="zh-CN"/>
        </w:rPr>
        <w:t>《霍山县城市排水（雨水）防涝综合规划》（2014-2030）</w:t>
      </w:r>
      <w:r>
        <w:rPr>
          <w:rFonts w:hint="default" w:ascii="Times New Roman" w:hAnsi="Times New Roman" w:eastAsia="宋体" w:cs="Times New Roman"/>
          <w:color w:val="000000"/>
          <w:sz w:val="24"/>
          <w:highlight w:val="none"/>
        </w:rPr>
        <w:t>的要求。</w:t>
      </w:r>
    </w:p>
    <w:p w14:paraId="18FE15E9">
      <w:pPr>
        <w:pStyle w:val="4"/>
        <w:rPr>
          <w:color w:val="000000"/>
        </w:rPr>
      </w:pPr>
      <w:bookmarkStart w:id="87" w:name="_Toc26109"/>
      <w:bookmarkStart w:id="88" w:name="_Toc7704"/>
      <w:r>
        <w:rPr>
          <w:rFonts w:hint="eastAsia"/>
          <w:color w:val="000000"/>
          <w:lang w:val="en-US" w:eastAsia="zh-CN"/>
        </w:rPr>
        <w:t>2.5 与六安市“三线一单”</w:t>
      </w:r>
      <w:r>
        <w:rPr>
          <w:color w:val="000000"/>
        </w:rPr>
        <w:t>相符性分析</w:t>
      </w:r>
      <w:bookmarkEnd w:id="87"/>
      <w:bookmarkEnd w:id="88"/>
    </w:p>
    <w:p w14:paraId="112B8BE4">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rPr>
      </w:pPr>
      <w:r>
        <w:rPr>
          <w:rFonts w:hint="default" w:ascii="Times New Roman" w:hAnsi="Times New Roman" w:eastAsia="宋体" w:cs="Times New Roman"/>
          <w:color w:val="000000"/>
          <w:sz w:val="24"/>
          <w:szCs w:val="24"/>
          <w:lang w:val="en-US" w:eastAsia="zh-CN" w:bidi="ar"/>
        </w:rPr>
        <w:t>根据生态环境部《关于实施“三线一单”生态环境分区管控的指导意见（试行）》（环环评〔2021〕108号），“三线一单”指生态保护红线、环境质量底线、资源利用上线和环境准入负面清单。本工程与“三线一单”相符性判定如下：</w:t>
      </w:r>
    </w:p>
    <w:p w14:paraId="47A6E3AC">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color w:val="000000"/>
        </w:rPr>
      </w:pPr>
      <w:r>
        <w:rPr>
          <w:rFonts w:hint="default" w:ascii="Times New Roman" w:hAnsi="Times New Roman" w:eastAsia="宋体" w:cs="Times New Roman"/>
          <w:b/>
          <w:bCs/>
          <w:color w:val="000000"/>
          <w:sz w:val="24"/>
          <w:szCs w:val="24"/>
          <w:lang w:val="en-US" w:eastAsia="zh-CN" w:bidi="ar"/>
        </w:rPr>
        <w:t>（1）与生态保护红线符合性分析</w:t>
      </w:r>
    </w:p>
    <w:p w14:paraId="639D615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szCs w:val="24"/>
          <w:lang w:val="en-US" w:eastAsia="zh-CN" w:bidi="ar"/>
        </w:rPr>
      </w:pPr>
      <w:r>
        <w:rPr>
          <w:rFonts w:hint="eastAsia" w:eastAsia="宋体" w:cs="Times New Roman"/>
          <w:color w:val="000000"/>
          <w:sz w:val="24"/>
          <w:highlight w:val="none"/>
          <w:lang w:val="en-US" w:eastAsia="zh-CN"/>
        </w:rPr>
        <w:t>本项目用地位于霍山县佛子岭镇、黑石渡镇和衡山镇境内，根据2025年11月19日《霍山县自然资源和规划局关于六安市霍山县排水防涝能力提升项目预审与规划选址意见的复函》（霍自然资函[2025]38号）中内容可知，本工程用地范围内不涉及占用生态保护红线和永久基本农田。</w:t>
      </w:r>
    </w:p>
    <w:p w14:paraId="5D5280B7">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sz w:val="24"/>
          <w:szCs w:val="24"/>
          <w:lang w:val="en-US" w:eastAsia="zh-CN" w:bidi="ar"/>
        </w:rPr>
      </w:pPr>
      <w:r>
        <w:rPr>
          <w:rFonts w:hint="default" w:ascii="Times New Roman" w:hAnsi="Times New Roman" w:eastAsia="宋体" w:cs="Times New Roman"/>
          <w:b/>
          <w:bCs/>
          <w:color w:val="000000"/>
          <w:sz w:val="24"/>
          <w:szCs w:val="24"/>
          <w:lang w:val="en-US" w:eastAsia="zh-CN" w:bidi="ar"/>
        </w:rPr>
        <w:t>（2）与环境质量底线及分区管控符合性分析</w:t>
      </w:r>
    </w:p>
    <w:p w14:paraId="34716A98">
      <w:pPr>
        <w:keepNext w:val="0"/>
        <w:keepLines w:val="0"/>
        <w:pageBreakBefore w:val="0"/>
        <w:widowControl/>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rPr>
      </w:pPr>
      <w:r>
        <w:rPr>
          <w:rFonts w:hint="default" w:ascii="Times New Roman" w:hAnsi="Times New Roman" w:eastAsia="宋体" w:cs="Times New Roman"/>
          <w:color w:val="000000"/>
          <w:sz w:val="24"/>
          <w:szCs w:val="24"/>
          <w:lang w:val="en-US" w:eastAsia="zh-CN" w:bidi="ar"/>
        </w:rPr>
        <w:t>根据</w:t>
      </w:r>
      <w:r>
        <w:rPr>
          <w:rFonts w:hint="default" w:ascii="Times New Roman" w:hAnsi="Times New Roman" w:eastAsia="宋体" w:cs="Times New Roman"/>
          <w:color w:val="000000"/>
          <w:highlight w:val="none"/>
          <w:lang w:val="en-US" w:eastAsia="zh-CN"/>
        </w:rPr>
        <w:t>《2024年霍山县环境质量报告》</w:t>
      </w:r>
      <w:r>
        <w:rPr>
          <w:rFonts w:hint="default" w:ascii="Times New Roman" w:hAnsi="Times New Roman" w:eastAsia="宋体" w:cs="Times New Roman"/>
          <w:color w:val="000000"/>
          <w:sz w:val="24"/>
          <w:szCs w:val="24"/>
          <w:lang w:val="en-US" w:eastAsia="zh-CN" w:bidi="ar"/>
        </w:rPr>
        <w:t>可知，2024年</w:t>
      </w:r>
      <w:r>
        <w:rPr>
          <w:rFonts w:hint="eastAsia" w:ascii="Times New Roman" w:hAnsi="Times New Roman" w:eastAsia="宋体" w:cs="Times New Roman"/>
          <w:color w:val="000000"/>
          <w:sz w:val="24"/>
          <w:szCs w:val="24"/>
          <w:lang w:val="en-US" w:eastAsia="zh-CN" w:bidi="ar"/>
        </w:rPr>
        <w:t>霍山县</w:t>
      </w:r>
      <w:r>
        <w:rPr>
          <w:rFonts w:hint="default" w:ascii="Times New Roman" w:hAnsi="Times New Roman" w:eastAsia="宋体" w:cs="Times New Roman"/>
          <w:color w:val="000000"/>
          <w:sz w:val="24"/>
          <w:szCs w:val="24"/>
          <w:lang w:val="en-US" w:eastAsia="zh-CN" w:bidi="ar"/>
        </w:rPr>
        <w:t>各监测点的NO</w:t>
      </w:r>
      <w:r>
        <w:rPr>
          <w:rFonts w:hint="default" w:ascii="Times New Roman" w:hAnsi="Times New Roman" w:eastAsia="宋体" w:cs="Times New Roman"/>
          <w:color w:val="000000"/>
          <w:sz w:val="15"/>
          <w:szCs w:val="15"/>
          <w:lang w:val="en-US" w:eastAsia="zh-CN" w:bidi="ar"/>
        </w:rPr>
        <w:t>2</w:t>
      </w:r>
      <w:r>
        <w:rPr>
          <w:rFonts w:hint="default" w:ascii="Times New Roman" w:hAnsi="Times New Roman" w:eastAsia="宋体" w:cs="Times New Roman"/>
          <w:color w:val="000000"/>
          <w:sz w:val="24"/>
          <w:szCs w:val="24"/>
          <w:lang w:val="en-US" w:eastAsia="zh-CN" w:bidi="ar"/>
        </w:rPr>
        <w:t>、SO</w:t>
      </w:r>
      <w:r>
        <w:rPr>
          <w:rFonts w:hint="default" w:ascii="Times New Roman" w:hAnsi="Times New Roman" w:eastAsia="宋体" w:cs="Times New Roman"/>
          <w:color w:val="000000"/>
          <w:sz w:val="15"/>
          <w:szCs w:val="15"/>
          <w:lang w:val="en-US" w:eastAsia="zh-CN" w:bidi="ar"/>
        </w:rPr>
        <w:t>2</w:t>
      </w:r>
      <w:r>
        <w:rPr>
          <w:rFonts w:hint="default" w:ascii="Times New Roman" w:hAnsi="Times New Roman" w:eastAsia="宋体" w:cs="Times New Roman"/>
          <w:color w:val="000000"/>
          <w:sz w:val="24"/>
          <w:szCs w:val="24"/>
          <w:lang w:val="en-US" w:eastAsia="zh-CN" w:bidi="ar"/>
        </w:rPr>
        <w:t>、CO、</w:t>
      </w:r>
      <w:r>
        <w:rPr>
          <w:rFonts w:hint="eastAsia" w:eastAsia="宋体" w:cs="Times New Roman"/>
          <w:color w:val="000000"/>
          <w:sz w:val="24"/>
          <w:szCs w:val="24"/>
          <w:lang w:val="en-US" w:eastAsia="zh-CN" w:bidi="ar"/>
        </w:rPr>
        <w:t>PM</w:t>
      </w:r>
      <w:r>
        <w:rPr>
          <w:rFonts w:hint="default" w:ascii="Times New Roman" w:hAnsi="Times New Roman" w:eastAsia="宋体" w:cs="Times New Roman"/>
          <w:color w:val="000000"/>
          <w:sz w:val="15"/>
          <w:szCs w:val="15"/>
          <w:lang w:val="en-US" w:eastAsia="zh-CN" w:bidi="ar"/>
        </w:rPr>
        <w:t>10</w:t>
      </w:r>
      <w:r>
        <w:rPr>
          <w:rFonts w:hint="default" w:ascii="Times New Roman" w:hAnsi="Times New Roman" w:eastAsia="宋体" w:cs="Times New Roman"/>
          <w:color w:val="000000"/>
          <w:sz w:val="24"/>
          <w:szCs w:val="24"/>
          <w:lang w:val="en-US" w:eastAsia="zh-CN" w:bidi="ar"/>
        </w:rPr>
        <w:t>、O</w:t>
      </w:r>
      <w:r>
        <w:rPr>
          <w:rFonts w:hint="default" w:ascii="Times New Roman" w:hAnsi="Times New Roman" w:eastAsia="宋体" w:cs="Times New Roman"/>
          <w:color w:val="000000"/>
          <w:sz w:val="15"/>
          <w:szCs w:val="15"/>
          <w:lang w:val="en-US" w:eastAsia="zh-CN" w:bidi="ar"/>
        </w:rPr>
        <w:t>3</w:t>
      </w:r>
      <w:r>
        <w:rPr>
          <w:rFonts w:hint="default" w:ascii="Times New Roman" w:hAnsi="Times New Roman" w:eastAsia="宋体" w:cs="Times New Roman"/>
          <w:color w:val="000000"/>
          <w:sz w:val="24"/>
          <w:szCs w:val="24"/>
          <w:lang w:val="en-US" w:eastAsia="zh-CN" w:bidi="ar"/>
        </w:rPr>
        <w:t>、</w:t>
      </w:r>
      <w:r>
        <w:rPr>
          <w:rFonts w:hint="eastAsia" w:eastAsia="宋体" w:cs="Times New Roman"/>
          <w:color w:val="000000"/>
          <w:sz w:val="24"/>
          <w:szCs w:val="24"/>
          <w:lang w:val="en-US" w:eastAsia="zh-CN" w:bidi="ar"/>
        </w:rPr>
        <w:t>PM</w:t>
      </w:r>
      <w:r>
        <w:rPr>
          <w:rFonts w:hint="default" w:ascii="Times New Roman" w:hAnsi="Times New Roman" w:eastAsia="宋体" w:cs="Times New Roman"/>
          <w:color w:val="000000"/>
          <w:sz w:val="15"/>
          <w:szCs w:val="15"/>
          <w:lang w:val="en-US" w:eastAsia="zh-CN" w:bidi="ar"/>
        </w:rPr>
        <w:t>2.5</w:t>
      </w:r>
      <w:r>
        <w:rPr>
          <w:rFonts w:hint="default" w:ascii="Times New Roman" w:hAnsi="Times New Roman" w:eastAsia="宋体" w:cs="Times New Roman"/>
          <w:color w:val="000000"/>
          <w:sz w:val="24"/>
          <w:szCs w:val="24"/>
          <w:lang w:val="en-US" w:eastAsia="zh-CN" w:bidi="ar"/>
        </w:rPr>
        <w:t>浓度均满足《环境空气质量标准》（GB3095-2012）中二级标准要求；地表水环境质量各项指标达到《地表水环境质量标准》（GB3838-2002）II类标准限值要求；不会突破项目所在地的环境质量底线。</w:t>
      </w:r>
    </w:p>
    <w:p w14:paraId="06F8D4C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①大气环境质量底线及分区管控符合性分析</w:t>
      </w:r>
    </w:p>
    <w:p w14:paraId="1283540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eastAsia="zh-CN"/>
        </w:rPr>
        <w:t>结合大气环境优先保护区管控要求及大气环境受体敏感重点管控区要求，本项目为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sz w:val="24"/>
          <w:highlight w:val="none"/>
          <w:lang w:eastAsia="zh-CN"/>
        </w:rPr>
        <w:t>，不属于新建、扩建涉及大气污染物排放的各类工业项目及生活垃圾焚烧发电项目。同时，本项目无</w:t>
      </w:r>
      <w:r>
        <w:rPr>
          <w:rFonts w:hint="default" w:ascii="Times New Roman" w:hAnsi="Times New Roman" w:eastAsia="宋体" w:cs="Times New Roman"/>
          <w:color w:val="000000"/>
          <w:sz w:val="24"/>
          <w:highlight w:val="none"/>
        </w:rPr>
        <w:t>有毒有害烟尘和恶臭气体的物质</w:t>
      </w:r>
      <w:r>
        <w:rPr>
          <w:rFonts w:hint="default" w:ascii="Times New Roman" w:hAnsi="Times New Roman" w:eastAsia="宋体" w:cs="Times New Roman"/>
          <w:color w:val="000000"/>
          <w:sz w:val="24"/>
          <w:highlight w:val="none"/>
          <w:lang w:eastAsia="zh-CN"/>
        </w:rPr>
        <w:t>排放、无</w:t>
      </w:r>
      <w:r>
        <w:rPr>
          <w:rFonts w:hint="default" w:ascii="Times New Roman" w:hAnsi="Times New Roman" w:eastAsia="宋体" w:cs="Times New Roman"/>
          <w:color w:val="000000"/>
          <w:sz w:val="24"/>
          <w:highlight w:val="none"/>
        </w:rPr>
        <w:t>黑烟等明显可视污染物的非道路移动柴油工程机械</w:t>
      </w:r>
      <w:r>
        <w:rPr>
          <w:rFonts w:hint="default" w:ascii="Times New Roman" w:hAnsi="Times New Roman" w:eastAsia="宋体" w:cs="Times New Roman"/>
          <w:color w:val="000000"/>
          <w:sz w:val="24"/>
          <w:highlight w:val="none"/>
          <w:lang w:eastAsia="zh-CN"/>
        </w:rPr>
        <w:t>，运营期无大气污染物排放，仅在施工期有少量施工扬尘扩散，</w:t>
      </w:r>
      <w:r>
        <w:rPr>
          <w:rFonts w:hint="default" w:ascii="Times New Roman" w:hAnsi="Times New Roman" w:eastAsia="宋体" w:cs="Times New Roman"/>
          <w:color w:val="000000"/>
          <w:sz w:val="24"/>
          <w:highlight w:val="none"/>
        </w:rPr>
        <w:t>可满足</w:t>
      </w:r>
      <w:r>
        <w:rPr>
          <w:rFonts w:hint="default" w:ascii="Times New Roman" w:hAnsi="Times New Roman" w:eastAsia="宋体" w:cs="Times New Roman"/>
          <w:color w:val="000000"/>
          <w:sz w:val="24"/>
          <w:highlight w:val="none"/>
          <w:lang w:eastAsia="zh-CN"/>
        </w:rPr>
        <w:t>大气环境优先保护区管控要求及大气环境受体敏感重点管控区</w:t>
      </w:r>
      <w:r>
        <w:rPr>
          <w:rFonts w:hint="default" w:ascii="Times New Roman" w:hAnsi="Times New Roman" w:eastAsia="宋体" w:cs="Times New Roman"/>
          <w:color w:val="000000"/>
          <w:sz w:val="24"/>
          <w:highlight w:val="none"/>
        </w:rPr>
        <w:t>管控要求。</w:t>
      </w:r>
    </w:p>
    <w:p w14:paraId="521CFD6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②水环境质量底线及分区管控符合性分析</w:t>
      </w:r>
    </w:p>
    <w:p w14:paraId="5BC2F3A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eastAsia="zh-CN"/>
        </w:rPr>
        <w:t>本项目为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sz w:val="24"/>
          <w:highlight w:val="none"/>
          <w:lang w:eastAsia="zh-CN"/>
        </w:rPr>
        <w:t>，不属于</w:t>
      </w:r>
      <w:r>
        <w:rPr>
          <w:rFonts w:hint="default" w:ascii="Times New Roman" w:hAnsi="Times New Roman" w:eastAsia="宋体" w:cs="Times New Roman"/>
          <w:color w:val="000000"/>
          <w:sz w:val="24"/>
          <w:szCs w:val="24"/>
          <w:highlight w:val="none"/>
          <w:lang w:val="en-US" w:eastAsia="zh-CN" w:bidi="ar-SA"/>
        </w:rPr>
        <w:t>在饮用水水源一级保护区内新建、改建、扩建与供水设施和保护水源无关的建设项目及不属于对水体污染严重的建设项目</w:t>
      </w:r>
      <w:r>
        <w:rPr>
          <w:rFonts w:hint="default" w:ascii="Times New Roman" w:hAnsi="Times New Roman" w:eastAsia="宋体" w:cs="Times New Roman"/>
          <w:color w:val="000000"/>
          <w:sz w:val="24"/>
          <w:highlight w:val="none"/>
          <w:lang w:eastAsia="zh-CN"/>
        </w:rPr>
        <w:t>。同时项目确保河湖面积不减少、生态功能不退化。本</w:t>
      </w:r>
      <w:r>
        <w:rPr>
          <w:rFonts w:hint="default" w:ascii="Times New Roman" w:hAnsi="Times New Roman" w:eastAsia="宋体" w:cs="Times New Roman"/>
          <w:color w:val="000000"/>
          <w:sz w:val="24"/>
          <w:highlight w:val="none"/>
        </w:rPr>
        <w:t>项目</w:t>
      </w:r>
      <w:r>
        <w:rPr>
          <w:rFonts w:hint="default" w:ascii="Times New Roman" w:hAnsi="Times New Roman" w:eastAsia="宋体" w:cs="Times New Roman"/>
          <w:color w:val="000000"/>
          <w:sz w:val="24"/>
          <w:highlight w:val="none"/>
          <w:lang w:eastAsia="zh-CN"/>
        </w:rPr>
        <w:t>废水只在施工期产生设备清洗废水，设置沉淀池沉淀后，用于场地洒水抑尘、车辆冲洗等，不外排，因此本项目符合水环境优先保护区及</w:t>
      </w:r>
      <w:r>
        <w:rPr>
          <w:rFonts w:hint="default" w:ascii="Times New Roman" w:hAnsi="Times New Roman" w:eastAsia="宋体" w:cs="Times New Roman"/>
          <w:color w:val="000000"/>
          <w:sz w:val="24"/>
          <w:highlight w:val="none"/>
        </w:rPr>
        <w:t>水环境一般管控区</w:t>
      </w:r>
      <w:r>
        <w:rPr>
          <w:rFonts w:hint="default" w:ascii="Times New Roman" w:hAnsi="Times New Roman" w:eastAsia="宋体" w:cs="Times New Roman"/>
          <w:color w:val="000000"/>
          <w:sz w:val="24"/>
          <w:highlight w:val="none"/>
          <w:lang w:eastAsia="zh-CN"/>
        </w:rPr>
        <w:t>管控要求。</w:t>
      </w:r>
    </w:p>
    <w:p w14:paraId="36A2DA8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③土壤环境质量底线及分区管控符合性分析</w:t>
      </w:r>
    </w:p>
    <w:p w14:paraId="19B0363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本项目</w:t>
      </w:r>
      <w:r>
        <w:rPr>
          <w:rFonts w:hint="default" w:ascii="Times New Roman" w:hAnsi="Times New Roman" w:eastAsia="宋体" w:cs="Times New Roman"/>
          <w:color w:val="000000"/>
          <w:sz w:val="24"/>
          <w:highlight w:val="none"/>
          <w:lang w:eastAsia="zh-CN"/>
        </w:rPr>
        <w:t>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sz w:val="24"/>
          <w:highlight w:val="none"/>
          <w:lang w:eastAsia="zh-CN"/>
        </w:rPr>
        <w:t>，不排放重点污染物，</w:t>
      </w:r>
      <w:r>
        <w:rPr>
          <w:rFonts w:hint="default" w:ascii="Times New Roman" w:hAnsi="Times New Roman" w:eastAsia="宋体" w:cs="Times New Roman"/>
          <w:color w:val="000000"/>
          <w:sz w:val="24"/>
          <w:highlight w:val="none"/>
        </w:rPr>
        <w:t>不存在土壤、地下水污染途径。项目根据《建设项目环境影响报告表编制技术指南（</w:t>
      </w:r>
      <w:r>
        <w:rPr>
          <w:rFonts w:hint="default" w:ascii="Times New Roman" w:hAnsi="Times New Roman" w:eastAsia="宋体" w:cs="Times New Roman"/>
          <w:color w:val="000000"/>
          <w:sz w:val="24"/>
          <w:highlight w:val="none"/>
          <w:lang w:eastAsia="zh-CN"/>
        </w:rPr>
        <w:t>生态</w:t>
      </w:r>
      <w:r>
        <w:rPr>
          <w:rFonts w:hint="default" w:ascii="Times New Roman" w:hAnsi="Times New Roman" w:eastAsia="宋体" w:cs="Times New Roman"/>
          <w:color w:val="000000"/>
          <w:sz w:val="24"/>
          <w:highlight w:val="none"/>
        </w:rPr>
        <w:t>影响类）》（试行），不开展土壤环境质量现状评价。因此，符合其相关管控要求。</w:t>
      </w:r>
    </w:p>
    <w:p w14:paraId="012A6E0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本项目产生的环境影响经防治措施治理后，能保障基本环境质量要求的安全线。总体来看，项目符合环境质量底线要求。</w:t>
      </w:r>
    </w:p>
    <w:p w14:paraId="79841A4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⑶资源利用上限符合性分析</w:t>
      </w:r>
    </w:p>
    <w:p w14:paraId="19532F5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本项目占用的资源包括：土地、水、电等资源，经分析，项目占用的资源相较于区域资源利用上线的比重很小，符合资源利用上线的要求。</w:t>
      </w:r>
    </w:p>
    <w:p w14:paraId="6B8E5D6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⑷环境准入清单符合性分析</w:t>
      </w:r>
    </w:p>
    <w:p w14:paraId="066A08C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项目评价范围内不涉及生态红线保护区域，不属于禁止开发建设活动、限制开发建设活动、不符合空间布局要求活动的范围内，符合单元有关空间布局约束、污染物排放管控、环境风险防控、资源开发效率要求等相关管控要求，符合生态环境准入清单要求。</w:t>
      </w:r>
    </w:p>
    <w:p w14:paraId="2220F89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综上所述，本项目的建设符合“三线一单”控制条件要求。</w:t>
      </w:r>
    </w:p>
    <w:p w14:paraId="00CDFB6A">
      <w:pPr>
        <w:pStyle w:val="217"/>
        <w:keepNext w:val="0"/>
        <w:keepLines w:val="0"/>
        <w:suppressLineNumbers w:val="0"/>
        <w:spacing w:before="0" w:beforeAutospacing="0" w:after="0" w:afterAutospacing="0"/>
        <w:ind w:left="0" w:right="0" w:firstLine="0"/>
        <w:rPr>
          <w:rFonts w:hint="default" w:ascii="Times New Roman" w:hAnsi="Times New Roman" w:eastAsia="黑体" w:cs="Times New Roman"/>
          <w:b/>
          <w:color w:val="000000"/>
          <w:sz w:val="30"/>
          <w:szCs w:val="30"/>
          <w:lang w:val="en-US" w:eastAsia="zh-CN" w:bidi="ar-SA"/>
        </w:rPr>
      </w:pPr>
      <w:bookmarkStart w:id="89" w:name="_Toc24334"/>
      <w:r>
        <w:rPr>
          <w:rFonts w:hint="eastAsia" w:ascii="Times New Roman" w:hAnsi="Times New Roman" w:eastAsia="黑体" w:cs="Times New Roman"/>
          <w:b/>
          <w:color w:val="000000"/>
          <w:sz w:val="30"/>
          <w:szCs w:val="30"/>
          <w:lang w:val="en-US" w:eastAsia="zh-CN" w:bidi="ar-SA"/>
        </w:rPr>
        <w:t>2.6</w:t>
      </w:r>
      <w:r>
        <w:rPr>
          <w:rFonts w:hint="default" w:ascii="Times New Roman" w:hAnsi="Times New Roman" w:eastAsia="黑体" w:cs="Times New Roman"/>
          <w:b/>
          <w:color w:val="000000"/>
          <w:sz w:val="30"/>
          <w:szCs w:val="30"/>
          <w:lang w:val="en-US" w:eastAsia="zh-CN" w:bidi="ar-SA"/>
        </w:rPr>
        <w:t>与</w:t>
      </w:r>
      <w:r>
        <w:rPr>
          <w:rFonts w:hint="eastAsia" w:ascii="Times New Roman" w:hAnsi="Times New Roman" w:eastAsia="黑体" w:cs="Times New Roman"/>
          <w:b/>
          <w:color w:val="000000"/>
          <w:sz w:val="30"/>
          <w:szCs w:val="30"/>
          <w:lang w:val="en-US" w:eastAsia="zh-CN" w:bidi="ar-SA"/>
        </w:rPr>
        <w:t>霍山</w:t>
      </w:r>
      <w:r>
        <w:rPr>
          <w:rFonts w:hint="default" w:ascii="Times New Roman" w:hAnsi="Times New Roman" w:eastAsia="黑体" w:cs="Times New Roman"/>
          <w:b/>
          <w:color w:val="000000"/>
          <w:sz w:val="30"/>
          <w:szCs w:val="30"/>
          <w:lang w:val="en-US" w:eastAsia="zh-CN" w:bidi="ar-SA"/>
        </w:rPr>
        <w:t>县“三区三线”划定成果相符性分析</w:t>
      </w:r>
      <w:bookmarkEnd w:id="89"/>
    </w:p>
    <w:p w14:paraId="6211C076">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“三区三线”：“三区”是指城镇空间、农业空间、生态空间。“三线”是指城镇开发边界、永久基本农田、生态保护红线。依据</w:t>
      </w:r>
      <w:r>
        <w:rPr>
          <w:rFonts w:hint="eastAsia" w:ascii="Times New Roman" w:hAnsi="Times New Roman" w:cs="Times New Roman"/>
          <w:color w:val="000000"/>
          <w:szCs w:val="21"/>
          <w:lang w:val="en-US" w:eastAsia="zh-CN"/>
        </w:rPr>
        <w:t>霍山</w:t>
      </w:r>
      <w:r>
        <w:rPr>
          <w:rFonts w:hint="default" w:ascii="Times New Roman" w:hAnsi="Times New Roman" w:cs="Times New Roman"/>
          <w:color w:val="000000"/>
          <w:szCs w:val="21"/>
          <w:lang w:val="en-US"/>
        </w:rPr>
        <w:t>县“三区三线”划定成果相关内容，“三区三线”是按照耕地和永久基本农田、生态保护红线、城镇开发边界的优先顺序，在国土空间规划中统筹划定落实三条控制线，做到现状耕地应保尽保、用划尽划，确保三条控制线不交叉、不重叠、不冲突。其中：</w:t>
      </w:r>
    </w:p>
    <w:p w14:paraId="20DB1F1D">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永久基本农田需落实严格的耕地保护制度，保质保量划定永久基本农田，建立完善基本农田储备区，实施现有耕地提质改造，促进耕地规模化、集中化。</w:t>
      </w:r>
    </w:p>
    <w:p w14:paraId="0D8C5109">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生态保护红线需统筹考虑全县自然生态系统，划定全县生态保护红线。生态保护红线按照禁止建设区管理，坚持严格保护、分级管控、损害追责、违法严惩原则。</w:t>
      </w:r>
    </w:p>
    <w:p w14:paraId="5210D099">
      <w:pPr>
        <w:pStyle w:val="20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城镇开发边界需基于国土空间开发适宜性评价及资源环境承载力评价，避让永久基本农田和生态保护红线，划定城镇开发边界。城镇开发边界外建设用地有序腾退，不得进行城镇集中建设。</w:t>
      </w:r>
    </w:p>
    <w:p w14:paraId="76B86119">
      <w:pPr>
        <w:pStyle w:val="202"/>
        <w:keepNext w:val="0"/>
        <w:keepLines w:val="0"/>
        <w:suppressLineNumbers w:val="0"/>
        <w:spacing w:before="0" w:beforeAutospacing="0" w:after="0" w:afterAutospacing="0" w:line="360" w:lineRule="auto"/>
        <w:ind w:left="0" w:right="0" w:firstLine="480"/>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highlight w:val="none"/>
          <w:lang w:val="en-US"/>
        </w:rPr>
        <w:t>本</w:t>
      </w:r>
      <w:r>
        <w:rPr>
          <w:rFonts w:hint="default" w:ascii="Times New Roman" w:hAnsi="Times New Roman" w:cs="Times New Roman"/>
          <w:color w:val="000000"/>
          <w:szCs w:val="21"/>
          <w:highlight w:val="none"/>
          <w:lang w:val="en-US" w:eastAsia="zh-CN"/>
        </w:rPr>
        <w:t>项目</w:t>
      </w:r>
      <w:r>
        <w:rPr>
          <w:rFonts w:hint="default" w:ascii="Times New Roman" w:hAnsi="Times New Roman" w:cs="Times New Roman"/>
          <w:color w:val="000000"/>
          <w:szCs w:val="21"/>
          <w:highlight w:val="none"/>
          <w:lang w:val="en-US"/>
        </w:rPr>
        <w:t>为六安市霍山县排水防涝能力提升项目</w:t>
      </w:r>
      <w:r>
        <w:rPr>
          <w:rFonts w:hint="default" w:ascii="Times New Roman" w:hAnsi="Times New Roman" w:cs="Times New Roman"/>
          <w:color w:val="000000"/>
          <w:szCs w:val="21"/>
          <w:highlight w:val="none"/>
          <w:lang w:val="en-US" w:eastAsia="zh-CN"/>
        </w:rPr>
        <w:t>，通过区域排涝工程建设，解决区域排涝能力不足、排水沟渠不成系统的问题，保障区域工农业生产及人民群众的生命财产安全，促进霍山县经济发展。</w:t>
      </w:r>
      <w:r>
        <w:rPr>
          <w:rFonts w:hint="eastAsia" w:ascii="Times New Roman" w:hAnsi="Times New Roman" w:cs="Times New Roman"/>
          <w:color w:val="000000"/>
          <w:szCs w:val="21"/>
          <w:highlight w:val="none"/>
          <w:lang w:val="en-US" w:eastAsia="zh-CN"/>
        </w:rPr>
        <w:t>项目</w:t>
      </w:r>
      <w:r>
        <w:rPr>
          <w:rFonts w:hint="default" w:ascii="Times New Roman" w:hAnsi="Times New Roman" w:cs="Times New Roman"/>
          <w:color w:val="000000"/>
          <w:szCs w:val="21"/>
          <w:highlight w:val="none"/>
          <w:lang w:val="en-US"/>
        </w:rPr>
        <w:t>所在场址用地主要为水域及水利设施用地，经套合部质检通过的“三区三线”划定成果，项目用地部分位于城镇开发边界内，不涉及占用永久基本农田，不涉及生态保护红线，符合现行规划管控规则。三区三线</w:t>
      </w:r>
      <w:r>
        <w:rPr>
          <w:rFonts w:hint="eastAsia" w:ascii="Times New Roman" w:hAnsi="Times New Roman" w:cs="Times New Roman"/>
          <w:color w:val="000000"/>
          <w:szCs w:val="21"/>
          <w:highlight w:val="none"/>
          <w:lang w:val="en-US" w:eastAsia="zh-CN"/>
        </w:rPr>
        <w:t>套合图</w:t>
      </w:r>
      <w:r>
        <w:rPr>
          <w:rFonts w:hint="eastAsia" w:ascii="Times New Roman" w:hAnsi="Times New Roman" w:cs="Times New Roman"/>
          <w:color w:val="000000"/>
          <w:szCs w:val="21"/>
          <w:lang w:val="en-US" w:eastAsia="zh-CN"/>
        </w:rPr>
        <w:t>见图2.6-1。</w:t>
      </w:r>
    </w:p>
    <w:bookmarkEnd w:id="86"/>
    <w:p w14:paraId="34719D54">
      <w:pPr>
        <w:jc w:val="left"/>
        <w:rPr>
          <w:rFonts w:hint="default"/>
          <w:color w:val="000000"/>
          <w:lang w:val="en-US" w:eastAsia="zh-CN"/>
        </w:rPr>
        <w:sectPr>
          <w:pgSz w:w="11911" w:h="16838" w:orient="landscape"/>
          <w:pgMar w:top="850" w:right="1417" w:bottom="850" w:left="1701" w:header="794" w:footer="1123" w:gutter="0"/>
          <w:cols w:space="720" w:num="1"/>
        </w:sectPr>
      </w:pPr>
    </w:p>
    <w:p w14:paraId="2020F332">
      <w:pPr>
        <w:keepNext w:val="0"/>
        <w:keepLines w:val="0"/>
        <w:pageBreakBefore w:val="0"/>
        <w:widowControl w:val="0"/>
        <w:suppressLineNumbers w:val="0"/>
        <w:spacing w:before="0" w:beforeAutospacing="0" w:after="0" w:afterAutospacing="0" w:line="360" w:lineRule="auto"/>
        <w:ind w:left="0" w:right="0" w:firstLine="480"/>
        <w:jc w:val="center"/>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drawing>
          <wp:inline distT="0" distB="0" distL="0" distR="0">
            <wp:extent cx="7152005" cy="5142230"/>
            <wp:effectExtent l="0" t="0" r="0" b="0"/>
            <wp:docPr id="51" name="_x0000_i1032"/>
            <wp:cNvGraphicFramePr/>
            <a:graphic xmlns:a="http://schemas.openxmlformats.org/drawingml/2006/main">
              <a:graphicData uri="http://schemas.openxmlformats.org/drawingml/2006/picture">
                <pic:pic xmlns:pic="http://schemas.openxmlformats.org/drawingml/2006/picture">
                  <pic:nvPicPr>
                    <pic:cNvPr id="51" name="_x0000_i1032"/>
                    <pic:cNvPicPr/>
                  </pic:nvPicPr>
                  <pic:blipFill>
                    <a:blip r:embed="rId46"/>
                    <a:stretch>
                      <a:fillRect/>
                    </a:stretch>
                  </pic:blipFill>
                  <pic:spPr>
                    <a:xfrm>
                      <a:off x="0" y="0"/>
                      <a:ext cx="7152005" cy="5142230"/>
                    </a:xfrm>
                    <a:prstGeom prst="rect">
                      <a:avLst/>
                    </a:prstGeom>
                    <a:noFill/>
                    <a:ln>
                      <a:noFill/>
                    </a:ln>
                  </pic:spPr>
                </pic:pic>
              </a:graphicData>
            </a:graphic>
          </wp:inline>
        </w:drawing>
      </w:r>
    </w:p>
    <w:p w14:paraId="7529499A">
      <w:pPr>
        <w:keepNext w:val="0"/>
        <w:keepLines w:val="0"/>
        <w:pageBreakBefore w:val="0"/>
        <w:widowControl w:val="0"/>
        <w:suppressLineNumbers w:val="0"/>
        <w:spacing w:before="0" w:beforeAutospacing="0" w:after="0" w:afterAutospacing="0" w:line="360" w:lineRule="auto"/>
        <w:ind w:left="0" w:right="0" w:firstLine="482"/>
        <w:jc w:val="center"/>
        <w:rPr>
          <w:rFonts w:hint="eastAsia" w:ascii="Times New Roman" w:hAnsi="Times New Roman" w:cs="Times New Roman"/>
          <w:b/>
          <w:bCs/>
          <w:color w:val="000000"/>
          <w:szCs w:val="21"/>
          <w:highlight w:val="none"/>
          <w:lang w:val="en-US" w:eastAsia="zh-CN"/>
        </w:rPr>
        <w:sectPr>
          <w:pgSz w:w="16838" w:h="11911"/>
          <w:pgMar w:top="1701" w:right="1417" w:bottom="1417" w:left="1417" w:header="794" w:footer="1123" w:gutter="0"/>
          <w:cols w:space="720" w:num="1"/>
        </w:sectPr>
      </w:pPr>
      <w:r>
        <w:rPr>
          <w:rFonts w:hint="eastAsia" w:ascii="Times New Roman" w:hAnsi="Times New Roman" w:cs="Times New Roman"/>
          <w:b/>
          <w:bCs/>
          <w:color w:val="000000"/>
          <w:szCs w:val="21"/>
          <w:lang w:val="en-US" w:eastAsia="zh-CN"/>
        </w:rPr>
        <w:t xml:space="preserve">图2.6-1  </w:t>
      </w:r>
      <w:r>
        <w:rPr>
          <w:rFonts w:hint="default" w:ascii="Times New Roman" w:hAnsi="Times New Roman" w:cs="Times New Roman"/>
          <w:b/>
          <w:bCs/>
          <w:color w:val="000000"/>
          <w:szCs w:val="21"/>
          <w:highlight w:val="none"/>
          <w:lang w:val="en-US"/>
        </w:rPr>
        <w:t>三区三线</w:t>
      </w:r>
      <w:r>
        <w:rPr>
          <w:rFonts w:hint="eastAsia" w:ascii="Times New Roman" w:hAnsi="Times New Roman" w:cs="Times New Roman"/>
          <w:b/>
          <w:bCs/>
          <w:color w:val="000000"/>
          <w:szCs w:val="21"/>
          <w:highlight w:val="none"/>
          <w:lang w:val="en-US" w:eastAsia="zh-CN"/>
        </w:rPr>
        <w:t>套合图</w:t>
      </w:r>
    </w:p>
    <w:p w14:paraId="0AFC977F">
      <w:pPr>
        <w:keepNext w:val="0"/>
        <w:keepLines w:val="0"/>
        <w:pageBreakBefore w:val="0"/>
        <w:widowControl w:val="0"/>
        <w:suppressLineNumbers w:val="0"/>
        <w:spacing w:before="0" w:beforeAutospacing="0" w:after="0" w:afterAutospacing="0" w:line="360" w:lineRule="auto"/>
        <w:ind w:left="0" w:right="0" w:firstLine="0"/>
        <w:jc w:val="center"/>
        <w:rPr>
          <w:rStyle w:val="221"/>
          <w:rFonts w:hint="eastAsia"/>
          <w:color w:val="000000"/>
          <w:lang w:val="en-US" w:eastAsia="zh-CN"/>
        </w:rPr>
      </w:pPr>
      <w:bookmarkStart w:id="90" w:name="_Toc20990"/>
      <w:bookmarkStart w:id="91" w:name="_Toc25901"/>
      <w:r>
        <w:rPr>
          <w:rStyle w:val="221"/>
          <w:rFonts w:hint="eastAsia"/>
          <w:color w:val="000000"/>
          <w:lang w:val="en-US" w:eastAsia="zh-CN"/>
        </w:rPr>
        <w:t>3 霍山县概况</w:t>
      </w:r>
      <w:bookmarkEnd w:id="90"/>
      <w:bookmarkEnd w:id="91"/>
    </w:p>
    <w:p w14:paraId="1ECB1D69">
      <w:pPr>
        <w:ind w:firstLine="480"/>
        <w:outlineLvl w:val="9"/>
        <w:rPr>
          <w:rFonts w:hint="eastAsia"/>
          <w:color w:val="000000"/>
          <w:lang w:val="en-US" w:eastAsia="zh-CN"/>
        </w:rPr>
      </w:pPr>
      <w:bookmarkStart w:id="92" w:name="_Toc5523"/>
      <w:r>
        <w:rPr>
          <w:rFonts w:hint="eastAsia" w:ascii="Times New Roman" w:hAnsi="Times New Roman" w:eastAsia="宋体" w:cs="Times New Roman"/>
          <w:b w:val="0"/>
          <w:color w:val="000000"/>
          <w:sz w:val="24"/>
          <w:szCs w:val="24"/>
          <w:lang w:val="en-US" w:eastAsia="zh-CN" w:bidi="ar-SA"/>
        </w:rPr>
        <w:t>霍山县土地总面积306.6万亩，林地面积237.6万亩，占土地总面积的77.5%，森林覆盖率75.93%。属北亚热带湿润季风气候区，是国家级生态县。</w:t>
      </w:r>
    </w:p>
    <w:p w14:paraId="6A8D7AFC">
      <w:pPr>
        <w:pStyle w:val="4"/>
        <w:rPr>
          <w:rFonts w:hint="eastAsia"/>
          <w:color w:val="000000"/>
          <w:lang w:val="en-US" w:eastAsia="zh-CN"/>
        </w:rPr>
      </w:pPr>
      <w:bookmarkStart w:id="93" w:name="_Toc20837"/>
      <w:r>
        <w:rPr>
          <w:rFonts w:hint="eastAsia"/>
          <w:color w:val="000000"/>
          <w:lang w:val="en-US" w:eastAsia="zh-CN"/>
        </w:rPr>
        <w:t>3.1 地理位置</w:t>
      </w:r>
      <w:bookmarkEnd w:id="92"/>
      <w:bookmarkEnd w:id="93"/>
    </w:p>
    <w:p w14:paraId="66BE6D0F">
      <w:pPr>
        <w:rPr>
          <w:rFonts w:hint="default"/>
          <w:color w:val="000000"/>
          <w:lang w:val="en-US" w:eastAsia="zh-CN"/>
        </w:rPr>
      </w:pPr>
      <w:r>
        <w:rPr>
          <w:rFonts w:hint="default"/>
          <w:color w:val="000000"/>
          <w:lang w:val="en-US" w:eastAsia="zh-CN"/>
        </w:rPr>
        <w:t>霍山县位于安徽西部、大别山腹地、淮河一级支流淠河上游，距省城合肥120公里，105国道和商景高速南北穿境，318、209省道东西贯通，曾为鄂豫皖红色区域中心。县域面积2043平方公里，地貌特征为“七山一水一分田，一分道路和庄园”，户籍人口356003人（数据来源于霍山县2023年统计公报），辖16个乡镇、1个省级经济开发区、124个行政村、20个社区，是一个山区县、库区县和革命老区县。</w:t>
      </w:r>
    </w:p>
    <w:p w14:paraId="26FC981A">
      <w:pPr>
        <w:ind w:left="0" w:firstLine="0"/>
        <w:jc w:val="center"/>
        <w:rPr>
          <w:rFonts w:hint="eastAsia" w:ascii="黑体" w:hAnsi="黑体" w:eastAsia="黑体" w:cs="黑体"/>
          <w:color w:val="000000"/>
          <w:sz w:val="20"/>
          <w:szCs w:val="20"/>
          <w:lang w:eastAsia="zh-CN"/>
        </w:rPr>
      </w:pPr>
      <w:r>
        <w:rPr>
          <w:rFonts w:hint="default"/>
          <w:color w:val="000000"/>
          <w:lang w:val="en-US" w:eastAsia="zh-CN"/>
        </w:rPr>
        <w:drawing>
          <wp:inline distT="0" distB="0" distL="0" distR="0">
            <wp:extent cx="5419725" cy="5257165"/>
            <wp:effectExtent l="0" t="0" r="0" b="0"/>
            <wp:docPr id="52" name="_x0000_i1033"/>
            <wp:cNvGraphicFramePr/>
            <a:graphic xmlns:a="http://schemas.openxmlformats.org/drawingml/2006/main">
              <a:graphicData uri="http://schemas.openxmlformats.org/drawingml/2006/picture">
                <pic:pic xmlns:pic="http://schemas.openxmlformats.org/drawingml/2006/picture">
                  <pic:nvPicPr>
                    <pic:cNvPr id="52" name="_x0000_i1033"/>
                    <pic:cNvPicPr/>
                  </pic:nvPicPr>
                  <pic:blipFill>
                    <a:blip r:embed="rId47"/>
                    <a:stretch>
                      <a:fillRect/>
                    </a:stretch>
                  </pic:blipFill>
                  <pic:spPr>
                    <a:xfrm>
                      <a:off x="0" y="0"/>
                      <a:ext cx="5419725" cy="5257165"/>
                    </a:xfrm>
                    <a:prstGeom prst="rect">
                      <a:avLst/>
                    </a:prstGeom>
                    <a:noFill/>
                    <a:ln>
                      <a:noFill/>
                    </a:ln>
                  </pic:spPr>
                </pic:pic>
              </a:graphicData>
            </a:graphic>
          </wp:inline>
        </w:drawing>
      </w:r>
    </w:p>
    <w:p w14:paraId="1A23265E">
      <w:pPr>
        <w:spacing w:before="159"/>
        <w:ind w:left="0" w:right="53" w:firstLine="0"/>
        <w:jc w:val="center"/>
        <w:rPr>
          <w:rFonts w:hint="default" w:ascii="黑体" w:hAnsi="黑体" w:eastAsia="黑体" w:cs="黑体"/>
          <w:color w:val="000000"/>
          <w:sz w:val="21"/>
          <w:szCs w:val="21"/>
        </w:rPr>
      </w:pPr>
      <w:r>
        <w:rPr>
          <w:rFonts w:hint="default" w:ascii="Times New Roman" w:hAnsi="Times New Roman" w:eastAsia="宋体" w:cs="Times New Roman"/>
          <w:b/>
          <w:bCs/>
          <w:color w:val="000000"/>
          <w:sz w:val="24"/>
          <w:szCs w:val="24"/>
        </w:rPr>
        <w:t>图</w:t>
      </w:r>
      <w:r>
        <w:rPr>
          <w:rFonts w:hint="default" w:ascii="Times New Roman" w:hAnsi="Times New Roman" w:eastAsia="宋体" w:cs="Times New Roman"/>
          <w:b/>
          <w:bCs/>
          <w:color w:val="000000"/>
          <w:sz w:val="24"/>
          <w:szCs w:val="24"/>
          <w:lang w:val="en-US" w:eastAsia="zh-CN"/>
        </w:rPr>
        <w:t>3.1-1</w:t>
      </w:r>
      <w:r>
        <w:rPr>
          <w:rFonts w:hint="default" w:ascii="Times New Roman" w:hAnsi="Times New Roman" w:eastAsia="宋体" w:cs="Times New Roman"/>
          <w:b/>
          <w:bCs/>
          <w:color w:val="000000"/>
          <w:spacing w:val="-1"/>
          <w:sz w:val="24"/>
          <w:szCs w:val="24"/>
        </w:rPr>
        <w:t xml:space="preserve"> </w:t>
      </w:r>
      <w:r>
        <w:rPr>
          <w:rFonts w:hint="default" w:ascii="Times New Roman" w:hAnsi="Times New Roman" w:eastAsia="宋体" w:cs="Times New Roman"/>
          <w:b/>
          <w:bCs/>
          <w:color w:val="000000"/>
          <w:sz w:val="24"/>
          <w:szCs w:val="24"/>
        </w:rPr>
        <w:t>工程区位图</w:t>
      </w:r>
    </w:p>
    <w:p w14:paraId="3DA4EB15">
      <w:pPr>
        <w:pStyle w:val="4"/>
        <w:rPr>
          <w:rFonts w:hint="eastAsia"/>
          <w:color w:val="000000"/>
          <w:lang w:val="en-US" w:eastAsia="zh-CN"/>
        </w:rPr>
      </w:pPr>
      <w:bookmarkStart w:id="94" w:name="_Toc14319"/>
      <w:bookmarkStart w:id="95" w:name="_Toc7544"/>
      <w:r>
        <w:rPr>
          <w:rFonts w:hint="eastAsia"/>
          <w:color w:val="000000"/>
          <w:lang w:val="en-US" w:eastAsia="zh-CN"/>
        </w:rPr>
        <w:t>3.2</w:t>
      </w:r>
      <w:bookmarkEnd w:id="94"/>
      <w:r>
        <w:rPr>
          <w:rFonts w:hint="eastAsia"/>
          <w:color w:val="000000"/>
          <w:lang w:val="en-US" w:eastAsia="zh-CN"/>
        </w:rPr>
        <w:t>地质地貌</w:t>
      </w:r>
      <w:bookmarkEnd w:id="95"/>
    </w:p>
    <w:p w14:paraId="3C8AFD8B">
      <w:pPr>
        <w:keepNext w:val="0"/>
        <w:keepLines w:val="0"/>
        <w:widowControl/>
        <w:suppressLineNumbers w:val="0"/>
        <w:jc w:val="left"/>
        <w:rPr>
          <w:rFonts w:hint="default"/>
          <w:color w:val="000000"/>
          <w:lang w:val="zh-CN"/>
        </w:rPr>
      </w:pPr>
      <w:r>
        <w:rPr>
          <w:rFonts w:hint="eastAsia" w:ascii="宋体" w:hAnsi="宋体" w:eastAsia="宋体" w:cs="宋体"/>
          <w:color w:val="000000"/>
          <w:sz w:val="24"/>
          <w:szCs w:val="24"/>
          <w:lang w:val="en-US" w:eastAsia="zh-CN" w:bidi="ar"/>
        </w:rPr>
        <w:t>霍山县总体为山地地貌，地势由东南向西北倾斜。依次可分为中山、低山和丘陵畈区，并间有一些小型的河谷盆地。中山区位于县境西南部，大体范围在磨子潭、大化坪、漫水河、上土市、太阳、太平畈几个乡镇，面积</w:t>
      </w:r>
      <w:r>
        <w:rPr>
          <w:rFonts w:hint="default" w:ascii="Times New Roman" w:hAnsi="Times New Roman" w:eastAsia="宋体" w:cs="Times New Roman"/>
          <w:color w:val="000000"/>
          <w:sz w:val="24"/>
          <w:szCs w:val="24"/>
          <w:lang w:val="en-US" w:eastAsia="zh-CN" w:bidi="ar"/>
        </w:rPr>
        <w:t>896</w:t>
      </w:r>
      <w:r>
        <w:rPr>
          <w:rFonts w:hint="eastAsia" w:ascii="宋体" w:hAnsi="宋体" w:eastAsia="宋体" w:cs="宋体"/>
          <w:color w:val="000000"/>
          <w:sz w:val="24"/>
          <w:szCs w:val="24"/>
          <w:lang w:val="en-US" w:eastAsia="zh-CN" w:bidi="ar"/>
        </w:rPr>
        <w:t>平方千米，占全县总面积的</w:t>
      </w:r>
      <w:r>
        <w:rPr>
          <w:rFonts w:hint="default" w:ascii="Times New Roman" w:hAnsi="Times New Roman" w:eastAsia="宋体" w:cs="Times New Roman"/>
          <w:color w:val="000000"/>
          <w:sz w:val="24"/>
          <w:szCs w:val="24"/>
          <w:lang w:val="en-US" w:eastAsia="zh-CN" w:bidi="ar"/>
        </w:rPr>
        <w:t>44%</w:t>
      </w:r>
      <w:r>
        <w:rPr>
          <w:rFonts w:hint="eastAsia" w:ascii="宋体" w:hAnsi="宋体" w:eastAsia="宋体" w:cs="宋体"/>
          <w:color w:val="000000"/>
          <w:sz w:val="24"/>
          <w:szCs w:val="24"/>
          <w:lang w:val="en-US" w:eastAsia="zh-CN" w:bidi="ar"/>
        </w:rPr>
        <w:t>。该区山势雄峻，谷深坡陡，海拔大都在</w:t>
      </w:r>
      <w:r>
        <w:rPr>
          <w:rFonts w:hint="default" w:ascii="Times New Roman" w:hAnsi="Times New Roman" w:eastAsia="宋体" w:cs="Times New Roman"/>
          <w:color w:val="000000"/>
          <w:sz w:val="24"/>
          <w:szCs w:val="24"/>
          <w:lang w:val="en-US" w:eastAsia="zh-CN" w:bidi="ar"/>
        </w:rPr>
        <w:t>800</w:t>
      </w:r>
      <w:r>
        <w:rPr>
          <w:rFonts w:hint="eastAsia" w:ascii="宋体" w:hAnsi="宋体" w:eastAsia="宋体" w:cs="宋体"/>
          <w:color w:val="000000"/>
          <w:sz w:val="24"/>
          <w:szCs w:val="24"/>
          <w:lang w:val="en-US" w:eastAsia="zh-CN" w:bidi="ar"/>
        </w:rPr>
        <w:t>米以上，平均</w:t>
      </w:r>
      <w:r>
        <w:rPr>
          <w:rFonts w:hint="default" w:ascii="Times New Roman" w:hAnsi="Times New Roman" w:eastAsia="宋体" w:cs="Times New Roman"/>
          <w:color w:val="000000"/>
          <w:sz w:val="24"/>
          <w:szCs w:val="24"/>
          <w:lang w:val="en-US" w:eastAsia="zh-CN" w:bidi="ar"/>
        </w:rPr>
        <w:t>1000</w:t>
      </w:r>
      <w:r>
        <w:rPr>
          <w:rFonts w:hint="eastAsia" w:ascii="宋体" w:hAnsi="宋体" w:eastAsia="宋体" w:cs="宋体"/>
          <w:color w:val="000000"/>
          <w:sz w:val="24"/>
          <w:szCs w:val="24"/>
          <w:lang w:val="en-US" w:eastAsia="zh-CN" w:bidi="ar"/>
        </w:rPr>
        <w:t>米左右，最高处达</w:t>
      </w:r>
      <w:r>
        <w:rPr>
          <w:rFonts w:hint="default" w:ascii="Times New Roman" w:hAnsi="Times New Roman" w:eastAsia="宋体" w:cs="Times New Roman"/>
          <w:color w:val="000000"/>
          <w:sz w:val="24"/>
          <w:szCs w:val="24"/>
          <w:lang w:val="en-US" w:eastAsia="zh-CN" w:bidi="ar"/>
        </w:rPr>
        <w:t>1700</w:t>
      </w:r>
      <w:r>
        <w:rPr>
          <w:rFonts w:hint="eastAsia" w:ascii="宋体" w:hAnsi="宋体" w:eastAsia="宋体" w:cs="宋体"/>
          <w:color w:val="000000"/>
          <w:sz w:val="24"/>
          <w:szCs w:val="24"/>
          <w:lang w:val="en-US" w:eastAsia="zh-CN" w:bidi="ar"/>
        </w:rPr>
        <w:t>多米，千米以上的高峰几十座。大别山主峰白马尖及其姊妹峰多云尖，均坐落在这里。气候、植被、土壤呈明显的垂直分布，是用材林、水源涵养林和药材生长的主要区域。低山区位于县境中部，大致包括诸佛庵、落儿岭、黑石渡、佛子岭、单龙寺、东西溪几个乡镇，面积</w:t>
      </w:r>
      <w:r>
        <w:rPr>
          <w:rFonts w:hint="default" w:ascii="Times New Roman" w:hAnsi="Times New Roman" w:eastAsia="宋体" w:cs="Times New Roman"/>
          <w:color w:val="000000"/>
          <w:sz w:val="24"/>
          <w:szCs w:val="24"/>
          <w:lang w:val="en-US" w:eastAsia="zh-CN" w:bidi="ar"/>
        </w:rPr>
        <w:t>713</w:t>
      </w:r>
      <w:r>
        <w:rPr>
          <w:rFonts w:hint="eastAsia" w:ascii="宋体" w:hAnsi="宋体" w:eastAsia="宋体" w:cs="宋体"/>
          <w:color w:val="000000"/>
          <w:sz w:val="24"/>
          <w:szCs w:val="24"/>
          <w:lang w:val="en-US" w:eastAsia="zh-CN" w:bidi="ar"/>
        </w:rPr>
        <w:t>平方千米，占全县总面积的</w:t>
      </w:r>
      <w:r>
        <w:rPr>
          <w:rFonts w:hint="default" w:ascii="Times New Roman" w:hAnsi="Times New Roman" w:eastAsia="宋体" w:cs="Times New Roman"/>
          <w:color w:val="000000"/>
          <w:sz w:val="24"/>
          <w:szCs w:val="24"/>
          <w:lang w:val="en-US" w:eastAsia="zh-CN" w:bidi="ar"/>
        </w:rPr>
        <w:t>35%</w:t>
      </w:r>
      <w:r>
        <w:rPr>
          <w:rFonts w:hint="eastAsia" w:ascii="宋体" w:hAnsi="宋体" w:eastAsia="宋体" w:cs="宋体"/>
          <w:color w:val="000000"/>
          <w:sz w:val="24"/>
          <w:szCs w:val="24"/>
          <w:lang w:val="en-US" w:eastAsia="zh-CN" w:bidi="ar"/>
        </w:rPr>
        <w:t>。该区海拔</w:t>
      </w:r>
      <w:r>
        <w:rPr>
          <w:rFonts w:hint="default" w:ascii="Times New Roman" w:hAnsi="Times New Roman" w:eastAsia="宋体" w:cs="Times New Roman"/>
          <w:color w:val="000000"/>
          <w:sz w:val="24"/>
          <w:szCs w:val="24"/>
          <w:lang w:val="en-US" w:eastAsia="zh-CN" w:bidi="ar"/>
        </w:rPr>
        <w:t>500-800</w:t>
      </w:r>
      <w:r>
        <w:rPr>
          <w:rFonts w:hint="eastAsia" w:ascii="宋体" w:hAnsi="宋体" w:eastAsia="宋体" w:cs="宋体"/>
          <w:color w:val="000000"/>
          <w:sz w:val="24"/>
          <w:szCs w:val="24"/>
          <w:lang w:val="en-US" w:eastAsia="zh-CN" w:bidi="ar"/>
        </w:rPr>
        <w:t>米，山体破碎，坡度较缓，土地肥沃，水源充足，是以林木、毛竹、粮食为主的多种经营区。丘陵畈区位于县境东北部，基本范围为衡山、下符桥、但家庙、与儿街</w:t>
      </w:r>
      <w:r>
        <w:rPr>
          <w:rFonts w:hint="default" w:ascii="Times New Roman" w:hAnsi="Times New Roman" w:eastAsia="宋体" w:cs="Times New Roman"/>
          <w:color w:val="000000"/>
          <w:sz w:val="24"/>
          <w:szCs w:val="24"/>
          <w:lang w:val="en-US" w:eastAsia="zh-CN" w:bidi="ar"/>
        </w:rPr>
        <w:t>4</w:t>
      </w:r>
      <w:r>
        <w:rPr>
          <w:rFonts w:hint="eastAsia" w:ascii="宋体" w:hAnsi="宋体" w:eastAsia="宋体" w:cs="宋体"/>
          <w:color w:val="000000"/>
          <w:sz w:val="24"/>
          <w:szCs w:val="24"/>
          <w:lang w:val="en-US" w:eastAsia="zh-CN" w:bidi="ar"/>
        </w:rPr>
        <w:t>镇，面积</w:t>
      </w:r>
      <w:r>
        <w:rPr>
          <w:rFonts w:hint="default" w:ascii="Times New Roman" w:hAnsi="Times New Roman" w:eastAsia="宋体" w:cs="Times New Roman"/>
          <w:color w:val="000000"/>
          <w:sz w:val="24"/>
          <w:szCs w:val="24"/>
          <w:lang w:val="en-US" w:eastAsia="zh-CN" w:bidi="ar"/>
        </w:rPr>
        <w:t>434</w:t>
      </w:r>
      <w:r>
        <w:rPr>
          <w:rFonts w:hint="eastAsia" w:ascii="宋体" w:hAnsi="宋体" w:eastAsia="宋体" w:cs="宋体"/>
          <w:color w:val="000000"/>
          <w:sz w:val="24"/>
          <w:szCs w:val="24"/>
          <w:lang w:val="en-US" w:eastAsia="zh-CN" w:bidi="ar"/>
        </w:rPr>
        <w:t>平方千米，占全县总面积的</w:t>
      </w:r>
      <w:r>
        <w:rPr>
          <w:rFonts w:hint="default" w:ascii="Times New Roman" w:hAnsi="Times New Roman" w:eastAsia="宋体" w:cs="Times New Roman"/>
          <w:color w:val="000000"/>
          <w:sz w:val="24"/>
          <w:szCs w:val="24"/>
          <w:lang w:val="en-US" w:eastAsia="zh-CN" w:bidi="ar"/>
        </w:rPr>
        <w:t>21%</w:t>
      </w:r>
      <w:r>
        <w:rPr>
          <w:rFonts w:hint="eastAsia" w:ascii="宋体" w:hAnsi="宋体" w:eastAsia="宋体" w:cs="宋体"/>
          <w:color w:val="000000"/>
          <w:sz w:val="24"/>
          <w:szCs w:val="24"/>
          <w:lang w:val="en-US" w:eastAsia="zh-CN" w:bidi="ar"/>
        </w:rPr>
        <w:t>。该区海拔</w:t>
      </w:r>
      <w:r>
        <w:rPr>
          <w:rFonts w:hint="default" w:ascii="Times New Roman" w:hAnsi="Times New Roman" w:eastAsia="宋体" w:cs="Times New Roman"/>
          <w:color w:val="000000"/>
          <w:sz w:val="24"/>
          <w:szCs w:val="24"/>
          <w:lang w:val="en-US" w:eastAsia="zh-CN" w:bidi="ar"/>
        </w:rPr>
        <w:t>500</w:t>
      </w:r>
      <w:r>
        <w:rPr>
          <w:rFonts w:hint="eastAsia" w:ascii="宋体" w:hAnsi="宋体" w:eastAsia="宋体" w:cs="宋体"/>
          <w:color w:val="000000"/>
          <w:sz w:val="24"/>
          <w:szCs w:val="24"/>
          <w:lang w:val="en-US" w:eastAsia="zh-CN" w:bidi="ar"/>
        </w:rPr>
        <w:t>米以下，最低处仅</w:t>
      </w:r>
      <w:r>
        <w:rPr>
          <w:rFonts w:hint="default" w:ascii="Times New Roman" w:hAnsi="Times New Roman" w:eastAsia="宋体" w:cs="Times New Roman"/>
          <w:color w:val="000000"/>
          <w:sz w:val="24"/>
          <w:szCs w:val="24"/>
          <w:lang w:val="en-US" w:eastAsia="zh-CN" w:bidi="ar"/>
        </w:rPr>
        <w:t>50</w:t>
      </w:r>
      <w:r>
        <w:rPr>
          <w:rFonts w:hint="eastAsia" w:ascii="宋体" w:hAnsi="宋体" w:eastAsia="宋体" w:cs="宋体"/>
          <w:color w:val="000000"/>
          <w:sz w:val="24"/>
          <w:szCs w:val="24"/>
          <w:lang w:val="en-US" w:eastAsia="zh-CN" w:bidi="ar"/>
        </w:rPr>
        <w:t>米。河谷宽阔，丘岗平地相间，光照、气候、土壤、水源等自然条件优越，是霍山县主要粮油产区。小型河谷盆地中山区、低山区和丘陵畈区皆有，较为典型的有霍山城关及上土市、太平畈、大化坪、诸佛庵、东西溪等乡镇政府所在地。</w:t>
      </w:r>
    </w:p>
    <w:p w14:paraId="23DA381D">
      <w:pPr>
        <w:pStyle w:val="4"/>
        <w:rPr>
          <w:rFonts w:hint="eastAsia" w:ascii="Times New Roman" w:hAnsi="Times New Roman" w:cs="Times New Roman"/>
          <w:color w:val="000000"/>
          <w:lang w:val="en-US" w:eastAsia="zh-CN"/>
        </w:rPr>
      </w:pPr>
      <w:bookmarkStart w:id="96" w:name="_Toc22867"/>
      <w:bookmarkStart w:id="97" w:name="_Toc8599"/>
      <w:r>
        <w:rPr>
          <w:rFonts w:hint="eastAsia" w:ascii="Times New Roman" w:hAnsi="Times New Roman" w:cs="Times New Roman"/>
          <w:color w:val="000000"/>
          <w:lang w:val="en-US" w:eastAsia="zh-CN"/>
        </w:rPr>
        <w:t>3.3</w:t>
      </w:r>
      <w:bookmarkEnd w:id="96"/>
      <w:r>
        <w:rPr>
          <w:rFonts w:hint="eastAsia" w:ascii="Times New Roman" w:hAnsi="Times New Roman" w:cs="Times New Roman"/>
          <w:color w:val="000000"/>
          <w:lang w:val="en-US" w:eastAsia="zh-CN"/>
        </w:rPr>
        <w:t>气候概况</w:t>
      </w:r>
      <w:bookmarkEnd w:id="97"/>
    </w:p>
    <w:p w14:paraId="19A71FFE">
      <w:pPr>
        <w:ind w:firstLine="480"/>
        <w:outlineLvl w:val="9"/>
        <w:rPr>
          <w:color w:val="000000"/>
        </w:rPr>
      </w:pPr>
      <w:r>
        <w:rPr>
          <w:rFonts w:hint="eastAsia" w:ascii="宋体" w:hAnsi="宋体" w:eastAsia="宋体" w:cs="宋体"/>
          <w:b w:val="0"/>
          <w:bCs/>
          <w:color w:val="000000"/>
          <w:sz w:val="24"/>
          <w:szCs w:val="24"/>
          <w:lang w:val="en-US" w:eastAsia="zh-CN"/>
        </w:rPr>
        <w:t>霍山县属北亚热带湿润季风气候区，主要气候特征是：季风气候明显，雨量充沛，冷热适中；区域差异和垂直变化大；光、热、水等气候资源丰富</w:t>
      </w:r>
      <w:r>
        <w:rPr>
          <w:rFonts w:hint="eastAsia" w:ascii="Times New Roman" w:hAnsi="Times New Roman" w:eastAsia="宋体" w:cs="Times New Roman"/>
          <w:b w:val="0"/>
          <w:color w:val="000000"/>
          <w:sz w:val="24"/>
          <w:szCs w:val="24"/>
          <w:lang w:val="en-US" w:eastAsia="zh-CN" w:bidi="ar-SA"/>
        </w:rPr>
        <w:t>。</w:t>
      </w:r>
    </w:p>
    <w:p w14:paraId="35479522">
      <w:pPr>
        <w:pStyle w:val="4"/>
        <w:rPr>
          <w:rFonts w:hint="eastAsia"/>
          <w:color w:val="000000"/>
          <w:lang w:val="en-US" w:eastAsia="zh-CN"/>
        </w:rPr>
      </w:pPr>
      <w:bookmarkStart w:id="98" w:name="_Toc18084"/>
      <w:bookmarkStart w:id="99" w:name="_Toc17836"/>
      <w:r>
        <w:rPr>
          <w:rFonts w:hint="eastAsia"/>
          <w:color w:val="000000"/>
          <w:lang w:val="en-US" w:eastAsia="zh-CN"/>
        </w:rPr>
        <w:t>3.4 河流水系</w:t>
      </w:r>
      <w:bookmarkEnd w:id="98"/>
      <w:bookmarkEnd w:id="99"/>
    </w:p>
    <w:p w14:paraId="18BB5711">
      <w:pPr>
        <w:rPr>
          <w:color w:val="000000"/>
        </w:rPr>
      </w:pPr>
      <w:r>
        <w:rPr>
          <w:color w:val="000000"/>
        </w:rPr>
        <w:t>霍山县溪河密布，水系发达。河流分属淮河流域的淠河水系，以及长江流域的杭埠河水系。淠河水系境内控制面积1911.9平方千米，占全县总流域面积的97.3%；杭埠河水系境内控制面积54平方千米，仅占全县总流域面积的2.7%。淠河水系又以东淠河为主，西淠河次之。东淠河发源于大别山北坡，是贯穿全县最大的一条河流，全长100多千米（主干道白佛子岭水库坝下至下符桥镇的团山嘴），宽10-950米，最大泄洪量4000立方米</w:t>
      </w:r>
      <w:r>
        <w:rPr>
          <w:rFonts w:hint="eastAsia"/>
          <w:color w:val="000000"/>
          <w:lang w:val="en-US" w:eastAsia="zh-CN"/>
        </w:rPr>
        <w:t>/</w:t>
      </w:r>
      <w:r>
        <w:rPr>
          <w:color w:val="000000"/>
        </w:rPr>
        <w:t>秒。该河总流域面积2663平方千米，县内控制面积1846.6平方千米。主要支流有漫水河（含马槽河、石羊河等）、黄尾河（境内河段为板河，含东流河、扫帚河等）、熊家河、深水河、孔家河。西淠河在境内只有诸佛庵镇的石家河与沿河涧，2条河总长22.6千米，宽3-30米，平均比降31.4%，洪峰流量145-314立方米</w:t>
      </w:r>
      <w:r>
        <w:rPr>
          <w:rFonts w:hint="eastAsia"/>
          <w:color w:val="000000"/>
          <w:lang w:val="en-US" w:eastAsia="zh-CN"/>
        </w:rPr>
        <w:t>/</w:t>
      </w:r>
      <w:r>
        <w:rPr>
          <w:color w:val="000000"/>
        </w:rPr>
        <w:t>秒，流域面积73平方千米。此外，境内还有下符桥镇的龙井河，不属东、西淠河，直人淠河总干流。杭埠河水系境内只有与儿街镇的真龙地河（下游为滑石河），以及东西溪乡的梅开河（下游为救母河）、杨三河（下游为石塞河），3条河在境内的长度、宽度和流量都较小。全县河流的主要特点是河道弯曲、切割深、落差大。同时，80%为内流河，呈同心状。虽然水流湍急，易发洪涝灾害，但蓄水及利用条件较好，水力资源丰富。全县河流密度每平方千米0.74千米，水域面积21.6万亩。。</w:t>
      </w:r>
    </w:p>
    <w:p w14:paraId="59D9F96A">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spacing w:val="-5"/>
          <w:sz w:val="24"/>
          <w:szCs w:val="24"/>
          <w:highlight w:val="none"/>
          <w:lang w:val="en-US" w:eastAsia="zh-CN"/>
        </w:rPr>
      </w:pPr>
      <w:r>
        <w:rPr>
          <w:rFonts w:hint="default" w:ascii="Times New Roman" w:hAnsi="Times New Roman" w:eastAsia="宋体" w:cs="Times New Roman"/>
          <w:b/>
          <w:bCs/>
          <w:color w:val="000000"/>
          <w:spacing w:val="-5"/>
          <w:sz w:val="24"/>
          <w:szCs w:val="24"/>
          <w:highlight w:val="none"/>
          <w:lang w:val="en-US" w:eastAsia="zh-CN"/>
        </w:rPr>
        <w:drawing>
          <wp:inline distT="0" distB="0" distL="0" distR="0">
            <wp:extent cx="4647565" cy="6479540"/>
            <wp:effectExtent l="0" t="0" r="0" b="0"/>
            <wp:docPr id="53" name="_x0000_i1034"/>
            <wp:cNvGraphicFramePr/>
            <a:graphic xmlns:a="http://schemas.openxmlformats.org/drawingml/2006/main">
              <a:graphicData uri="http://schemas.openxmlformats.org/drawingml/2006/picture">
                <pic:pic xmlns:pic="http://schemas.openxmlformats.org/drawingml/2006/picture">
                  <pic:nvPicPr>
                    <pic:cNvPr id="53" name="_x0000_i1034"/>
                    <pic:cNvPicPr/>
                  </pic:nvPicPr>
                  <pic:blipFill>
                    <a:blip r:embed="rId48"/>
                    <a:stretch>
                      <a:fillRect/>
                    </a:stretch>
                  </pic:blipFill>
                  <pic:spPr>
                    <a:xfrm>
                      <a:off x="0" y="0"/>
                      <a:ext cx="4647565" cy="6479540"/>
                    </a:xfrm>
                    <a:prstGeom prst="rect">
                      <a:avLst/>
                    </a:prstGeom>
                    <a:noFill/>
                    <a:ln>
                      <a:noFill/>
                    </a:ln>
                  </pic:spPr>
                </pic:pic>
              </a:graphicData>
            </a:graphic>
          </wp:inline>
        </w:drawing>
      </w:r>
    </w:p>
    <w:p w14:paraId="0FA5FBD9">
      <w:pPr>
        <w:keepNext w:val="0"/>
        <w:keepLines w:val="0"/>
        <w:pageBreakBefore w:val="0"/>
        <w:suppressLineNumbers w:val="0"/>
        <w:spacing w:before="0" w:beforeAutospacing="0" w:after="0" w:afterAutospacing="0" w:line="360" w:lineRule="auto"/>
        <w:ind w:left="0" w:right="0" w:firstLine="0"/>
        <w:jc w:val="center"/>
        <w:rPr>
          <w:rFonts w:hint="default" w:ascii="Times New Roman" w:hAnsi="Times New Roman" w:eastAsia="宋体" w:cs="Times New Roman"/>
          <w:b/>
          <w:bCs/>
          <w:color w:val="000000"/>
          <w:spacing w:val="-5"/>
          <w:sz w:val="24"/>
          <w:szCs w:val="24"/>
          <w:highlight w:val="none"/>
          <w:lang w:val="en-US" w:eastAsia="zh-CN"/>
        </w:rPr>
      </w:pPr>
      <w:r>
        <w:rPr>
          <w:rFonts w:hint="default" w:ascii="Times New Roman" w:hAnsi="Times New Roman" w:eastAsia="宋体" w:cs="Times New Roman"/>
          <w:b/>
          <w:bCs/>
          <w:color w:val="000000"/>
          <w:spacing w:val="-5"/>
          <w:sz w:val="24"/>
          <w:szCs w:val="24"/>
          <w:highlight w:val="none"/>
          <w:lang w:val="en-US" w:eastAsia="zh-CN"/>
        </w:rPr>
        <w:t>图</w:t>
      </w:r>
      <w:r>
        <w:rPr>
          <w:rFonts w:hint="eastAsia" w:cs="Times New Roman"/>
          <w:b/>
          <w:bCs/>
          <w:color w:val="000000"/>
          <w:spacing w:val="-5"/>
          <w:sz w:val="24"/>
          <w:szCs w:val="24"/>
          <w:highlight w:val="none"/>
          <w:lang w:val="en-US" w:eastAsia="zh-CN"/>
        </w:rPr>
        <w:t xml:space="preserve">3-1 </w:t>
      </w:r>
      <w:r>
        <w:rPr>
          <w:rFonts w:hint="default" w:ascii="Times New Roman" w:hAnsi="Times New Roman" w:eastAsia="宋体" w:cs="Times New Roman"/>
          <w:b/>
          <w:bCs/>
          <w:color w:val="000000"/>
          <w:spacing w:val="-5"/>
          <w:sz w:val="24"/>
          <w:szCs w:val="24"/>
          <w:highlight w:val="none"/>
          <w:lang w:val="en-US" w:eastAsia="zh-CN"/>
        </w:rPr>
        <w:t>六安市水系图</w:t>
      </w:r>
    </w:p>
    <w:p w14:paraId="01D7C82E">
      <w:pPr>
        <w:pStyle w:val="3"/>
        <w:rPr>
          <w:rFonts w:hint="default"/>
          <w:color w:val="000000"/>
          <w:lang w:val="en-US"/>
        </w:rPr>
      </w:pPr>
      <w:r>
        <w:rPr>
          <w:rStyle w:val="221"/>
          <w:rFonts w:hint="eastAsia"/>
          <w:b/>
          <w:bCs/>
          <w:color w:val="000000"/>
          <w:lang w:val="en-US" w:eastAsia="zh-CN"/>
        </w:rPr>
        <w:br w:type="page" w:clear="all"/>
      </w:r>
      <w:bookmarkStart w:id="100" w:name="_Toc17396"/>
      <w:bookmarkStart w:id="101" w:name="_Toc22308"/>
      <w:r>
        <w:rPr>
          <w:rFonts w:hint="eastAsia"/>
          <w:color w:val="000000"/>
          <w:lang w:val="en-US" w:eastAsia="zh-CN"/>
        </w:rPr>
        <w:t>4 生态环境现状</w:t>
      </w:r>
      <w:bookmarkEnd w:id="100"/>
      <w:bookmarkEnd w:id="101"/>
    </w:p>
    <w:p w14:paraId="6CC78D94">
      <w:pPr>
        <w:pStyle w:val="4"/>
        <w:rPr>
          <w:rFonts w:hint="default" w:ascii="Times New Roman" w:hAnsi="Times New Roman" w:cs="Times New Roman"/>
          <w:color w:val="000000"/>
          <w:lang w:val="en-US" w:eastAsia="zh-CN"/>
        </w:rPr>
      </w:pPr>
      <w:bookmarkStart w:id="102" w:name="_Toc3216"/>
      <w:bookmarkStart w:id="103" w:name="_Toc17551"/>
      <w:r>
        <w:rPr>
          <w:rFonts w:hint="eastAsia"/>
          <w:color w:val="000000"/>
          <w:lang w:val="en-US" w:eastAsia="zh-CN"/>
        </w:rPr>
        <w:t xml:space="preserve">4.1 </w:t>
      </w:r>
      <w:bookmarkEnd w:id="102"/>
      <w:r>
        <w:rPr>
          <w:rFonts w:hint="default" w:ascii="Times New Roman" w:hAnsi="Times New Roman" w:cs="Times New Roman"/>
          <w:color w:val="000000"/>
          <w:lang w:val="en-US" w:eastAsia="zh-CN"/>
        </w:rPr>
        <w:t>生态环境现状</w:t>
      </w:r>
      <w:bookmarkEnd w:id="103"/>
    </w:p>
    <w:p w14:paraId="754F9F36">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lang w:eastAsia="zh-CN"/>
        </w:rPr>
        <w:t>（1）</w:t>
      </w:r>
      <w:r>
        <w:rPr>
          <w:rFonts w:hint="default" w:ascii="Times New Roman" w:hAnsi="Times New Roman" w:eastAsia="宋体" w:cs="Times New Roman"/>
          <w:color w:val="000000"/>
          <w:sz w:val="24"/>
          <w:highlight w:val="none"/>
        </w:rPr>
        <w:t>主体功能区规划</w:t>
      </w:r>
    </w:p>
    <w:p w14:paraId="70FED7FC">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val="en-US" w:eastAsia="zh-CN"/>
        </w:rPr>
        <w:t>根据《全国主体功能区规划》、《安徽省主体功能区规划》，安徽省主体功能区划分为重点开发区域、限制开发区域和禁止开发区域三类，没有优化开发区。</w:t>
      </w:r>
    </w:p>
    <w:p w14:paraId="4209D619">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本项目位于安徽省六安市霍山县境内，区域属于“限制开发区域-国家重点生态功能区-六安片区（霍山县）”，国家重点生态功能区主要分布于皖西大别山区，包括金寨、霍山、岳西、太湖、潜山、石台县，属国家大别山水土保持生态功能区，国土面积1.34万平方公里，占全省国土面积9.60%。</w:t>
      </w:r>
    </w:p>
    <w:p w14:paraId="53E456D3">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该区域是淮河中游和长江下游的重要水源补给区，土壤侵蚀敏感性程度高，山地生态系统功能退化，水土流失严重，是全国重要的水土保持型和水源涵养型生态功能区，是全省乃至长三角地区的重要生态屏障。</w:t>
      </w:r>
    </w:p>
    <w:p w14:paraId="266FE781">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——遏制区域水土流失。禁止毁林开荒，逐步恢复和扩大森林植被，增强水土保持能力，确保水库、湖泊安全。</w:t>
      </w:r>
    </w:p>
    <w:p w14:paraId="6DD597DB">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——加强流域综合治理。开展封山育林，河、湖、库上游要大力营造水源涵养林和水土保持林，加快区域生态防护林体系建设，提高防洪减灾能力，减轻对长江、淮河的洪水压力。</w:t>
      </w:r>
    </w:p>
    <w:p w14:paraId="71B2AE99">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val="en-US" w:eastAsia="zh-CN"/>
        </w:rPr>
        <w:t>——严格监管资源开发。禁止发展与生态保护相矛盾的产业和项目，加大矿山环境整治和生态修复力度，控制人为因素对土壤的侵蚀。适度合理开发旅游资源和农产品资源。</w:t>
      </w:r>
    </w:p>
    <w:p w14:paraId="1E9EDF23">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rPr>
        <w:t>本项目为县城排水防涝能力提升项目。</w:t>
      </w:r>
      <w:r>
        <w:rPr>
          <w:rFonts w:hint="default" w:ascii="Times New Roman" w:hAnsi="Times New Roman" w:eastAsia="宋体" w:cs="Times New Roman"/>
          <w:color w:val="000000"/>
          <w:sz w:val="24"/>
          <w:highlight w:val="none"/>
          <w:lang w:val="en-US" w:eastAsia="zh-CN"/>
        </w:rPr>
        <w:t>工程实施能够增加污水收集率和处理率，保护片区水环境，提升片区排涝标准。对改善片区水环境和水安全以及保障片区经济、社会发展具有战略意义。同时能够有效完善市政基础设施建设，对提高区域整体环境和形象，实现乡村振兴有很大的作用，项目建设不会改变区域的功能区划，符合安徽省主体功能。</w:t>
      </w:r>
      <w:r>
        <w:rPr>
          <w:rFonts w:hint="eastAsia" w:cs="Times New Roman"/>
          <w:color w:val="000000"/>
          <w:sz w:val="24"/>
          <w:highlight w:val="none"/>
          <w:lang w:val="en-US" w:eastAsia="zh-CN"/>
        </w:rPr>
        <w:t>本项目</w:t>
      </w:r>
      <w:r>
        <w:rPr>
          <w:rFonts w:hint="default"/>
          <w:color w:val="000000"/>
          <w:spacing w:val="3"/>
          <w:sz w:val="24"/>
        </w:rPr>
        <w:t>不涉及生态保护红线和占用永久基本农田。</w:t>
      </w:r>
    </w:p>
    <w:p w14:paraId="1C6DF754">
      <w:pPr>
        <w:keepNext w:val="0"/>
        <w:keepLines w:val="0"/>
        <w:pageBreakBefore w:val="0"/>
        <w:widowControl w:val="0"/>
        <w:suppressLineNumbers w:val="0"/>
        <w:spacing w:before="0" w:beforeAutospacing="0" w:after="0" w:afterAutospacing="0" w:line="360" w:lineRule="auto"/>
        <w:ind w:left="0" w:right="0" w:firstLine="0"/>
        <w:jc w:val="center"/>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rPr>
        <mc:AlternateContent>
          <mc:Choice Requires="wps">
            <w:drawing>
              <wp:anchor distT="0" distB="0" distL="114300" distR="114300" simplePos="0" relativeHeight="251664384" behindDoc="0" locked="0" layoutInCell="1" allowOverlap="1">
                <wp:simplePos x="0" y="0"/>
                <wp:positionH relativeFrom="column">
                  <wp:posOffset>561340</wp:posOffset>
                </wp:positionH>
                <wp:positionV relativeFrom="paragraph">
                  <wp:posOffset>3666490</wp:posOffset>
                </wp:positionV>
                <wp:extent cx="818515" cy="333375"/>
                <wp:effectExtent l="0" t="0" r="0" b="0"/>
                <wp:wrapNone/>
                <wp:docPr id="54" name="矩形标注 4"/>
                <wp:cNvGraphicFramePr/>
                <a:graphic xmlns:a="http://schemas.openxmlformats.org/drawingml/2006/main">
                  <a:graphicData uri="http://schemas.microsoft.com/office/word/2010/wordprocessingShape">
                    <wps:wsp>
                      <wps:cNvSpPr/>
                      <wps:spPr bwMode="auto">
                        <a:xfrm>
                          <a:off x="0" y="0"/>
                          <a:ext cx="818515" cy="333375"/>
                        </a:xfrm>
                        <a:custGeom>
                          <a:avLst/>
                          <a:gdLst>
                            <a:gd name="adj0" fmla="val 26392"/>
                            <a:gd name="adj1" fmla="val 32955"/>
                            <a:gd name="gd0" fmla="val 65536"/>
                            <a:gd name="gd1" fmla="+- 10800 0 adj0"/>
                            <a:gd name="gd2" fmla="+- 10800 0 adj1"/>
                            <a:gd name="gd3" fmla="+- adj0 0 adj1"/>
                            <a:gd name="gd4" fmla="+- gd1 gd2 0"/>
                            <a:gd name="gd5" fmla="+- 21600 0 adj0"/>
                            <a:gd name="gd6" fmla="+- 21600 0 adj1"/>
                            <a:gd name="gd7" fmla="?: gd1 3600 12600"/>
                            <a:gd name="gd8" fmla="?: gd1 9000 18000"/>
                            <a:gd name="gd9" fmla="?: gd2 3600 12600"/>
                            <a:gd name="gd10" fmla="?: gd2 9000 18000"/>
                            <a:gd name="gd11" fmla="?: gd3 0 adj0"/>
                            <a:gd name="gd12" fmla="?: gd4 gd11 0"/>
                            <a:gd name="gd13" fmla="?: adj0 0 gd12"/>
                            <a:gd name="gd14" fmla="?: gd3 gd7 adj0"/>
                            <a:gd name="gd15" fmla="?: gd4 gd7 gd14"/>
                            <a:gd name="gd16" fmla="?: gd6 gd7 gd15"/>
                            <a:gd name="gd17" fmla="?: gd3 adj0 21600"/>
                            <a:gd name="gd18" fmla="?: gd4 21600 gd17"/>
                            <a:gd name="gd19" fmla="?: gd5 21600 gd18"/>
                            <a:gd name="gd20" fmla="?: gd3 adj0 gd7"/>
                            <a:gd name="gd21" fmla="?: gd4 gd20 gd7"/>
                            <a:gd name="gd22" fmla="?: adj1 gd7 gd21"/>
                            <a:gd name="gd23" fmla="?: gd3 gd9 adj1"/>
                            <a:gd name="gd24" fmla="?: gd4 gd23 gd9"/>
                            <a:gd name="gd25" fmla="?: adj0 gd9 gd24"/>
                            <a:gd name="gd26" fmla="?: gd3 21600 adj1"/>
                            <a:gd name="gd27" fmla="?: gd4 21600 gd26"/>
                            <a:gd name="gd28" fmla="?: gd6 21600 gd27"/>
                            <a:gd name="gd29" fmla="?: gd3 adj1 gd9"/>
                            <a:gd name="gd30" fmla="?: gd4 gd9 gd29"/>
                            <a:gd name="gd31" fmla="?: gd5 gd9 gd30"/>
                            <a:gd name="gd32" fmla="?: gd3 adj1 0"/>
                            <a:gd name="gd33" fmla="?: gd4 gd32 0"/>
                            <a:gd name="gd34" fmla="?: adj1 0 gd33"/>
                            <a:gd name="gd35" fmla="val adj0"/>
                            <a:gd name="gd36" fmla="val adj1"/>
                            <a:gd name="gd37" fmla="val 0"/>
                            <a:gd name="gd38" fmla="val 0"/>
                            <a:gd name="gd39" fmla="val 0"/>
                            <a:gd name="gd40" fmla="val gd9"/>
                            <a:gd name="gd41" fmla="val gd13"/>
                            <a:gd name="gd42" fmla="val gd25"/>
                            <a:gd name="gd43" fmla="val 0"/>
                            <a:gd name="gd44" fmla="val gd10"/>
                            <a:gd name="gd45" fmla="val 0"/>
                            <a:gd name="gd46" fmla="val 21600"/>
                            <a:gd name="gd47" fmla="val gd7"/>
                            <a:gd name="gd48" fmla="val 21600"/>
                            <a:gd name="gd49" fmla="val gd16"/>
                            <a:gd name="gd50" fmla="val gd28"/>
                            <a:gd name="gd51" fmla="val gd8"/>
                            <a:gd name="gd52" fmla="val 21600"/>
                            <a:gd name="gd53" fmla="val 21600"/>
                            <a:gd name="gd54" fmla="val 21600"/>
                            <a:gd name="gd55" fmla="val 21600"/>
                            <a:gd name="gd56" fmla="val gd10"/>
                            <a:gd name="gd57" fmla="val gd19"/>
                            <a:gd name="gd58" fmla="val gd31"/>
                            <a:gd name="gd59" fmla="val 21600"/>
                            <a:gd name="gd60" fmla="val gd9"/>
                            <a:gd name="gd61" fmla="val 21600"/>
                            <a:gd name="gd62" fmla="val 0"/>
                            <a:gd name="gd63" fmla="val gd8"/>
                            <a:gd name="gd64" fmla="val 0"/>
                            <a:gd name="gd65" fmla="val gd22"/>
                            <a:gd name="gd66" fmla="val gd34"/>
                            <a:gd name="gd67" fmla="val gd7"/>
                            <a:gd name="gd68" fmla="val 0"/>
                            <a:gd name="gd69" fmla="*/ w adj0 21600"/>
                            <a:gd name="gd70" fmla="*/ h adj1 21600"/>
                          </a:gdLst>
                          <a:ahLst>
                            <a:ahXY gdRefX="adj0" minX="-21474836" maxX="21474836" gdRefY="adj1" minY="-21474836" maxY="21474836">
                              <a:pos x="gd69" y="gd70"/>
                            </a:ahXY>
                          </a:ahLst>
                          <a:cxnLst/>
                          <a:rect l="0" t="0" r="r" b="b"/>
                          <a:pathLst>
                            <a:path w="21600" h="21600" extrusionOk="0">
                              <a:moveTo>
                                <a:pt x="gd37" y="gd38"/>
                              </a:move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close/>
                            </a:path>
                          </a:pathLst>
                        </a:custGeom>
                        <a:noFill/>
                        <a:ln>
                          <a:noFill/>
                          <a:round/>
                        </a:ln>
                      </wps:spPr>
                      <wps:txbx>
                        <w:txbxContent>
                          <w:p w14:paraId="088F52F4">
                            <w:pPr>
                              <w:spacing w:line="240" w:lineRule="auto"/>
                              <w:ind w:left="0" w:firstLine="0"/>
                              <w:jc w:val="both"/>
                              <w:rPr>
                                <w:rFonts w:hint="default" w:eastAsia="宋体"/>
                                <w:color w:val="FF0000"/>
                                <w:sz w:val="18"/>
                                <w:szCs w:val="18"/>
                                <w:lang w:val="en-US" w:eastAsia="zh-CN"/>
                              </w:rPr>
                            </w:pPr>
                            <w:r>
                              <w:rPr>
                                <w:rFonts w:hint="eastAsia"/>
                                <w:color w:val="FF0000"/>
                                <w:sz w:val="18"/>
                                <w:szCs w:val="18"/>
                                <w:lang w:val="en-US" w:eastAsia="zh-CN"/>
                              </w:rPr>
                              <w:t>项目所在地</w:t>
                            </w:r>
                          </w:p>
                        </w:txbxContent>
                      </wps:txbx>
                      <wps:bodyPr wrap="square" anchor="ctr" upright="1"/>
                    </wps:wsp>
                  </a:graphicData>
                </a:graphic>
              </wp:anchor>
            </w:drawing>
          </mc:Choice>
          <mc:Fallback>
            <w:pict>
              <v:shape id="矩形标注 4" o:spid="_x0000_s1026" o:spt="100" style="position:absolute;left:0pt;margin-left:44.2pt;margin-top:288.7pt;height:26.25pt;width:64.45pt;z-index:251664384;v-text-anchor:middle;mso-width-relative:page;mso-height-relative:page;" filled="f" stroked="f" coordsize="21600,21600" o:gfxdata="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CjR7Ir2wAAAAoBAAAP&#10;AAAAAAAAAAEAIAAAACIAAABkcnMvZG93bnJldi54bWxQSwECFAAUAAAACACHTuJA/m4k0DMFAAAl&#10;EgAADgAAAAAAAAABACAAAAAqAQAAZHJzL2Uyb0RvYy54bWxQSwUGAAAAAAYABgBZAQAAzwgAAAAA&#10;" path="m0,0l0,12600,0,12600,0,18000,0,21600,12600,21600,26392,32955,18000,21600,21600,21600,21600,18000,21600,12600,21600,12600,21600,0,18000,0,12600,0,12600,0xe">
                <v:path textboxrect="0,0,21600,21600"/>
                <v:fill on="f" focussize="0,0"/>
                <v:stroke on="f" joinstyle="round"/>
                <v:imagedata o:title=""/>
                <o:lock v:ext="edit" aspectratio="f"/>
                <v:textbox>
                  <w:txbxContent>
                    <w:p w14:paraId="088F52F4">
                      <w:pPr>
                        <w:spacing w:line="240" w:lineRule="auto"/>
                        <w:ind w:left="0" w:firstLine="0"/>
                        <w:jc w:val="both"/>
                        <w:rPr>
                          <w:rFonts w:hint="default" w:eastAsia="宋体"/>
                          <w:color w:val="FF0000"/>
                          <w:sz w:val="18"/>
                          <w:szCs w:val="18"/>
                          <w:lang w:val="en-US" w:eastAsia="zh-CN"/>
                        </w:rPr>
                      </w:pPr>
                      <w:r>
                        <w:rPr>
                          <w:rFonts w:hint="eastAsia"/>
                          <w:color w:val="FF0000"/>
                          <w:sz w:val="18"/>
                          <w:szCs w:val="18"/>
                          <w:lang w:val="en-US" w:eastAsia="zh-CN"/>
                        </w:rPr>
                        <w:t>项目所在地</w:t>
                      </w:r>
                    </w:p>
                  </w:txbxContent>
                </v:textbox>
              </v:shape>
            </w:pict>
          </mc:Fallback>
        </mc:AlternateContent>
      </w:r>
      <w:r>
        <w:rPr>
          <w:rFonts w:hint="default" w:ascii="Times New Roman" w:hAnsi="Times New Roman" w:eastAsia="宋体" w:cs="Times New Roman"/>
          <w:color w:val="000000"/>
          <w:sz w:val="24"/>
        </w:rPr>
        <mc:AlternateContent>
          <mc:Choice Requires="wps">
            <w:drawing>
              <wp:anchor distT="0" distB="0" distL="114300" distR="114300" simplePos="0" relativeHeight="251663360" behindDoc="0" locked="0" layoutInCell="1" allowOverlap="1">
                <wp:simplePos x="0" y="0"/>
                <wp:positionH relativeFrom="column">
                  <wp:posOffset>1561465</wp:posOffset>
                </wp:positionH>
                <wp:positionV relativeFrom="paragraph">
                  <wp:posOffset>4102735</wp:posOffset>
                </wp:positionV>
                <wp:extent cx="114300" cy="104775"/>
                <wp:effectExtent l="0" t="0" r="0" b="0"/>
                <wp:wrapNone/>
                <wp:docPr id="55" name="五角星 3"/>
                <wp:cNvGraphicFramePr/>
                <a:graphic xmlns:a="http://schemas.openxmlformats.org/drawingml/2006/main">
                  <a:graphicData uri="http://schemas.microsoft.com/office/word/2010/wordprocessingShape">
                    <wps:wsp>
                      <wps:cNvSpPr/>
                      <wps:spPr bwMode="auto">
                        <a:xfrm>
                          <a:off x="0" y="0"/>
                          <a:ext cx="114300" cy="104775"/>
                        </a:xfrm>
                        <a:custGeom>
                          <a:avLst/>
                          <a:gdLst>
                            <a:gd name="gd0" fmla="val 65536"/>
                            <a:gd name="gd1" fmla="val 0"/>
                            <a:gd name="gd2" fmla="val 40020"/>
                            <a:gd name="gd3" fmla="val 43658"/>
                            <a:gd name="gd4" fmla="val 40020"/>
                            <a:gd name="gd5" fmla="val 57150"/>
                            <a:gd name="gd6" fmla="val 0"/>
                            <a:gd name="gd7" fmla="val 70641"/>
                            <a:gd name="gd8" fmla="val 40020"/>
                            <a:gd name="gd9" fmla="val 114299"/>
                            <a:gd name="gd10" fmla="val 40020"/>
                            <a:gd name="gd11" fmla="val 78978"/>
                            <a:gd name="gd12" fmla="val 64754"/>
                            <a:gd name="gd13" fmla="val 92470"/>
                            <a:gd name="gd14" fmla="val 104774"/>
                            <a:gd name="gd15" fmla="val 57150"/>
                            <a:gd name="gd16" fmla="val 80040"/>
                            <a:gd name="gd17" fmla="val 21829"/>
                            <a:gd name="gd18" fmla="val 104774"/>
                            <a:gd name="gd19" fmla="val 35321"/>
                            <a:gd name="gd20" fmla="val 64754"/>
                          </a:gdLst>
                          <a:ahLst/>
                          <a:cxnLst/>
                          <a:rect l="0" t="0" r="r" b="b"/>
                          <a:pathLst>
                            <a:path w="114300" h="104775"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close/>
                            </a:path>
                          </a:pathLst>
                        </a:custGeom>
                        <a:solidFill>
                          <a:srgbClr val="FFFF00"/>
                        </a:solidFill>
                        <a:ln>
                          <a:solidFill>
                            <a:srgbClr val="000000"/>
                          </a:solidFill>
                          <a:round/>
                        </a:ln>
                      </wps:spPr>
                      <wps:bodyPr rot="0">
                        <a:noAutofit/>
                      </wps:bodyPr>
                    </wps:wsp>
                  </a:graphicData>
                </a:graphic>
              </wp:anchor>
            </w:drawing>
          </mc:Choice>
          <mc:Fallback>
            <w:pict>
              <v:shape id="五角星 3" o:spid="_x0000_s1026" o:spt="100" style="position:absolute;left:0pt;margin-left:122.95pt;margin-top:323.05pt;height:8.25pt;width:9pt;z-index:251663360;mso-width-relative:page;mso-height-relative:page;" fillcolor="#FFFF00" filled="t" stroked="t" coordsize="114300,104775" o:gfxdata="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cK0Rn1wAAAAsBAAAPAAAAAAAAAAEAIAAAACIAAABk&#10;cnMvZG93bnJldi54bWxQSwECFAAUAAAACACHTuJALKTd/SQDAADSCAAADgAAAAAAAAABACAAAAAm&#10;AQAAZHJzL2Uyb0RvYy54bWxQSwUGAAAAAAYABgBZAQAAvAYAAAAA&#10;" path="m0,40020l43658,40020,57150,0,70641,40020,114299,40020,78978,64754,92470,104774,57150,80040,21829,104774,35321,64754xe">
                <v:fill on="t" focussize="0,0"/>
                <v:stroke color="#000000" joinstyle="round"/>
                <v:imagedata o:title=""/>
                <o:lock v:ext="edit" aspectratio="f"/>
              </v:shape>
            </w:pict>
          </mc:Fallback>
        </mc:AlternateContent>
      </w:r>
      <w:r>
        <w:rPr>
          <w:rFonts w:hint="default" w:ascii="Times New Roman" w:hAnsi="Times New Roman" w:eastAsia="宋体" w:cs="Times New Roman"/>
          <w:color w:val="000000"/>
          <w:sz w:val="24"/>
          <w:szCs w:val="24"/>
        </w:rPr>
        <w:drawing>
          <wp:inline distT="0" distB="0" distL="0" distR="0">
            <wp:extent cx="4959350" cy="6935470"/>
            <wp:effectExtent l="0" t="0" r="0" b="0"/>
            <wp:docPr id="56" name="_x0000_i1035"/>
            <wp:cNvGraphicFramePr/>
            <a:graphic xmlns:a="http://schemas.openxmlformats.org/drawingml/2006/main">
              <a:graphicData uri="http://schemas.openxmlformats.org/drawingml/2006/picture">
                <pic:pic xmlns:pic="http://schemas.openxmlformats.org/drawingml/2006/picture">
                  <pic:nvPicPr>
                    <pic:cNvPr id="56" name="_x0000_i1035"/>
                    <pic:cNvPicPr/>
                  </pic:nvPicPr>
                  <pic:blipFill>
                    <a:blip r:embed="rId40"/>
                    <a:stretch>
                      <a:fillRect/>
                    </a:stretch>
                  </pic:blipFill>
                  <pic:spPr>
                    <a:xfrm>
                      <a:off x="0" y="0"/>
                      <a:ext cx="4959350" cy="6935470"/>
                    </a:xfrm>
                    <a:prstGeom prst="rect">
                      <a:avLst/>
                    </a:prstGeom>
                    <a:noFill/>
                    <a:ln>
                      <a:noFill/>
                      <a:round/>
                    </a:ln>
                  </pic:spPr>
                </pic:pic>
              </a:graphicData>
            </a:graphic>
          </wp:inline>
        </w:drawing>
      </w:r>
    </w:p>
    <w:p w14:paraId="18CC75E3">
      <w:pPr>
        <w:keepNext w:val="0"/>
        <w:keepLines w:val="0"/>
        <w:pageBreakBefore w:val="0"/>
        <w:widowControl w:val="0"/>
        <w:suppressLineNumbers w:val="0"/>
        <w:spacing w:before="0" w:beforeAutospacing="0" w:after="0" w:afterAutospacing="0" w:line="360" w:lineRule="auto"/>
        <w:ind w:left="0" w:right="0" w:firstLine="0"/>
        <w:jc w:val="center"/>
        <w:outlineLvl w:val="9"/>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图</w:t>
      </w:r>
      <w:r>
        <w:rPr>
          <w:rFonts w:hint="eastAsia" w:cs="Times New Roman"/>
          <w:b/>
          <w:bCs/>
          <w:color w:val="000000"/>
          <w:sz w:val="24"/>
          <w:highlight w:val="none"/>
          <w:lang w:val="en-US" w:eastAsia="zh-CN"/>
        </w:rPr>
        <w:t xml:space="preserve"> </w:t>
      </w:r>
      <w:r>
        <w:rPr>
          <w:rFonts w:hint="eastAsia" w:ascii="Times New Roman" w:hAnsi="Times New Roman" w:eastAsia="宋体" w:cs="Times New Roman"/>
          <w:b/>
          <w:bCs/>
          <w:color w:val="000000"/>
          <w:sz w:val="24"/>
          <w:highlight w:val="none"/>
          <w:lang w:val="en-US" w:eastAsia="zh-CN"/>
        </w:rPr>
        <w:t>4</w:t>
      </w:r>
      <w:r>
        <w:rPr>
          <w:rFonts w:hint="default" w:ascii="Times New Roman" w:hAnsi="Times New Roman" w:eastAsia="宋体" w:cs="Times New Roman"/>
          <w:b/>
          <w:bCs/>
          <w:color w:val="000000"/>
          <w:sz w:val="24"/>
          <w:highlight w:val="none"/>
          <w:lang w:val="en-US" w:eastAsia="zh-CN"/>
        </w:rPr>
        <w:t>-1 安徽省主体功能区划图</w:t>
      </w:r>
    </w:p>
    <w:p w14:paraId="33A437EE">
      <w:pPr>
        <w:keepNext w:val="0"/>
        <w:keepLines w:val="0"/>
        <w:suppressLineNumbers w:val="0"/>
        <w:spacing w:before="0" w:beforeAutospacing="0" w:after="0" w:afterAutospacing="0"/>
        <w:ind w:left="0" w:right="0" w:firstLine="0"/>
        <w:outlineLvl w:val="9"/>
        <w:rPr>
          <w:rFonts w:hint="default"/>
          <w:color w:val="000000"/>
          <w:lang w:val="en-US" w:eastAsia="zh-CN"/>
        </w:rPr>
      </w:pPr>
    </w:p>
    <w:p w14:paraId="2DFE5D25">
      <w:pPr>
        <w:keepNext/>
        <w:keepLines/>
        <w:pageBreakBefore w:val="0"/>
        <w:widowControl w:val="0"/>
        <w:suppressLineNumbers w:val="0"/>
        <w:spacing w:before="0" w:after="0" w:line="240" w:lineRule="auto"/>
        <w:ind w:left="0" w:right="0" w:firstLine="0"/>
        <w:jc w:val="both"/>
        <w:outlineLvl w:val="9"/>
        <w:rPr>
          <w:rFonts w:hint="default" w:ascii="Times New Roman" w:hAnsi="Times New Roman" w:eastAsia="宋体" w:cs="Times New Roman"/>
          <w:b/>
          <w:bCs/>
          <w:color w:val="000000"/>
          <w:sz w:val="24"/>
          <w:szCs w:val="24"/>
          <w:highlight w:val="none"/>
          <w:lang w:val="en-US" w:eastAsia="zh-CN" w:bidi="ar-SA"/>
        </w:rPr>
      </w:pPr>
      <w:r>
        <w:rPr>
          <w:color w:val="000000"/>
          <w:sz w:val="24"/>
        </w:rPr>
        <mc:AlternateContent>
          <mc:Choice Requires="wps">
            <w:drawing>
              <wp:anchor distT="0" distB="0" distL="114300" distR="114300" simplePos="0" relativeHeight="251665408" behindDoc="0" locked="0" layoutInCell="1" allowOverlap="1">
                <wp:simplePos x="0" y="0"/>
                <wp:positionH relativeFrom="column">
                  <wp:posOffset>4621530</wp:posOffset>
                </wp:positionH>
                <wp:positionV relativeFrom="paragraph">
                  <wp:posOffset>186055</wp:posOffset>
                </wp:positionV>
                <wp:extent cx="866775" cy="685800"/>
                <wp:effectExtent l="0" t="0" r="0" b="0"/>
                <wp:wrapNone/>
                <wp:docPr id="57" name="文本框 536"/>
                <wp:cNvGraphicFramePr/>
                <a:graphic xmlns:a="http://schemas.openxmlformats.org/drawingml/2006/main">
                  <a:graphicData uri="http://schemas.microsoft.com/office/word/2010/wordprocessingShape">
                    <wps:wsp>
                      <wps:cNvSpPr txBox="1"/>
                      <wps:spPr bwMode="auto">
                        <a:xfrm>
                          <a:off x="0" y="0"/>
                          <a:ext cx="866775" cy="685800"/>
                        </a:xfrm>
                        <a:prstGeom prst="rect">
                          <a:avLst/>
                        </a:prstGeom>
                        <a:noFill/>
                        <a:ln>
                          <a:noFill/>
                        </a:ln>
                      </wps:spPr>
                      <wps:txbx>
                        <w:txbxContent>
                          <w:p w14:paraId="07070ED3">
                            <w:pPr>
                              <w:ind w:left="0" w:firstLine="0"/>
                              <w:rPr>
                                <w:rFonts w:hint="eastAsia" w:eastAsia="宋体"/>
                                <w:lang w:eastAsia="zh-CN"/>
                              </w:rPr>
                            </w:pPr>
                            <w:r>
                              <w:rPr>
                                <w:rFonts w:hint="eastAsia" w:eastAsia="宋体"/>
                                <w:lang w:eastAsia="zh-CN"/>
                              </w:rPr>
                              <w:drawing>
                                <wp:inline distT="0" distB="0" distL="0" distR="0">
                                  <wp:extent cx="673735" cy="508635"/>
                                  <wp:effectExtent l="0" t="0" r="0" b="0"/>
                                  <wp:docPr id="58" name="_x0000_i1036"/>
                                  <wp:cNvGraphicFramePr/>
                                  <a:graphic xmlns:a="http://schemas.openxmlformats.org/drawingml/2006/main">
                                    <a:graphicData uri="http://schemas.openxmlformats.org/drawingml/2006/picture">
                                      <pic:pic xmlns:pic="http://schemas.openxmlformats.org/drawingml/2006/picture">
                                        <pic:nvPicPr>
                                          <pic:cNvPr id="58" name="_x0000_i1036"/>
                                          <pic:cNvPicPr/>
                                        </pic:nvPicPr>
                                        <pic:blipFill>
                                          <a:blip r:embed="rId49"/>
                                          <a:stretch>
                                            <a:fillRect/>
                                          </a:stretch>
                                        </pic:blipFill>
                                        <pic:spPr>
                                          <a:xfrm>
                                            <a:off x="0" y="0"/>
                                            <a:ext cx="673735" cy="508635"/>
                                          </a:xfrm>
                                          <a:prstGeom prst="rect">
                                            <a:avLst/>
                                          </a:prstGeom>
                                          <a:noFill/>
                                          <a:ln>
                                            <a:noFill/>
                                            <a:round/>
                                          </a:ln>
                                        </pic:spPr>
                                      </pic:pic>
                                    </a:graphicData>
                                  </a:graphic>
                                </wp:inline>
                              </w:drawing>
                            </w:r>
                          </w:p>
                        </w:txbxContent>
                      </wps:txbx>
                      <wps:bodyPr wrap="none" upright="1">
                        <a:spAutoFit/>
                      </wps:bodyPr>
                    </wps:wsp>
                  </a:graphicData>
                </a:graphic>
              </wp:anchor>
            </w:drawing>
          </mc:Choice>
          <mc:Fallback>
            <w:pict>
              <v:shape id="文本框 536" o:spid="_x0000_s1026" o:spt="202" type="#_x0000_t202" style="position:absolute;left:0pt;margin-left:363.9pt;margin-top:14.65pt;height:54pt;width:68.25pt;mso-wrap-style:none;z-index:251665408;mso-width-relative:page;mso-height-relative:page;" filled="f" stroked="f" coordsize="21600,21600" o:gfxdata="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x2Hpw1wAAAAoBAAAPAAAAAAAAAAEAIAAAACIAAABk&#10;cnMvZG93bnJldi54bWxQSwECFAAUAAAACACHTuJA0DvhIM4BAACEAwAADgAAAAAAAAABACAAAAAm&#10;AQAAZHJzL2Uyb0RvYy54bWxQSwUGAAAAAAYABgBZAQAAZgUAAAAA&#10;">
                <v:fill on="f" focussize="0,0"/>
                <v:stroke on="f"/>
                <v:imagedata o:title=""/>
                <o:lock v:ext="edit" aspectratio="f"/>
                <v:textbox style="mso-fit-shape-to-text:t;">
                  <w:txbxContent>
                    <w:p w14:paraId="07070ED3">
                      <w:pPr>
                        <w:ind w:left="0" w:firstLine="0"/>
                        <w:rPr>
                          <w:rFonts w:hint="eastAsia" w:eastAsia="宋体"/>
                          <w:lang w:eastAsia="zh-CN"/>
                        </w:rPr>
                      </w:pPr>
                      <w:r>
                        <w:rPr>
                          <w:rFonts w:hint="eastAsia" w:eastAsia="宋体"/>
                          <w:lang w:eastAsia="zh-CN"/>
                        </w:rPr>
                        <w:drawing>
                          <wp:inline distT="0" distB="0" distL="0" distR="0">
                            <wp:extent cx="673735" cy="508635"/>
                            <wp:effectExtent l="0" t="0" r="0" b="0"/>
                            <wp:docPr id="58" name="_x0000_i1036"/>
                            <wp:cNvGraphicFramePr/>
                            <a:graphic xmlns:a="http://schemas.openxmlformats.org/drawingml/2006/main">
                              <a:graphicData uri="http://schemas.openxmlformats.org/drawingml/2006/picture">
                                <pic:pic xmlns:pic="http://schemas.openxmlformats.org/drawingml/2006/picture">
                                  <pic:nvPicPr>
                                    <pic:cNvPr id="58" name="_x0000_i1036"/>
                                    <pic:cNvPicPr/>
                                  </pic:nvPicPr>
                                  <pic:blipFill>
                                    <a:blip r:embed="rId49"/>
                                    <a:stretch>
                                      <a:fillRect/>
                                    </a:stretch>
                                  </pic:blipFill>
                                  <pic:spPr>
                                    <a:xfrm>
                                      <a:off x="0" y="0"/>
                                      <a:ext cx="673735" cy="508635"/>
                                    </a:xfrm>
                                    <a:prstGeom prst="rect">
                                      <a:avLst/>
                                    </a:prstGeom>
                                    <a:noFill/>
                                    <a:ln>
                                      <a:noFill/>
                                      <a:round/>
                                    </a:ln>
                                  </pic:spPr>
                                </pic:pic>
                              </a:graphicData>
                            </a:graphic>
                          </wp:inline>
                        </w:drawing>
                      </w:r>
                    </w:p>
                  </w:txbxContent>
                </v:textbox>
              </v:shape>
            </w:pict>
          </mc:Fallback>
        </mc:AlternateContent>
      </w:r>
      <w:r>
        <w:rPr>
          <w:rFonts w:hint="default" w:ascii="Times New Roman" w:hAnsi="Times New Roman" w:eastAsia="宋体" w:cs="Times New Roman"/>
          <w:b/>
          <w:bCs/>
          <w:color w:val="000000"/>
          <w:sz w:val="24"/>
          <w:szCs w:val="24"/>
          <w:highlight w:val="none"/>
          <w:lang w:val="en-US" w:eastAsia="zh-CN" w:bidi="ar-SA"/>
        </w:rPr>
        <w:drawing>
          <wp:inline distT="0" distB="0" distL="0" distR="0">
            <wp:extent cx="5573395" cy="3953510"/>
            <wp:effectExtent l="0" t="0" r="0" b="0"/>
            <wp:docPr id="59" name="_x0000_i1037"/>
            <wp:cNvGraphicFramePr/>
            <a:graphic xmlns:a="http://schemas.openxmlformats.org/drawingml/2006/main">
              <a:graphicData uri="http://schemas.openxmlformats.org/drawingml/2006/picture">
                <pic:pic xmlns:pic="http://schemas.openxmlformats.org/drawingml/2006/picture">
                  <pic:nvPicPr>
                    <pic:cNvPr id="59" name="_x0000_i1037"/>
                    <pic:cNvPicPr/>
                  </pic:nvPicPr>
                  <pic:blipFill>
                    <a:blip r:embed="rId50"/>
                    <a:stretch>
                      <a:fillRect/>
                    </a:stretch>
                  </pic:blipFill>
                  <pic:spPr>
                    <a:xfrm>
                      <a:off x="0" y="0"/>
                      <a:ext cx="5573394" cy="3953510"/>
                    </a:xfrm>
                    <a:prstGeom prst="rect">
                      <a:avLst/>
                    </a:prstGeom>
                    <a:noFill/>
                    <a:ln>
                      <a:noFill/>
                    </a:ln>
                  </pic:spPr>
                </pic:pic>
              </a:graphicData>
            </a:graphic>
          </wp:inline>
        </w:drawing>
      </w:r>
    </w:p>
    <w:p w14:paraId="262AEA34">
      <w:pPr>
        <w:keepNext/>
        <w:keepLines/>
        <w:pageBreakBefore w:val="0"/>
        <w:widowControl w:val="0"/>
        <w:suppressLineNumbers w:val="0"/>
        <w:spacing w:before="0" w:after="0" w:line="240" w:lineRule="auto"/>
        <w:ind w:left="0" w:right="0" w:firstLine="0"/>
        <w:jc w:val="center"/>
        <w:outlineLvl w:val="9"/>
        <w:rPr>
          <w:rFonts w:hint="eastAsia" w:ascii="Times New Roman" w:hAnsi="Times New Roman" w:eastAsia="宋体" w:cs="Times New Roman"/>
          <w:color w:val="000000"/>
          <w:sz w:val="24"/>
          <w:highlight w:val="none"/>
          <w:lang w:eastAsia="zh-CN"/>
        </w:rPr>
      </w:pPr>
      <w:r>
        <w:rPr>
          <w:rFonts w:hint="default" w:ascii="Times New Roman" w:hAnsi="Times New Roman" w:eastAsia="宋体" w:cs="Times New Roman"/>
          <w:b/>
          <w:bCs/>
          <w:color w:val="000000"/>
          <w:sz w:val="24"/>
          <w:szCs w:val="24"/>
          <w:highlight w:val="none"/>
          <w:lang w:val="en-US" w:eastAsia="zh-CN" w:bidi="ar-SA"/>
        </w:rPr>
        <w:t>图</w:t>
      </w:r>
      <w:r>
        <w:rPr>
          <w:rFonts w:hint="eastAsia" w:ascii="Times New Roman" w:hAnsi="Times New Roman" w:eastAsia="宋体" w:cs="Times New Roman"/>
          <w:b/>
          <w:bCs/>
          <w:color w:val="000000"/>
          <w:sz w:val="24"/>
          <w:szCs w:val="24"/>
          <w:highlight w:val="none"/>
          <w:lang w:val="en-US" w:eastAsia="zh-CN" w:bidi="ar-SA"/>
        </w:rPr>
        <w:t>4</w:t>
      </w:r>
      <w:r>
        <w:rPr>
          <w:rFonts w:hint="default" w:ascii="Times New Roman" w:hAnsi="Times New Roman" w:eastAsia="宋体" w:cs="Times New Roman"/>
          <w:b/>
          <w:bCs/>
          <w:color w:val="000000"/>
          <w:sz w:val="24"/>
          <w:szCs w:val="24"/>
          <w:highlight w:val="none"/>
          <w:lang w:val="en-US" w:eastAsia="zh-CN" w:bidi="ar-SA"/>
        </w:rPr>
        <w:t>-</w:t>
      </w:r>
      <w:r>
        <w:rPr>
          <w:rFonts w:hint="eastAsia" w:ascii="Times New Roman" w:hAnsi="Times New Roman" w:eastAsia="宋体" w:cs="Times New Roman"/>
          <w:b/>
          <w:bCs/>
          <w:color w:val="000000"/>
          <w:sz w:val="24"/>
          <w:szCs w:val="24"/>
          <w:highlight w:val="none"/>
          <w:lang w:val="en-US" w:eastAsia="zh-CN" w:bidi="ar-SA"/>
        </w:rPr>
        <w:t xml:space="preserve">2  </w:t>
      </w:r>
      <w:r>
        <w:rPr>
          <w:rFonts w:hint="default" w:ascii="Times New Roman" w:hAnsi="Times New Roman" w:eastAsia="宋体" w:cs="Times New Roman"/>
          <w:b/>
          <w:bCs/>
          <w:color w:val="000000"/>
          <w:sz w:val="24"/>
          <w:szCs w:val="24"/>
          <w:highlight w:val="none"/>
          <w:lang w:val="en-US" w:eastAsia="zh-CN" w:bidi="ar-SA"/>
        </w:rPr>
        <w:t>工程</w:t>
      </w:r>
      <w:r>
        <w:rPr>
          <w:rFonts w:hint="eastAsia" w:ascii="Times New Roman" w:hAnsi="Times New Roman" w:eastAsia="宋体" w:cs="Times New Roman"/>
          <w:b/>
          <w:bCs/>
          <w:color w:val="000000"/>
          <w:sz w:val="24"/>
          <w:szCs w:val="24"/>
          <w:highlight w:val="none"/>
          <w:lang w:val="en-US" w:eastAsia="zh-CN" w:bidi="ar-SA"/>
        </w:rPr>
        <w:t>范围与生态红线位置</w:t>
      </w:r>
      <w:r>
        <w:rPr>
          <w:rFonts w:hint="default" w:ascii="Times New Roman" w:hAnsi="Times New Roman" w:eastAsia="宋体" w:cs="Times New Roman"/>
          <w:b/>
          <w:bCs/>
          <w:color w:val="000000"/>
          <w:sz w:val="24"/>
          <w:szCs w:val="24"/>
          <w:highlight w:val="none"/>
          <w:lang w:val="en-US" w:eastAsia="zh-CN" w:bidi="ar-SA"/>
        </w:rPr>
        <w:t>示意图</w:t>
      </w:r>
    </w:p>
    <w:p w14:paraId="32A11408">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lang w:eastAsia="zh-CN"/>
        </w:rPr>
        <w:t>（2）</w:t>
      </w:r>
      <w:r>
        <w:rPr>
          <w:rFonts w:hint="default" w:ascii="Times New Roman" w:hAnsi="Times New Roman" w:eastAsia="宋体" w:cs="Times New Roman"/>
          <w:color w:val="000000"/>
          <w:sz w:val="24"/>
          <w:highlight w:val="none"/>
        </w:rPr>
        <w:t>生态功能区划</w:t>
      </w:r>
    </w:p>
    <w:p w14:paraId="1C7614F5">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val="en-US" w:eastAsia="zh-CN"/>
        </w:rPr>
        <w:t>本项目位于安徽省六安市，根据《安徽省生态功能区划》，本项目区涉及Ⅲ1梅响磨佛水库水源涵养与生物多样性保护生态功能区、Ⅲ2龙河口水库上游水源涵养与水土保持生态功能区</w:t>
      </w:r>
      <w:r>
        <w:rPr>
          <w:rFonts w:hint="default" w:ascii="Times New Roman" w:hAnsi="Times New Roman" w:eastAsia="宋体" w:cs="Times New Roman"/>
          <w:color w:val="000000"/>
          <w:sz w:val="24"/>
          <w:highlight w:val="none"/>
        </w:rPr>
        <w:t>。</w:t>
      </w:r>
    </w:p>
    <w:p w14:paraId="05B9F4C9">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vertAlign w:val="subscript"/>
        </w:rPr>
        <w:t>1</w:t>
      </w:r>
      <w:r>
        <w:rPr>
          <w:rFonts w:hint="default" w:ascii="Times New Roman" w:hAnsi="Times New Roman" w:eastAsia="宋体" w:cs="Times New Roman"/>
          <w:color w:val="000000"/>
          <w:sz w:val="24"/>
          <w:szCs w:val="24"/>
        </w:rPr>
        <w:t>梅响磨佛水库水源涵养与生物多样性保护生态功能区行政区划包括金寨县全部、霍山县大部、六安市辖区西南部地区，面积6746k</w:t>
      </w:r>
      <w:r>
        <w:rPr>
          <w:rFonts w:hint="eastAsia" w:cs="Times New Roman"/>
          <w:color w:val="000000"/>
          <w:sz w:val="24"/>
          <w:szCs w:val="24"/>
          <w:lang w:eastAsia="zh-CN"/>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4"/>
        </w:rPr>
        <w:t>。年均降水1400</w:t>
      </w:r>
      <w:r>
        <w:rPr>
          <w:rFonts w:hint="eastAsia" w:cs="Times New Roman"/>
          <w:color w:val="000000"/>
          <w:sz w:val="24"/>
          <w:szCs w:val="24"/>
          <w:lang w:eastAsia="zh-CN"/>
        </w:rPr>
        <w:t>mm</w:t>
      </w:r>
      <w:r>
        <w:rPr>
          <w:rFonts w:hint="default" w:ascii="Times New Roman" w:hAnsi="Times New Roman" w:eastAsia="宋体" w:cs="Times New Roman"/>
          <w:color w:val="000000"/>
          <w:sz w:val="24"/>
          <w:szCs w:val="24"/>
        </w:rPr>
        <w:t>左右，是安徽省的降水次中心。本生态功能区以森林生态系统为主，植被类型属暖温带落叶阔叶林向亚热带常绿阔叶林过渡型，植被垂直分布带谱明显，野生动植物资源丰富，区系成份复杂，特有种多。天马国家级自然保护区内保存了大批珍稀、古老孑遗物种和典型、多样的生物群落，目前已查明维管束植物有2000多种，陆栖脊椎动物200多种，其中国家重点保护的野生植物有大别山五针松、香果树、杜仲等25种，而且还是香果树、领春木、大别山五针松、连香树、鹅掌楸、金钱松、天女花、厚朴、大鲵、原麝等保护物种的集中分布区，其中中国特有植物13属及地方特有动植物十余种，被喻为“大别山区的天然物种基因库”。本区还是淮河重要支流史河、淠河的发源地和下游梅山、响洪甸、磨子潭和佛子岭四大水库的水源涵养区。</w:t>
      </w:r>
    </w:p>
    <w:p w14:paraId="1E855308">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vertAlign w:val="subscript"/>
        </w:rPr>
        <w:t>1</w:t>
      </w:r>
      <w:r>
        <w:rPr>
          <w:rFonts w:hint="default" w:ascii="Times New Roman" w:hAnsi="Times New Roman" w:eastAsia="宋体" w:cs="Times New Roman"/>
          <w:color w:val="000000"/>
          <w:sz w:val="24"/>
          <w:szCs w:val="24"/>
        </w:rPr>
        <w:t>梅响磨佛水库水源涵养与生物多样性保护生态功能区存在着以下生态环境问题：（1）由于人为活动频繁，区内水土流失问题较为突出，直接影响到水库的使用寿命和下游的生态安全；（2）区内人多地少，交通不便，出于生态保护的需要，为下游作出了较大的经济上的牺牲，目前仍然是贫困地区，人民生活水平不高，区域经济状况整体不发达；（3）水能资源丰富，开发不够；（4）部分地区基础设施建设时的保护措施不利，造成了崩塌、滑坡等地质灾害频发。</w:t>
      </w:r>
    </w:p>
    <w:p w14:paraId="1F067F27">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生态功能区在生物多样性保护、水源涵养、水土流失控制生态系统服务功能方面具有非常重要的地位，是安徽省生态系统保护的热点地区之一。因此，本功能区的发展应以保护区域生态系统服务功能为中心，利用当地丰富的自然资源，结合区内的生态示范区建设，发展生态型经济，茶叶、板栗、食用菌、毛竹、中药材、桑蚕以及水能源和生态旅游等经济活动均需要严格按照生态示范区规划的要求去发展。</w:t>
      </w:r>
    </w:p>
    <w:p w14:paraId="0B95025F">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vertAlign w:val="subscript"/>
        </w:rPr>
        <w:t>2</w:t>
      </w:r>
      <w:r>
        <w:rPr>
          <w:rFonts w:hint="default" w:ascii="Times New Roman" w:hAnsi="Times New Roman" w:eastAsia="宋体" w:cs="Times New Roman"/>
          <w:color w:val="000000"/>
          <w:sz w:val="24"/>
          <w:szCs w:val="24"/>
        </w:rPr>
        <w:t>龙河口水库上游水源涵养与水土保持生态功能区行政区划包括舒城县中南部、霍山县东北部丘陵区以及金安区南部地区，主要为龙河口水库上游汇水区及下游部分地区。本区北接江淮丘陵岗地生态区的巢湖盆地农业与城镇生态亚区，南邻皖江沿江平原生态区的大别山南麓山前丘陵平原农业生态亚区。该区地貌类型以低山丘陵为主，在龙河口水库下游有畈区平原分布。生态功能区以森林生态系统为主，植被类型属暖温带落叶阔叶林向亚热带常绿阔叶林过渡型，境内生物多样性丰富，本区还是巢湖最大支流杭埠河的发源地及龙河口水库（万佛湖）的水源涵养区，以龙河口水库为主要水源的杭埠河灌区还是淠史杭灌区的重要组成部分。</w:t>
      </w:r>
    </w:p>
    <w:p w14:paraId="09731B67">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Ⅲ</w:t>
      </w:r>
      <w:r>
        <w:rPr>
          <w:rFonts w:hint="default" w:ascii="Times New Roman" w:hAnsi="Times New Roman" w:eastAsia="宋体" w:cs="Times New Roman"/>
          <w:color w:val="000000"/>
          <w:highlight w:val="none"/>
          <w:vertAlign w:val="subscript"/>
        </w:rPr>
        <w:t>2</w:t>
      </w:r>
      <w:r>
        <w:rPr>
          <w:rFonts w:hint="default" w:ascii="Times New Roman" w:hAnsi="Times New Roman" w:eastAsia="宋体" w:cs="Times New Roman"/>
          <w:color w:val="000000"/>
          <w:highlight w:val="none"/>
        </w:rPr>
        <w:t>龙河口水库上游水源涵养与水土保持生态功能区主要生态环境问题有：（1）区内降水丰沛，地形坡度大，水土流失问题较为突出，是导致杭埠河道及巢湖淤积的重要原因；（2）目前区内旅游开发活动活跃，但生态保护措施有待于进一步加强；（3）龙河口水库修建后淹没了大量土地，人口移民后加重了周边地区的压力。</w:t>
      </w:r>
    </w:p>
    <w:p w14:paraId="73C6E0F8">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本生态功能区在生物多样性保护、水源涵养、水土流失控制等方面非常重要。因此，本功能区的发展应以保护龙河口水库上游水源涵养生态公益林为中心，加强生物多样性保护，生物措施与工程相结合进行水土流失控制，适度开展生态型旅游，避免因不当或过度开发导致区域生态系统退化乃至崩溃，利用距离合肥市近的地理优势，发展生态农业、观光农业和生态林业，提高茶叶、板栗等产品附加值。</w:t>
      </w:r>
    </w:p>
    <w:p w14:paraId="443A3336">
      <w:pPr>
        <w:keepNext w:val="0"/>
        <w:keepLines w:val="0"/>
        <w:pageBreakBefore w:val="0"/>
        <w:widowControl w:val="0"/>
        <w:suppressLineNumbers w:val="0"/>
        <w:spacing w:before="0" w:beforeAutospacing="0" w:after="0" w:afterAutospacing="0" w:line="360" w:lineRule="auto"/>
        <w:ind w:left="0" w:right="0" w:firstLine="480"/>
        <w:outlineLvl w:val="9"/>
        <w:rPr>
          <w:rFonts w:hint="eastAsia" w:ascii="Times New Roman" w:hAnsi="Times New Roman" w:eastAsia="宋体" w:cs="Times New Roman"/>
          <w:color w:val="000000"/>
          <w:highlight w:val="none"/>
          <w:lang w:eastAsia="zh-CN"/>
        </w:rPr>
      </w:pPr>
      <w:r>
        <w:rPr>
          <w:rFonts w:hint="eastAsia" w:cs="Times New Roman"/>
          <w:color w:val="000000"/>
          <w:highlight w:val="none"/>
          <w:lang w:eastAsia="zh-CN"/>
        </w:rPr>
        <w:t>项目用地在</w:t>
      </w:r>
      <w:r>
        <w:rPr>
          <w:rFonts w:hint="default" w:ascii="Times New Roman" w:hAnsi="Times New Roman" w:eastAsia="宋体" w:cs="Times New Roman"/>
          <w:color w:val="000000"/>
          <w:highlight w:val="none"/>
        </w:rPr>
        <w:t>佛子岭镇</w:t>
      </w:r>
      <w:r>
        <w:rPr>
          <w:rFonts w:hint="eastAsia" w:cs="Times New Roman"/>
          <w:color w:val="000000"/>
          <w:highlight w:val="none"/>
          <w:lang w:eastAsia="zh-CN"/>
        </w:rPr>
        <w:t>、</w:t>
      </w:r>
      <w:r>
        <w:rPr>
          <w:rFonts w:hint="default" w:ascii="Times New Roman" w:hAnsi="Times New Roman" w:eastAsia="宋体" w:cs="Times New Roman"/>
          <w:color w:val="000000"/>
          <w:highlight w:val="none"/>
        </w:rPr>
        <w:t>衡山镇</w:t>
      </w:r>
      <w:r>
        <w:rPr>
          <w:rFonts w:hint="eastAsia" w:ascii="Times New Roman" w:hAnsi="Times New Roman" w:eastAsia="宋体" w:cs="Times New Roman"/>
          <w:color w:val="000000"/>
          <w:highlight w:val="none"/>
          <w:lang w:eastAsia="zh-CN"/>
        </w:rPr>
        <w:t>、</w:t>
      </w:r>
      <w:r>
        <w:rPr>
          <w:rFonts w:hint="default" w:ascii="Times New Roman" w:hAnsi="Times New Roman" w:eastAsia="宋体" w:cs="Times New Roman"/>
          <w:color w:val="000000"/>
          <w:highlight w:val="none"/>
        </w:rPr>
        <w:t>黑石渡镇</w:t>
      </w:r>
      <w:r>
        <w:rPr>
          <w:rFonts w:hint="eastAsia" w:cs="Times New Roman"/>
          <w:color w:val="000000"/>
          <w:highlight w:val="none"/>
          <w:lang w:eastAsia="zh-CN"/>
        </w:rPr>
        <w:t>境内。</w:t>
      </w:r>
    </w:p>
    <w:p w14:paraId="7957FEA6">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项目与生态保护红线关系：经核查，项目红线范围及施工作业带不涉及国家及安徽省、六安市、霍山县划定的生态保护红线范围。</w:t>
      </w:r>
    </w:p>
    <w:p w14:paraId="4D716820">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项目与环境敏感区关系：项目选址基本规避了集中式饮用水水源保护区（如佛子岭水库等）、风景名胜区核心区等法定环境敏感区。</w:t>
      </w:r>
    </w:p>
    <w:p w14:paraId="38CAB593">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highlight w:val="none"/>
        </w:rPr>
        <w:t>本项目严格控制项目施工用地范围，避免越界施工，涉及山边、河岸或绿化带的工程（如河湖水系整治岸线、透水铺装），将严格保护现有乡土植被和重要生境。优化施工时序（避让鸟类繁殖、洄游期等），减少扰动。避免对原有植被的破坏；建筑垃圾应及时清理，同时做好水土流失防护工作，同时做好水土流失防护工作，符合生态保护措施要求</w:t>
      </w:r>
      <w:r>
        <w:rPr>
          <w:rFonts w:hint="default" w:ascii="Times New Roman" w:hAnsi="Times New Roman" w:eastAsia="宋体" w:cs="Times New Roman"/>
          <w:color w:val="000000"/>
          <w:sz w:val="24"/>
          <w:highlight w:val="none"/>
        </w:rPr>
        <w:t>。</w:t>
      </w:r>
    </w:p>
    <w:p w14:paraId="5F4D320A">
      <w:pPr>
        <w:suppressLineNumbers w:val="0"/>
        <w:ind w:left="0" w:right="0"/>
        <w:jc w:val="both"/>
        <w:outlineLvl w:val="9"/>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drawing>
          <wp:inline distT="0" distB="0" distL="0" distR="0">
            <wp:extent cx="4591050" cy="6391275"/>
            <wp:effectExtent l="0" t="0" r="0" b="0"/>
            <wp:docPr id="60" name="_x0000_i1038"/>
            <wp:cNvGraphicFramePr/>
            <a:graphic xmlns:a="http://schemas.openxmlformats.org/drawingml/2006/main">
              <a:graphicData uri="http://schemas.openxmlformats.org/drawingml/2006/picture">
                <pic:pic xmlns:pic="http://schemas.openxmlformats.org/drawingml/2006/picture">
                  <pic:nvPicPr>
                    <pic:cNvPr id="60" name="_x0000_i1038"/>
                    <pic:cNvPicPr/>
                  </pic:nvPicPr>
                  <pic:blipFill>
                    <a:blip r:embed="rId42"/>
                    <a:stretch>
                      <a:fillRect/>
                    </a:stretch>
                  </pic:blipFill>
                  <pic:spPr>
                    <a:xfrm>
                      <a:off x="0" y="0"/>
                      <a:ext cx="4591050" cy="6391275"/>
                    </a:xfrm>
                    <a:prstGeom prst="rect">
                      <a:avLst/>
                    </a:prstGeom>
                    <a:noFill/>
                    <a:ln>
                      <a:noFill/>
                      <a:round/>
                    </a:ln>
                  </pic:spPr>
                </pic:pic>
              </a:graphicData>
            </a:graphic>
          </wp:inline>
        </w:drawing>
      </w:r>
    </w:p>
    <w:p w14:paraId="131FF8F1">
      <w:pPr>
        <w:keepNext w:val="0"/>
        <w:keepLines w:val="0"/>
        <w:pageBreakBefore w:val="0"/>
        <w:widowControl w:val="0"/>
        <w:suppressLineNumbers w:val="0"/>
        <w:spacing w:before="0" w:beforeAutospacing="0" w:after="0" w:afterAutospacing="0" w:line="360" w:lineRule="auto"/>
        <w:ind w:left="0" w:right="0" w:firstLine="0"/>
        <w:jc w:val="center"/>
        <w:outlineLvl w:val="9"/>
        <w:rPr>
          <w:rFonts w:hint="default" w:ascii="Times New Roman" w:hAnsi="Times New Roman" w:eastAsia="宋体" w:cs="Times New Roman"/>
          <w:color w:val="000000"/>
          <w:lang w:eastAsia="zh-CN"/>
        </w:rPr>
      </w:pPr>
      <w:r>
        <w:rPr>
          <w:rFonts w:hint="default" w:ascii="Times New Roman" w:hAnsi="Times New Roman" w:eastAsia="宋体" w:cs="Times New Roman"/>
          <w:b/>
          <w:bCs/>
          <w:color w:val="000000"/>
          <w:sz w:val="24"/>
          <w:highlight w:val="none"/>
          <w:lang w:val="en-US" w:eastAsia="zh-CN"/>
        </w:rPr>
        <w:t>图</w:t>
      </w:r>
      <w:r>
        <w:rPr>
          <w:rFonts w:hint="eastAsia" w:cs="Times New Roman"/>
          <w:b/>
          <w:bCs/>
          <w:color w:val="000000"/>
          <w:sz w:val="24"/>
          <w:highlight w:val="none"/>
          <w:lang w:val="en-US" w:eastAsia="zh-CN"/>
        </w:rPr>
        <w:t xml:space="preserve"> </w:t>
      </w:r>
      <w:r>
        <w:rPr>
          <w:rFonts w:hint="eastAsia" w:ascii="Times New Roman" w:hAnsi="Times New Roman" w:eastAsia="宋体" w:cs="Times New Roman"/>
          <w:b/>
          <w:bCs/>
          <w:color w:val="000000"/>
          <w:sz w:val="24"/>
          <w:highlight w:val="none"/>
          <w:lang w:val="en-US" w:eastAsia="zh-CN"/>
        </w:rPr>
        <w:t>4</w:t>
      </w:r>
      <w:r>
        <w:rPr>
          <w:rFonts w:hint="default" w:ascii="Times New Roman" w:hAnsi="Times New Roman" w:eastAsia="宋体" w:cs="Times New Roman"/>
          <w:b/>
          <w:bCs/>
          <w:color w:val="000000"/>
          <w:sz w:val="24"/>
          <w:highlight w:val="none"/>
          <w:lang w:val="en-US" w:eastAsia="zh-CN"/>
        </w:rPr>
        <w:t>-</w:t>
      </w:r>
      <w:r>
        <w:rPr>
          <w:rFonts w:hint="eastAsia" w:cs="Times New Roman"/>
          <w:b/>
          <w:bCs/>
          <w:color w:val="000000"/>
          <w:sz w:val="24"/>
          <w:highlight w:val="none"/>
          <w:lang w:val="en-US" w:eastAsia="zh-CN"/>
        </w:rPr>
        <w:t xml:space="preserve">3 </w:t>
      </w:r>
      <w:r>
        <w:rPr>
          <w:rFonts w:hint="default" w:ascii="Times New Roman" w:hAnsi="Times New Roman" w:eastAsia="宋体" w:cs="Times New Roman"/>
          <w:b/>
          <w:bCs/>
          <w:color w:val="000000"/>
          <w:sz w:val="24"/>
          <w:highlight w:val="none"/>
          <w:lang w:val="en-US" w:eastAsia="zh-CN"/>
        </w:rPr>
        <w:t xml:space="preserve"> 安徽省生态功能区划图</w:t>
      </w:r>
    </w:p>
    <w:p w14:paraId="13FD1F23">
      <w:pPr>
        <w:pStyle w:val="4"/>
        <w:rPr>
          <w:rFonts w:hint="default" w:ascii="Times New Roman" w:hAnsi="Times New Roman" w:cs="Times New Roman"/>
          <w:color w:val="000000"/>
          <w:lang w:val="en-US" w:eastAsia="zh-CN"/>
        </w:rPr>
      </w:pPr>
      <w:bookmarkStart w:id="104" w:name="_Toc24394"/>
      <w:r>
        <w:rPr>
          <w:rFonts w:hint="eastAsia" w:ascii="Times New Roman" w:hAnsi="Times New Roman" w:cs="Times New Roman"/>
          <w:color w:val="000000"/>
          <w:lang w:val="en-US" w:eastAsia="zh-CN"/>
        </w:rPr>
        <w:t>4.2</w:t>
      </w:r>
      <w:r>
        <w:rPr>
          <w:rFonts w:hint="default" w:ascii="Times New Roman" w:hAnsi="Times New Roman" w:cs="Times New Roman"/>
          <w:color w:val="000000"/>
          <w:lang w:val="en-US" w:eastAsia="zh-CN"/>
        </w:rPr>
        <w:t>、生态环境现状调查</w:t>
      </w:r>
      <w:bookmarkEnd w:id="104"/>
    </w:p>
    <w:p w14:paraId="4034952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highlight w:val="none"/>
          <w:lang w:val="en-US" w:eastAsia="zh-CN"/>
        </w:rPr>
      </w:pPr>
      <w:r>
        <w:rPr>
          <w:rFonts w:hint="default" w:ascii="Times New Roman" w:hAnsi="Times New Roman" w:eastAsia="宋体" w:cs="Times New Roman"/>
          <w:bCs/>
          <w:color w:val="000000"/>
          <w:highlight w:val="none"/>
          <w:lang w:val="en-US" w:eastAsia="zh-CN"/>
        </w:rPr>
        <w:t>本次评价生态现状调查采用收集资料和现场调查等相结合方式，本次评价生态现状调查内容包括（1）</w:t>
      </w:r>
      <w:r>
        <w:rPr>
          <w:rFonts w:hint="eastAsia" w:cs="Times New Roman"/>
          <w:bCs/>
          <w:color w:val="000000"/>
          <w:highlight w:val="none"/>
          <w:lang w:val="en-US" w:eastAsia="zh-CN"/>
        </w:rPr>
        <w:t>土壤现状；</w:t>
      </w:r>
      <w:r>
        <w:rPr>
          <w:rFonts w:hint="default" w:ascii="Times New Roman" w:hAnsi="Times New Roman" w:eastAsia="宋体" w:cs="Times New Roman"/>
          <w:bCs/>
          <w:color w:val="000000"/>
          <w:highlight w:val="none"/>
          <w:lang w:val="en-US" w:eastAsia="zh-CN"/>
        </w:rPr>
        <w:t>（2）陆生生态现状；（3）</w:t>
      </w:r>
      <w:r>
        <w:rPr>
          <w:rFonts w:hint="eastAsia" w:cs="Times New Roman"/>
          <w:bCs/>
          <w:color w:val="000000"/>
          <w:highlight w:val="none"/>
          <w:lang w:val="en-US" w:eastAsia="zh-CN"/>
        </w:rPr>
        <w:t>水</w:t>
      </w:r>
      <w:r>
        <w:rPr>
          <w:rFonts w:hint="default" w:ascii="Times New Roman" w:hAnsi="Times New Roman" w:eastAsia="宋体" w:cs="Times New Roman"/>
          <w:bCs/>
          <w:color w:val="000000"/>
          <w:highlight w:val="none"/>
          <w:lang w:val="en-US" w:eastAsia="zh-CN"/>
        </w:rPr>
        <w:t>生生态现状；</w:t>
      </w:r>
    </w:p>
    <w:p w14:paraId="46F524A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highlight w:val="none"/>
          <w:lang w:eastAsia="zh-CN"/>
        </w:rPr>
      </w:pPr>
      <w:r>
        <w:rPr>
          <w:rFonts w:hint="default" w:ascii="Times New Roman" w:hAnsi="Times New Roman" w:eastAsia="宋体" w:cs="Times New Roman"/>
          <w:bCs/>
          <w:color w:val="000000"/>
          <w:highlight w:val="none"/>
          <w:lang w:val="en-US" w:eastAsia="zh-CN"/>
        </w:rPr>
        <w:t>在考虑评价范围布点均匀性的基础上，重点在工程施工区域附近布点，所选择的样地植被为评价范围内有分布的类型</w:t>
      </w:r>
      <w:r>
        <w:rPr>
          <w:rFonts w:hint="eastAsia" w:cs="Times New Roman"/>
          <w:bCs/>
          <w:color w:val="000000"/>
          <w:highlight w:val="none"/>
          <w:lang w:val="en-US" w:eastAsia="zh-CN"/>
        </w:rPr>
        <w:t>；</w:t>
      </w:r>
      <w:r>
        <w:rPr>
          <w:rFonts w:hint="default" w:ascii="Times New Roman" w:hAnsi="Times New Roman" w:eastAsia="宋体" w:cs="Times New Roman"/>
          <w:bCs/>
          <w:color w:val="000000"/>
          <w:highlight w:val="none"/>
          <w:lang w:val="en-US" w:eastAsia="zh-CN"/>
        </w:rPr>
        <w:t>尽量避免取样误差，两人以上进行观察记录，消除主观因素</w:t>
      </w:r>
      <w:r>
        <w:rPr>
          <w:rFonts w:hint="eastAsia" w:cs="Times New Roman"/>
          <w:bCs/>
          <w:color w:val="000000"/>
          <w:highlight w:val="none"/>
          <w:lang w:val="en-US" w:eastAsia="zh-CN"/>
        </w:rPr>
        <w:t>；</w:t>
      </w:r>
      <w:r>
        <w:rPr>
          <w:rFonts w:hint="default" w:ascii="Times New Roman" w:hAnsi="Times New Roman" w:eastAsia="宋体" w:cs="Times New Roman"/>
          <w:bCs/>
          <w:color w:val="000000"/>
          <w:highlight w:val="none"/>
          <w:lang w:val="en-US" w:eastAsia="zh-CN"/>
        </w:rPr>
        <w:t>样方布设选择有代表性、典型性的植物群系类型进行。样方调查采用典型样方调查法，乔木林样方面积为20mx20m，灌丛样方为5mx5m，灌草丛样方面积为lmxlm，记录样方的位置、群落类型、地形地貌特征、群落高度、结构、层次及各自的总盖度等信息。</w:t>
      </w:r>
    </w:p>
    <w:p w14:paraId="69774E01">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lang w:eastAsia="zh-CN"/>
        </w:rPr>
        <w:t>（</w:t>
      </w:r>
      <w:r>
        <w:rPr>
          <w:rFonts w:hint="default" w:ascii="Times New Roman" w:hAnsi="Times New Roman" w:eastAsia="宋体" w:cs="Times New Roman"/>
          <w:bCs/>
          <w:color w:val="000000"/>
          <w:highlight w:val="none"/>
          <w:lang w:val="en-US" w:eastAsia="zh-CN"/>
        </w:rPr>
        <w:t>1</w:t>
      </w:r>
      <w:r>
        <w:rPr>
          <w:rFonts w:hint="default" w:ascii="Times New Roman" w:hAnsi="Times New Roman" w:eastAsia="宋体" w:cs="Times New Roman"/>
          <w:bCs/>
          <w:color w:val="000000"/>
          <w:highlight w:val="none"/>
          <w:lang w:eastAsia="zh-CN"/>
        </w:rPr>
        <w:t>）</w:t>
      </w:r>
      <w:r>
        <w:rPr>
          <w:rFonts w:hint="default" w:ascii="Times New Roman" w:hAnsi="Times New Roman" w:eastAsia="宋体" w:cs="Times New Roman"/>
          <w:bCs/>
          <w:color w:val="000000"/>
          <w:highlight w:val="none"/>
        </w:rPr>
        <w:t>土壤现状</w:t>
      </w:r>
    </w:p>
    <w:p w14:paraId="107BB8F8">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t>本项目区域</w:t>
      </w:r>
      <w:bookmarkStart w:id="105" w:name="OLE_LINK10"/>
      <w:r>
        <w:rPr>
          <w:rFonts w:hint="default" w:ascii="Times New Roman" w:hAnsi="Times New Roman" w:eastAsia="宋体" w:cs="Times New Roman"/>
          <w:bCs/>
          <w:color w:val="000000"/>
          <w:highlight w:val="none"/>
        </w:rPr>
        <w:t>土壤类型</w:t>
      </w:r>
      <w:bookmarkEnd w:id="105"/>
      <w:r>
        <w:rPr>
          <w:rFonts w:hint="default" w:ascii="Times New Roman" w:hAnsi="Times New Roman" w:eastAsia="宋体" w:cs="Times New Roman"/>
          <w:bCs/>
          <w:color w:val="000000"/>
          <w:highlight w:val="none"/>
        </w:rPr>
        <w:t>主要为</w:t>
      </w:r>
      <w:bookmarkStart w:id="106" w:name="OLE_LINK12"/>
      <w:r>
        <w:rPr>
          <w:rFonts w:hint="default" w:ascii="Times New Roman" w:hAnsi="Times New Roman" w:eastAsia="宋体" w:cs="Times New Roman"/>
          <w:bCs/>
          <w:color w:val="000000"/>
          <w:highlight w:val="none"/>
        </w:rPr>
        <w:t>灰褐土和暗黑垆土</w:t>
      </w:r>
      <w:bookmarkEnd w:id="106"/>
      <w:r>
        <w:rPr>
          <w:rFonts w:hint="default" w:ascii="Times New Roman" w:hAnsi="Times New Roman" w:eastAsia="宋体" w:cs="Times New Roman"/>
          <w:bCs/>
          <w:color w:val="000000"/>
          <w:highlight w:val="none"/>
        </w:rPr>
        <w:t>，土层较深厚，土体干燥。由于受洪积和冲积的影响，土壤剖面有明显的层性，土壤有机质含量低，盐碱含量</w:t>
      </w:r>
      <w:r>
        <w:rPr>
          <w:rFonts w:hint="default" w:ascii="Times New Roman" w:hAnsi="Times New Roman" w:eastAsia="宋体" w:cs="Times New Roman"/>
          <w:bCs/>
          <w:color w:val="000000"/>
          <w:highlight w:val="none"/>
          <w:lang w:eastAsia="zh-CN"/>
        </w:rPr>
        <w:t>低</w:t>
      </w:r>
      <w:r>
        <w:rPr>
          <w:rFonts w:hint="default" w:ascii="Times New Roman" w:hAnsi="Times New Roman" w:eastAsia="宋体" w:cs="Times New Roman"/>
          <w:bCs/>
          <w:color w:val="000000"/>
          <w:highlight w:val="none"/>
        </w:rPr>
        <w:t>。项目区风沙土厚度在50c</w:t>
      </w:r>
      <w:r>
        <w:rPr>
          <w:rFonts w:hint="eastAsia" w:cs="Times New Roman"/>
          <w:bCs/>
          <w:color w:val="000000"/>
          <w:highlight w:val="none"/>
          <w:lang w:eastAsia="zh-CN"/>
        </w:rPr>
        <w:t>m</w:t>
      </w:r>
      <w:r>
        <w:rPr>
          <w:rFonts w:hint="default" w:ascii="Times New Roman" w:hAnsi="Times New Roman" w:eastAsia="宋体" w:cs="Times New Roman"/>
          <w:bCs/>
          <w:color w:val="000000"/>
          <w:highlight w:val="none"/>
        </w:rPr>
        <w:t>~300c</w:t>
      </w:r>
      <w:r>
        <w:rPr>
          <w:rFonts w:hint="eastAsia" w:cs="Times New Roman"/>
          <w:bCs/>
          <w:color w:val="000000"/>
          <w:highlight w:val="none"/>
          <w:lang w:eastAsia="zh-CN"/>
        </w:rPr>
        <w:t>m</w:t>
      </w:r>
      <w:r>
        <w:rPr>
          <w:rFonts w:hint="default" w:ascii="Times New Roman" w:hAnsi="Times New Roman" w:eastAsia="宋体" w:cs="Times New Roman"/>
          <w:bCs/>
          <w:color w:val="000000"/>
          <w:highlight w:val="none"/>
        </w:rPr>
        <w:t>之间，土层较厚，下部为钙积层，呈暗灰褐色至黑褐色。</w:t>
      </w:r>
    </w:p>
    <w:p w14:paraId="4D75E29F">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2</w:t>
      </w: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陆生生态现状调查</w:t>
      </w:r>
    </w:p>
    <w:p w14:paraId="0DE0DD97">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bCs/>
          <w:color w:val="000000"/>
          <w:highlight w:val="none"/>
          <w:lang w:val="en-US" w:eastAsia="zh-CN"/>
        </w:rPr>
      </w:pPr>
      <w:r>
        <w:rPr>
          <w:rFonts w:hint="default" w:ascii="Times New Roman" w:hAnsi="Times New Roman" w:eastAsia="宋体" w:cs="Times New Roman"/>
          <w:bCs/>
          <w:color w:val="000000"/>
          <w:highlight w:val="none"/>
          <w:lang w:val="en-US" w:eastAsia="zh-CN"/>
        </w:rPr>
        <w:t>通过现场调查及查阅相关资料，管网工程施工区大量分布的是一些人工林和次生性的灌木或草木群落，城镇中除了人工种植的植物外，自然生长的仅有草本和灌木植物。根据现场踏勘，管网工程区主要为人工种植的绿化树种、景观树种及绿化草皮。因受人类活动影响，两侧动物主要为鼠类、蛙类等动物。泵站工程建设区域周围地表植被以杂草、灌丛为主，由于人类活动影响，评价区域无大面积落叶阔叶林，现状植被均是次生植被，属典型农村生态环境。</w:t>
      </w:r>
    </w:p>
    <w:p w14:paraId="2F517696">
      <w:pPr>
        <w:keepNext w:val="0"/>
        <w:keepLines w:val="0"/>
        <w:pageBreakBefore w:val="0"/>
        <w:widowControl w:val="0"/>
        <w:suppressLineNumbers w:val="0"/>
        <w:spacing w:before="0" w:beforeAutospacing="0" w:after="0" w:afterAutospacing="0" w:line="360" w:lineRule="auto"/>
        <w:ind w:left="0" w:right="0" w:firstLine="482"/>
        <w:outlineLvl w:val="9"/>
        <w:rPr>
          <w:rFonts w:hint="eastAsia" w:ascii="宋体" w:hAnsi="宋体" w:eastAsia="宋体" w:cs="宋体"/>
          <w:b/>
          <w:bCs/>
          <w:color w:val="000000"/>
          <w:sz w:val="24"/>
          <w:szCs w:val="24"/>
          <w:lang w:val="en-US" w:eastAsia="zh-CN" w:bidi="ar"/>
        </w:rPr>
      </w:pPr>
      <w:r>
        <w:rPr>
          <w:rFonts w:hint="eastAsia" w:ascii="宋体" w:hAnsi="宋体" w:eastAsia="宋体" w:cs="宋体"/>
          <w:b/>
          <w:bCs/>
          <w:color w:val="000000"/>
          <w:sz w:val="24"/>
          <w:szCs w:val="24"/>
          <w:lang w:val="en-US" w:eastAsia="zh-CN" w:bidi="ar"/>
        </w:rPr>
        <w:t>根据全国生物多样性调查网格设置和划分，霍山县境内工作网格数为</w:t>
      </w:r>
      <w:r>
        <w:rPr>
          <w:rFonts w:hint="default" w:ascii="Times New Roman" w:hAnsi="Times New Roman" w:eastAsia="宋体" w:cs="Times New Roman"/>
          <w:b/>
          <w:bCs/>
          <w:color w:val="000000"/>
          <w:sz w:val="24"/>
          <w:szCs w:val="24"/>
          <w:lang w:val="en-US" w:eastAsia="zh-CN" w:bidi="ar"/>
        </w:rPr>
        <w:t>26</w:t>
      </w:r>
      <w:r>
        <w:rPr>
          <w:rFonts w:hint="eastAsia" w:ascii="宋体" w:hAnsi="宋体" w:eastAsia="宋体" w:cs="宋体"/>
          <w:b/>
          <w:bCs/>
          <w:color w:val="000000"/>
          <w:sz w:val="24"/>
          <w:szCs w:val="24"/>
          <w:lang w:val="en-US" w:eastAsia="zh-CN" w:bidi="ar"/>
        </w:rPr>
        <w:t>个，其中有自然保护地和（或）生态保护红线的重点调查网格数为</w:t>
      </w:r>
      <w:r>
        <w:rPr>
          <w:rFonts w:hint="default" w:ascii="Times New Roman" w:hAnsi="Times New Roman" w:eastAsia="宋体" w:cs="Times New Roman"/>
          <w:b/>
          <w:bCs/>
          <w:color w:val="000000"/>
          <w:sz w:val="24"/>
          <w:szCs w:val="24"/>
          <w:lang w:val="en-US" w:eastAsia="zh-CN" w:bidi="ar"/>
        </w:rPr>
        <w:t>22</w:t>
      </w:r>
      <w:r>
        <w:rPr>
          <w:rFonts w:hint="eastAsia" w:ascii="宋体" w:hAnsi="宋体" w:eastAsia="宋体" w:cs="宋体"/>
          <w:b/>
          <w:bCs/>
          <w:color w:val="000000"/>
          <w:sz w:val="24"/>
          <w:szCs w:val="24"/>
          <w:lang w:val="en-US" w:eastAsia="zh-CN" w:bidi="ar"/>
        </w:rPr>
        <w:t>个（图中红色部分为重点网格），一般调查网格数为</w:t>
      </w:r>
      <w:r>
        <w:rPr>
          <w:rFonts w:hint="default" w:ascii="Times New Roman" w:hAnsi="Times New Roman" w:eastAsia="宋体" w:cs="Times New Roman"/>
          <w:b/>
          <w:bCs/>
          <w:color w:val="000000"/>
          <w:sz w:val="24"/>
          <w:szCs w:val="24"/>
          <w:lang w:val="en-US" w:eastAsia="zh-CN" w:bidi="ar"/>
        </w:rPr>
        <w:t>4</w:t>
      </w:r>
      <w:r>
        <w:rPr>
          <w:rFonts w:hint="eastAsia" w:ascii="宋体" w:hAnsi="宋体" w:eastAsia="宋体" w:cs="宋体"/>
          <w:b/>
          <w:bCs/>
          <w:color w:val="000000"/>
          <w:sz w:val="24"/>
          <w:szCs w:val="24"/>
          <w:lang w:val="en-US" w:eastAsia="zh-CN" w:bidi="ar"/>
        </w:rPr>
        <w:t>个。</w:t>
      </w:r>
    </w:p>
    <w:p w14:paraId="2639F887">
      <w:pPr>
        <w:keepNext w:val="0"/>
        <w:keepLines w:val="0"/>
        <w:pageBreakBefore w:val="0"/>
        <w:widowControl w:val="0"/>
        <w:suppressLineNumbers w:val="0"/>
        <w:spacing w:before="0" w:beforeAutospacing="0" w:after="0" w:afterAutospacing="0" w:line="360" w:lineRule="auto"/>
        <w:ind w:left="0" w:right="0" w:firstLine="480"/>
        <w:outlineLvl w:val="9"/>
        <w:rPr>
          <w:rFonts w:hint="default" w:cs="Times New Roman"/>
          <w:bCs/>
          <w:color w:val="000000"/>
          <w:highlight w:val="none"/>
          <w:lang w:val="en-US" w:eastAsia="zh-CN"/>
        </w:rPr>
      </w:pPr>
      <w:r>
        <w:rPr>
          <w:rFonts w:hint="eastAsia" w:cs="Times New Roman"/>
          <w:bCs/>
          <w:color w:val="000000"/>
          <w:highlight w:val="none"/>
          <w:lang w:val="en-US" w:eastAsia="zh-CN"/>
        </w:rPr>
        <w:t>本项目涉及到网格主要有60403390、60503390、60403380。</w:t>
      </w:r>
    </w:p>
    <w:p w14:paraId="4C97C435">
      <w:pPr>
        <w:keepNext w:val="0"/>
        <w:keepLines w:val="0"/>
        <w:pageBreakBefore w:val="0"/>
        <w:widowControl w:val="0"/>
        <w:suppressLineNumbers w:val="0"/>
        <w:spacing w:before="0" w:beforeAutospacing="0" w:after="0" w:afterAutospacing="0" w:line="360" w:lineRule="auto"/>
        <w:ind w:left="0" w:right="0" w:firstLine="480"/>
        <w:outlineLvl w:val="9"/>
        <w:rPr>
          <w:rFonts w:hint="eastAsia"/>
          <w:color w:val="000000"/>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内容，霍山县兽类优势种有东北刺猬、赤腹松鼠、小麂和野猪，它们的分布从海拔400m至1700m都有分布。啮齿目以及翼手目多分布在村落和农耕地附近，与人类活动高度关联。猪獾、亚洲狗獾等小型食肉目动物多分布在200～600m的区域，海拔相对低，小麂主要分布在600～1000m的中海拔地区，安徽麝主要分布在海拔1000m以上的高海拔地区。</w:t>
      </w:r>
    </w:p>
    <w:p w14:paraId="741808AD">
      <w:pPr>
        <w:keepNext w:val="0"/>
        <w:keepLines w:val="0"/>
        <w:pageBreakBefore w:val="0"/>
        <w:widowControl w:val="0"/>
        <w:suppressLineNumbers w:val="0"/>
        <w:spacing w:before="0" w:beforeAutospacing="0" w:after="0" w:afterAutospacing="0" w:line="360" w:lineRule="auto"/>
        <w:ind w:left="0" w:right="0" w:firstLine="0"/>
        <w:jc w:val="center"/>
        <w:outlineLvl w:val="9"/>
        <w:rPr>
          <w:rFonts w:hint="eastAsia" w:cs="Times New Roman"/>
          <w:bCs/>
          <w:color w:val="000000"/>
          <w:highlight w:val="none"/>
          <w:lang w:val="en-US" w:eastAsia="zh-CN"/>
        </w:rPr>
      </w:pPr>
      <w:r>
        <w:rPr>
          <w:rFonts w:hint="eastAsia" w:cs="Times New Roman"/>
          <w:bCs/>
          <w:color w:val="000000"/>
          <w:highlight w:val="none"/>
          <w:lang w:val="en-US" w:eastAsia="zh-CN"/>
        </w:rPr>
        <w:drawing>
          <wp:inline distT="0" distB="0" distL="0" distR="0">
            <wp:extent cx="4747895" cy="3982085"/>
            <wp:effectExtent l="0" t="0" r="0" b="0"/>
            <wp:docPr id="61" name="_x0000_i1039"/>
            <wp:cNvGraphicFramePr/>
            <a:graphic xmlns:a="http://schemas.openxmlformats.org/drawingml/2006/main">
              <a:graphicData uri="http://schemas.openxmlformats.org/drawingml/2006/picture">
                <pic:pic xmlns:pic="http://schemas.openxmlformats.org/drawingml/2006/picture">
                  <pic:nvPicPr>
                    <pic:cNvPr id="61" name="_x0000_i1039"/>
                    <pic:cNvPicPr/>
                  </pic:nvPicPr>
                  <pic:blipFill>
                    <a:blip r:embed="rId51"/>
                    <a:stretch>
                      <a:fillRect/>
                    </a:stretch>
                  </pic:blipFill>
                  <pic:spPr>
                    <a:xfrm>
                      <a:off x="0" y="0"/>
                      <a:ext cx="4747895" cy="3982085"/>
                    </a:xfrm>
                    <a:prstGeom prst="rect">
                      <a:avLst/>
                    </a:prstGeom>
                    <a:noFill/>
                    <a:ln>
                      <a:noFill/>
                    </a:ln>
                  </pic:spPr>
                </pic:pic>
              </a:graphicData>
            </a:graphic>
          </wp:inline>
        </w:drawing>
      </w:r>
    </w:p>
    <w:p w14:paraId="6E160E9B">
      <w:pPr>
        <w:keepNext w:val="0"/>
        <w:keepLines w:val="0"/>
        <w:pageBreakBefore w:val="0"/>
        <w:widowControl w:val="0"/>
        <w:suppressLineNumbers w:val="0"/>
        <w:spacing w:before="0" w:beforeAutospacing="0" w:after="0" w:afterAutospacing="0" w:line="360" w:lineRule="auto"/>
        <w:ind w:left="0" w:right="0" w:firstLine="482"/>
        <w:jc w:val="center"/>
        <w:outlineLvl w:val="9"/>
        <w:rPr>
          <w:rFonts w:hint="eastAsia" w:cs="Times New Roman"/>
          <w:b/>
          <w:bCs w:val="0"/>
          <w:color w:val="000000"/>
          <w:highlight w:val="none"/>
          <w:lang w:val="en-US" w:eastAsia="zh-CN"/>
        </w:rPr>
      </w:pPr>
      <w:r>
        <w:rPr>
          <w:rFonts w:hint="eastAsia" w:cs="Times New Roman"/>
          <w:b/>
          <w:bCs w:val="0"/>
          <w:color w:val="000000"/>
          <w:highlight w:val="none"/>
          <w:lang w:val="en-US" w:eastAsia="zh-CN"/>
        </w:rPr>
        <w:t>图4-4  霍山县网格划分图</w:t>
      </w:r>
    </w:p>
    <w:p w14:paraId="58AD2D50">
      <w:pPr>
        <w:keepNext w:val="0"/>
        <w:keepLines w:val="0"/>
        <w:pageBreakBefore w:val="0"/>
        <w:widowControl w:val="0"/>
        <w:suppressLineNumbers w:val="0"/>
        <w:spacing w:before="0" w:beforeAutospacing="0" w:after="0" w:afterAutospacing="0" w:line="360" w:lineRule="auto"/>
        <w:ind w:left="0" w:right="0" w:firstLine="480"/>
        <w:jc w:val="left"/>
        <w:outlineLvl w:val="9"/>
        <w:rPr>
          <w:rFonts w:hint="eastAsia" w:cs="Times New Roman"/>
          <w:bCs/>
          <w:color w:val="000000"/>
          <w:highlight w:val="none"/>
          <w:lang w:val="en-US" w:eastAsia="zh-CN"/>
        </w:rPr>
      </w:pPr>
      <w:r>
        <w:rPr>
          <w:rFonts w:hint="eastAsia" w:cs="Times New Roman"/>
          <w:bCs/>
          <w:color w:val="000000"/>
          <w:highlight w:val="none"/>
          <w:lang w:val="en-US" w:eastAsia="zh-CN"/>
        </w:rPr>
        <w:t>调查结果显示，大多数重点保护兽类活动海拔约在400～1300m之间，其中安徽麝在500-1200m的海拔区段活动，小麂、花面狸、猪獾、貉、黄鼬在400～1300m左右海拔区段均有活动；整体分布海拔跨度广，其中鼬獾海拔分布最窄，在海拔400～900m左右海拔区段活动。</w:t>
      </w:r>
    </w:p>
    <w:p w14:paraId="0DE01A90">
      <w:pPr>
        <w:keepNext w:val="0"/>
        <w:keepLines w:val="0"/>
        <w:pageBreakBefore w:val="0"/>
        <w:widowControl w:val="0"/>
        <w:suppressLineNumbers w:val="0"/>
        <w:spacing w:before="0" w:beforeAutospacing="0" w:after="0" w:afterAutospacing="0" w:line="360" w:lineRule="auto"/>
        <w:ind w:left="0" w:right="0" w:firstLine="480"/>
        <w:outlineLvl w:val="9"/>
        <w:rPr>
          <w:rFonts w:hint="eastAsia" w:cs="Times New Roman"/>
          <w:bCs/>
          <w:color w:val="000000"/>
          <w:highlight w:val="none"/>
          <w:lang w:val="en-US" w:eastAsia="zh-CN"/>
        </w:rPr>
      </w:pP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p>
    <w:p w14:paraId="61F43CC7">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default" w:ascii="Calibri" w:hAnsi="Calibri" w:eastAsia="宋体" w:cs="Calibri"/>
          <w:b/>
          <w:bCs/>
          <w:color w:val="000000"/>
          <w:sz w:val="24"/>
          <w:szCs w:val="24"/>
          <w:lang w:val="en-US" w:eastAsia="zh-CN" w:bidi="ar"/>
        </w:rPr>
        <w:t>①</w:t>
      </w:r>
      <w:r>
        <w:rPr>
          <w:rFonts w:hint="eastAsia" w:ascii="宋体" w:hAnsi="宋体" w:eastAsia="宋体" w:cs="宋体"/>
          <w:b/>
          <w:bCs/>
          <w:color w:val="000000"/>
          <w:sz w:val="24"/>
          <w:szCs w:val="24"/>
          <w:lang w:val="en-US" w:eastAsia="zh-CN" w:bidi="ar"/>
        </w:rPr>
        <w:t xml:space="preserve">小灵猫 </w:t>
      </w:r>
      <w:r>
        <w:rPr>
          <w:rFonts w:hint="default" w:ascii="Times New Roman" w:hAnsi="Times New Roman" w:eastAsia="宋体" w:cs="Times New Roman"/>
          <w:b/>
          <w:bCs/>
          <w:i/>
          <w:iCs/>
          <w:color w:val="000000"/>
          <w:sz w:val="24"/>
          <w:szCs w:val="24"/>
          <w:lang w:val="en-US" w:eastAsia="zh-CN" w:bidi="ar"/>
        </w:rPr>
        <w:t xml:space="preserve">Viverricula indica </w:t>
      </w:r>
    </w:p>
    <w:p w14:paraId="56E7616F">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sz w:val="24"/>
          <w:szCs w:val="24"/>
          <w:lang w:val="en-US" w:eastAsia="zh-CN" w:bidi="ar"/>
        </w:rPr>
        <w:t>分类地位：</w:t>
      </w:r>
      <w:r>
        <w:rPr>
          <w:rFonts w:hint="eastAsia" w:ascii="宋体" w:hAnsi="宋体" w:eastAsia="宋体" w:cs="宋体"/>
          <w:color w:val="000000"/>
          <w:sz w:val="24"/>
          <w:szCs w:val="24"/>
          <w:lang w:val="en-US" w:eastAsia="zh-CN" w:bidi="ar"/>
        </w:rPr>
        <w:t xml:space="preserve">食肉目 灵猫科 </w:t>
      </w:r>
    </w:p>
    <w:p w14:paraId="1F73ABF4">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sz w:val="24"/>
          <w:szCs w:val="24"/>
          <w:lang w:val="en-US" w:eastAsia="zh-CN" w:bidi="ar"/>
        </w:rPr>
        <w:t>保护级别：</w:t>
      </w:r>
      <w:r>
        <w:rPr>
          <w:rFonts w:hint="eastAsia" w:ascii="宋体" w:hAnsi="宋体" w:eastAsia="宋体" w:cs="宋体"/>
          <w:color w:val="000000"/>
          <w:sz w:val="24"/>
          <w:szCs w:val="24"/>
          <w:lang w:val="en-US" w:eastAsia="zh-CN" w:bidi="ar"/>
        </w:rPr>
        <w:t>国家一级重点保护野生动物</w:t>
      </w:r>
    </w:p>
    <w:p w14:paraId="6FC31AC5">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sz w:val="24"/>
          <w:szCs w:val="24"/>
          <w:lang w:val="en-US" w:eastAsia="zh-CN" w:bidi="ar"/>
        </w:rPr>
        <w:t>鉴别特征：</w:t>
      </w:r>
      <w:r>
        <w:rPr>
          <w:rFonts w:hint="eastAsia" w:ascii="宋体" w:hAnsi="宋体" w:eastAsia="宋体" w:cs="宋体"/>
          <w:color w:val="000000"/>
          <w:sz w:val="24"/>
          <w:szCs w:val="24"/>
          <w:lang w:val="en-US" w:eastAsia="zh-CN" w:bidi="ar"/>
        </w:rPr>
        <w:t>中等体型的灵猫科动物，头体长</w:t>
      </w:r>
      <w:r>
        <w:rPr>
          <w:rFonts w:hint="default" w:ascii="Times New Roman" w:hAnsi="Times New Roman" w:eastAsia="宋体" w:cs="Times New Roman"/>
          <w:color w:val="000000"/>
          <w:sz w:val="24"/>
          <w:szCs w:val="24"/>
          <w:lang w:val="en-US" w:eastAsia="zh-CN" w:bidi="ar"/>
        </w:rPr>
        <w:t>45-68c</w:t>
      </w:r>
      <w:r>
        <w:rPr>
          <w:rFonts w:hint="eastAsia" w:cs="Times New Roman"/>
          <w:color w:val="000000"/>
          <w:sz w:val="24"/>
          <w:szCs w:val="24"/>
          <w:lang w:val="en-US" w:eastAsia="zh-CN" w:bidi="ar"/>
        </w:rPr>
        <w:t>m</w:t>
      </w:r>
      <w:r>
        <w:rPr>
          <w:rFonts w:hint="eastAsia" w:ascii="宋体" w:hAnsi="宋体" w:eastAsia="宋体" w:cs="宋体"/>
          <w:color w:val="000000"/>
          <w:sz w:val="24"/>
          <w:szCs w:val="24"/>
          <w:lang w:val="en-US" w:eastAsia="zh-CN" w:bidi="ar"/>
        </w:rPr>
        <w:t>，尾长</w:t>
      </w:r>
      <w:r>
        <w:rPr>
          <w:rFonts w:hint="default" w:ascii="Times New Roman" w:hAnsi="Times New Roman" w:eastAsia="宋体" w:cs="Times New Roman"/>
          <w:color w:val="000000"/>
          <w:sz w:val="24"/>
          <w:szCs w:val="24"/>
          <w:lang w:val="en-US" w:eastAsia="zh-CN" w:bidi="ar"/>
        </w:rPr>
        <w:t>30-43c</w:t>
      </w:r>
      <w:r>
        <w:rPr>
          <w:rFonts w:hint="eastAsia" w:cs="Times New Roman"/>
          <w:color w:val="000000"/>
          <w:sz w:val="24"/>
          <w:szCs w:val="24"/>
          <w:lang w:val="en-US" w:eastAsia="zh-CN" w:bidi="ar"/>
        </w:rPr>
        <w:t>m</w:t>
      </w:r>
      <w:r>
        <w:rPr>
          <w:rFonts w:hint="eastAsia" w:ascii="宋体" w:hAnsi="宋体" w:eastAsia="宋体" w:cs="宋体"/>
          <w:color w:val="000000"/>
          <w:sz w:val="24"/>
          <w:szCs w:val="24"/>
          <w:lang w:val="en-US" w:eastAsia="zh-CN" w:bidi="ar"/>
        </w:rPr>
        <w:t>，体重</w:t>
      </w:r>
      <w:r>
        <w:rPr>
          <w:rFonts w:hint="default" w:ascii="Times New Roman" w:hAnsi="Times New Roman" w:eastAsia="宋体" w:cs="Times New Roman"/>
          <w:color w:val="000000"/>
          <w:sz w:val="24"/>
          <w:szCs w:val="24"/>
          <w:lang w:val="en-US" w:eastAsia="zh-CN" w:bidi="ar"/>
        </w:rPr>
        <w:t>2-4kg</w:t>
      </w:r>
      <w:r>
        <w:rPr>
          <w:rFonts w:hint="eastAsia" w:ascii="宋体" w:hAnsi="宋体" w:eastAsia="宋体" w:cs="宋体"/>
          <w:color w:val="000000"/>
          <w:sz w:val="24"/>
          <w:szCs w:val="24"/>
          <w:lang w:val="en-US" w:eastAsia="zh-CN" w:bidi="ar"/>
        </w:rPr>
        <w:t>。体型纤细，四肢较短且后肢略长于前肢，吻部尖而突出，体表具斑点，尾巴粗长且具明显的黑色环纹。身体毛色灰色至灰棕色，四足色深近黑。体表密布呈纵向排列的深色斑点；在背部中央及两侧，这些斑点相互连接形成</w:t>
      </w:r>
      <w:r>
        <w:rPr>
          <w:rFonts w:hint="default" w:ascii="Times New Roman" w:hAnsi="Times New Roman" w:eastAsia="宋体" w:cs="Times New Roman"/>
          <w:color w:val="000000"/>
          <w:sz w:val="24"/>
          <w:szCs w:val="24"/>
          <w:lang w:val="en-US" w:eastAsia="zh-CN" w:bidi="ar"/>
        </w:rPr>
        <w:t>5-7</w:t>
      </w:r>
      <w:r>
        <w:rPr>
          <w:rFonts w:hint="eastAsia" w:ascii="宋体" w:hAnsi="宋体" w:eastAsia="宋体" w:cs="宋体"/>
          <w:color w:val="000000"/>
          <w:sz w:val="24"/>
          <w:szCs w:val="24"/>
          <w:lang w:val="en-US" w:eastAsia="zh-CN" w:bidi="ar"/>
        </w:rPr>
        <w:t>条纵纹，从肩部延伸至臀部。尾巴具黑棕相间的环纹，尾尖毛色白。尾长大于头体长之半。</w:t>
      </w:r>
    </w:p>
    <w:p w14:paraId="46AA393A">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sz w:val="24"/>
          <w:szCs w:val="24"/>
          <w:lang w:val="en-US" w:eastAsia="zh-CN" w:bidi="ar"/>
        </w:rPr>
        <w:t>生态习性：</w:t>
      </w:r>
      <w:r>
        <w:rPr>
          <w:rFonts w:hint="eastAsia" w:ascii="宋体" w:hAnsi="宋体" w:eastAsia="宋体" w:cs="宋体"/>
          <w:color w:val="000000"/>
          <w:sz w:val="24"/>
          <w:szCs w:val="24"/>
          <w:lang w:val="en-US" w:eastAsia="zh-CN" w:bidi="ar"/>
        </w:rPr>
        <w:t>该物种是杂食动物，喜食小型兽类、昆虫、蚯蚓、鸟类、鸟蛋、爬行类、甲壳动物、蜘蛛、蜗牛等，偶会取食植物果实与嫩芽。小灵猫为独居动物以夜间及晨昏活动为主。阴腺可分泌油性分泌物，被涂抹或喷射在各种物体上用于标记个体领地。</w:t>
      </w:r>
    </w:p>
    <w:p w14:paraId="53F82EFD">
      <w:pPr>
        <w:keepNext w:val="0"/>
        <w:keepLines w:val="0"/>
        <w:widowControl/>
        <w:suppressLineNumbers w:val="0"/>
        <w:spacing w:before="0" w:beforeAutospacing="0" w:after="0" w:afterAutospacing="0" w:line="360" w:lineRule="auto"/>
        <w:ind w:left="0" w:right="0"/>
        <w:jc w:val="left"/>
        <w:outlineLvl w:val="9"/>
        <w:rPr>
          <w:rFonts w:hint="eastAsia" w:ascii="宋体" w:hAnsi="宋体" w:eastAsia="宋体" w:cs="宋体"/>
          <w:color w:val="000000"/>
          <w:sz w:val="24"/>
          <w:szCs w:val="24"/>
          <w:lang w:val="en-US" w:eastAsia="zh-CN" w:bidi="ar"/>
        </w:rPr>
      </w:pPr>
      <w:r>
        <w:rPr>
          <w:rFonts w:hint="eastAsia" w:ascii="宋体" w:hAnsi="宋体" w:eastAsia="宋体" w:cs="宋体"/>
          <w:b/>
          <w:bCs/>
          <w:color w:val="000000"/>
          <w:sz w:val="24"/>
          <w:szCs w:val="24"/>
          <w:lang w:val="en-US" w:eastAsia="zh-CN" w:bidi="ar"/>
        </w:rPr>
        <w:t>分布情况：</w:t>
      </w:r>
      <w:r>
        <w:rPr>
          <w:rFonts w:hint="eastAsia" w:ascii="宋体" w:hAnsi="宋体" w:eastAsia="宋体" w:cs="宋体"/>
          <w:color w:val="000000"/>
          <w:sz w:val="24"/>
          <w:szCs w:val="24"/>
          <w:lang w:val="en-US" w:eastAsia="zh-CN" w:bidi="ar"/>
        </w:rPr>
        <w:t>在大别山低海拔地区有分布，近些年仅在霍山县救助过</w:t>
      </w:r>
      <w:r>
        <w:rPr>
          <w:rFonts w:hint="default" w:ascii="Times New Roman" w:hAnsi="Times New Roman" w:eastAsia="宋体" w:cs="Times New Roman"/>
          <w:color w:val="000000"/>
          <w:sz w:val="24"/>
          <w:szCs w:val="24"/>
          <w:lang w:val="en-US" w:eastAsia="zh-CN" w:bidi="ar"/>
        </w:rPr>
        <w:t>1</w:t>
      </w:r>
      <w:r>
        <w:rPr>
          <w:rFonts w:hint="eastAsia" w:ascii="宋体" w:hAnsi="宋体" w:eastAsia="宋体" w:cs="宋体"/>
          <w:color w:val="000000"/>
          <w:sz w:val="24"/>
          <w:szCs w:val="24"/>
          <w:lang w:val="en-US" w:eastAsia="zh-CN" w:bidi="ar"/>
        </w:rPr>
        <w:t>只。野外数量极其稀少，野外罕见。</w:t>
      </w:r>
    </w:p>
    <w:p w14:paraId="188346BF">
      <w:pPr>
        <w:keepNext w:val="0"/>
        <w:keepLines w:val="0"/>
        <w:pageBreakBefore w:val="0"/>
        <w:widowControl w:val="0"/>
        <w:suppressLineNumbers w:val="0"/>
        <w:spacing w:before="0" w:beforeAutospacing="0" w:after="0" w:afterAutospacing="0" w:line="360" w:lineRule="auto"/>
        <w:ind w:left="0" w:right="0" w:firstLine="0"/>
        <w:jc w:val="center"/>
        <w:outlineLvl w:val="9"/>
        <w:rPr>
          <w:rFonts w:hint="eastAsia" w:cs="Times New Roman"/>
          <w:bCs/>
          <w:color w:val="000000"/>
          <w:highlight w:val="none"/>
          <w:lang w:val="en-US" w:eastAsia="zh-CN"/>
        </w:rPr>
      </w:pPr>
      <w:r>
        <w:rPr>
          <w:rFonts w:hint="eastAsia" w:cs="Times New Roman"/>
          <w:bCs/>
          <w:color w:val="000000"/>
          <w:highlight w:val="none"/>
          <w:lang w:val="en-US" w:eastAsia="zh-CN"/>
        </w:rPr>
        <w:drawing>
          <wp:inline distT="0" distB="0" distL="0" distR="0">
            <wp:extent cx="4960620" cy="3582670"/>
            <wp:effectExtent l="0" t="0" r="0" b="0"/>
            <wp:docPr id="62" name="_x0000_i1040"/>
            <wp:cNvGraphicFramePr/>
            <a:graphic xmlns:a="http://schemas.openxmlformats.org/drawingml/2006/main">
              <a:graphicData uri="http://schemas.openxmlformats.org/drawingml/2006/picture">
                <pic:pic xmlns:pic="http://schemas.openxmlformats.org/drawingml/2006/picture">
                  <pic:nvPicPr>
                    <pic:cNvPr id="62" name="_x0000_i1040"/>
                    <pic:cNvPicPr/>
                  </pic:nvPicPr>
                  <pic:blipFill>
                    <a:blip r:embed="rId52"/>
                    <a:stretch>
                      <a:fillRect/>
                    </a:stretch>
                  </pic:blipFill>
                  <pic:spPr>
                    <a:xfrm>
                      <a:off x="0" y="0"/>
                      <a:ext cx="4960620" cy="3582670"/>
                    </a:xfrm>
                    <a:prstGeom prst="rect">
                      <a:avLst/>
                    </a:prstGeom>
                    <a:noFill/>
                    <a:ln>
                      <a:noFill/>
                    </a:ln>
                  </pic:spPr>
                </pic:pic>
              </a:graphicData>
            </a:graphic>
          </wp:inline>
        </w:drawing>
      </w:r>
    </w:p>
    <w:p w14:paraId="573B0BB7">
      <w:pPr>
        <w:keepNext w:val="0"/>
        <w:keepLines w:val="0"/>
        <w:pageBreakBefore w:val="0"/>
        <w:widowControl w:val="0"/>
        <w:suppressLineNumbers w:val="0"/>
        <w:spacing w:before="0" w:beforeAutospacing="0" w:after="0" w:afterAutospacing="0" w:line="360" w:lineRule="auto"/>
        <w:ind w:left="0" w:right="0" w:firstLine="0"/>
        <w:jc w:val="center"/>
        <w:outlineLvl w:val="9"/>
        <w:rPr>
          <w:rFonts w:hint="eastAsia" w:cs="Times New Roman"/>
          <w:b/>
          <w:bCs w:val="0"/>
          <w:color w:val="000000"/>
          <w:highlight w:val="none"/>
          <w:lang w:val="en-US" w:eastAsia="zh-CN"/>
        </w:rPr>
      </w:pPr>
      <w:r>
        <w:rPr>
          <w:rFonts w:hint="eastAsia" w:cs="Times New Roman"/>
          <w:b/>
          <w:bCs w:val="0"/>
          <w:color w:val="000000"/>
          <w:highlight w:val="none"/>
          <w:lang w:val="en-US" w:eastAsia="zh-CN"/>
        </w:rPr>
        <w:t>图4-5  霍山县国家和安徽省重点保护哺乳动物分布图</w:t>
      </w:r>
    </w:p>
    <w:p w14:paraId="44C8E7E3">
      <w:pPr>
        <w:keepNext w:val="0"/>
        <w:keepLines w:val="0"/>
        <w:pageBreakBefore w:val="0"/>
        <w:widowControl w:val="0"/>
        <w:suppressLineNumbers w:val="0"/>
        <w:spacing w:before="0" w:beforeAutospacing="0" w:after="0" w:afterAutospacing="0" w:line="360" w:lineRule="auto"/>
        <w:ind w:left="0" w:right="0" w:firstLine="480"/>
        <w:outlineLvl w:val="9"/>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》技术报告中表5.3-2霍山县国家和安徽省重点保护哺乳动物分布位点信息表中内容可知，小灵猫发现点位于西门畈村。位于柳林河东侧位置。</w:t>
      </w:r>
    </w:p>
    <w:p w14:paraId="2990E352">
      <w:pPr>
        <w:keepNext w:val="0"/>
        <w:keepLines w:val="0"/>
        <w:pageBreakBefore w:val="0"/>
        <w:widowControl w:val="0"/>
        <w:suppressLineNumbers w:val="0"/>
        <w:spacing w:before="0" w:beforeAutospacing="0" w:after="0" w:afterAutospacing="0" w:line="360" w:lineRule="auto"/>
        <w:ind w:left="0" w:right="0" w:firstLine="0"/>
        <w:jc w:val="center"/>
        <w:outlineLvl w:val="9"/>
        <w:rPr>
          <w:rFonts w:hint="default" w:ascii="Times New Roman" w:hAnsi="Times New Roman" w:eastAsia="宋体" w:cs="Times New Roman"/>
          <w:bCs/>
          <w:color w:val="000000"/>
          <w:highlight w:val="none"/>
          <w:lang w:val="en-US" w:eastAsia="zh-CN"/>
        </w:rPr>
      </w:pPr>
      <w:r>
        <w:rPr>
          <w:rFonts w:hint="default" w:cs="Times New Roman"/>
          <w:bCs/>
          <w:color w:val="000000"/>
          <w:highlight w:val="none"/>
          <w:lang w:val="en-US" w:eastAsia="zh-CN"/>
        </w:rPr>
        <w:drawing>
          <wp:inline distT="0" distB="0" distL="0" distR="0">
            <wp:extent cx="4953635" cy="1619885"/>
            <wp:effectExtent l="0" t="0" r="0" b="0"/>
            <wp:docPr id="63" name="_x0000_i1041"/>
            <wp:cNvGraphicFramePr/>
            <a:graphic xmlns:a="http://schemas.openxmlformats.org/drawingml/2006/main">
              <a:graphicData uri="http://schemas.openxmlformats.org/drawingml/2006/picture">
                <pic:pic xmlns:pic="http://schemas.openxmlformats.org/drawingml/2006/picture">
                  <pic:nvPicPr>
                    <pic:cNvPr id="63" name="_x0000_i1041"/>
                    <pic:cNvPicPr/>
                  </pic:nvPicPr>
                  <pic:blipFill>
                    <a:blip r:embed="rId53"/>
                    <a:stretch>
                      <a:fillRect/>
                    </a:stretch>
                  </pic:blipFill>
                  <pic:spPr>
                    <a:xfrm>
                      <a:off x="0" y="0"/>
                      <a:ext cx="4953635" cy="1619885"/>
                    </a:xfrm>
                    <a:prstGeom prst="rect">
                      <a:avLst/>
                    </a:prstGeom>
                    <a:noFill/>
                    <a:ln>
                      <a:noFill/>
                      <a:round/>
                    </a:ln>
                  </pic:spPr>
                </pic:pic>
              </a:graphicData>
            </a:graphic>
          </wp:inline>
        </w:drawing>
      </w:r>
    </w:p>
    <w:p w14:paraId="1C5D4DC3">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3</w:t>
      </w: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水生生态环境现状</w:t>
      </w:r>
    </w:p>
    <w:p w14:paraId="211B3751">
      <w:pPr>
        <w:keepNext w:val="0"/>
        <w:keepLines w:val="0"/>
        <w:pageBreakBefore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本项目位于六安市霍山县衡山镇，属淮河流域，其境内主要水系为淠河水系。</w:t>
      </w:r>
    </w:p>
    <w:p w14:paraId="68328FBB">
      <w:pPr>
        <w:keepNext w:val="0"/>
        <w:keepLines w:val="0"/>
        <w:pageBreakBefore w:val="0"/>
        <w:suppressLineNumbers w:val="0"/>
        <w:spacing w:before="0" w:beforeAutospacing="0" w:after="0" w:afterAutospacing="0" w:line="360" w:lineRule="auto"/>
        <w:ind w:left="0" w:right="0" w:firstLine="480"/>
        <w:outlineLvl w:val="9"/>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淠河有东、西两条源流。东源又称东淠河，发源于鄂、皖交界的桂龙尖，全长103k</w:t>
      </w:r>
      <w:r>
        <w:rPr>
          <w:rFonts w:hint="eastAsia" w:cs="Times New Roman"/>
          <w:color w:val="000000"/>
          <w:lang w:val="en-US" w:eastAsia="zh-CN"/>
        </w:rPr>
        <w:t>m</w:t>
      </w:r>
      <w:r>
        <w:rPr>
          <w:rFonts w:hint="default" w:ascii="Times New Roman" w:hAnsi="Times New Roman" w:eastAsia="宋体" w:cs="Times New Roman"/>
          <w:color w:val="000000"/>
          <w:lang w:val="en-US" w:eastAsia="zh-CN"/>
        </w:rPr>
        <w:t>，流域面积2697k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。西源又称西淠河，发源于鄂、皖交界的三省垴。长68k</w:t>
      </w:r>
      <w:r>
        <w:rPr>
          <w:rFonts w:hint="eastAsia" w:cs="Times New Roman"/>
          <w:color w:val="000000"/>
          <w:lang w:val="en-US" w:eastAsia="zh-CN"/>
        </w:rPr>
        <w:t>m</w:t>
      </w:r>
      <w:r>
        <w:rPr>
          <w:rFonts w:hint="default" w:ascii="Times New Roman" w:hAnsi="Times New Roman" w:eastAsia="宋体" w:cs="Times New Roman"/>
          <w:color w:val="000000"/>
          <w:lang w:val="en-US" w:eastAsia="zh-CN"/>
        </w:rPr>
        <w:t>，流域面积1585k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。东、西淠河于两河口处汇合后始称淠河，北流经横排头、苏家埠、六安、马头集、迎河镇，在正阳关入淮河。两河口至横排头河道长9k</w:t>
      </w:r>
      <w:r>
        <w:rPr>
          <w:rFonts w:hint="eastAsia" w:cs="Times New Roman"/>
          <w:color w:val="000000"/>
          <w:lang w:val="en-US" w:eastAsia="zh-CN"/>
        </w:rPr>
        <w:t>m</w:t>
      </w:r>
      <w:r>
        <w:rPr>
          <w:rFonts w:hint="default" w:ascii="Times New Roman" w:hAnsi="Times New Roman" w:eastAsia="宋体" w:cs="Times New Roman"/>
          <w:color w:val="000000"/>
          <w:lang w:val="en-US" w:eastAsia="zh-CN"/>
        </w:rPr>
        <w:t>，横排头以上流域面积4370k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，六安以上流域面积4920k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淠河流域在两河口以上呈扇形。支流发达，河流汇流集中；两河口以下呈带状，无较大支流汇入，汇流分散。淠河流城面积中山区占72%，丘陵区占17%，沿河平源洼地占11%。流域地形呈南高北低和东西高中间低的狭长带状。按地形及汇水条件，大致将佛子岭、响洪甸水库以上划定为上游，两库坝下至横排头为中游，横排头至河口为下游。上游流域面积3240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，为山区；中游区间面积1130k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，为山丘区；下游区间面积1630k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，为丘陵和平原洼地。上游河道及中游支流河道坡降一般较大，河床下切，存在不同程度的水土流失现象。中下游干流河道比降相对平缓，平均坡降为0.18～0.3%，主河槽宽度100~300</w:t>
      </w:r>
      <w:r>
        <w:rPr>
          <w:rFonts w:hint="eastAsia" w:cs="Times New Roman"/>
          <w:color w:val="000000"/>
          <w:lang w:val="en-US" w:eastAsia="zh-CN"/>
        </w:rPr>
        <w:t>m</w:t>
      </w:r>
      <w:r>
        <w:rPr>
          <w:rFonts w:hint="default" w:ascii="Times New Roman" w:hAnsi="Times New Roman" w:eastAsia="宋体" w:cs="Times New Roman"/>
          <w:color w:val="000000"/>
          <w:lang w:val="en-US" w:eastAsia="zh-CN"/>
        </w:rPr>
        <w:t>，河面相对较宽，河床皆为沙质，受两岸阶地的钳制，河流基本顺直。</w:t>
      </w:r>
    </w:p>
    <w:p w14:paraId="09C2A537">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1、东淠河</w:t>
      </w:r>
    </w:p>
    <w:p w14:paraId="02ECFA58">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东淠河上游建有佛子岭、磨子潭、白莲崖三大水库，其泄流从直接佛子岭水库进入东淠河。霍山城区位于东淠河佛子岭水库坝下7k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，下至两河口16k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。位置大致是东淠河下段或淠河中游上段，控制流域面积2150k</w:t>
      </w:r>
      <w:r>
        <w:rPr>
          <w:rFonts w:hint="default" w:ascii="Times New Roman" w:hAnsi="Times New Roman" w:cs="Times New Roman"/>
          <w:b w:val="0"/>
          <w:bCs/>
          <w:color w:val="000000"/>
          <w:sz w:val="24"/>
          <w:szCs w:val="24"/>
          <w:lang w:val="en-US" w:eastAsia="zh-CN"/>
        </w:rPr>
        <w:t>m</w:t>
      </w:r>
      <w:r>
        <w:rPr>
          <w:rFonts w:hint="default" w:ascii="Times New Roman" w:hAnsi="Times New Roman" w:eastAsia="宋体" w:cs="Times New Roman"/>
          <w:b w:val="0"/>
          <w:bCs/>
          <w:color w:val="000000"/>
          <w:sz w:val="24"/>
          <w:szCs w:val="24"/>
          <w:vertAlign w:val="superscript"/>
          <w:lang w:val="en-US" w:eastAsia="zh-CN"/>
        </w:rPr>
        <w:t>2</w:t>
      </w:r>
      <w:r>
        <w:rPr>
          <w:rFonts w:hint="default" w:ascii="Times New Roman" w:hAnsi="Times New Roman" w:eastAsia="宋体" w:cs="Times New Roman"/>
          <w:b w:val="0"/>
          <w:color w:val="000000"/>
          <w:sz w:val="24"/>
          <w:szCs w:val="24"/>
          <w:lang w:val="en-US" w:eastAsia="zh-CN" w:bidi="ar-SA"/>
        </w:rPr>
        <w:t>。佛子岭水库坝下，东淠河城区段主要支流有孔家河、深水河、戴家河、柳林河、幽芳河、高庙河、熊家河等先后汇入东淠河干流，东淠河城关圩堤防长度10.4k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w:t>
      </w:r>
    </w:p>
    <w:p w14:paraId="4F29E711">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2、柳林河</w:t>
      </w:r>
    </w:p>
    <w:p w14:paraId="1054FD70">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柳林河为东淠河支流，主流发源于桃花寨，总流向先向西北，后折转向东北，流经通水灌（黄泥）、谢家畈、俞家山根、西门畈（俞家畈），在潜台寺西汇入东淠河干流。河道全长约15.92k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，流域面积35.78km</w:t>
      </w:r>
      <w:r>
        <w:rPr>
          <w:rFonts w:hint="default" w:ascii="Times New Roman" w:hAnsi="Times New Roman" w:eastAsia="宋体" w:cs="Times New Roman"/>
          <w:b w:val="0"/>
          <w:color w:val="000000"/>
          <w:sz w:val="24"/>
          <w:szCs w:val="24"/>
          <w:vertAlign w:val="superscript"/>
          <w:lang w:val="en-US" w:eastAsia="zh-CN" w:bidi="ar-SA"/>
        </w:rPr>
        <w:t>2</w:t>
      </w:r>
      <w:r>
        <w:rPr>
          <w:rFonts w:hint="default" w:ascii="Times New Roman" w:hAnsi="Times New Roman" w:eastAsia="宋体" w:cs="Times New Roman"/>
          <w:b w:val="0"/>
          <w:color w:val="000000"/>
          <w:sz w:val="24"/>
          <w:szCs w:val="24"/>
          <w:lang w:val="en-US" w:eastAsia="zh-CN" w:bidi="ar-SA"/>
        </w:rPr>
        <w:t>，河道平均坡降8.1‰。</w:t>
      </w:r>
    </w:p>
    <w:p w14:paraId="4BD0AC48">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3、高庙河</w:t>
      </w:r>
    </w:p>
    <w:p w14:paraId="5DDFAF5F">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高庙河源于霍山县白沙岭，向北流经牛角冲、桥头堰、县渔场，在北镇庙汇入东淠河干流，河道全长约为28.51k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，流域面积27.14k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vertAlign w:val="superscript"/>
          <w:lang w:val="en-US" w:eastAsia="zh-CN" w:bidi="ar-SA"/>
        </w:rPr>
        <w:t>2</w:t>
      </w:r>
      <w:r>
        <w:rPr>
          <w:rFonts w:hint="default" w:ascii="Times New Roman" w:hAnsi="Times New Roman" w:eastAsia="宋体" w:cs="Times New Roman"/>
          <w:b w:val="0"/>
          <w:color w:val="000000"/>
          <w:sz w:val="24"/>
          <w:szCs w:val="24"/>
          <w:lang w:val="en-US" w:eastAsia="zh-CN" w:bidi="ar-SA"/>
        </w:rPr>
        <w:t>，河道平均坡降8.3‰。</w:t>
      </w:r>
    </w:p>
    <w:p w14:paraId="568DEF70">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4、幽芳河</w:t>
      </w:r>
    </w:p>
    <w:p w14:paraId="68FC0C73">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幽芳河发源于白石岗，经东石门，在县城东门外石担桥下汇入护城河，河道全长约10.5k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，流域面积28.25k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vertAlign w:val="superscript"/>
          <w:lang w:val="en-US" w:eastAsia="zh-CN" w:bidi="ar-SA"/>
        </w:rPr>
        <w:t>2</w:t>
      </w:r>
      <w:r>
        <w:rPr>
          <w:rFonts w:hint="default" w:ascii="Times New Roman" w:hAnsi="Times New Roman" w:eastAsia="宋体" w:cs="Times New Roman"/>
          <w:b w:val="0"/>
          <w:color w:val="000000"/>
          <w:sz w:val="24"/>
          <w:szCs w:val="24"/>
          <w:lang w:val="en-US" w:eastAsia="zh-CN" w:bidi="ar-SA"/>
        </w:rPr>
        <w:t>，平均比降10.2‰。</w:t>
      </w:r>
    </w:p>
    <w:p w14:paraId="35D05891">
      <w:pPr>
        <w:pStyle w:val="2"/>
        <w:rPr>
          <w:rFonts w:hint="default"/>
          <w:color w:val="000000"/>
          <w:lang w:val="en-US" w:eastAsia="zh-CN"/>
        </w:rPr>
      </w:pPr>
    </w:p>
    <w:p w14:paraId="1BD5C412">
      <w:pPr>
        <w:pageBreakBefore w:val="0"/>
        <w:widowControl w:val="0"/>
        <w:suppressLineNumbers w:val="0"/>
        <w:spacing w:before="0" w:after="0"/>
        <w:ind w:left="0" w:right="0"/>
        <w:outlineLvl w:val="9"/>
        <w:rPr>
          <w:rFonts w:hint="default" w:ascii="Times New Roman" w:hAnsi="Times New Roman" w:eastAsia="宋体" w:cs="Times New Roman"/>
          <w:b w:val="0"/>
          <w:color w:val="000000"/>
          <w:sz w:val="24"/>
          <w:szCs w:val="24"/>
          <w:lang w:val="en-US" w:eastAsia="zh-CN" w:bidi="ar-SA"/>
        </w:rPr>
      </w:pPr>
      <w:r>
        <w:rPr>
          <w:rFonts w:hint="default" w:ascii="Times New Roman" w:hAnsi="Times New Roman" w:eastAsia="宋体" w:cs="Times New Roman"/>
          <w:b w:val="0"/>
          <w:color w:val="000000"/>
          <w:sz w:val="24"/>
          <w:szCs w:val="24"/>
          <w:lang w:val="en-US" w:eastAsia="zh-CN" w:bidi="ar-SA"/>
        </w:rPr>
        <w:t>5、新店河</w:t>
      </w:r>
    </w:p>
    <w:p w14:paraId="0D510FCD">
      <w:pPr>
        <w:pageBreakBefore w:val="0"/>
        <w:widowControl w:val="0"/>
        <w:suppressLineNumbers w:val="0"/>
        <w:spacing w:before="0" w:after="0"/>
        <w:ind w:left="0" w:right="0"/>
        <w:outlineLvl w:val="9"/>
        <w:rPr>
          <w:rFonts w:hint="default" w:ascii="Times New Roman" w:hAnsi="Times New Roman" w:eastAsia="宋体" w:cs="Times New Roman"/>
          <w:color w:val="000000"/>
          <w:lang w:val="en-US" w:eastAsia="zh-CN"/>
        </w:rPr>
      </w:pPr>
      <w:r>
        <w:rPr>
          <w:rFonts w:hint="default" w:ascii="Times New Roman" w:hAnsi="Times New Roman" w:eastAsia="宋体" w:cs="Times New Roman"/>
          <w:b w:val="0"/>
          <w:color w:val="000000"/>
          <w:sz w:val="24"/>
          <w:szCs w:val="24"/>
          <w:lang w:val="en-US" w:eastAsia="zh-CN" w:bidi="ar-SA"/>
        </w:rPr>
        <w:t>新店河治理段干流总长7.0k</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，起点为印墩村，终点汇入戴家河。干流河底高程116.82~70.00</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，纵坡纵坡6.6‰，河口宽11~30</w:t>
      </w:r>
      <w:r>
        <w:rPr>
          <w:rFonts w:hint="eastAsia" w:ascii="Times New Roman" w:hAnsi="Times New Roman" w:cs="Times New Roman"/>
          <w:b w:val="0"/>
          <w:color w:val="000000"/>
          <w:sz w:val="24"/>
          <w:szCs w:val="24"/>
          <w:lang w:val="en-US" w:eastAsia="zh-CN" w:bidi="ar-SA"/>
        </w:rPr>
        <w:t>m</w:t>
      </w:r>
      <w:r>
        <w:rPr>
          <w:rFonts w:hint="default" w:ascii="Times New Roman" w:hAnsi="Times New Roman" w:eastAsia="宋体" w:cs="Times New Roman"/>
          <w:b w:val="0"/>
          <w:color w:val="000000"/>
          <w:sz w:val="24"/>
          <w:szCs w:val="24"/>
          <w:lang w:val="en-US" w:eastAsia="zh-CN" w:bidi="ar-SA"/>
        </w:rPr>
        <w:t>。</w:t>
      </w:r>
    </w:p>
    <w:p w14:paraId="50EBFC3D">
      <w:pPr>
        <w:keepNext w:val="0"/>
        <w:keepLines w:val="0"/>
        <w:pageBreakBefore w:val="0"/>
        <w:widowControl w:val="0"/>
        <w:suppressLineNumbers w:val="0"/>
        <w:spacing w:before="0" w:beforeAutospacing="0" w:after="0" w:afterAutospacing="0" w:line="360" w:lineRule="auto"/>
        <w:ind w:left="0" w:right="0" w:firstLine="480"/>
        <w:outlineLvl w:val="9"/>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》技术报告中内容：水生生物调查范围主要为霍山县域内的东淠河、佛子岭水库、磨子潭水库和白莲崖水库及周边水域，其中白莲崖水库属漫水河蒙古红鲌国家级水产种质资源保护区范围。</w:t>
      </w:r>
    </w:p>
    <w:p w14:paraId="4C75B8EB">
      <w:pPr>
        <w:keepNext w:val="0"/>
        <w:keepLines w:val="0"/>
        <w:pageBreakBefore w:val="0"/>
        <w:widowControl w:val="0"/>
        <w:suppressLineNumbers w:val="0"/>
        <w:spacing w:before="0" w:beforeAutospacing="0" w:after="0" w:afterAutospacing="0" w:line="360" w:lineRule="auto"/>
        <w:ind w:left="0" w:right="0" w:firstLine="480"/>
        <w:outlineLvl w:val="9"/>
        <w:rPr>
          <w:rFonts w:hint="eastAsia" w:cs="Times New Roman"/>
          <w:bCs/>
          <w:color w:val="000000"/>
          <w:highlight w:val="none"/>
          <w:lang w:val="en-US" w:eastAsia="zh-CN"/>
        </w:rPr>
      </w:pPr>
      <w:r>
        <w:rPr>
          <w:rFonts w:hint="eastAsia" w:cs="Times New Roman"/>
          <w:bCs/>
          <w:color w:val="000000"/>
          <w:highlight w:val="none"/>
          <w:lang w:val="en-US" w:eastAsia="zh-CN"/>
        </w:rPr>
        <w:t>调查中共发现鱼类物种6目15科39属42种。其中，鲤形目29种，所占比例最多，为69.05%；鲈形目6种，占总物种数的14.29%；鲇形目4种，占总物种数的9.52%；鳉形目、合鳃鱼目等均为1种，占比均为2.38%。鲤形目中，鲤科物种数最多，有19属22种，多数为长江流域常见鱼类，如鲤（Cyprinus carpio）、鲫（Carassius auratus）、鲢（Hypophthalmichthys molitrix）、鳙（Aristichthys nobilis）、鳊等（Parabramis pekinensis）；鳅科和鮈亚科均为3属3种，包括泥鳅（misgurnus anguillicaudatus）、紫薄鳅（Leptobotia taeniaps）、中华花鳅（Cobitis sinensis）、片唇鮈（Platysmacheilus exiguus）、蛇鮈（Saurogobio dabryi）和银鮈（Squalidus argentatus）。鲈形目中，有鮨科1属2种，为大眼鳜（Siniperca kneri Garman）和斑鳜（Siniperca scherzeri）；刺鳅科、虾虎鱼科、沙塘鳢科、鳢科各1种。鲇形目中，有鲿科2属2种，为黄颡鱼（Tachysurus fulvidraco）和圆尾拟鲿。</w:t>
      </w:r>
    </w:p>
    <w:p w14:paraId="2FC3C0C4">
      <w:pPr>
        <w:keepNext w:val="0"/>
        <w:keepLines w:val="0"/>
        <w:pageBreakBefore w:val="0"/>
        <w:widowControl w:val="0"/>
        <w:suppressLineNumbers w:val="0"/>
        <w:spacing w:before="0" w:beforeAutospacing="0" w:after="0" w:afterAutospacing="0" w:line="360" w:lineRule="auto"/>
        <w:ind w:left="0" w:right="0" w:firstLine="480"/>
        <w:outlineLvl w:val="9"/>
        <w:rPr>
          <w:rFonts w:hint="default" w:cs="Times New Roman"/>
          <w:bCs/>
          <w:color w:val="000000"/>
          <w:highlight w:val="none"/>
          <w:lang w:val="en-US" w:eastAsia="zh-CN"/>
        </w:rPr>
      </w:pPr>
      <w:r>
        <w:rPr>
          <w:rFonts w:hint="default" w:cs="Times New Roman"/>
          <w:bCs/>
          <w:color w:val="000000"/>
          <w:highlight w:val="none"/>
          <w:lang w:val="en-US" w:eastAsia="zh-CN"/>
        </w:rPr>
        <w:t>发现底栖动物物种3门8纲33种。其中节肢动物门昆虫纲物种数最多，共13种，占总物种数39.4%；其次为软体动物门腹足纲，共5种，占总物种数15.2%；再次为节肢动物门软甲纲和环节动物门寡毛纲，各4种，占总物种数12.1%；然后是软体动物门双壳纲，共3种，占总物种数9.1%；然后是节肢动物门甲壳纲，共1种，占总物种数6.1%。最后是软体动物门肺螺亚纲和软体动物门瓣鳃纲，各1种，占总物种数3%。</w:t>
      </w:r>
    </w:p>
    <w:p w14:paraId="68049EA4">
      <w:pPr>
        <w:keepNext w:val="0"/>
        <w:keepLines w:val="0"/>
        <w:pageBreakBefore w:val="0"/>
        <w:widowControl w:val="0"/>
        <w:suppressLineNumbers w:val="0"/>
        <w:spacing w:before="0" w:beforeAutospacing="0" w:after="0" w:afterAutospacing="0" w:line="360" w:lineRule="auto"/>
        <w:ind w:left="0" w:right="0" w:firstLine="480"/>
        <w:outlineLvl w:val="9"/>
        <w:rPr>
          <w:rFonts w:hint="default" w:cs="Times New Roman"/>
          <w:bCs/>
          <w:color w:val="000000"/>
          <w:highlight w:val="none"/>
          <w:lang w:val="en-US" w:eastAsia="zh-CN"/>
        </w:rPr>
      </w:pPr>
      <w:r>
        <w:rPr>
          <w:rFonts w:hint="default" w:cs="Times New Roman"/>
          <w:bCs/>
          <w:color w:val="000000"/>
          <w:highlight w:val="none"/>
          <w:lang w:val="en-US" w:eastAsia="zh-CN"/>
        </w:rPr>
        <w:t>发现水生维管植物22科29属30种。其中挺水植物14科19种，占比63.33%；浮水植物6科7种，占比23.33%；沉水植物3科4种，占比13.33%。</w:t>
      </w:r>
    </w:p>
    <w:p w14:paraId="567FEDD3">
      <w:pPr>
        <w:keepNext w:val="0"/>
        <w:keepLines w:val="0"/>
        <w:pageBreakBefore w:val="0"/>
        <w:widowControl w:val="0"/>
        <w:suppressLineNumbers w:val="0"/>
        <w:spacing w:before="0" w:beforeAutospacing="0" w:after="0" w:afterAutospacing="0" w:line="360" w:lineRule="auto"/>
        <w:ind w:left="0" w:right="0" w:firstLine="480"/>
        <w:outlineLvl w:val="9"/>
        <w:rPr>
          <w:rFonts w:hint="default" w:ascii="宋体" w:hAnsi="宋体" w:eastAsia="宋体" w:cs="宋体"/>
          <w:color w:val="000000"/>
          <w:sz w:val="21"/>
          <w:szCs w:val="21"/>
        </w:rPr>
        <w:sectPr>
          <w:pgSz w:w="11911" w:h="16838" w:orient="landscape"/>
          <w:pgMar w:top="1417" w:right="1417" w:bottom="1417" w:left="1701" w:header="794" w:footer="1123" w:gutter="0"/>
          <w:cols w:space="720" w:num="1"/>
        </w:sectPr>
      </w:pPr>
      <w:r>
        <w:rPr>
          <w:rFonts w:hint="default" w:ascii="Times New Roman" w:hAnsi="Times New Roman" w:eastAsia="宋体" w:cs="Times New Roman"/>
          <w:color w:val="000000"/>
          <w:lang w:val="en-US" w:eastAsia="zh-CN"/>
        </w:rPr>
        <w:t>根据现场调查，本项目涉及水域</w:t>
      </w:r>
      <w:r>
        <w:rPr>
          <w:rFonts w:hint="eastAsia" w:cs="Times New Roman"/>
          <w:color w:val="000000"/>
          <w:lang w:val="en-US" w:eastAsia="zh-CN"/>
        </w:rPr>
        <w:t>，</w:t>
      </w:r>
      <w:r>
        <w:rPr>
          <w:rFonts w:hint="default" w:ascii="Times New Roman" w:hAnsi="Times New Roman" w:eastAsia="宋体" w:cs="Times New Roman"/>
          <w:color w:val="000000"/>
          <w:lang w:val="en-US" w:eastAsia="zh-CN"/>
        </w:rPr>
        <w:t>项目区无鱼类产卵场、索饵场和越冬场等三场”，项目区无珍稀、特有鱼类。</w:t>
      </w:r>
    </w:p>
    <w:p w14:paraId="71150E05">
      <w:pPr>
        <w:pStyle w:val="4"/>
        <w:ind w:left="0" w:firstLine="0"/>
        <w:jc w:val="center"/>
        <w:outlineLvl w:val="0"/>
        <w:rPr>
          <w:rFonts w:hint="default"/>
          <w:color w:val="000000"/>
          <w:lang w:val="en-US" w:eastAsia="zh-CN"/>
        </w:rPr>
      </w:pPr>
      <w:bookmarkStart w:id="107" w:name="_Toc29730"/>
      <w:bookmarkStart w:id="108" w:name="_Toc26339"/>
      <w:bookmarkStart w:id="109" w:name="_Toc22966"/>
      <w:r>
        <w:rPr>
          <w:rStyle w:val="221"/>
          <w:rFonts w:hint="eastAsia"/>
          <w:b/>
          <w:color w:val="000000"/>
          <w:lang w:val="en-US" w:eastAsia="zh-CN"/>
        </w:rPr>
        <w:t>5 生态环境影响预测与评价</w:t>
      </w:r>
      <w:bookmarkEnd w:id="107"/>
      <w:bookmarkEnd w:id="108"/>
      <w:bookmarkEnd w:id="109"/>
    </w:p>
    <w:p w14:paraId="42B1C4A3">
      <w:pPr>
        <w:pStyle w:val="4"/>
        <w:rPr>
          <w:rFonts w:hint="default" w:ascii="Times New Roman" w:hAnsi="Times New Roman" w:eastAsia="宋体" w:cs="Times New Roman"/>
          <w:b/>
          <w:color w:val="000000"/>
          <w:sz w:val="24"/>
        </w:rPr>
      </w:pPr>
      <w:bookmarkStart w:id="110" w:name="_Toc32720"/>
      <w:bookmarkStart w:id="111" w:name="_Toc107"/>
      <w:r>
        <w:rPr>
          <w:rFonts w:hint="eastAsia"/>
          <w:color w:val="000000"/>
          <w:lang w:val="en-US" w:eastAsia="zh-CN"/>
        </w:rPr>
        <w:t>5.1 施工期生态环境影响分析</w:t>
      </w:r>
      <w:bookmarkEnd w:id="110"/>
      <w:bookmarkEnd w:id="111"/>
    </w:p>
    <w:p w14:paraId="247EDC56">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1、生态环境影响分析</w:t>
      </w:r>
    </w:p>
    <w:p w14:paraId="7335D30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本次</w:t>
      </w:r>
      <w:r>
        <w:rPr>
          <w:rFonts w:hint="default" w:ascii="Times New Roman" w:hAnsi="Times New Roman" w:eastAsia="宋体" w:cs="Times New Roman"/>
          <w:color w:val="000000"/>
          <w:sz w:val="24"/>
          <w:lang w:eastAsia="zh-CN"/>
        </w:rPr>
        <w:t>排水防涝能力提升工程</w:t>
      </w:r>
      <w:r>
        <w:rPr>
          <w:rFonts w:hint="default" w:ascii="Times New Roman" w:hAnsi="Times New Roman" w:eastAsia="宋体" w:cs="Times New Roman"/>
          <w:color w:val="000000"/>
          <w:sz w:val="24"/>
        </w:rPr>
        <w:t>，主要是在已建防洪工程基础上，在确保防洪安全的情况下，结合当地的发展需要，提升城市排水防涝应急响应和处置能力，加强极端暴雨条件下城市排水防涝应急处置能力建设。</w:t>
      </w:r>
    </w:p>
    <w:p w14:paraId="68AE605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项目采取分段施工，</w:t>
      </w:r>
      <w:r>
        <w:rPr>
          <w:rFonts w:hint="default" w:ascii="Times New Roman" w:hAnsi="Times New Roman" w:eastAsia="宋体" w:cs="Times New Roman"/>
          <w:color w:val="000000"/>
          <w:sz w:val="24"/>
          <w:lang w:val="en-US" w:eastAsia="zh-CN"/>
        </w:rPr>
        <w:t>本工程安排在非汛期施工，但考虑降雨有可能引发洪水，对护岸工程及沿河台地土料场造成影响。因此，施工时必须考虑降雨及洪水对本工程造成的危害，及时做好天气预报，并合理安排施工措施。一旦出现洪水浸泡土料场后，待洪水退却后，将表层淤泥清理掉，料场开采用垂直开挖，将表层含水量高的土与下部含水量低的土充分混合，严禁水平开挖，含水率不满足设计要求的严禁作为填料土填筑。如垂直开挖含水率仍大于设计最优含水率的，则应对料场土料进行翻晒，直至满足设计最优含水率后才能进行填筑</w:t>
      </w:r>
      <w:r>
        <w:rPr>
          <w:rFonts w:hint="default" w:ascii="Times New Roman" w:hAnsi="Times New Roman" w:eastAsia="宋体" w:cs="Times New Roman"/>
          <w:color w:val="000000"/>
          <w:sz w:val="24"/>
        </w:rPr>
        <w:t>。</w:t>
      </w:r>
    </w:p>
    <w:p w14:paraId="53414F3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eastAsia="宋体" w:cs="Times New Roman"/>
          <w:color w:val="000000"/>
          <w:sz w:val="24"/>
          <w:lang w:eastAsia="zh-CN"/>
        </w:rPr>
        <w:t>（</w:t>
      </w:r>
      <w:r>
        <w:rPr>
          <w:rFonts w:hint="eastAsia" w:eastAsia="宋体" w:cs="Times New Roman"/>
          <w:color w:val="000000"/>
          <w:sz w:val="24"/>
          <w:lang w:val="en-US" w:eastAsia="zh-CN"/>
        </w:rPr>
        <w:t>1）</w:t>
      </w:r>
      <w:r>
        <w:rPr>
          <w:rFonts w:hint="default" w:ascii="Times New Roman" w:hAnsi="Times New Roman" w:eastAsia="宋体" w:cs="Times New Roman"/>
          <w:color w:val="000000"/>
          <w:sz w:val="24"/>
        </w:rPr>
        <w:t>生态环境现状</w:t>
      </w:r>
    </w:p>
    <w:p w14:paraId="7FA49C2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根据现场调查，本项目工程周边主要为未利用地及</w:t>
      </w:r>
      <w:r>
        <w:rPr>
          <w:rFonts w:hint="default" w:ascii="Times New Roman" w:hAnsi="Times New Roman" w:eastAsia="宋体" w:cs="Times New Roman"/>
          <w:color w:val="000000"/>
          <w:sz w:val="24"/>
          <w:lang w:eastAsia="zh-CN"/>
        </w:rPr>
        <w:t>河滩地</w:t>
      </w:r>
      <w:r>
        <w:rPr>
          <w:rFonts w:hint="default" w:ascii="Times New Roman" w:hAnsi="Times New Roman" w:eastAsia="宋体" w:cs="Times New Roman"/>
          <w:color w:val="000000"/>
          <w:sz w:val="24"/>
        </w:rPr>
        <w:t>，对项目区域内的植物种类进行现场调查，本项目拟建场地</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r>
        <w:rPr>
          <w:rFonts w:hint="default" w:ascii="Times New Roman" w:hAnsi="Times New Roman" w:eastAsia="宋体" w:cs="Times New Roman"/>
          <w:color w:val="000000"/>
          <w:sz w:val="24"/>
        </w:rPr>
        <w:t>。</w:t>
      </w:r>
    </w:p>
    <w:p w14:paraId="01566D72">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eastAsia="zh-CN"/>
        </w:rPr>
      </w:pPr>
      <w:r>
        <w:rPr>
          <w:rFonts w:hint="eastAsia" w:eastAsia="宋体" w:cs="Times New Roman"/>
          <w:color w:val="000000"/>
          <w:sz w:val="24"/>
          <w:lang w:val="en-US" w:eastAsia="zh-CN"/>
        </w:rPr>
        <w:t>（2）工程占地影响分析</w:t>
      </w:r>
    </w:p>
    <w:p w14:paraId="6AA8ECB8">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eastAsia="zh-CN"/>
        </w:rPr>
      </w:pPr>
      <w:r>
        <w:rPr>
          <w:rFonts w:hint="eastAsia" w:eastAsia="宋体" w:cs="Times New Roman"/>
          <w:color w:val="000000"/>
          <w:sz w:val="24"/>
          <w:lang w:val="en-US" w:eastAsia="zh-CN"/>
        </w:rPr>
        <w:t>工程临时设施主要包括施工场地、临时堆场等，均为临时占地。本项目施工期不新建临时施工道路，利用现有公路及主体工程布设的施工道路，临时施工道路不涉及重要物种及动植物生境的占用。</w:t>
      </w:r>
    </w:p>
    <w:p w14:paraId="4666EA79">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eastAsia="zh-CN"/>
        </w:rPr>
      </w:pPr>
      <w:r>
        <w:rPr>
          <w:rFonts w:hint="eastAsia" w:eastAsia="宋体" w:cs="Times New Roman"/>
          <w:color w:val="000000"/>
          <w:sz w:val="24"/>
          <w:lang w:val="en-US" w:eastAsia="zh-CN"/>
        </w:rPr>
        <w:t>本项目工程开挖、弃渣等将破坏原有的植被和水保设施，改变原有地貌和景观，使其失去固土防冲能力，从而造成水土流失。工程占地将使植被和生物量减少，并影响到野生动物的栖息环境。</w:t>
      </w:r>
    </w:p>
    <w:p w14:paraId="560E4174">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（3）植物生态影响分析</w:t>
      </w:r>
    </w:p>
    <w:p w14:paraId="765EAF2F">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霍山县县域内植物种类丰富，在中国植被分区上，霍山县属于落叶、阔叶一常绿阔叶混交林带。有木本和草本植物3000多种，其中用材林有200多个树种，以松、杉和竹类为主，次之有栎、杨、柳、槐、枫、檀、榆、椿、桦、泡桐等树种</w:t>
      </w:r>
      <w:r>
        <w:rPr>
          <w:rFonts w:hint="eastAsia"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经济林有100多个树种，以板栗、油茶、乌桕为大宗。药用植物有1866多种，其中珍稀名贵和大宗地道药用植物有霍山石斛、安徽贝母、杜仲、厚朴、人参、桔梗、枣皮、断血流、药百合、野菊花、何首乌等，霍山石斛为名贵特产。观赏植物有1100多种，其中观赏价值高或分布较广的有雪松、鹅掌楸、天女花、杜鹃花、广玉兰、白兰、含笑、夜来香、望春花、腊梅、菊花、桂花、兰花等。牧草有几十种，以芭茅、野蒿和巴根草居多。</w:t>
      </w:r>
    </w:p>
    <w:p w14:paraId="6717C7CA">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以上各类植物中，属国家I级重点保护的野生植物有银杏、香果树</w:t>
      </w:r>
      <w:r>
        <w:rPr>
          <w:rFonts w:hint="eastAsia"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国家II级重点保护的野生植物有大别山五针松、刺楸、鹅掌楸、榉树、连香树、杜仲、厚朴</w:t>
      </w:r>
      <w:r>
        <w:rPr>
          <w:rFonts w:hint="eastAsia"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国家III级重点保护的野生植物有天女花等。省级重点保护的野生植物有三尖杉、金钱松、领春木、天目木姜子、青檀、粗框、银雀树、青钱柳、小勾儿茶、醉翁榆、琅琊榆、天竺桂、天目木兰、巨紫荆等。其他珍稀濒危树种及花草有蝴蝶树、樟树、紫楠、大别柳、红豆杉、黄山杜鹃、都支杜鹃、云锦杜鹃等。</w:t>
      </w:r>
    </w:p>
    <w:p w14:paraId="40593F82">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本项目施工期间，施工方案中需明确，严格要求对岸边沿线植物、古树名木的保护。严禁砍伐，不准攀折树枝，不准剥损树皮，不准借树木搭棚、作业，不准在树上挂物、敲钉、刻划。在树冠垂直投影外两米的范围内，不准挖土、堆物、造房、作业，不准倾倒有害的废水废渣。禁止其他一切影响重点保护的野生植物生长的行为。对影响、危害重点保护的野生植物生长的生产设施、生产单位应采取积极措施，消除其影响、危害。重点保护的野生植物树干以外10～15米为生长保护范围，在生长保护范围内的工程，必须满足重点保护野生植物根系生长和日照要求，并在施工期间落实养护措施。</w:t>
      </w:r>
      <w:r>
        <w:rPr>
          <w:rFonts w:hint="eastAsia" w:eastAsia="宋体" w:cs="Times New Roman"/>
          <w:color w:val="000000"/>
          <w:sz w:val="24"/>
          <w:lang w:val="en-US" w:eastAsia="zh-CN"/>
        </w:rPr>
        <w:t>结合实际施工情况对</w:t>
      </w:r>
      <w:r>
        <w:rPr>
          <w:rFonts w:hint="eastAsia" w:ascii="Times New Roman" w:hAnsi="Times New Roman" w:eastAsia="宋体" w:cs="Times New Roman"/>
          <w:color w:val="000000"/>
          <w:sz w:val="24"/>
          <w:lang w:val="en-US" w:eastAsia="zh-CN"/>
        </w:rPr>
        <w:t>重点保护野生植物</w:t>
      </w:r>
      <w:r>
        <w:rPr>
          <w:rFonts w:hint="eastAsia" w:eastAsia="宋体" w:cs="Times New Roman"/>
          <w:color w:val="000000"/>
          <w:sz w:val="24"/>
          <w:lang w:val="en-US" w:eastAsia="zh-CN"/>
        </w:rPr>
        <w:t>所在地设置围挡或者移栽等措施。</w:t>
      </w:r>
      <w:r>
        <w:rPr>
          <w:rFonts w:hint="eastAsia" w:ascii="Times New Roman" w:hAnsi="Times New Roman" w:eastAsia="宋体" w:cs="Times New Roman"/>
          <w:color w:val="000000"/>
          <w:sz w:val="24"/>
          <w:lang w:val="en-US" w:eastAsia="zh-CN"/>
        </w:rPr>
        <w:t>管理部门应加重点保护的野生植物的宣传教育、普及科学知识，组织和指导重点保护野生植物的养护管理。</w:t>
      </w:r>
    </w:p>
    <w:p w14:paraId="62339EB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default" w:ascii="Times New Roman" w:hAnsi="Times New Roman" w:eastAsia="宋体" w:cs="Times New Roman"/>
          <w:color w:val="000000"/>
          <w:sz w:val="24"/>
        </w:rPr>
        <w:t>动物生态环境影响分析</w:t>
      </w:r>
    </w:p>
    <w:p w14:paraId="72ACC2E1">
      <w:pPr>
        <w:keepNext w:val="0"/>
        <w:keepLines w:val="0"/>
        <w:pageBreakBefore w:val="0"/>
        <w:widowControl w:val="0"/>
        <w:suppressLineNumbers w:val="0"/>
        <w:spacing w:before="0" w:beforeAutospacing="0" w:after="0" w:afterAutospacing="0" w:line="360" w:lineRule="auto"/>
        <w:ind w:left="0" w:right="0" w:firstLine="480"/>
        <w:rPr>
          <w:rFonts w:hint="eastAsia" w:cs="Times New Roman"/>
          <w:bCs/>
          <w:color w:val="000000"/>
          <w:highlight w:val="none"/>
          <w:lang w:val="en-US" w:eastAsia="zh-CN"/>
        </w:rPr>
      </w:pPr>
      <w:r>
        <w:rPr>
          <w:rFonts w:hint="eastAsia" w:cs="Times New Roman"/>
          <w:bCs/>
          <w:color w:val="000000"/>
          <w:highlight w:val="none"/>
          <w:lang w:val="en-US" w:eastAsia="zh-CN"/>
        </w:rPr>
        <w:t>霍山县兽类优势种有东北刺猬、赤腹松鼠、小麂和野猪，它们的分布从海拔400m至1700m都有分布。啮齿目以及翼手目多分布在村落和农耕地附近，与人类活动高度关联。猪獾、亚洲狗獾等小型食肉目动物多分布在200～600m的区域，海拔相对低，小麂主要分布在600～1000m的中海拔地区，安徽麝主要分布在海拔1000m以上的高海拔地区。</w:t>
      </w:r>
    </w:p>
    <w:p w14:paraId="30BF7CB8">
      <w:pPr>
        <w:keepNext w:val="0"/>
        <w:keepLines w:val="0"/>
        <w:pageBreakBefore w:val="0"/>
        <w:widowControl w:val="0"/>
        <w:suppressLineNumbers w:val="0"/>
        <w:spacing w:before="0" w:beforeAutospacing="0" w:after="0" w:afterAutospacing="0" w:line="360" w:lineRule="auto"/>
        <w:ind w:left="0" w:right="0" w:firstLine="480"/>
        <w:jc w:val="left"/>
        <w:rPr>
          <w:rFonts w:hint="eastAsia" w:cs="Times New Roman"/>
          <w:bCs/>
          <w:color w:val="000000"/>
          <w:highlight w:val="none"/>
          <w:lang w:val="en-US" w:eastAsia="zh-CN"/>
        </w:rPr>
      </w:pPr>
      <w:r>
        <w:rPr>
          <w:rFonts w:hint="eastAsia" w:cs="Times New Roman"/>
          <w:bCs/>
          <w:color w:val="000000"/>
          <w:highlight w:val="none"/>
          <w:lang w:val="en-US" w:eastAsia="zh-CN"/>
        </w:rPr>
        <w:t>调查结果显示，大多数重点保护兽类活动海拔约在400～1300m之间，其中安徽麝在500-1200m的海拔区段活动，小麂、花面狸、猪獾、貉、黄鼬在400～1300m左右海拔区段均有活动；整体分布海拔跨度广，其中鼬獾海拔分布最窄，在海拔400～900m左右海拔区段活动。</w:t>
      </w:r>
    </w:p>
    <w:p w14:paraId="2BDEE7C7">
      <w:pPr>
        <w:keepNext w:val="0"/>
        <w:keepLines w:val="0"/>
        <w:pageBreakBefore w:val="0"/>
        <w:widowControl w:val="0"/>
        <w:suppressLineNumbers w:val="0"/>
        <w:spacing w:before="0" w:beforeAutospacing="0" w:after="0" w:afterAutospacing="0" w:line="360" w:lineRule="auto"/>
        <w:ind w:left="0" w:right="0" w:firstLine="480"/>
        <w:rPr>
          <w:rFonts w:hint="eastAsia" w:cs="Times New Roman"/>
          <w:bCs/>
          <w:color w:val="000000"/>
          <w:highlight w:val="none"/>
          <w:lang w:val="en-US" w:eastAsia="zh-CN"/>
        </w:rPr>
      </w:pP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主要为小灵猫，小灵猫分布</w:t>
      </w:r>
      <w:r>
        <w:rPr>
          <w:rFonts w:hint="eastAsia" w:ascii="宋体" w:hAnsi="宋体" w:eastAsia="宋体" w:cs="宋体"/>
          <w:color w:val="000000"/>
          <w:sz w:val="24"/>
          <w:szCs w:val="24"/>
          <w:lang w:val="en-US" w:eastAsia="zh-CN" w:bidi="ar"/>
        </w:rPr>
        <w:t>在大别山低海拔地区，近些年仅在霍山县救助过</w:t>
      </w:r>
      <w:r>
        <w:rPr>
          <w:rFonts w:hint="default" w:ascii="Times New Roman" w:hAnsi="Times New Roman" w:eastAsia="宋体" w:cs="Times New Roman"/>
          <w:color w:val="000000"/>
          <w:sz w:val="24"/>
          <w:szCs w:val="24"/>
          <w:lang w:val="en-US" w:eastAsia="zh-CN" w:bidi="ar"/>
        </w:rPr>
        <w:t>1</w:t>
      </w:r>
      <w:r>
        <w:rPr>
          <w:rFonts w:hint="eastAsia" w:ascii="宋体" w:hAnsi="宋体" w:eastAsia="宋体" w:cs="宋体"/>
          <w:color w:val="000000"/>
          <w:sz w:val="24"/>
          <w:szCs w:val="24"/>
          <w:lang w:val="en-US" w:eastAsia="zh-CN" w:bidi="ar"/>
        </w:rPr>
        <w:t>只</w:t>
      </w:r>
      <w:r>
        <w:rPr>
          <w:rFonts w:hint="eastAsia" w:cs="Times New Roman"/>
          <w:bCs/>
          <w:color w:val="000000"/>
          <w:highlight w:val="none"/>
          <w:lang w:val="en-US" w:eastAsia="zh-CN"/>
        </w:rPr>
        <w:t>。本项目要求对施工人员加强宣传，增强施工人员对野生动物的保护意识。加强监管，严禁抓捕野生动物，且施工期较短，小灵猫可短暂迁徙周边其他区域活动，可有效降低对小灵猫的生态影响。</w:t>
      </w:r>
    </w:p>
    <w:p w14:paraId="44BA1A8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在施工作业时会对动物造成惊扰，迫使项目区附近的动物迁徙，对动物的生存产生一定的影响。由于施工区环境与施工区以外的环境十分相似，施工区动物比较容易就近找到新的栖息地，同时，由于施工范围有限，项目的建设对动物影响的范围不大且影响时间较短。施工期工程占地不会缩小动物的栖息空间，不影响动物的活动区域、迁徙途径和觅食范围。本项目的建设对于动物的影响是轻微的，其影响类型为暂时性影响。</w:t>
      </w:r>
    </w:p>
    <w:p w14:paraId="44F19A0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项目建成运行后，不会对区域动物生态环境造成影响。</w:t>
      </w:r>
    </w:p>
    <w:p w14:paraId="51759349">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val="en-US" w:eastAsia="zh-CN"/>
        </w:rPr>
      </w:pPr>
      <w:r>
        <w:rPr>
          <w:rFonts w:hint="eastAsia" w:eastAsia="宋体" w:cs="Times New Roman"/>
          <w:color w:val="000000"/>
          <w:sz w:val="24"/>
          <w:lang w:eastAsia="zh-CN"/>
        </w:rPr>
        <w:t>（</w:t>
      </w:r>
      <w:r>
        <w:rPr>
          <w:rFonts w:hint="eastAsia" w:eastAsia="宋体" w:cs="Times New Roman"/>
          <w:color w:val="000000"/>
          <w:sz w:val="24"/>
          <w:lang w:val="en-US" w:eastAsia="zh-CN"/>
        </w:rPr>
        <w:t>5）水生生态影响</w:t>
      </w:r>
    </w:p>
    <w:p w14:paraId="3EABC09E">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val="en-US" w:eastAsia="zh-CN"/>
        </w:rPr>
      </w:pPr>
      <w:r>
        <w:rPr>
          <w:rFonts w:hint="eastAsia" w:eastAsia="宋体" w:cs="Times New Roman"/>
          <w:color w:val="000000"/>
          <w:sz w:val="24"/>
          <w:lang w:val="en-US" w:eastAsia="zh-CN"/>
        </w:rPr>
        <w:t>施工期设备振动和运输车辆噪声会对水生物种产生一定影响，同时河道疏浚还有对水质产生扰动。环评要求项目优选施工时间，避开重点保护动物活动、繁殖和觅食的高峰时段进行施工作业；优化施工方案，施工区域优先避开重点保护动物活动范围、加强施工人员环保教育、保护动物等方式降低施工期影响。</w:t>
      </w:r>
    </w:p>
    <w:p w14:paraId="3D20086A">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val="en-US" w:eastAsia="zh-CN"/>
        </w:rPr>
      </w:pPr>
      <w:r>
        <w:rPr>
          <w:rFonts w:hint="eastAsia" w:eastAsia="宋体" w:cs="Times New Roman"/>
          <w:color w:val="000000"/>
          <w:sz w:val="24"/>
          <w:lang w:val="en-US" w:eastAsia="zh-CN"/>
        </w:rPr>
        <w:t>随着施工活动的结束，区域水体中悬浮物会逐渐沉降，水体透明度增加，透光率和光照强度也会迅速提高，加上水体的流动交换作用，区域水域中的浮游生物会逐步恢复并明显改善。项目施工结束后一段时间后底栖生物将缓慢恢复。</w:t>
      </w:r>
    </w:p>
    <w:p w14:paraId="3A6F94EF">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val="en-US" w:eastAsia="zh-CN"/>
        </w:rPr>
      </w:pPr>
      <w:r>
        <w:rPr>
          <w:rFonts w:hint="eastAsia" w:eastAsia="宋体" w:cs="Times New Roman"/>
          <w:color w:val="000000"/>
          <w:sz w:val="24"/>
          <w:lang w:val="en-US" w:eastAsia="zh-CN"/>
        </w:rPr>
        <w:t>总体上，项目施工将对工程范围内的底栖生物生态环境造成直接扰动和破坏，但工程施工对底质的改变并不至于会改变整个区域的生态结构，底栖生物群落结构和种群数量也可以在一定时间内达到新的平衡。因此，本环评要求施工单位在涉及水域施工时，加强施工管理，及时将淤泥、泥浆、渣土、建筑垃圾等运出，禁止进行倾倒固废、清洗机械设备等行为，大限度地减少施工废物对水质的不利影响。施工废水经沉淀后回用，禁止外排。由于施工过程只是是暂时的和局部的，所涉及的范围也是有限的，所以施工对水生生态环境的影响是短期的和可迅速恢复的。</w:t>
      </w:r>
    </w:p>
    <w:p w14:paraId="3D26DDFB">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val="en-US" w:eastAsia="zh-CN"/>
        </w:rPr>
      </w:pPr>
      <w:r>
        <w:rPr>
          <w:rFonts w:hint="eastAsia" w:eastAsia="宋体" w:cs="Times New Roman"/>
          <w:color w:val="000000"/>
          <w:sz w:val="24"/>
          <w:lang w:val="en-US" w:eastAsia="zh-CN"/>
        </w:rPr>
        <w:t>在落实以上措施后，施工期水生动物可得到有效保护，对水生生物的影响不明显。并在项目施工结束后，栖息地将得到进一步提升，有利于水生生物保护。</w:t>
      </w:r>
    </w:p>
    <w:p w14:paraId="759964A2">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SA"/>
        </w:rPr>
      </w:pPr>
      <w:r>
        <w:rPr>
          <w:rFonts w:hint="eastAsia" w:eastAsia="宋体" w:cs="Times New Roman"/>
          <w:color w:val="000000"/>
          <w:sz w:val="24"/>
          <w:szCs w:val="24"/>
          <w:lang w:val="en-US" w:eastAsia="zh-CN" w:bidi="ar-SA"/>
        </w:rPr>
        <w:t>（6）</w:t>
      </w:r>
      <w:r>
        <w:rPr>
          <w:rFonts w:hint="default" w:ascii="Times New Roman" w:hAnsi="Times New Roman" w:eastAsia="宋体" w:cs="Times New Roman"/>
          <w:color w:val="000000"/>
          <w:sz w:val="24"/>
          <w:szCs w:val="24"/>
          <w:lang w:val="en-US" w:eastAsia="zh-CN" w:bidi="ar-SA"/>
        </w:rPr>
        <w:t>水土流失的影响分析</w:t>
      </w:r>
    </w:p>
    <w:p w14:paraId="6AA739B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本工程直接影响区主要为工程建设占地以</w:t>
      </w:r>
      <w:r>
        <w:rPr>
          <w:rFonts w:hint="eastAsia" w:eastAsia="宋体" w:cs="Times New Roman"/>
          <w:color w:val="000000"/>
          <w:sz w:val="24"/>
          <w:szCs w:val="24"/>
          <w:lang w:val="en-US" w:eastAsia="zh-CN" w:bidi="ar-SA"/>
        </w:rPr>
        <w:t>内</w:t>
      </w:r>
      <w:r>
        <w:rPr>
          <w:rFonts w:hint="default" w:ascii="Times New Roman" w:hAnsi="Times New Roman" w:eastAsia="宋体" w:cs="Times New Roman"/>
          <w:color w:val="000000"/>
          <w:sz w:val="24"/>
          <w:szCs w:val="24"/>
          <w:lang w:val="en-US" w:eastAsia="zh-CN" w:bidi="ar-SA"/>
        </w:rPr>
        <w:t>、因工程建设活动可能造成水土流失影响的区域。结合本工程实际，直接影响工程主要有河道堤防工程，放水涵闸工程上下游以及施工临时工程周边等区域。项目临时占地和绿化面积较多，完工后构建筑物占地较少，因此，本项目施工期仍然为水土流失防治和监测的重点时段。</w:t>
      </w:r>
    </w:p>
    <w:p w14:paraId="45781F9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rPr>
        <w:t>随着施工作业的进行，施工机械的扰动，地表结皮被破坏，在大雨或大风情况下，易造成水土流失。</w:t>
      </w:r>
      <w:r>
        <w:rPr>
          <w:rFonts w:hint="default" w:ascii="Times New Roman" w:hAnsi="Times New Roman" w:eastAsia="宋体" w:cs="Times New Roman"/>
          <w:color w:val="000000"/>
          <w:sz w:val="24"/>
          <w:szCs w:val="24"/>
          <w:lang w:val="en-US" w:eastAsia="zh-CN" w:bidi="ar-SA"/>
        </w:rPr>
        <w:t>如不采取有效的水土保持措施，将对当地的水土资源及生态环境带来不利的影响，主要表现在：</w:t>
      </w:r>
    </w:p>
    <w:p w14:paraId="34B49BB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破坏原地貌，加剧水土流失。在工程建设过程中，由于破坏了原有的自然地貌，施工裸地增加，同时因扰动表土层，为各种侵蚀创造了条件，在降雨径流的作用下，极易造成水土流失，加剧项目区人为新的水土流失危害。</w:t>
      </w:r>
    </w:p>
    <w:p w14:paraId="07CB2CA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由于各类土方开挖、坑洼地回填及施工机械碾压等，松散裸露的地表容易形成扬尘，影响周围大气环境质量。项目建设破坏原地貌而产生的大量裸露地表，形成的松散临时堆土等，遇到一定降雨条件时，便可产生较大的径流，造成施工场地内泥水横流，影响施工安全和施工进度。</w:t>
      </w:r>
    </w:p>
    <w:p w14:paraId="18ACF663">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因此，采取主体工程区</w:t>
      </w:r>
      <w:r>
        <w:rPr>
          <w:rFonts w:hint="eastAsia" w:eastAsia="宋体" w:cs="Times New Roman"/>
          <w:color w:val="000000"/>
          <w:sz w:val="24"/>
          <w:szCs w:val="24"/>
          <w:lang w:val="en-US" w:eastAsia="zh-CN" w:bidi="ar-SA"/>
        </w:rPr>
        <w:t>采取</w:t>
      </w:r>
      <w:r>
        <w:rPr>
          <w:rFonts w:hint="default" w:ascii="Times New Roman" w:hAnsi="Times New Roman" w:eastAsia="宋体" w:cs="Times New Roman"/>
          <w:color w:val="000000"/>
          <w:sz w:val="24"/>
          <w:szCs w:val="24"/>
          <w:lang w:val="en-US" w:eastAsia="zh-CN" w:bidi="ar-SA"/>
        </w:rPr>
        <w:t>临时苫盖措施；避开雨季施工</w:t>
      </w:r>
      <w:r>
        <w:rPr>
          <w:rFonts w:hint="eastAsia"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在施工场地应注意土方的合理堆置，临时堆土区施工前彩条布临时铺垫，周围设编织袋装土拦挡，雨季在临时堆料顶面用塑料彩条布对其进行覆盖，挡土墙外设临时排水沟，施工期土石方妥善处置等措施</w:t>
      </w:r>
      <w:r>
        <w:rPr>
          <w:rFonts w:hint="eastAsia"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通过实施水土保持措施积极防护，可降低对周边区域的水土流失影响。</w:t>
      </w:r>
    </w:p>
    <w:p w14:paraId="0DCCF69D">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2、大气环境影响分析</w:t>
      </w:r>
    </w:p>
    <w:p w14:paraId="63A9025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本项目施工废气主要为施工扬尘</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机械运行产生的机械尾气</w:t>
      </w:r>
      <w:r>
        <w:rPr>
          <w:rFonts w:hint="eastAsia" w:eastAsia="宋体" w:cs="Times New Roman"/>
          <w:color w:val="000000"/>
          <w:sz w:val="24"/>
          <w:lang w:eastAsia="zh-CN"/>
        </w:rPr>
        <w:t>、</w:t>
      </w:r>
      <w:r>
        <w:rPr>
          <w:rFonts w:hint="eastAsia" w:eastAsia="宋体" w:cs="Times New Roman"/>
          <w:color w:val="000000"/>
          <w:sz w:val="24"/>
          <w:lang w:val="en-US" w:eastAsia="zh-CN"/>
        </w:rPr>
        <w:t>疏浚、</w:t>
      </w:r>
      <w:r>
        <w:rPr>
          <w:rFonts w:hint="default" w:ascii="Times New Roman" w:hAnsi="Times New Roman" w:eastAsia="宋体" w:cs="Times New Roman"/>
          <w:color w:val="000000"/>
          <w:sz w:val="24"/>
          <w:lang w:val="en-US" w:eastAsia="zh-CN"/>
        </w:rPr>
        <w:t>清淤恶臭等。</w:t>
      </w:r>
    </w:p>
    <w:p w14:paraId="336E39E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eastAsia="宋体" w:cs="Times New Roman"/>
          <w:color w:val="000000"/>
          <w:sz w:val="24"/>
          <w:lang w:eastAsia="zh-CN"/>
        </w:rPr>
        <w:t>（1）</w:t>
      </w:r>
      <w:r>
        <w:rPr>
          <w:rFonts w:hint="default" w:ascii="Times New Roman" w:hAnsi="Times New Roman" w:eastAsia="宋体" w:cs="Times New Roman"/>
          <w:color w:val="000000"/>
          <w:sz w:val="24"/>
        </w:rPr>
        <w:t>施工扬尘</w:t>
      </w:r>
    </w:p>
    <w:p w14:paraId="016C8CA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作业面扬尘：施工作业面的裸露地面，在干燥天气，尤其是在大风时容易产生扬尘；开挖面、开挖场、推整点和利用料堆放场等施工作业面均会产生扬尘；扬尘产生量与作业面大小、施工机械、施工方法、天气状况及洒水频率等都有关系。工程区主要是土方开挖、临时料堆放等施工过程会产生粉尘。根据施工工程的调查资料，工程施工期间施工现场近地面粉尘浓度可达1.5～30</w:t>
      </w:r>
      <w:r>
        <w:rPr>
          <w:rFonts w:hint="eastAsia" w:eastAsia="宋体" w:cs="Times New Roman"/>
          <w:color w:val="000000"/>
          <w:sz w:val="24"/>
          <w:lang w:eastAsia="zh-CN"/>
        </w:rPr>
        <w:t>m</w:t>
      </w:r>
      <w:r>
        <w:rPr>
          <w:rFonts w:hint="default" w:ascii="Times New Roman" w:hAnsi="Times New Roman" w:eastAsia="宋体" w:cs="Times New Roman"/>
          <w:color w:val="000000"/>
          <w:sz w:val="24"/>
        </w:rPr>
        <w:t>g/</w:t>
      </w:r>
      <w:r>
        <w:rPr>
          <w:rFonts w:hint="eastAsia" w:eastAsia="宋体" w:cs="Times New Roman"/>
          <w:color w:val="000000"/>
          <w:sz w:val="24"/>
          <w:lang w:eastAsia="zh-CN"/>
        </w:rPr>
        <w:t>m</w:t>
      </w:r>
      <w:r>
        <w:rPr>
          <w:rFonts w:hint="default" w:ascii="Times New Roman" w:hAnsi="Times New Roman" w:eastAsia="宋体" w:cs="Times New Roman"/>
          <w:color w:val="000000"/>
          <w:sz w:val="24"/>
          <w:vertAlign w:val="superscript"/>
        </w:rPr>
        <w:t>3</w:t>
      </w:r>
      <w:r>
        <w:rPr>
          <w:rFonts w:hint="default" w:ascii="Times New Roman" w:hAnsi="Times New Roman" w:eastAsia="宋体" w:cs="Times New Roman"/>
          <w:color w:val="000000"/>
          <w:sz w:val="24"/>
        </w:rPr>
        <w:t>。施工中土石方开挖等产生的扬尘，基本上都是间歇式排放。一般只要定时洒水，施工作业面扬尘即可得到有效控制，对环境影响较小。</w:t>
      </w:r>
    </w:p>
    <w:p w14:paraId="791082E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交通运输扬尘：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w:t>
      </w:r>
    </w:p>
    <w:p w14:paraId="16DFDA6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eastAsia="宋体" w:cs="Times New Roman"/>
          <w:color w:val="000000"/>
          <w:sz w:val="24"/>
          <w:lang w:eastAsia="zh-CN"/>
        </w:rPr>
        <w:t>（2）</w:t>
      </w:r>
      <w:r>
        <w:rPr>
          <w:rFonts w:hint="default" w:ascii="Times New Roman" w:hAnsi="Times New Roman" w:eastAsia="宋体" w:cs="Times New Roman"/>
          <w:color w:val="000000"/>
          <w:sz w:val="24"/>
        </w:rPr>
        <w:t>机械尾气</w:t>
      </w:r>
    </w:p>
    <w:p w14:paraId="34D8D58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项目施工期间，使用液体燃料的施工机械及运输车辆排放的尾气中含有CO、NOx以及未完全燃烧的THC等，</w:t>
      </w:r>
      <w:r>
        <w:rPr>
          <w:rFonts w:hint="default" w:ascii="Times New Roman" w:hAnsi="Times New Roman" w:eastAsia="宋体" w:cs="Times New Roman"/>
          <w:color w:val="000000"/>
          <w:sz w:val="24"/>
          <w:lang w:val="en-US" w:eastAsia="zh-CN"/>
        </w:rPr>
        <w:t>一般来说，这部分废气产生量较小，属间断性、分散性排放。由于这部分污染物排放强度很小，加之施工区域开阔，空气流动条件好，有利于废气稀释、扩散。此外，项目施工过程中，施工方案采用分段施工，施工场地为线状分布，同一施工区域中不同工程内容施工时间不同，施工扬尘和尾气排放源密度不大，因此，施工机械和运输车辆所产生污染在空气中经自然扩散和稀释后，对评价区域的空气环境质量影响不大。</w:t>
      </w:r>
    </w:p>
    <w:p w14:paraId="378633E1">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（3）</w:t>
      </w:r>
      <w:r>
        <w:rPr>
          <w:rFonts w:hint="eastAsia" w:eastAsia="宋体" w:cs="Times New Roman"/>
          <w:b w:val="0"/>
          <w:bCs/>
          <w:color w:val="000000"/>
          <w:sz w:val="24"/>
          <w:lang w:val="en-US" w:eastAsia="zh-CN"/>
        </w:rPr>
        <w:t>疏浚、</w:t>
      </w:r>
      <w:r>
        <w:rPr>
          <w:rFonts w:hint="default" w:ascii="Times New Roman" w:hAnsi="Times New Roman" w:eastAsia="宋体" w:cs="Times New Roman"/>
          <w:b w:val="0"/>
          <w:bCs/>
          <w:color w:val="000000"/>
          <w:sz w:val="24"/>
          <w:lang w:val="en-US" w:eastAsia="zh-CN"/>
        </w:rPr>
        <w:t>清淤恶臭</w:t>
      </w:r>
    </w:p>
    <w:p w14:paraId="3C69DCB2">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河道</w:t>
      </w:r>
      <w:r>
        <w:rPr>
          <w:rFonts w:hint="eastAsia" w:eastAsia="宋体" w:cs="Times New Roman"/>
          <w:b w:val="0"/>
          <w:bCs/>
          <w:color w:val="000000"/>
          <w:sz w:val="24"/>
          <w:lang w:val="en-US" w:eastAsia="zh-CN"/>
        </w:rPr>
        <w:t>疏浚、</w:t>
      </w:r>
      <w:r>
        <w:rPr>
          <w:rFonts w:hint="default" w:ascii="Times New Roman" w:hAnsi="Times New Roman" w:eastAsia="宋体" w:cs="Times New Roman"/>
          <w:b w:val="0"/>
          <w:bCs/>
          <w:color w:val="000000"/>
          <w:sz w:val="24"/>
          <w:lang w:val="en-US" w:eastAsia="zh-CN"/>
        </w:rPr>
        <w:t>清淤时底泥散发的恶臭气体是多种低浓度混合气体，其主要成分有氨、硫化氢和甲硫醇，它们的性质如下：氨：无色气体，有强烈刺激气味；硫化氢：无色气体，有强烈刺激气味；甲硫醇：有特殊臭味的气体。河道底泥疏挖的各恶臭源的恶臭散发多以无组织的自然扩散为主，散发到大气环境后又以气体、气溶胶和雾三种形式存在，故对其进行采样分析和定量预测相对而言是较困难的，加之施工时是完全敞开式，其排放量和影响程度及范围受气象条件、水温、水质、pH值及操作与管理水平等多种因素的影响。</w:t>
      </w:r>
    </w:p>
    <w:p w14:paraId="02AF1598">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val="0"/>
          <w:bCs/>
          <w:color w:val="000000"/>
          <w:sz w:val="24"/>
        </w:rPr>
      </w:pPr>
      <w:r>
        <w:rPr>
          <w:rFonts w:hint="default" w:ascii="Times New Roman" w:hAnsi="Times New Roman" w:eastAsia="宋体" w:cs="Times New Roman"/>
          <w:b w:val="0"/>
          <w:bCs/>
          <w:color w:val="000000"/>
          <w:sz w:val="24"/>
          <w:lang w:val="en-US" w:eastAsia="zh-CN"/>
        </w:rPr>
        <w:t>本项目清淤工程在枯水期进行，底泥的气味不易扩散。同时，清淤的淤泥及时清运，在岸边停留的时间很短，清淤过程中在岸边将不会有较为明显的臭味</w:t>
      </w:r>
      <w:r>
        <w:rPr>
          <w:rFonts w:hint="eastAsia" w:eastAsia="宋体" w:cs="Times New Roman"/>
          <w:b w:val="0"/>
          <w:bCs/>
          <w:color w:val="000000"/>
          <w:sz w:val="24"/>
          <w:lang w:val="en-US" w:eastAsia="zh-CN"/>
        </w:rPr>
        <w:t>。</w:t>
      </w:r>
      <w:r>
        <w:rPr>
          <w:rFonts w:hint="default" w:ascii="Times New Roman" w:hAnsi="Times New Roman" w:eastAsia="宋体" w:cs="Times New Roman"/>
          <w:b w:val="0"/>
          <w:bCs/>
          <w:color w:val="000000"/>
          <w:sz w:val="24"/>
          <w:lang w:val="en-US" w:eastAsia="zh-CN"/>
        </w:rPr>
        <w:t>据现场调查，河道周边有少量居民点与项目区距离小于50m，清淤过程产生的淤泥臭味对周围居民有一定的影响，但恶臭对周边居民影响只是暂时的，随着施工期的结束影响也随之消失。因此，清淤过程散发的恶臭气体对环境和周围居民生活环境影响不大。</w:t>
      </w:r>
    </w:p>
    <w:p w14:paraId="5AE1E0FF">
      <w:pPr>
        <w:keepNext w:val="0"/>
        <w:keepLines w:val="0"/>
        <w:pageBreakBefore w:val="0"/>
        <w:widowControl w:val="0"/>
        <w:suppressLineNumbers w:val="0"/>
        <w:spacing w:before="0" w:beforeAutospacing="0" w:after="0" w:afterAutospacing="0" w:line="360" w:lineRule="auto"/>
        <w:ind w:left="0" w:right="0"/>
        <w:rPr>
          <w:rFonts w:hint="default" w:ascii="Times New Roman" w:hAnsi="Times New Roman" w:eastAsia="宋体" w:cs="Times New Roman"/>
          <w:b/>
          <w:color w:val="000000"/>
          <w:sz w:val="24"/>
        </w:rPr>
      </w:pPr>
      <w:r>
        <w:rPr>
          <w:rFonts w:hint="default" w:ascii="Times New Roman" w:hAnsi="Times New Roman" w:eastAsia="宋体" w:cs="Times New Roman"/>
          <w:b w:val="0"/>
          <w:bCs/>
          <w:color w:val="000000"/>
          <w:sz w:val="24"/>
          <w:lang w:val="en-US" w:eastAsia="zh-CN"/>
        </w:rPr>
        <w:t>为避免底泥臭气对周围环境的影响，通过强化作业管理，保证设备运行稳定，可减少疏浚过程臭气的产生。如发现部分清淤点有明显臭气产生时，采取建挡板、加强对施工工人的保护、把受影响人群降至最少。此外，淤泥产生恶臭主要是对施工人员有一定的影响，但是施工期较短，影响是短期的，在施工过程中应注意施工人员的防护措施。</w:t>
      </w:r>
    </w:p>
    <w:p w14:paraId="24C13CAF">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3、水环境影响分析</w:t>
      </w:r>
    </w:p>
    <w:p w14:paraId="411EE0F4">
      <w:pPr>
        <w:keepNext w:val="0"/>
        <w:keepLines w:val="0"/>
        <w:pageBreakBefore w:val="0"/>
        <w:widowControl w:val="0"/>
        <w:suppressLineNumbers w:val="0"/>
        <w:spacing w:before="0" w:beforeAutospacing="0" w:after="0" w:afterAutospacing="0" w:line="360" w:lineRule="auto"/>
        <w:ind w:left="0" w:right="0" w:firstLine="480"/>
        <w:rPr>
          <w:rFonts w:hint="eastAsia" w:eastAsia="宋体" w:cs="Times New Roman"/>
          <w:color w:val="000000"/>
          <w:sz w:val="24"/>
          <w:lang w:eastAsia="zh-CN"/>
        </w:rPr>
      </w:pPr>
      <w:r>
        <w:rPr>
          <w:rFonts w:hint="default" w:ascii="Times New Roman" w:hAnsi="Times New Roman" w:eastAsia="宋体" w:cs="Times New Roman"/>
          <w:color w:val="000000"/>
          <w:sz w:val="24"/>
        </w:rPr>
        <w:t>施工期废水主要包括施工废水和施工人员的生活污水。</w:t>
      </w:r>
    </w:p>
    <w:p w14:paraId="5BE7773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eastAsia="宋体" w:cs="Times New Roman"/>
          <w:color w:val="000000"/>
          <w:sz w:val="24"/>
          <w:lang w:eastAsia="zh-CN"/>
        </w:rPr>
        <w:t>（</w:t>
      </w:r>
      <w:r>
        <w:rPr>
          <w:rFonts w:hint="eastAsia" w:eastAsia="宋体" w:cs="Times New Roman"/>
          <w:color w:val="000000"/>
          <w:sz w:val="24"/>
          <w:lang w:val="en-US" w:eastAsia="zh-CN"/>
        </w:rPr>
        <w:t>1）</w:t>
      </w:r>
      <w:r>
        <w:rPr>
          <w:rFonts w:hint="default" w:ascii="Times New Roman" w:hAnsi="Times New Roman" w:eastAsia="宋体" w:cs="Times New Roman"/>
          <w:color w:val="000000"/>
          <w:sz w:val="24"/>
        </w:rPr>
        <w:t>施工废水环境影响</w:t>
      </w:r>
    </w:p>
    <w:p w14:paraId="7D022DE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①机械冲洗废水</w:t>
      </w:r>
    </w:p>
    <w:p w14:paraId="5227425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施工现场严禁进行机械、设备的维修工作。因此不产生含油机修废水。施工期间产生的废水主要为施工机械冲洗产生的废水等，主要污染物是SS。施工现场设置临时沉淀池，对施工废水进行沉淀处理。经沉淀处理后，回用于施工场地洒水降尘等，不外排</w:t>
      </w:r>
      <w:r>
        <w:rPr>
          <w:rFonts w:hint="default" w:ascii="Times New Roman" w:hAnsi="Times New Roman" w:eastAsia="宋体" w:cs="Times New Roman"/>
          <w:color w:val="000000"/>
          <w:lang w:val="en-US" w:eastAsia="zh-CN"/>
        </w:rPr>
        <w:t>，对水环境影响很小。</w:t>
      </w:r>
    </w:p>
    <w:p w14:paraId="1AE3532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sz w:val="24"/>
        </w:rPr>
        <w:t>②</w:t>
      </w:r>
      <w:r>
        <w:rPr>
          <w:rFonts w:hint="default" w:ascii="Times New Roman" w:hAnsi="Times New Roman" w:eastAsia="宋体" w:cs="Times New Roman"/>
          <w:color w:val="000000"/>
        </w:rPr>
        <w:t>围堰及基坑排水</w:t>
      </w:r>
    </w:p>
    <w:p w14:paraId="4C4EFC8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根据施工组织设计，施工时需要进行施工围堰导流，会产生基坑排水，基坑排水主要为地下渗水和降雨，污染物单一，且较易沉降。</w:t>
      </w:r>
    </w:p>
    <w:p w14:paraId="7B5755B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根据建设单位提供的资料可知，围堰采用袋装土围堰，围堰最大高度为1.5m，放坡波比均为1：1.5。袋装土进行人工抛投，抛填时根据设计围堰断面尺寸进行均匀抛填，待围堰出水后人工叠实袋装土。</w:t>
      </w:r>
    </w:p>
    <w:p w14:paraId="6EAE51E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sz w:val="24"/>
          <w:lang w:val="en-US" w:eastAsia="zh-CN"/>
        </w:rPr>
        <w:t>围堰拆除采用挖掘机进行。先用挖掘机拆除至河水位高程，再用挖掘机退挖。自卸汽车运输至弃土场。围堰修建过程中仅造成围堰附近河道水体中SS浓度增高，一旦围堰修建结束，其对水环境的不利影响也将随之结束；挖掘机进行围堰拆除作业施工时，其造成的水体SS浓度增高仅限于施工作业期间的局部区域，随着围堰拆除作业的结束这一不利影响也将随之消失。</w:t>
      </w:r>
    </w:p>
    <w:p w14:paraId="169F389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基坑排水分初期排水和经常性排水，初期排水主要对象是原来的河水、地下渗水和降水，SS浓度相对较低；基坑经常性排水主要来自围堰渗水及雨水等，主要污染物为SS。</w:t>
      </w:r>
    </w:p>
    <w:p w14:paraId="699064A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根据水利工程经验，基坑初期排水水量相对较大、水质与河流水质基本相同，不会增加对所在</w:t>
      </w:r>
      <w:r>
        <w:rPr>
          <w:rFonts w:hint="eastAsia" w:eastAsia="宋体" w:cs="Times New Roman"/>
          <w:color w:val="000000"/>
          <w:lang w:eastAsia="zh-CN"/>
        </w:rPr>
        <w:t>河流</w:t>
      </w:r>
      <w:r>
        <w:rPr>
          <w:rFonts w:hint="default" w:ascii="Times New Roman" w:hAnsi="Times New Roman" w:eastAsia="宋体" w:cs="Times New Roman"/>
          <w:color w:val="000000"/>
        </w:rPr>
        <w:t>水质的污染。</w:t>
      </w:r>
      <w:r>
        <w:rPr>
          <w:rFonts w:hint="default" w:ascii="Times New Roman" w:hAnsi="Times New Roman" w:eastAsia="宋体" w:cs="Times New Roman"/>
          <w:color w:val="000000"/>
          <w:lang w:val="en-US" w:eastAsia="zh-CN"/>
        </w:rPr>
        <w:t>根据施工进度安排，施工时段选择11~3月完成，基坑经常性排水为间歇排放，每次水量较小，根据工程经验，基坑水经沉淀2个小时后，悬浮物浓度可降到200mg/L以下，可回用作运输道路洒水和施工场地洒水，不外排。另外，禁止在雨季开挖施工。基坑排水回用于洒水降尘、施工生产，不得直接排入渠道，对水环境影响很小。</w:t>
      </w:r>
    </w:p>
    <w:p w14:paraId="4D1946A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③</w:t>
      </w:r>
      <w:r>
        <w:rPr>
          <w:rFonts w:hint="default" w:ascii="Times New Roman" w:hAnsi="Times New Roman" w:eastAsia="宋体" w:cs="Times New Roman"/>
          <w:color w:val="000000"/>
          <w:lang w:val="en-US" w:eastAsia="zh-CN"/>
        </w:rPr>
        <w:t>清淤作业对水质的影响</w:t>
      </w:r>
    </w:p>
    <w:p w14:paraId="78EA7F4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sz w:val="24"/>
        </w:rPr>
        <w:t>本项目</w:t>
      </w:r>
      <w:r>
        <w:rPr>
          <w:rFonts w:hint="default" w:ascii="Times New Roman" w:hAnsi="Times New Roman" w:eastAsia="宋体" w:cs="Times New Roman"/>
          <w:color w:val="000000"/>
          <w:sz w:val="24"/>
          <w:lang w:val="en-US" w:eastAsia="zh-CN"/>
        </w:rPr>
        <w:t>施工</w:t>
      </w:r>
      <w:r>
        <w:rPr>
          <w:rFonts w:hint="default" w:ascii="Times New Roman" w:hAnsi="Times New Roman" w:eastAsia="宋体" w:cs="Times New Roman"/>
          <w:color w:val="000000"/>
          <w:sz w:val="24"/>
        </w:rPr>
        <w:t>过程主要</w:t>
      </w:r>
      <w:r>
        <w:rPr>
          <w:rFonts w:hint="eastAsia" w:eastAsia="宋体" w:cs="Times New Roman"/>
          <w:color w:val="000000"/>
          <w:sz w:val="24"/>
          <w:lang w:eastAsia="zh-CN"/>
        </w:rPr>
        <w:t>对</w:t>
      </w:r>
      <w:r>
        <w:rPr>
          <w:rFonts w:hint="default" w:ascii="Times New Roman" w:hAnsi="Times New Roman" w:eastAsia="宋体" w:cs="Times New Roman"/>
          <w:color w:val="000000"/>
        </w:rPr>
        <w:t>城区幽芳河、高庙河、柳林河、新店河等4条排涝通道</w:t>
      </w:r>
      <w:r>
        <w:rPr>
          <w:rFonts w:hint="eastAsia" w:ascii="Times New Roman" w:hAnsi="Times New Roman" w:eastAsia="宋体" w:cs="Times New Roman"/>
          <w:color w:val="000000"/>
          <w:lang w:eastAsia="zh-CN"/>
        </w:rPr>
        <w:t>进行疏浚、</w:t>
      </w:r>
      <w:r>
        <w:rPr>
          <w:rFonts w:hint="default" w:ascii="Times New Roman" w:hAnsi="Times New Roman" w:eastAsia="宋体" w:cs="Times New Roman"/>
          <w:color w:val="000000"/>
          <w:lang w:val="en-US" w:eastAsia="zh-CN"/>
        </w:rPr>
        <w:t>清淤过程中，挖掘和抽水过程中会搅动河道中的部分淤泥，使其中的污染物散发，</w:t>
      </w:r>
      <w:r>
        <w:rPr>
          <w:rFonts w:hint="default" w:ascii="Times New Roman" w:hAnsi="Times New Roman" w:eastAsia="宋体" w:cs="Times New Roman"/>
          <w:color w:val="000000"/>
          <w:sz w:val="24"/>
        </w:rPr>
        <w:t>施工引起的悬浮物均会在短时间内造成水质超标，对工程位置附近的水环境造成一定影响</w:t>
      </w:r>
      <w:r>
        <w:rPr>
          <w:rFonts w:hint="default" w:ascii="Times New Roman" w:hAnsi="Times New Roman" w:eastAsia="宋体" w:cs="Times New Roman"/>
          <w:color w:val="000000"/>
          <w:lang w:val="en-US" w:eastAsia="zh-CN"/>
        </w:rPr>
        <w:t>。根据类似清淤工程监测资料可知，在作业点附近，底层水体中悬浮物含量在300～400mg/L之间，表层水体中悬浮物含量在100～180mg/L之间，悬浮物含量升高，对项目范围内的水质影响较明显，但悬浮物质为颗粒态，它随着河水运动的同时在河水中沉降，并最终淤积于河底，这一特性决定了它的影响范围和影响时间是有限的，清淤引起的悬浮物扩散的影响将随施工结束而消失。</w:t>
      </w:r>
      <w:r>
        <w:rPr>
          <w:rFonts w:hint="eastAsia" w:eastAsia="宋体" w:cs="Times New Roman"/>
          <w:color w:val="000000"/>
          <w:sz w:val="24"/>
          <w:lang w:eastAsia="zh-CN"/>
        </w:rPr>
        <w:t>且</w:t>
      </w:r>
      <w:r>
        <w:rPr>
          <w:rFonts w:hint="default" w:ascii="Times New Roman" w:hAnsi="Times New Roman" w:eastAsia="宋体" w:cs="Times New Roman"/>
          <w:color w:val="000000"/>
          <w:sz w:val="24"/>
          <w:szCs w:val="24"/>
          <w:highlight w:val="none"/>
          <w:lang w:val="en-US" w:eastAsia="zh-CN" w:bidi="ar-SA"/>
        </w:rPr>
        <w:t>施工主</w:t>
      </w:r>
      <w:r>
        <w:rPr>
          <w:rFonts w:hint="eastAsia" w:eastAsia="宋体" w:cs="Times New Roman"/>
          <w:color w:val="000000"/>
          <w:sz w:val="24"/>
          <w:szCs w:val="24"/>
          <w:highlight w:val="none"/>
          <w:lang w:val="en-US" w:eastAsia="zh-CN" w:bidi="ar-SA"/>
        </w:rPr>
        <w:t>要</w:t>
      </w:r>
      <w:r>
        <w:rPr>
          <w:rFonts w:hint="default" w:ascii="Times New Roman" w:hAnsi="Times New Roman" w:eastAsia="宋体" w:cs="Times New Roman"/>
          <w:color w:val="000000"/>
          <w:sz w:val="24"/>
          <w:szCs w:val="24"/>
          <w:highlight w:val="none"/>
          <w:lang w:val="en-US" w:eastAsia="zh-CN" w:bidi="ar-SA"/>
        </w:rPr>
        <w:t>安排在非汛期</w:t>
      </w:r>
      <w:r>
        <w:rPr>
          <w:rFonts w:hint="default" w:ascii="Times New Roman" w:hAnsi="Times New Roman" w:eastAsia="宋体" w:cs="Times New Roman"/>
          <w:color w:val="000000"/>
          <w:lang w:val="en-US" w:eastAsia="zh-CN"/>
        </w:rPr>
        <w:t>，对河道水质影响较小，仅仅是在围堰的初期和拆除围堰时会产生暂时性的影响。</w:t>
      </w:r>
    </w:p>
    <w:p w14:paraId="03945ED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2</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生活污水</w:t>
      </w:r>
    </w:p>
    <w:p w14:paraId="1F5241D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本项目施工人员为附近居民，</w:t>
      </w:r>
      <w:r>
        <w:rPr>
          <w:rFonts w:hint="default" w:ascii="Times New Roman" w:hAnsi="Times New Roman" w:eastAsia="宋体" w:cs="Times New Roman"/>
          <w:color w:val="000000"/>
          <w:sz w:val="24"/>
          <w:highlight w:val="none"/>
          <w:lang w:val="en-US" w:eastAsia="zh-CN"/>
        </w:rPr>
        <w:t>施工生活区租赁周边民房，</w:t>
      </w:r>
      <w:r>
        <w:rPr>
          <w:rFonts w:hint="default" w:ascii="Times New Roman" w:hAnsi="Times New Roman" w:eastAsia="宋体" w:cs="Times New Roman"/>
          <w:color w:val="000000"/>
        </w:rPr>
        <w:t>生活污水主要污染物为BOD</w:t>
      </w:r>
      <w:r>
        <w:rPr>
          <w:rFonts w:hint="default" w:ascii="Times New Roman" w:hAnsi="Times New Roman" w:eastAsia="宋体" w:cs="Times New Roman"/>
          <w:color w:val="000000"/>
          <w:vertAlign w:val="subscript"/>
        </w:rPr>
        <w:t>5</w:t>
      </w:r>
      <w:r>
        <w:rPr>
          <w:rFonts w:hint="default" w:ascii="Times New Roman" w:hAnsi="Times New Roman" w:eastAsia="宋体" w:cs="Times New Roman"/>
          <w:color w:val="000000"/>
        </w:rPr>
        <w:t>、COD、氨氮和SS。</w:t>
      </w:r>
      <w:r>
        <w:rPr>
          <w:rFonts w:hint="default" w:ascii="Times New Roman" w:hAnsi="Times New Roman" w:eastAsia="宋体" w:cs="Times New Roman"/>
          <w:color w:val="000000"/>
          <w:sz w:val="24"/>
          <w:highlight w:val="none"/>
          <w:lang w:val="en-US" w:eastAsia="zh-CN"/>
        </w:rPr>
        <w:t>生活污水经化粪池预处理后厌氧沤肥后农用或接管市政污水管网</w:t>
      </w:r>
      <w:r>
        <w:rPr>
          <w:rFonts w:hint="eastAsia" w:ascii="Times New Roman" w:hAnsi="Times New Roman" w:eastAsia="宋体" w:cs="Times New Roman"/>
          <w:color w:val="000000"/>
          <w:lang w:eastAsia="zh-CN"/>
        </w:rPr>
        <w:t>。</w:t>
      </w:r>
      <w:r>
        <w:rPr>
          <w:rFonts w:hint="default" w:ascii="Times New Roman" w:hAnsi="Times New Roman" w:eastAsia="宋体" w:cs="Times New Roman"/>
          <w:color w:val="000000"/>
        </w:rPr>
        <w:t>施工期应加强施工管理，加强施工人员的环保意识，禁止随意在街道倾倒废水及残渣废物。</w:t>
      </w:r>
    </w:p>
    <w:p w14:paraId="4BDF3E1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rPr>
        <w:t>综上，项目施工期产生的</w:t>
      </w:r>
      <w:r>
        <w:rPr>
          <w:rFonts w:hint="eastAsia" w:ascii="Times New Roman" w:hAnsi="Times New Roman" w:eastAsia="宋体" w:cs="Times New Roman"/>
          <w:color w:val="000000"/>
          <w:lang w:eastAsia="zh-CN"/>
        </w:rPr>
        <w:t>废水</w:t>
      </w:r>
      <w:r>
        <w:rPr>
          <w:rFonts w:hint="default" w:ascii="Times New Roman" w:hAnsi="Times New Roman" w:eastAsia="宋体" w:cs="Times New Roman"/>
          <w:color w:val="000000"/>
        </w:rPr>
        <w:t>和生活</w:t>
      </w:r>
      <w:r>
        <w:rPr>
          <w:rFonts w:hint="eastAsia" w:ascii="Times New Roman" w:hAnsi="Times New Roman" w:eastAsia="宋体" w:cs="Times New Roman"/>
          <w:color w:val="000000"/>
          <w:lang w:eastAsia="zh-CN"/>
        </w:rPr>
        <w:t>污</w:t>
      </w:r>
      <w:r>
        <w:rPr>
          <w:rFonts w:hint="default" w:ascii="Times New Roman" w:hAnsi="Times New Roman" w:eastAsia="宋体" w:cs="Times New Roman"/>
          <w:color w:val="000000"/>
        </w:rPr>
        <w:t>水均能得到合理处置时，将不会对区域地表水体产生明显不利影响。</w:t>
      </w:r>
    </w:p>
    <w:p w14:paraId="47FC1968">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4、声环境影响分析</w:t>
      </w:r>
    </w:p>
    <w:p w14:paraId="7AFD7AC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期噪声主要为施工机械产生噪声。施工期噪声包括各建筑机械和运输车辆噪声，声级值一般在85~100dB(A)。施工过程采用的钻机、振捣棒等机械设备以及运输车辆在运行时会产生一定量的噪声施工期噪声影响来源于施工机械作业噪声、运输车辆噪声等，均为间歇性噪声源。根据同类型施工的噪声监测数据，施工器械的噪声源强大多处于70~105dB</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A</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之间，噪声较高的噪声源分布在土方开挖施工区和施工道路交通运输，噪声影响随施工结束而结束。</w:t>
      </w:r>
    </w:p>
    <w:p w14:paraId="42E129FB">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5、固体废物环境影响分析及防治措施</w:t>
      </w:r>
    </w:p>
    <w:p w14:paraId="3A500C4B">
      <w:pPr>
        <w:keepNext w:val="0"/>
        <w:keepLines w:val="0"/>
        <w:pageBreakBefore w:val="0"/>
        <w:widowControl w:val="0"/>
        <w:suppressLineNumbers w:val="0"/>
        <w:spacing w:before="0" w:beforeAutospacing="0" w:after="0" w:afterAutospacing="0" w:line="360" w:lineRule="auto"/>
        <w:ind w:left="0" w:right="0" w:firstLine="480"/>
        <w:rPr>
          <w:rFonts w:hint="eastAsia"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本项目施工期产生的固体废物主要为施工场所产生施工人员活动产生的生活垃圾</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多余土方及排洪渠清理产生的垃圾及沟道清淤等</w:t>
      </w:r>
      <w:r>
        <w:rPr>
          <w:rFonts w:hint="default" w:ascii="Times New Roman" w:hAnsi="Times New Roman" w:eastAsia="宋体" w:cs="Times New Roman"/>
          <w:color w:val="000000"/>
          <w:sz w:val="24"/>
        </w:rPr>
        <w:t>。</w:t>
      </w:r>
    </w:p>
    <w:p w14:paraId="3FED3CE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eastAsia="宋体" w:cs="Times New Roman"/>
          <w:color w:val="000000"/>
          <w:sz w:val="24"/>
          <w:lang w:eastAsia="zh-CN"/>
        </w:rPr>
        <w:t>（</w:t>
      </w:r>
      <w:r>
        <w:rPr>
          <w:rFonts w:hint="eastAsia" w:eastAsia="宋体" w:cs="Times New Roman"/>
          <w:color w:val="000000"/>
          <w:sz w:val="24"/>
          <w:lang w:val="en-US" w:eastAsia="zh-CN"/>
        </w:rPr>
        <w:t>1）</w:t>
      </w:r>
      <w:r>
        <w:rPr>
          <w:rFonts w:hint="default" w:ascii="Times New Roman" w:hAnsi="Times New Roman" w:eastAsia="宋体" w:cs="Times New Roman"/>
          <w:color w:val="000000"/>
          <w:sz w:val="24"/>
        </w:rPr>
        <w:t>生活垃圾</w:t>
      </w:r>
    </w:p>
    <w:p w14:paraId="3EA0B6C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生活垃圾：施工期高峰人数为</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rPr>
        <w:t>0人，按每人每天产生生活垃圾量</w:t>
      </w:r>
      <w:r>
        <w:rPr>
          <w:rFonts w:hint="eastAsia" w:eastAsia="宋体" w:cs="Times New Roman"/>
          <w:color w:val="000000"/>
          <w:sz w:val="24"/>
          <w:lang w:val="en-US" w:eastAsia="zh-CN"/>
        </w:rPr>
        <w:t>1</w:t>
      </w:r>
      <w:r>
        <w:rPr>
          <w:rFonts w:hint="default" w:ascii="Times New Roman" w:hAnsi="Times New Roman" w:eastAsia="宋体" w:cs="Times New Roman"/>
          <w:color w:val="000000"/>
          <w:sz w:val="24"/>
        </w:rPr>
        <w:t>kg计算，则生活垃圾产生量为0.0</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rPr>
        <w:t>t/d，整个施工期约</w:t>
      </w:r>
      <w:r>
        <w:rPr>
          <w:rFonts w:hint="eastAsia" w:eastAsia="宋体" w:cs="Times New Roman"/>
          <w:color w:val="000000"/>
          <w:sz w:val="24"/>
          <w:lang w:val="en-US" w:eastAsia="zh-CN"/>
        </w:rPr>
        <w:t>14个月</w:t>
      </w:r>
      <w:r>
        <w:rPr>
          <w:rFonts w:hint="default" w:ascii="Times New Roman" w:hAnsi="Times New Roman" w:eastAsia="宋体" w:cs="Times New Roman"/>
          <w:color w:val="000000"/>
          <w:sz w:val="24"/>
        </w:rPr>
        <w:t>，产生生活垃圾</w:t>
      </w:r>
      <w:r>
        <w:rPr>
          <w:rFonts w:hint="eastAsia" w:eastAsia="宋体" w:cs="Times New Roman"/>
          <w:color w:val="000000"/>
          <w:sz w:val="24"/>
          <w:lang w:val="en-US" w:eastAsia="zh-CN"/>
        </w:rPr>
        <w:t>21</w:t>
      </w:r>
      <w:r>
        <w:rPr>
          <w:rFonts w:hint="default" w:ascii="Times New Roman" w:hAnsi="Times New Roman" w:eastAsia="宋体" w:cs="Times New Roman"/>
          <w:color w:val="000000"/>
          <w:sz w:val="24"/>
        </w:rPr>
        <w:t>t。主要污染物为垃圾袋、果核、矿泉水瓶等，集中收集后由施工单位清运至垃圾中转站，由环卫部门统一处理。</w:t>
      </w:r>
    </w:p>
    <w:p w14:paraId="18628458">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eastAsia="宋体" w:cs="Times New Roman"/>
          <w:color w:val="000000"/>
          <w:sz w:val="24"/>
          <w:lang w:eastAsia="zh-CN"/>
        </w:rPr>
        <w:t>（</w:t>
      </w:r>
      <w:r>
        <w:rPr>
          <w:rFonts w:hint="eastAsia" w:eastAsia="宋体" w:cs="Times New Roman"/>
          <w:color w:val="000000"/>
          <w:sz w:val="24"/>
          <w:lang w:val="en-US" w:eastAsia="zh-CN"/>
        </w:rPr>
        <w:t>2）</w:t>
      </w:r>
      <w:r>
        <w:rPr>
          <w:rFonts w:hint="default" w:ascii="Times New Roman" w:hAnsi="Times New Roman" w:eastAsia="宋体" w:cs="Times New Roman"/>
          <w:color w:val="000000"/>
          <w:sz w:val="24"/>
        </w:rPr>
        <w:t>土石方弃土</w:t>
      </w:r>
    </w:p>
    <w:p w14:paraId="768F43C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szCs w:val="24"/>
          <w:highlight w:val="none"/>
          <w:lang w:val="en-US" w:eastAsia="zh-CN" w:bidi="ar"/>
        </w:rPr>
        <w:t>本项目建设期土石方开挖总量为</w:t>
      </w:r>
      <w:r>
        <w:rPr>
          <w:rFonts w:hint="eastAsia" w:ascii="Times New Roman" w:hAnsi="Times New Roman" w:eastAsia="宋体" w:cs="Times New Roman"/>
          <w:color w:val="000000"/>
          <w:sz w:val="24"/>
          <w:highlight w:val="none"/>
          <w:lang w:val="en-US" w:eastAsia="zh-CN"/>
        </w:rPr>
        <w:t>57.4261</w:t>
      </w:r>
      <w:r>
        <w:rPr>
          <w:rFonts w:hint="default" w:ascii="Times New Roman" w:hAnsi="Times New Roman" w:eastAsia="宋体" w:cs="Times New Roman"/>
          <w:color w:val="000000"/>
          <w:sz w:val="24"/>
          <w:highlight w:val="none"/>
          <w:lang w:val="en-US" w:eastAsia="zh-CN"/>
        </w:rPr>
        <w:t>万</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vertAlign w:val="superscript"/>
          <w:lang w:val="en-US" w:eastAsia="zh-CN"/>
        </w:rPr>
        <w:t>3</w:t>
      </w:r>
      <w:r>
        <w:rPr>
          <w:rFonts w:hint="default" w:ascii="Times New Roman" w:hAnsi="Times New Roman" w:eastAsia="宋体" w:cs="Times New Roman"/>
          <w:color w:val="000000"/>
          <w:sz w:val="24"/>
          <w:highlight w:val="none"/>
          <w:lang w:val="en-US" w:eastAsia="zh-CN"/>
        </w:rPr>
        <w:t>；土方填筑总量</w:t>
      </w:r>
      <w:r>
        <w:rPr>
          <w:rFonts w:hint="eastAsia" w:ascii="Times New Roman" w:hAnsi="Times New Roman" w:eastAsia="宋体" w:cs="Times New Roman"/>
          <w:color w:val="000000"/>
          <w:sz w:val="24"/>
          <w:highlight w:val="none"/>
          <w:lang w:val="en-US" w:eastAsia="zh-CN"/>
        </w:rPr>
        <w:t>57.4261</w:t>
      </w:r>
      <w:r>
        <w:rPr>
          <w:rFonts w:hint="default" w:ascii="Times New Roman" w:hAnsi="Times New Roman" w:eastAsia="宋体" w:cs="Times New Roman"/>
          <w:color w:val="000000"/>
          <w:sz w:val="24"/>
          <w:highlight w:val="none"/>
          <w:lang w:val="en-US" w:eastAsia="zh-CN"/>
        </w:rPr>
        <w:t>万</w:t>
      </w:r>
      <w:r>
        <w:rPr>
          <w:rFonts w:hint="eastAsia" w:eastAsia="宋体" w:cs="Times New Roman"/>
          <w:color w:val="000000"/>
          <w:sz w:val="24"/>
          <w:highlight w:val="none"/>
          <w:lang w:val="en-US" w:eastAsia="zh-CN"/>
        </w:rPr>
        <w:t>m</w:t>
      </w:r>
      <w:r>
        <w:rPr>
          <w:rFonts w:hint="default" w:ascii="Times New Roman" w:hAnsi="Times New Roman" w:eastAsia="宋体" w:cs="Times New Roman"/>
          <w:color w:val="000000"/>
          <w:sz w:val="24"/>
          <w:highlight w:val="none"/>
          <w:vertAlign w:val="superscript"/>
          <w:lang w:val="en-US" w:eastAsia="zh-CN"/>
        </w:rPr>
        <w:t>3</w:t>
      </w:r>
      <w:r>
        <w:rPr>
          <w:rFonts w:hint="default" w:ascii="Times New Roman" w:hAnsi="Times New Roman" w:eastAsia="宋体" w:cs="Times New Roman"/>
          <w:color w:val="000000"/>
          <w:sz w:val="24"/>
          <w:szCs w:val="24"/>
          <w:highlight w:val="none"/>
          <w:lang w:val="en-US" w:eastAsia="zh-CN" w:bidi="ar"/>
        </w:rPr>
        <w:t>，</w:t>
      </w:r>
      <w:r>
        <w:rPr>
          <w:rFonts w:hint="eastAsia" w:eastAsia="宋体" w:cs="Times New Roman"/>
          <w:color w:val="000000"/>
          <w:sz w:val="24"/>
          <w:szCs w:val="24"/>
          <w:highlight w:val="none"/>
          <w:lang w:val="en-US" w:eastAsia="zh-CN" w:bidi="ar"/>
        </w:rPr>
        <w:t>不产生</w:t>
      </w:r>
      <w:r>
        <w:rPr>
          <w:rFonts w:hint="default" w:ascii="Times New Roman" w:hAnsi="Times New Roman" w:eastAsia="宋体" w:cs="Times New Roman"/>
          <w:color w:val="000000"/>
          <w:sz w:val="24"/>
        </w:rPr>
        <w:t>废弃土方</w:t>
      </w:r>
      <w:r>
        <w:rPr>
          <w:rFonts w:hint="default" w:ascii="Times New Roman" w:hAnsi="Times New Roman" w:eastAsia="宋体" w:cs="Times New Roman"/>
          <w:color w:val="000000"/>
          <w:sz w:val="24"/>
          <w:highlight w:val="none"/>
          <w:lang w:val="en-US" w:eastAsia="zh-CN"/>
        </w:rPr>
        <w:t>。</w:t>
      </w:r>
    </w:p>
    <w:p w14:paraId="320BBF93">
      <w:pPr>
        <w:keepNext w:val="0"/>
        <w:keepLines w:val="0"/>
        <w:pageBreakBefore w:val="0"/>
        <w:widowControl w:val="0"/>
        <w:numPr>
          <w:ilvl w:val="0"/>
          <w:numId w:val="3"/>
        </w:numPr>
        <w:suppressLineNumbers w:val="0"/>
        <w:spacing w:before="0" w:beforeAutospacing="0" w:after="0" w:afterAutospacing="0" w:line="360" w:lineRule="auto"/>
        <w:ind w:left="0" w:right="0" w:firstLine="480"/>
        <w:rPr>
          <w:rFonts w:hint="eastAsia" w:eastAsia="宋体" w:cs="Times New Roman"/>
          <w:color w:val="000000"/>
          <w:sz w:val="24"/>
          <w:lang w:val="en-US" w:eastAsia="zh-CN"/>
        </w:rPr>
      </w:pPr>
      <w:r>
        <w:rPr>
          <w:rFonts w:hint="eastAsia" w:eastAsia="宋体" w:cs="Times New Roman"/>
          <w:color w:val="000000"/>
          <w:sz w:val="24"/>
          <w:lang w:val="en-US" w:eastAsia="zh-CN"/>
        </w:rPr>
        <w:t>河道疏浚、清淤</w:t>
      </w:r>
    </w:p>
    <w:p w14:paraId="7C592732">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eastAsia="zh-CN" w:bidi="ar"/>
        </w:rPr>
      </w:pPr>
      <w:r>
        <w:rPr>
          <w:rFonts w:hint="default" w:ascii="Times New Roman" w:hAnsi="Times New Roman" w:eastAsia="宋体" w:cs="Times New Roman"/>
          <w:color w:val="000000"/>
          <w:sz w:val="24"/>
          <w:lang w:val="en-US" w:eastAsia="zh-CN" w:bidi="ar"/>
        </w:rPr>
        <w:t>本</w:t>
      </w:r>
      <w:r>
        <w:rPr>
          <w:rFonts w:hint="eastAsia" w:eastAsia="宋体" w:cs="Times New Roman"/>
          <w:color w:val="000000"/>
          <w:sz w:val="24"/>
          <w:lang w:val="en-US" w:eastAsia="zh-CN" w:bidi="ar"/>
        </w:rPr>
        <w:t>项目河道疏浚、清淤</w:t>
      </w:r>
      <w:r>
        <w:rPr>
          <w:rFonts w:hint="default" w:ascii="Times New Roman" w:hAnsi="Times New Roman" w:eastAsia="宋体" w:cs="Times New Roman"/>
          <w:color w:val="000000"/>
          <w:sz w:val="24"/>
          <w:lang w:val="en-US" w:eastAsia="zh-CN" w:bidi="ar"/>
        </w:rPr>
        <w:t>采用挖掘机干式</w:t>
      </w:r>
      <w:r>
        <w:rPr>
          <w:rFonts w:hint="eastAsia" w:eastAsia="宋体" w:cs="Times New Roman"/>
          <w:color w:val="000000"/>
          <w:sz w:val="24"/>
          <w:lang w:val="en-US" w:eastAsia="zh-CN" w:bidi="ar"/>
        </w:rPr>
        <w:t>挖掘</w:t>
      </w:r>
      <w:r>
        <w:rPr>
          <w:rFonts w:hint="default" w:ascii="Times New Roman" w:hAnsi="Times New Roman" w:eastAsia="宋体" w:cs="Times New Roman"/>
          <w:color w:val="000000"/>
          <w:sz w:val="24"/>
          <w:lang w:val="en-US" w:eastAsia="zh-CN" w:bidi="ar"/>
        </w:rPr>
        <w:t>，随挖随运，不在项目区堆放。运输将严格按照六安市有关渣土运输的有关规定，选用性能良好、车厢封闭较好、证件齐全的车辆，严格按照指定的线路行驶。做到运输车辆不超载，车厢上部全部用篷布覆盖，避免运输过程中渣土散落污染周边道路及环境。同时需在运输的区间段内安排清洁人员，随时对车辆散落下来的土块、泥块进行清扫，并安排专人进行巡视、值班、组织路口交通。</w:t>
      </w:r>
    </w:p>
    <w:p w14:paraId="510D99B3">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bidi="ar"/>
        </w:rPr>
        <w:t>根据项目实地考察，</w:t>
      </w:r>
      <w:r>
        <w:rPr>
          <w:rFonts w:hint="eastAsia" w:eastAsia="宋体" w:cs="Times New Roman"/>
          <w:color w:val="000000"/>
          <w:sz w:val="24"/>
          <w:lang w:eastAsia="zh-CN" w:bidi="ar"/>
        </w:rPr>
        <w:t>河道</w:t>
      </w:r>
      <w:r>
        <w:rPr>
          <w:rFonts w:hint="default" w:ascii="Times New Roman" w:hAnsi="Times New Roman" w:eastAsia="宋体" w:cs="Times New Roman"/>
          <w:color w:val="000000"/>
          <w:sz w:val="24"/>
          <w:lang w:eastAsia="zh-CN" w:bidi="ar"/>
        </w:rPr>
        <w:t>产生的固体废弃物为雨水冲刷山体产生的植物枯叶和沙土，对环境无影响，由建设单位</w:t>
      </w:r>
      <w:r>
        <w:rPr>
          <w:rFonts w:hint="default" w:ascii="Times New Roman" w:hAnsi="Times New Roman" w:eastAsia="宋体" w:cs="Times New Roman"/>
          <w:color w:val="000000"/>
          <w:sz w:val="24"/>
          <w:lang w:eastAsia="zh-CN"/>
        </w:rPr>
        <w:t>清理。</w:t>
      </w:r>
    </w:p>
    <w:p w14:paraId="692CDA8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（4）建筑垃圾</w:t>
      </w:r>
    </w:p>
    <w:p w14:paraId="7688EB20">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rPr>
      </w:pPr>
      <w:r>
        <w:rPr>
          <w:rFonts w:hint="default" w:ascii="Times New Roman" w:hAnsi="Times New Roman" w:eastAsia="宋体" w:cs="Times New Roman"/>
          <w:color w:val="000000"/>
          <w:sz w:val="24"/>
          <w:szCs w:val="24"/>
          <w:lang w:val="en-US" w:eastAsia="zh-CN" w:bidi="ar"/>
        </w:rPr>
        <w:t>本项目在建设过程中产生的建筑垃圾主要为建材损耗产生的垃圾，主要产生在施工场地修建过程中。在施工过程中产生的建筑垃圾包括砂土、石块、水泥、碎木料、锯木屑、废金属、钢筋、铁丝、土石方等杂物。工程施工过程中产生的各类建渣，</w:t>
      </w:r>
      <w:r>
        <w:rPr>
          <w:rFonts w:hint="default" w:ascii="Times New Roman" w:hAnsi="Times New Roman" w:eastAsia="宋体" w:cs="Times New Roman"/>
          <w:color w:val="000000"/>
          <w:sz w:val="24"/>
          <w:lang w:eastAsia="zh-CN" w:bidi="ar"/>
        </w:rPr>
        <w:t>由建设单位</w:t>
      </w:r>
      <w:r>
        <w:rPr>
          <w:rFonts w:hint="default" w:ascii="Times New Roman" w:hAnsi="Times New Roman" w:eastAsia="宋体" w:cs="Times New Roman"/>
          <w:color w:val="000000"/>
          <w:sz w:val="24"/>
          <w:lang w:eastAsia="zh-CN"/>
        </w:rPr>
        <w:t>清理至建筑垃圾填埋场处理。</w:t>
      </w:r>
    </w:p>
    <w:p w14:paraId="5A51E1BF">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建设单位应要求施工单位规范处理，首先将建筑垃圾分类，尽量回收其中尚可利用的部分建筑材料，对没有利用价值以及不能回填的废弃物应妥善堆放、及时处理，委托外运至城市指定建筑垃圾填埋场。施工产生的各类垃圾废弃物应堆置在规定的地点，在对其进行清运和回收处理前要进行围挡、遮盖，防止被雨水冲刷或大风刮起，进入水体，影响水质。在施工期间，施工车辆要按照指定路线行驶，不允许车辆进入水体，污染水体，严禁向水体中倾倒建筑废料，施工中不得随意抛弃建筑材料、残土、旧料和其他杂物。</w:t>
      </w:r>
    </w:p>
    <w:p w14:paraId="45F98926">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color w:val="000000"/>
          <w:sz w:val="24"/>
          <w:lang w:val="en-US" w:eastAsia="zh-CN"/>
        </w:rPr>
      </w:pPr>
      <w:r>
        <w:rPr>
          <w:rFonts w:hint="eastAsia" w:ascii="Times New Roman" w:hAnsi="Times New Roman" w:eastAsia="宋体" w:cs="Times New Roman"/>
          <w:b/>
          <w:color w:val="000000"/>
          <w:sz w:val="24"/>
          <w:lang w:val="en-US" w:eastAsia="zh-CN"/>
        </w:rPr>
        <w:t>6、</w:t>
      </w:r>
      <w:r>
        <w:rPr>
          <w:rFonts w:hint="default" w:ascii="Times New Roman" w:hAnsi="Times New Roman" w:eastAsia="宋体" w:cs="Times New Roman"/>
          <w:b/>
          <w:color w:val="000000"/>
          <w:sz w:val="24"/>
          <w:lang w:val="en-US" w:eastAsia="zh-CN"/>
        </w:rPr>
        <w:t>水文情势影响分析</w:t>
      </w:r>
    </w:p>
    <w:p w14:paraId="43306C66">
      <w:pPr>
        <w:keepNext w:val="0"/>
        <w:keepLines w:val="0"/>
        <w:pageBreakBefore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
        </w:rPr>
        <w:t>本工程施工选择在枯水期，河道水量较小，工程施工不会影响水流的宣泄，故不会对河道上、下游水域的水文情势形成明显的影响。随着项目建设投入运行后，原河道水文情势的变化将得以恢复</w:t>
      </w:r>
      <w:r>
        <w:rPr>
          <w:rFonts w:hint="default" w:ascii="Times New Roman" w:hAnsi="Times New Roman" w:eastAsia="宋体" w:cs="Times New Roman"/>
          <w:color w:val="000000"/>
          <w:sz w:val="24"/>
          <w:szCs w:val="24"/>
          <w:lang w:val="en-US" w:eastAsia="zh-CN" w:bidi="ar-SA"/>
        </w:rPr>
        <w:t>。</w:t>
      </w:r>
    </w:p>
    <w:p w14:paraId="12CAC0B3">
      <w:pPr>
        <w:pStyle w:val="4"/>
        <w:rPr>
          <w:rFonts w:hint="eastAsia" w:ascii="Times New Roman" w:hAnsi="Times New Roman" w:cs="Times New Roman"/>
          <w:color w:val="000000"/>
          <w:lang w:val="en-US" w:eastAsia="zh-CN"/>
        </w:rPr>
      </w:pPr>
      <w:bookmarkStart w:id="112" w:name="_Toc15311"/>
      <w:bookmarkStart w:id="113" w:name="_Toc5079"/>
      <w:r>
        <w:rPr>
          <w:rFonts w:hint="eastAsia" w:ascii="Times New Roman" w:hAnsi="Times New Roman" w:cs="Times New Roman"/>
          <w:color w:val="000000"/>
          <w:lang w:val="en-US" w:eastAsia="zh-CN"/>
        </w:rPr>
        <w:t>5.2 运营期生态环境影响分析</w:t>
      </w:r>
      <w:bookmarkEnd w:id="112"/>
      <w:bookmarkEnd w:id="113"/>
    </w:p>
    <w:p w14:paraId="6A34D86D">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本项目主要是排水防涝能力提升项目，通过</w:t>
      </w:r>
      <w:r>
        <w:rPr>
          <w:rFonts w:hint="default"/>
          <w:color w:val="000000"/>
        </w:rPr>
        <w:t>新建排水管网</w:t>
      </w:r>
      <w:r>
        <w:rPr>
          <w:rFonts w:hint="eastAsia"/>
          <w:color w:val="000000"/>
          <w:lang w:eastAsia="zh-CN"/>
        </w:rPr>
        <w:t>，</w:t>
      </w:r>
      <w:r>
        <w:rPr>
          <w:rFonts w:hint="default"/>
          <w:color w:val="000000"/>
        </w:rPr>
        <w:t>增设西部新城排涝泵站</w:t>
      </w:r>
      <w:r>
        <w:rPr>
          <w:rFonts w:hint="eastAsia"/>
          <w:color w:val="000000"/>
          <w:lang w:eastAsia="zh-CN"/>
        </w:rPr>
        <w:t>，</w:t>
      </w:r>
      <w:r>
        <w:rPr>
          <w:rFonts w:hint="default"/>
          <w:color w:val="000000"/>
        </w:rPr>
        <w:t>改造排涝沟</w:t>
      </w:r>
      <w:r>
        <w:rPr>
          <w:rFonts w:hint="eastAsia"/>
          <w:color w:val="000000"/>
          <w:lang w:eastAsia="zh-CN"/>
        </w:rPr>
        <w:t>，</w:t>
      </w:r>
      <w:r>
        <w:rPr>
          <w:rFonts w:hint="default"/>
          <w:color w:val="000000"/>
        </w:rPr>
        <w:t>整治城区柳林河、幽芳河、高庙河、新店河四条排涝通道</w:t>
      </w:r>
      <w:r>
        <w:rPr>
          <w:rFonts w:hint="eastAsia"/>
          <w:color w:val="000000"/>
          <w:lang w:eastAsia="zh-CN"/>
        </w:rPr>
        <w:t>，</w:t>
      </w:r>
      <w:r>
        <w:rPr>
          <w:rFonts w:hint="eastAsia" w:ascii="Times New Roman" w:hAnsi="Times New Roman" w:eastAsia="宋体" w:cs="Times New Roman"/>
          <w:color w:val="000000"/>
          <w:sz w:val="24"/>
          <w:szCs w:val="24"/>
          <w:lang w:val="en-US" w:eastAsia="zh-CN" w:bidi="ar"/>
        </w:rPr>
        <w:t>完善必要的排水防涝能力，增加项目区抵抗自然灾害的能力，改善项目区生态环境。</w:t>
      </w:r>
      <w:r>
        <w:rPr>
          <w:rFonts w:hint="default" w:ascii="Times New Roman" w:hAnsi="Times New Roman" w:eastAsia="宋体" w:cs="Times New Roman"/>
          <w:color w:val="000000"/>
          <w:sz w:val="24"/>
          <w:lang w:val="en-US" w:eastAsia="zh-CN"/>
        </w:rPr>
        <w:t>工程建成之后，将解决管网服务范围内的路面积水问题，减少了城市内涝的问题，并改善区域内居民生活环境，对</w:t>
      </w:r>
      <w:r>
        <w:rPr>
          <w:rFonts w:hint="eastAsia" w:eastAsia="宋体" w:cs="Times New Roman"/>
          <w:color w:val="000000"/>
          <w:sz w:val="24"/>
          <w:lang w:val="en-US" w:eastAsia="zh-CN"/>
        </w:rPr>
        <w:t>霍山县</w:t>
      </w:r>
      <w:r>
        <w:rPr>
          <w:rFonts w:hint="default" w:ascii="Times New Roman" w:hAnsi="Times New Roman" w:eastAsia="宋体" w:cs="Times New Roman"/>
          <w:color w:val="000000"/>
          <w:sz w:val="24"/>
          <w:lang w:val="en-US" w:eastAsia="zh-CN"/>
        </w:rPr>
        <w:t>城市建设的建设有着积极的意义。</w:t>
      </w:r>
    </w:p>
    <w:p w14:paraId="12DEFA45">
      <w:pPr>
        <w:keepNext w:val="0"/>
        <w:keepLines w:val="0"/>
        <w:pageBreakBefore w:val="0"/>
        <w:widowControl/>
        <w:numPr>
          <w:ilvl w:val="0"/>
          <w:numId w:val="0"/>
        </w:numPr>
        <w:suppressLineNumbers w:val="0"/>
        <w:spacing w:before="0" w:beforeAutospacing="0" w:after="0" w:afterAutospacing="0" w:line="360" w:lineRule="auto"/>
        <w:ind w:right="0"/>
        <w:jc w:val="left"/>
        <w:rPr>
          <w:rFonts w:hint="eastAsia" w:ascii="Times New Roman" w:hAnsi="Times New Roman" w:eastAsia="宋体" w:cs="Times New Roman"/>
          <w:b/>
          <w:bCs/>
          <w:color w:val="000000"/>
          <w:sz w:val="24"/>
          <w:szCs w:val="24"/>
          <w:lang w:val="en-US" w:eastAsia="zh-CN" w:bidi="ar"/>
        </w:rPr>
      </w:pPr>
      <w:r>
        <w:rPr>
          <w:rFonts w:hint="eastAsia" w:ascii="Times New Roman" w:hAnsi="Times New Roman" w:eastAsia="宋体" w:cs="Times New Roman"/>
          <w:b/>
          <w:bCs/>
          <w:color w:val="000000"/>
          <w:sz w:val="24"/>
          <w:szCs w:val="24"/>
          <w:lang w:val="en-US" w:eastAsia="zh-CN" w:bidi="ar"/>
        </w:rPr>
        <w:t>1、运营期大气影响分析</w:t>
      </w:r>
    </w:p>
    <w:p w14:paraId="769D7703">
      <w:pPr>
        <w:keepNext w:val="0"/>
        <w:keepLines w:val="0"/>
        <w:pageBreakBefore w:val="0"/>
        <w:widowControl/>
        <w:numPr>
          <w:ilvl w:val="0"/>
          <w:numId w:val="0"/>
        </w:numPr>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本工程为排水防涝工程，运营期无废气污染源，工程实施后，对施工后的场地进行覆土绿化，可有效减少扬尘，从而减轻了扬尘对大气环境的影响。</w:t>
      </w:r>
    </w:p>
    <w:p w14:paraId="5EEEFD36">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sz w:val="24"/>
          <w:szCs w:val="24"/>
          <w:lang w:val="en-US" w:eastAsia="zh-CN" w:bidi="ar"/>
        </w:rPr>
      </w:pPr>
      <w:r>
        <w:rPr>
          <w:rFonts w:hint="eastAsia" w:ascii="Times New Roman" w:hAnsi="Times New Roman" w:eastAsia="宋体" w:cs="Times New Roman"/>
          <w:b/>
          <w:bCs/>
          <w:color w:val="000000"/>
          <w:sz w:val="24"/>
          <w:szCs w:val="24"/>
          <w:lang w:val="en-US" w:eastAsia="zh-CN" w:bidi="ar"/>
        </w:rPr>
        <w:t>2、运营期对水环境影响分析</w:t>
      </w:r>
    </w:p>
    <w:p w14:paraId="776A7B19">
      <w:pPr>
        <w:keepNext w:val="0"/>
        <w:keepLines w:val="0"/>
        <w:pageBreakBefore w:val="0"/>
        <w:widowControl/>
        <w:suppressLineNumbers w:val="0"/>
        <w:spacing w:before="0" w:beforeAutospacing="0" w:after="0" w:afterAutospacing="0" w:line="360" w:lineRule="auto"/>
        <w:ind w:left="0" w:right="0" w:firstLine="480"/>
        <w:jc w:val="left"/>
        <w:rPr>
          <w:rFonts w:hint="eastAsia"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本工程为排水防涝工程，运行期废水</w:t>
      </w:r>
      <w:r>
        <w:rPr>
          <w:rFonts w:hint="eastAsia" w:eastAsia="宋体" w:cs="Times New Roman"/>
          <w:color w:val="000000"/>
          <w:sz w:val="24"/>
          <w:szCs w:val="24"/>
          <w:lang w:val="en-US" w:eastAsia="zh-CN" w:bidi="ar"/>
        </w:rPr>
        <w:t>主要为收集的</w:t>
      </w:r>
      <w:r>
        <w:rPr>
          <w:rFonts w:hint="eastAsia"/>
          <w:color w:val="000000"/>
          <w:lang w:val="en-US" w:eastAsia="zh-CN"/>
        </w:rPr>
        <w:t>沿河居民生活污水</w:t>
      </w:r>
      <w:r>
        <w:rPr>
          <w:rFonts w:hint="eastAsia" w:ascii="Times New Roman" w:hAnsi="Times New Roman" w:eastAsia="宋体" w:cs="Times New Roman"/>
          <w:color w:val="000000"/>
          <w:sz w:val="24"/>
          <w:szCs w:val="24"/>
          <w:lang w:val="en-US" w:eastAsia="zh-CN" w:bidi="ar"/>
        </w:rPr>
        <w:t>。</w:t>
      </w:r>
    </w:p>
    <w:p w14:paraId="5CB1B8DB">
      <w:pPr>
        <w:keepNext w:val="0"/>
        <w:keepLines w:val="0"/>
        <w:pageBreakBefore w:val="0"/>
        <w:widowControl/>
        <w:suppressLineNumbers w:val="0"/>
        <w:spacing w:before="0" w:beforeAutospacing="0" w:after="0" w:afterAutospacing="0" w:line="360" w:lineRule="auto"/>
        <w:ind w:left="0" w:right="0"/>
        <w:jc w:val="left"/>
        <w:rPr>
          <w:rFonts w:hint="eastAsia"/>
          <w:color w:val="000000"/>
          <w:lang w:val="en-US" w:eastAsia="zh-CN"/>
        </w:rPr>
      </w:pPr>
      <w:r>
        <w:rPr>
          <w:rFonts w:hint="eastAsia"/>
          <w:color w:val="000000"/>
          <w:lang w:val="en-US" w:eastAsia="zh-CN"/>
        </w:rPr>
        <w:t>运营期污水管网布置方案如下：</w:t>
      </w:r>
    </w:p>
    <w:p w14:paraId="1494BF84">
      <w:pPr>
        <w:keepNext w:val="0"/>
        <w:keepLines w:val="0"/>
        <w:pageBreakBefore w:val="0"/>
        <w:widowControl/>
        <w:suppressLineNumbers w:val="0"/>
        <w:spacing w:before="0" w:beforeAutospacing="0" w:after="0" w:afterAutospacing="0" w:line="360" w:lineRule="auto"/>
        <w:ind w:left="0" w:right="0"/>
        <w:jc w:val="left"/>
        <w:rPr>
          <w:rFonts w:hint="eastAsia"/>
          <w:color w:val="000000"/>
          <w:lang w:val="en-US" w:eastAsia="zh-CN"/>
        </w:rPr>
      </w:pPr>
      <w:r>
        <w:rPr>
          <w:rFonts w:hint="eastAsia"/>
          <w:color w:val="000000"/>
          <w:lang w:val="en-US" w:eastAsia="zh-CN"/>
        </w:rPr>
        <w:t>沿柳林河西侧布置De315主管，接沿河居民住宅污水，由南向北接入现状市政管道至污水厂；沿幽芳河西侧布置De315主管，接沿河居民住宅污水，由南向北接入现状市政管道至污水厂，幽芳河上游段因地形起伏及河道隔断，采用一体化设施集中处理及资源化利用分散处理方式，收集东土路、三斑路两岸居民生活污水。</w:t>
      </w:r>
    </w:p>
    <w:p w14:paraId="6465A138">
      <w:pPr>
        <w:keepNext w:val="0"/>
        <w:keepLines w:val="0"/>
        <w:pageBreakBefore w:val="0"/>
        <w:widowControl/>
        <w:suppressLineNumbers w:val="0"/>
        <w:spacing w:before="0" w:beforeAutospacing="0" w:after="0" w:afterAutospacing="0" w:line="360" w:lineRule="auto"/>
        <w:ind w:left="0" w:right="0"/>
        <w:jc w:val="left"/>
        <w:rPr>
          <w:rFonts w:hint="eastAsia"/>
          <w:color w:val="000000"/>
          <w:lang w:val="en-US" w:eastAsia="zh-CN"/>
        </w:rPr>
      </w:pPr>
      <w:r>
        <w:rPr>
          <w:rFonts w:hint="eastAsia"/>
          <w:color w:val="000000"/>
          <w:lang w:val="en-US" w:eastAsia="zh-CN"/>
        </w:rPr>
        <w:t>除纳管的部分村庄外，较为集中的村庄采用集中污水处理，集中污水处理设施选用净化槽工艺，对于村庄较为分散的采用资源化利用工艺，出水达到安徽省地方标准《农村生活污水处理设施水污染物排放标准》(DB34/3527-2019)一级标准B标准。</w:t>
      </w:r>
    </w:p>
    <w:p w14:paraId="03390D5C">
      <w:pPr>
        <w:keepNext w:val="0"/>
        <w:keepLines w:val="0"/>
        <w:pageBreakBefore w:val="0"/>
        <w:widowControl/>
        <w:suppressLineNumbers w:val="0"/>
        <w:spacing w:before="0" w:beforeAutospacing="0" w:after="0" w:afterAutospacing="0" w:line="360" w:lineRule="auto"/>
        <w:ind w:left="0" w:right="0"/>
        <w:jc w:val="left"/>
        <w:rPr>
          <w:rFonts w:hint="eastAsia" w:ascii="Times New Roman" w:hAnsi="Times New Roman" w:eastAsia="宋体" w:cs="宋体"/>
          <w:color w:val="000000"/>
          <w:lang w:val="en-US" w:eastAsia="zh-CN"/>
        </w:rPr>
      </w:pPr>
      <w:r>
        <w:rPr>
          <w:rFonts w:hint="eastAsia" w:ascii="Times New Roman" w:hAnsi="Times New Roman" w:eastAsia="宋体" w:cs="宋体"/>
          <w:color w:val="000000"/>
          <w:lang w:val="en-US" w:eastAsia="zh-CN"/>
        </w:rPr>
        <w:t>集中收集模式是针对生活污水无法纳入城镇污水处理厂的居民区，将单个或多个居民的生活污水进行统一收集，再排至村级污水独立处理设施进行处理的污水收集模式。这种方式主要适用于居民较为集中，在</w:t>
      </w:r>
      <w:r>
        <w:rPr>
          <w:rFonts w:hint="default" w:ascii="Times New Roman" w:hAnsi="Times New Roman" w:eastAsia="宋体" w:cs="宋体"/>
          <w:color w:val="000000"/>
          <w:lang w:val="en-US" w:eastAsia="zh-CN"/>
        </w:rPr>
        <w:t>15</w:t>
      </w:r>
      <w:r>
        <w:rPr>
          <w:rFonts w:hint="eastAsia" w:ascii="Times New Roman" w:hAnsi="Times New Roman" w:eastAsia="宋体" w:cs="宋体"/>
          <w:color w:val="000000"/>
          <w:lang w:val="en-US" w:eastAsia="zh-CN"/>
        </w:rPr>
        <w:t>户以上的，地形条件有利于生活污水依靠重力统一流入污水处理设施的居民区。处理后废水排至人工湿地。</w:t>
      </w:r>
    </w:p>
    <w:p w14:paraId="4C82F3E3">
      <w:pPr>
        <w:keepNext w:val="0"/>
        <w:keepLines w:val="0"/>
        <w:pageBreakBefore w:val="0"/>
        <w:widowControl/>
        <w:suppressLineNumbers w:val="0"/>
        <w:spacing w:before="0" w:beforeAutospacing="0" w:after="0" w:afterAutospacing="0" w:line="360" w:lineRule="auto"/>
        <w:ind w:left="0" w:right="0"/>
        <w:jc w:val="left"/>
        <w:rPr>
          <w:rFonts w:hint="eastAsia" w:ascii="Times New Roman" w:hAnsi="Times New Roman" w:eastAsia="宋体" w:cs="宋体"/>
          <w:color w:val="000000"/>
          <w:lang w:val="en-US" w:eastAsia="zh-CN"/>
        </w:rPr>
      </w:pPr>
      <w:r>
        <w:rPr>
          <w:rFonts w:hint="eastAsia" w:ascii="Times New Roman" w:hAnsi="Times New Roman" w:eastAsia="宋体" w:cs="宋体"/>
          <w:color w:val="000000"/>
          <w:lang w:val="en-US" w:eastAsia="zh-CN"/>
        </w:rPr>
        <w:t>资源化利用模式指对单户或多户居民住户产生的生活污水就近处理，一般日处理能力小于</w:t>
      </w:r>
      <w:r>
        <w:rPr>
          <w:rFonts w:hint="default" w:ascii="Times New Roman" w:hAnsi="Times New Roman" w:eastAsia="宋体" w:cs="宋体"/>
          <w:color w:val="000000"/>
          <w:lang w:val="en-US" w:eastAsia="zh-CN"/>
        </w:rPr>
        <w:t>2</w:t>
      </w:r>
      <w:r>
        <w:rPr>
          <w:rFonts w:hint="eastAsia" w:cs="宋体"/>
          <w:color w:val="000000"/>
          <w:lang w:val="en-US" w:eastAsia="zh-CN"/>
        </w:rPr>
        <w:t>m</w:t>
      </w:r>
      <w:r>
        <w:rPr>
          <w:rFonts w:hint="default" w:ascii="Times New Roman" w:hAnsi="Times New Roman" w:eastAsia="宋体" w:cs="宋体"/>
          <w:color w:val="000000"/>
          <w:vertAlign w:val="superscript"/>
          <w:lang w:val="en-US" w:eastAsia="zh-CN"/>
        </w:rPr>
        <w:t>3</w:t>
      </w:r>
      <w:r>
        <w:rPr>
          <w:rFonts w:hint="eastAsia" w:ascii="Times New Roman" w:hAnsi="Times New Roman" w:eastAsia="宋体" w:cs="宋体"/>
          <w:color w:val="000000"/>
          <w:lang w:val="en-US" w:eastAsia="zh-CN"/>
        </w:rPr>
        <w:t>。这种方式主要适用于无法集中铺设管网或集中收集处理的居民区，住户较为分散、小于</w:t>
      </w:r>
      <w:r>
        <w:rPr>
          <w:rFonts w:hint="default" w:ascii="Times New Roman" w:hAnsi="Times New Roman" w:eastAsia="宋体" w:cs="宋体"/>
          <w:color w:val="000000"/>
          <w:lang w:val="en-US" w:eastAsia="zh-CN"/>
        </w:rPr>
        <w:t>15</w:t>
      </w:r>
      <w:r>
        <w:rPr>
          <w:rFonts w:hint="eastAsia" w:ascii="Times New Roman" w:hAnsi="Times New Roman" w:eastAsia="宋体" w:cs="宋体"/>
          <w:color w:val="000000"/>
          <w:lang w:val="en-US" w:eastAsia="zh-CN"/>
        </w:rPr>
        <w:t>户的，地形条件限制等因素难以统一收集、统一处理的乡镇地区特别是居住较为分散的山区、丘陵地带。收集污水经过处理后进行资源化利用，结合周边情况，可排入农灌沟进行农用回灌，或者进行林地漫灌。</w:t>
      </w:r>
    </w:p>
    <w:p w14:paraId="36836144">
      <w:pPr>
        <w:keepNext w:val="0"/>
        <w:keepLines w:val="0"/>
        <w:pageBreakBefore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sz w:val="24"/>
          <w:szCs w:val="24"/>
          <w:lang w:val="en-US" w:eastAsia="zh-CN" w:bidi="ar"/>
        </w:rPr>
      </w:pPr>
      <w:r>
        <w:rPr>
          <w:rFonts w:hint="eastAsia"/>
          <w:color w:val="000000"/>
          <w:lang w:val="en-US" w:eastAsia="zh-CN"/>
        </w:rPr>
        <w:t>运营期收集的生活污水处理后不直接排放入地表水体，对地表水影响较小。</w:t>
      </w:r>
    </w:p>
    <w:p w14:paraId="6E8922D3">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szCs w:val="24"/>
          <w:lang w:val="en-US" w:eastAsia="zh-CN" w:bidi="ar"/>
        </w:rPr>
        <w:t>3、</w:t>
      </w:r>
      <w:r>
        <w:rPr>
          <w:rFonts w:hint="eastAsia" w:ascii="Times New Roman" w:hAnsi="Times New Roman" w:eastAsia="宋体" w:cs="Times New Roman"/>
          <w:b/>
          <w:bCs/>
          <w:color w:val="000000"/>
          <w:sz w:val="24"/>
          <w:szCs w:val="24"/>
          <w:lang w:val="en-US" w:eastAsia="zh-CN" w:bidi="ar"/>
        </w:rPr>
        <w:t>运营期声环境影响分析</w:t>
      </w:r>
    </w:p>
    <w:p w14:paraId="7959A2A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项目运营后，主要噪声设备有排涝泵站设备，根据国内类比调查分析，本项目配套的水泵等动力设备，噪声源强约75~80dB。考虑到区域整体的协调性和降噪要求，泵房均设置在地下层内，经过墙体隔声和距离衰减后，噪声级可降至50dB。因此，地下层配套的水泵房运行噪声不会对周围环境造成明显的不利影响。并以灌木绿化屏蔽，可确保其运行噪声对周边居民无影响。</w:t>
      </w:r>
    </w:p>
    <w:p w14:paraId="729466B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综上所述，项目营运期产生的噪声经过隔声、距离衰减及绿化带降噪后，噪声排放可以满足《工业企业厂界环境噪声排放标准》（GB12348-2008）</w:t>
      </w:r>
      <w:r>
        <w:rPr>
          <w:rFonts w:hint="eastAsia" w:eastAsia="宋体" w:cs="Times New Roman"/>
          <w:color w:val="000000"/>
          <w:sz w:val="24"/>
          <w:lang w:val="en-US" w:eastAsia="zh-CN"/>
        </w:rPr>
        <w:t>2</w:t>
      </w:r>
      <w:r>
        <w:rPr>
          <w:rFonts w:hint="default" w:ascii="Times New Roman" w:hAnsi="Times New Roman" w:eastAsia="宋体" w:cs="Times New Roman"/>
          <w:color w:val="000000"/>
          <w:sz w:val="24"/>
          <w:lang w:val="en-US" w:eastAsia="zh-CN"/>
        </w:rPr>
        <w:t>类标准</w:t>
      </w:r>
      <w:r>
        <w:rPr>
          <w:rFonts w:hint="eastAsia" w:eastAsia="宋体" w:cs="Times New Roman"/>
          <w:color w:val="000000"/>
          <w:sz w:val="24"/>
          <w:lang w:val="en-US" w:eastAsia="zh-CN"/>
        </w:rPr>
        <w:t>。</w:t>
      </w:r>
    </w:p>
    <w:p w14:paraId="7C513903">
      <w:pPr>
        <w:keepNext w:val="0"/>
        <w:keepLines w:val="0"/>
        <w:pageBreakBefore w:val="0"/>
        <w:widowControl/>
        <w:suppressLineNumbers w:val="0"/>
        <w:spacing w:before="0" w:beforeAutospacing="0" w:after="0" w:afterAutospacing="0" w:line="360" w:lineRule="auto"/>
        <w:ind w:left="0" w:right="0" w:firstLine="482"/>
        <w:jc w:val="left"/>
        <w:rPr>
          <w:rFonts w:hint="default" w:ascii="Times New Roman" w:hAnsi="Times New Roman" w:eastAsia="宋体" w:cs="Times New Roman"/>
          <w:b/>
          <w:bCs/>
          <w:color w:val="000000"/>
          <w:sz w:val="24"/>
          <w:szCs w:val="24"/>
          <w:lang w:val="en-US" w:eastAsia="zh-CN" w:bidi="ar"/>
        </w:rPr>
      </w:pPr>
      <w:r>
        <w:rPr>
          <w:rFonts w:hint="eastAsia" w:eastAsia="宋体" w:cs="Times New Roman"/>
          <w:b/>
          <w:bCs/>
          <w:color w:val="000000"/>
          <w:sz w:val="24"/>
          <w:lang w:val="en-US" w:eastAsia="zh-CN"/>
        </w:rPr>
        <w:t>4、</w:t>
      </w:r>
      <w:r>
        <w:rPr>
          <w:rFonts w:hint="eastAsia" w:ascii="Times New Roman" w:hAnsi="Times New Roman" w:eastAsia="宋体" w:cs="Times New Roman"/>
          <w:b/>
          <w:bCs/>
          <w:color w:val="000000"/>
          <w:sz w:val="24"/>
          <w:szCs w:val="24"/>
          <w:lang w:val="en-US" w:eastAsia="zh-CN" w:bidi="ar"/>
        </w:rPr>
        <w:t>运营期固废影响分析</w:t>
      </w:r>
    </w:p>
    <w:p w14:paraId="1B096C8A">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本项目运营期产生的固废主要为一般固废和危废。</w:t>
      </w:r>
    </w:p>
    <w:p w14:paraId="75C2F489">
      <w:pPr>
        <w:keepNext w:val="0"/>
        <w:keepLines w:val="0"/>
        <w:pageBreakBefore w:val="0"/>
        <w:widowControl/>
        <w:suppressLineNumbers w:val="0"/>
        <w:spacing w:before="0" w:beforeAutospacing="0" w:after="0" w:afterAutospacing="0" w:line="360" w:lineRule="auto"/>
        <w:ind w:left="0" w:right="0" w:firstLine="480"/>
        <w:jc w:val="left"/>
        <w:rPr>
          <w:rFonts w:hint="eastAsia" w:ascii="Times New Roman" w:hAnsi="Times New Roman" w:eastAsia="宋体" w:cs="Times New Roman"/>
          <w:color w:val="000000"/>
          <w:sz w:val="24"/>
          <w:szCs w:val="24"/>
          <w:lang w:val="en-US" w:eastAsia="zh-CN" w:bidi="ar"/>
        </w:rPr>
      </w:pPr>
      <w:r>
        <w:rPr>
          <w:rFonts w:hint="eastAsia" w:ascii="Times New Roman" w:hAnsi="Times New Roman" w:eastAsia="宋体" w:cs="Times New Roman"/>
          <w:color w:val="000000"/>
          <w:sz w:val="24"/>
          <w:szCs w:val="24"/>
          <w:lang w:val="en-US" w:eastAsia="zh-CN" w:bidi="ar"/>
        </w:rPr>
        <w:t>一般固废主要为截留杂物，其产生量受其排涝片区环境质量影响，加强片区城市环境卫生，可减少该部分垃圾量。拦截的垃圾量应打捞后由环卫部门运至垃圾填埋场处理。</w:t>
      </w:r>
    </w:p>
    <w:p w14:paraId="083468D7">
      <w:pPr>
        <w:keepNext w:val="0"/>
        <w:keepLines w:val="0"/>
        <w:pageBreakBefore w:val="0"/>
        <w:widowControl/>
        <w:suppressLineNumbers w:val="0"/>
        <w:spacing w:before="0" w:beforeAutospacing="0" w:after="0" w:afterAutospacing="0" w:line="360" w:lineRule="auto"/>
        <w:ind w:left="0" w:right="0" w:firstLine="480"/>
        <w:jc w:val="left"/>
        <w:rPr>
          <w:rFonts w:hint="eastAsia" w:ascii="Times New Roman" w:hAnsi="Times New Roman" w:eastAsia="宋体" w:cs="Times New Roman"/>
          <w:b w:val="0"/>
          <w:color w:val="000000"/>
          <w:sz w:val="24"/>
          <w:szCs w:val="24"/>
          <w:lang w:val="en-US" w:eastAsia="zh-CN" w:bidi="ar"/>
        </w:rPr>
      </w:pPr>
      <w:r>
        <w:rPr>
          <w:rFonts w:hint="eastAsia" w:ascii="Times New Roman" w:hAnsi="Times New Roman" w:eastAsia="宋体" w:cs="Times New Roman"/>
          <w:b w:val="0"/>
          <w:color w:val="000000"/>
          <w:sz w:val="24"/>
          <w:szCs w:val="24"/>
          <w:lang w:val="en-US" w:eastAsia="zh-CN" w:bidi="ar"/>
        </w:rPr>
        <w:t>本项目运营期产生的危废主要为泵站、闸门检修产生的废矿物油及沾染物，按危险废物管理要求进行集中回收处理，不会对环境造成影响。</w:t>
      </w:r>
    </w:p>
    <w:p w14:paraId="5C810B0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b/>
          <w:bCs/>
          <w:color w:val="000000"/>
          <w:sz w:val="24"/>
          <w:lang w:val="en-US" w:eastAsia="zh-CN"/>
        </w:rPr>
        <w:t>5、运营期生态环境影响分析</w:t>
      </w:r>
    </w:p>
    <w:p w14:paraId="3ABE735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（1）陆生生态</w:t>
      </w:r>
    </w:p>
    <w:p w14:paraId="31A14BA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eastAsia="宋体" w:cs="Times New Roman"/>
          <w:color w:val="000000"/>
          <w:sz w:val="24"/>
          <w:lang w:val="en-US" w:eastAsia="zh-CN"/>
        </w:rPr>
        <w:t>本项目实施后</w:t>
      </w:r>
      <w:r>
        <w:rPr>
          <w:rFonts w:hint="default" w:ascii="Times New Roman" w:hAnsi="Times New Roman" w:eastAsia="宋体" w:cs="Times New Roman"/>
          <w:color w:val="000000"/>
          <w:sz w:val="24"/>
        </w:rPr>
        <w:t>水土流失进一步减少，运营期对生态的影响为正效益。</w:t>
      </w:r>
    </w:p>
    <w:p w14:paraId="5DC8F9F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（2）水生生态</w:t>
      </w:r>
    </w:p>
    <w:p w14:paraId="2C91A0A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运营期建设单位应按照有关部门</w:t>
      </w:r>
      <w:r>
        <w:rPr>
          <w:rFonts w:hint="eastAsia" w:eastAsia="宋体" w:cs="Times New Roman"/>
          <w:color w:val="000000"/>
          <w:sz w:val="24"/>
          <w:lang w:val="en-US" w:eastAsia="zh-CN"/>
        </w:rPr>
        <w:t>要求</w:t>
      </w:r>
      <w:r>
        <w:rPr>
          <w:rFonts w:hint="default" w:ascii="Times New Roman" w:hAnsi="Times New Roman" w:eastAsia="宋体" w:cs="Times New Roman"/>
          <w:color w:val="000000"/>
          <w:sz w:val="24"/>
        </w:rPr>
        <w:t>做好沿岸的水土保持工程和绿化工程的维护和管理工作。按照生态环境、水政等部门</w:t>
      </w:r>
      <w:r>
        <w:rPr>
          <w:rFonts w:hint="eastAsia" w:eastAsia="宋体" w:cs="Times New Roman"/>
          <w:color w:val="000000"/>
          <w:sz w:val="24"/>
          <w:lang w:val="en-US" w:eastAsia="zh-CN"/>
        </w:rPr>
        <w:t>要求</w:t>
      </w:r>
      <w:r>
        <w:rPr>
          <w:rFonts w:hint="default" w:ascii="Times New Roman" w:hAnsi="Times New Roman" w:eastAsia="宋体" w:cs="Times New Roman"/>
          <w:color w:val="000000"/>
          <w:sz w:val="24"/>
        </w:rPr>
        <w:t>做好</w:t>
      </w:r>
      <w:r>
        <w:rPr>
          <w:rFonts w:hint="eastAsia" w:eastAsia="宋体" w:cs="Times New Roman"/>
          <w:color w:val="000000"/>
          <w:sz w:val="24"/>
          <w:lang w:val="en-US" w:eastAsia="zh-CN"/>
        </w:rPr>
        <w:t>河道</w:t>
      </w:r>
      <w:r>
        <w:rPr>
          <w:rFonts w:hint="default" w:ascii="Times New Roman" w:hAnsi="Times New Roman" w:eastAsia="宋体" w:cs="Times New Roman"/>
          <w:color w:val="000000"/>
          <w:sz w:val="24"/>
        </w:rPr>
        <w:t>的保护工作。加强巡查，严禁在</w:t>
      </w:r>
      <w:r>
        <w:rPr>
          <w:rFonts w:hint="eastAsia" w:eastAsia="宋体" w:cs="Times New Roman"/>
          <w:color w:val="000000"/>
          <w:sz w:val="24"/>
          <w:lang w:val="en-US" w:eastAsia="zh-CN"/>
        </w:rPr>
        <w:t>河道</w:t>
      </w:r>
      <w:r>
        <w:rPr>
          <w:rFonts w:hint="default" w:ascii="Times New Roman" w:hAnsi="Times New Roman" w:eastAsia="宋体" w:cs="Times New Roman"/>
          <w:color w:val="000000"/>
          <w:sz w:val="24"/>
        </w:rPr>
        <w:t>周边倾倒垃圾及其它杂物</w:t>
      </w:r>
      <w:r>
        <w:rPr>
          <w:rFonts w:hint="eastAsia" w:eastAsia="宋体" w:cs="Times New Roman"/>
          <w:color w:val="000000"/>
          <w:sz w:val="24"/>
          <w:lang w:eastAsia="zh-CN"/>
        </w:rPr>
        <w:t>，</w:t>
      </w:r>
      <w:r>
        <w:rPr>
          <w:rFonts w:hint="default" w:ascii="Times New Roman" w:hAnsi="Times New Roman" w:eastAsia="宋体" w:cs="Times New Roman"/>
          <w:color w:val="000000"/>
          <w:sz w:val="24"/>
        </w:rPr>
        <w:t>及时清除周边及水面垃圾、杂质，保持周边及水面清洁和美观。</w:t>
      </w:r>
      <w:r>
        <w:rPr>
          <w:rFonts w:hint="eastAsia" w:eastAsia="宋体" w:cs="Times New Roman"/>
          <w:color w:val="000000"/>
          <w:sz w:val="24"/>
          <w:lang w:val="en-US" w:eastAsia="zh-CN"/>
        </w:rPr>
        <w:t>项目实施后</w:t>
      </w:r>
      <w:r>
        <w:rPr>
          <w:rFonts w:hint="default" w:ascii="Times New Roman" w:hAnsi="Times New Roman" w:eastAsia="宋体" w:cs="Times New Roman"/>
          <w:color w:val="000000"/>
          <w:sz w:val="24"/>
        </w:rPr>
        <w:t>，更有利于防止水土流失</w:t>
      </w:r>
      <w:r>
        <w:rPr>
          <w:rFonts w:hint="eastAsia" w:eastAsia="宋体" w:cs="Times New Roman"/>
          <w:color w:val="000000"/>
          <w:sz w:val="24"/>
          <w:lang w:eastAsia="zh-CN"/>
        </w:rPr>
        <w:t>。</w:t>
      </w:r>
      <w:r>
        <w:rPr>
          <w:rFonts w:hint="default" w:ascii="Times New Roman" w:hAnsi="Times New Roman" w:eastAsia="宋体" w:cs="Times New Roman"/>
          <w:color w:val="000000"/>
          <w:sz w:val="24"/>
        </w:rPr>
        <w:t>因此，原有的被利用的水域水质将有明显改善，对生态环境有正效益。</w:t>
      </w:r>
    </w:p>
    <w:p w14:paraId="5716BDE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（3）景观生态</w:t>
      </w:r>
    </w:p>
    <w:p w14:paraId="4CDFFD2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项目建成后，及时复垦还林，恢复之前景观。</w:t>
      </w:r>
    </w:p>
    <w:p w14:paraId="5B1353AF">
      <w:pPr>
        <w:keepNext w:val="0"/>
        <w:keepLines w:val="0"/>
        <w:pageBreakBefore w:val="0"/>
        <w:widowControl/>
        <w:suppressLineNumbers w:val="0"/>
        <w:spacing w:before="0" w:beforeAutospacing="0" w:after="0" w:afterAutospacing="0" w:line="360" w:lineRule="auto"/>
        <w:ind w:left="0" w:right="0" w:firstLine="480"/>
        <w:jc w:val="left"/>
        <w:rPr>
          <w:rFonts w:hint="eastAsia"/>
          <w:color w:val="000000"/>
          <w:lang w:val="en-US" w:eastAsia="zh-CN"/>
        </w:rPr>
      </w:pPr>
      <w:r>
        <w:rPr>
          <w:rFonts w:hint="eastAsia" w:ascii="Times New Roman" w:hAnsi="Times New Roman" w:eastAsia="宋体" w:cs="Times New Roman"/>
          <w:b w:val="0"/>
          <w:color w:val="000000"/>
          <w:sz w:val="24"/>
          <w:szCs w:val="24"/>
          <w:lang w:val="en-US" w:eastAsia="zh-CN" w:bidi="ar"/>
        </w:rPr>
        <w:br w:type="page" w:clear="all"/>
      </w:r>
    </w:p>
    <w:p w14:paraId="48B1E1C3">
      <w:pPr>
        <w:pStyle w:val="3"/>
        <w:rPr>
          <w:rFonts w:hint="eastAsia"/>
          <w:color w:val="000000"/>
          <w:lang w:val="en-US" w:eastAsia="zh-CN"/>
        </w:rPr>
      </w:pPr>
      <w:bookmarkStart w:id="114" w:name="_Toc3970"/>
      <w:bookmarkStart w:id="115" w:name="_Toc26336"/>
      <w:r>
        <w:rPr>
          <w:rFonts w:hint="eastAsia"/>
          <w:color w:val="000000"/>
          <w:lang w:val="en-US" w:eastAsia="zh-CN"/>
        </w:rPr>
        <w:t>6 生态保护与恢复措施</w:t>
      </w:r>
      <w:bookmarkEnd w:id="114"/>
      <w:bookmarkEnd w:id="115"/>
    </w:p>
    <w:p w14:paraId="731E05BA">
      <w:pPr>
        <w:pStyle w:val="4"/>
        <w:rPr>
          <w:rFonts w:hint="default"/>
          <w:color w:val="000000"/>
          <w:lang w:val="en-US" w:eastAsia="zh-CN"/>
        </w:rPr>
      </w:pPr>
      <w:bookmarkStart w:id="116" w:name="_Toc11876"/>
      <w:bookmarkStart w:id="117" w:name="_Toc25791"/>
      <w:r>
        <w:rPr>
          <w:rFonts w:hint="eastAsia"/>
          <w:color w:val="000000"/>
          <w:lang w:val="en-US" w:eastAsia="zh-CN"/>
        </w:rPr>
        <w:t>6.1 施工期生态保护措施</w:t>
      </w:r>
      <w:bookmarkEnd w:id="116"/>
      <w:bookmarkEnd w:id="117"/>
    </w:p>
    <w:p w14:paraId="7C2BF97B">
      <w:pPr>
        <w:keepNext w:val="0"/>
        <w:keepLines w:val="0"/>
        <w:pageBreakBefore w:val="0"/>
        <w:widowControl w:val="0"/>
        <w:numPr>
          <w:ilvl w:val="0"/>
          <w:numId w:val="5"/>
        </w:numPr>
        <w:suppressLineNumbers w:val="0"/>
        <w:spacing w:before="0" w:beforeAutospacing="0" w:after="0" w:afterAutospacing="0" w:line="360" w:lineRule="auto"/>
        <w:ind w:left="0" w:right="0" w:firstLine="522"/>
        <w:rPr>
          <w:rFonts w:hint="default" w:ascii="Times New Roman" w:hAnsi="Times New Roman" w:eastAsia="宋体" w:cs="Times New Roman"/>
          <w:b/>
          <w:bCs/>
          <w:color w:val="000000"/>
          <w:spacing w:val="10"/>
          <w:sz w:val="24"/>
        </w:rPr>
      </w:pPr>
      <w:r>
        <w:rPr>
          <w:rFonts w:hint="default" w:ascii="Times New Roman" w:hAnsi="Times New Roman" w:eastAsia="宋体" w:cs="Times New Roman"/>
          <w:b/>
          <w:bCs/>
          <w:color w:val="000000"/>
          <w:spacing w:val="10"/>
          <w:sz w:val="24"/>
        </w:rPr>
        <w:t>生态环境</w:t>
      </w:r>
      <w:r>
        <w:rPr>
          <w:rFonts w:hint="default" w:ascii="Times New Roman" w:hAnsi="Times New Roman" w:eastAsia="宋体" w:cs="Times New Roman"/>
          <w:b/>
          <w:bCs/>
          <w:color w:val="000000"/>
          <w:spacing w:val="10"/>
          <w:sz w:val="24"/>
          <w:lang w:val="en-US" w:eastAsia="zh-CN"/>
        </w:rPr>
        <w:t>保护</w:t>
      </w:r>
      <w:r>
        <w:rPr>
          <w:rFonts w:hint="default" w:ascii="Times New Roman" w:hAnsi="Times New Roman" w:eastAsia="宋体" w:cs="Times New Roman"/>
          <w:b/>
          <w:bCs/>
          <w:color w:val="000000"/>
          <w:spacing w:val="10"/>
          <w:sz w:val="24"/>
        </w:rPr>
        <w:t>措施</w:t>
      </w:r>
    </w:p>
    <w:p w14:paraId="5FAD404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eastAsia="zh-CN"/>
        </w:rPr>
        <w:t>工程建设中有土方开挖、机械碾压等工作，这样势必会造成占地范围植被的破坏，部分施工活动会影响区域周边的动物的栖息和觅食，同时会带来扬尘、水土流失等环境问题。为了有效保护工程所在区域的生态环境，本项目施工期生态防治措施：</w:t>
      </w:r>
    </w:p>
    <w:p w14:paraId="5BA18CA7">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val="0"/>
          <w:color w:val="000000"/>
          <w:sz w:val="24"/>
          <w:lang w:eastAsia="zh-CN"/>
        </w:rPr>
      </w:pPr>
      <w:r>
        <w:rPr>
          <w:rFonts w:hint="default" w:ascii="Times New Roman" w:hAnsi="Times New Roman" w:eastAsia="宋体" w:cs="Times New Roman"/>
          <w:b/>
          <w:bCs w:val="0"/>
          <w:color w:val="000000"/>
          <w:sz w:val="24"/>
          <w:lang w:val="en-US" w:eastAsia="zh-CN"/>
        </w:rPr>
        <w:t xml:space="preserve">1.1 管理措施 </w:t>
      </w:r>
    </w:p>
    <w:p w14:paraId="6C791322">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（1）施工活动开始之前，需制定详细的施工方案，限定施工人员的活动区域，尽量控制施工动土范围，以保持原生生态系统的稳定性和完整性。</w:t>
      </w:r>
    </w:p>
    <w:p w14:paraId="30BCE1C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施工前对需要保护的植物进行移栽保护或者设置围挡</w:t>
      </w:r>
      <w:r>
        <w:rPr>
          <w:rFonts w:hint="eastAsia" w:eastAsia="宋体" w:cs="Times New Roman"/>
          <w:bCs/>
          <w:color w:val="000000"/>
          <w:sz w:val="24"/>
          <w:lang w:val="en-US" w:eastAsia="zh-CN"/>
        </w:rPr>
        <w:t>；</w:t>
      </w:r>
      <w:r>
        <w:rPr>
          <w:rFonts w:hint="default" w:ascii="Times New Roman" w:hAnsi="Times New Roman" w:eastAsia="宋体" w:cs="Times New Roman"/>
          <w:bCs/>
          <w:color w:val="000000"/>
          <w:sz w:val="24"/>
          <w:lang w:val="en-US" w:eastAsia="zh-CN"/>
        </w:rPr>
        <w:t>施工期，减少开挖作业面，严格施工区域，禁止对施工临时占地范围内植物进行破坏。</w:t>
      </w:r>
    </w:p>
    <w:p w14:paraId="774A342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通过优化方案，有效降低项目建设对评价范围内植物、植被的影响和破坏。</w:t>
      </w:r>
    </w:p>
    <w:p w14:paraId="03B88F5A">
      <w:pPr>
        <w:keepNext w:val="0"/>
        <w:keepLines w:val="0"/>
        <w:pageBreakBefore w:val="0"/>
        <w:widowControl w:val="0"/>
        <w:numPr>
          <w:ilvl w:val="0"/>
          <w:numId w:val="11"/>
        </w:numPr>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在所有永久建筑完成后，应立即进行裸露区的恢复，恢复时对施工迹地进行绿化回覆，尽量减少工程区内的施工痕迹。施工迹地的绿化恢复过程中将完全采用当地树种、草种。</w:t>
      </w:r>
    </w:p>
    <w:p w14:paraId="390AC920">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（3）在施工中须有效地防止机械检修、冲洗废水等随意排放，对工程废物进行快速、集中处理，减少对环境的污染，对于施工人员产生的垃圾集中进行处理。</w:t>
      </w:r>
    </w:p>
    <w:p w14:paraId="166A613C">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（4）为减少施工期间的景观影响，应对施工场地内施工机械整齐放置、合理布设，散乱的建筑材料和物品尽量加以覆盖，开挖后的区域尽快平整，保持施工场地及周围的整齐美观。</w:t>
      </w:r>
    </w:p>
    <w:p w14:paraId="5C118C4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（5）加强管理，保护水质。避免因污水的直接排放对水体产生污染而引起对水生生物的影响。</w:t>
      </w:r>
    </w:p>
    <w:p w14:paraId="299B808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（6）建设单位应在施工过程中加强施工管理，严格执行施工操作规程，弃土务必运至指定地点。合理安排施工周期，在发生大暴雨时应停止施工，并采取短期覆盖措施，减少水土流失。</w:t>
      </w:r>
    </w:p>
    <w:p w14:paraId="17A25A3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7）对施工单位和施工人员进行水土保持教育，广泛宣传水土保持法律法规及有关方针政策，普及水土保持知识，提高其水土保持意识，规范其水土保持行为。在工程建设中，尽量采用先进的施工手段和合理的施工程序以减少和避免水土流失。</w:t>
      </w:r>
    </w:p>
    <w:p w14:paraId="0717E51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（8）项目在施工过程中应加强施工管理，避免雨水冲刷。道路运输避免沿途抛弃，减少水土流失。工程施工后期，植树种草，覆盖表土，避免水土流失，计划植草、植水保树等。</w:t>
      </w:r>
    </w:p>
    <w:p w14:paraId="782775F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（9）做好水土保持和生态保护工作，项目施工过程应注意保护生态环境，尽量减少施工区的数量和面积。</w:t>
      </w:r>
    </w:p>
    <w:p w14:paraId="4EA4F51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（10）在施工过程中应合理安排工期，做好施工场地等的规划设置工作，最大限度地减少对植被的影响。</w:t>
      </w:r>
    </w:p>
    <w:p w14:paraId="23BF9BE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（11）在施工结束后进行植树补偿，以保持自然和生态环境免遭破坏。</w:t>
      </w:r>
    </w:p>
    <w:p w14:paraId="20A5703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（12）施工结束后，要及时清理、恢复施工场所的生态环境和路面进行修复。</w:t>
      </w:r>
    </w:p>
    <w:p w14:paraId="4F58A76A">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（13）临时开挖出的土方堆放，要采取防浸泡、防冲刷、防止水土流失等措施，避免给环境带来二次污染。</w:t>
      </w:r>
    </w:p>
    <w:p w14:paraId="785D4614">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14）项目水土保持措施有：土地平整、排水沟、直播种草、乔灌木栽植、临时排水沟等，工程建设应严格控制地表扰动和植被损坏范围，尽量减少工程占地、加强工程建设管理、优化施工工艺、加强水土保持防护，控制可能造成的水土流失。</w:t>
      </w:r>
    </w:p>
    <w:p w14:paraId="5162F9AB">
      <w:pPr>
        <w:keepNext w:val="0"/>
        <w:keepLines w:val="0"/>
        <w:pageBreakBefore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lang w:bidi="ar"/>
        </w:rPr>
      </w:pPr>
      <w:r>
        <w:rPr>
          <w:rFonts w:hint="eastAsia" w:eastAsia="宋体" w:cs="Times New Roman"/>
          <w:b/>
          <w:bCs/>
          <w:color w:val="000000"/>
          <w:sz w:val="24"/>
          <w:lang w:val="en-US" w:eastAsia="zh-CN" w:bidi="ar"/>
        </w:rPr>
        <w:t>1.2</w:t>
      </w:r>
      <w:r>
        <w:rPr>
          <w:rFonts w:hint="default" w:ascii="Times New Roman" w:hAnsi="Times New Roman" w:eastAsia="宋体" w:cs="Times New Roman"/>
          <w:b/>
          <w:bCs/>
          <w:color w:val="000000"/>
          <w:sz w:val="24"/>
          <w:lang w:bidi="ar"/>
        </w:rPr>
        <w:t>陆生生态保护措施</w:t>
      </w:r>
    </w:p>
    <w:p w14:paraId="596DB2A1">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bidi="ar"/>
        </w:rPr>
      </w:pPr>
      <w:r>
        <w:rPr>
          <w:rFonts w:hint="default" w:ascii="Times New Roman" w:hAnsi="Times New Roman" w:eastAsia="宋体" w:cs="Times New Roman"/>
          <w:color w:val="000000"/>
          <w:sz w:val="24"/>
          <w:lang w:bidi="ar"/>
        </w:rPr>
        <w:t>1）植物保护措施</w:t>
      </w:r>
    </w:p>
    <w:p w14:paraId="32D61AE3">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rPr>
      </w:pPr>
      <w:bookmarkStart w:id="118" w:name="_Toc8196"/>
      <w:bookmarkStart w:id="119" w:name="_Toc8318"/>
      <w:bookmarkStart w:id="120" w:name="_Toc20096"/>
      <w:bookmarkStart w:id="121" w:name="_Toc8352"/>
      <w:bookmarkStart w:id="122" w:name="_Toc25282"/>
      <w:r>
        <w:rPr>
          <w:rFonts w:hint="default" w:ascii="Times New Roman" w:hAnsi="Times New Roman" w:eastAsia="宋体" w:cs="Times New Roman"/>
          <w:bCs/>
          <w:color w:val="000000"/>
          <w:sz w:val="24"/>
        </w:rPr>
        <w:t>①避让措施</w:t>
      </w:r>
    </w:p>
    <w:p w14:paraId="6424748C">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rPr>
        <w:t>施工期严格控制和管理车辆机械和施工人员的活动范围，防止扩大对地表的扰动，设置水土保持管理措施。</w:t>
      </w:r>
      <w:r>
        <w:rPr>
          <w:rFonts w:hint="default" w:ascii="Times New Roman" w:hAnsi="Times New Roman" w:eastAsia="宋体" w:cs="Times New Roman"/>
          <w:bCs/>
          <w:color w:val="000000"/>
          <w:sz w:val="24"/>
          <w:lang w:eastAsia="zh-CN"/>
        </w:rPr>
        <w:t>采用半封闭施工方式，尽量减少多陆生动物及栖息地的破坏。</w:t>
      </w:r>
    </w:p>
    <w:p w14:paraId="692C625B">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bCs/>
          <w:color w:val="000000"/>
          <w:sz w:val="24"/>
        </w:rPr>
        <w:t>②</w:t>
      </w:r>
      <w:r>
        <w:rPr>
          <w:rFonts w:hint="default" w:ascii="Times New Roman" w:hAnsi="Times New Roman" w:eastAsia="宋体" w:cs="Times New Roman"/>
          <w:color w:val="000000"/>
          <w:sz w:val="24"/>
        </w:rPr>
        <w:t>减缓措施</w:t>
      </w:r>
      <w:bookmarkEnd w:id="118"/>
      <w:bookmarkEnd w:id="119"/>
      <w:bookmarkEnd w:id="120"/>
      <w:bookmarkEnd w:id="121"/>
      <w:bookmarkEnd w:id="122"/>
    </w:p>
    <w:p w14:paraId="226C66B8">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eastAsia" w:ascii="宋体" w:hAnsi="宋体" w:eastAsia="宋体" w:cs="宋体"/>
          <w:color w:val="000000"/>
          <w:sz w:val="24"/>
          <w:szCs w:val="24"/>
          <w:lang w:val="en-US" w:eastAsia="zh-CN" w:bidi="ar"/>
        </w:rPr>
        <w:t>优化施工方案，尽可能地减轻在施工过程中运输造成扬尘污染以及雨季施工潜在的水土流失。优化施工时序，尽量避开雨季，尽可能避免水土流失，从而缓解其对植物的影响；同时，尽可能选择枯水季节施工，避免植物生长及繁殖期。</w:t>
      </w:r>
    </w:p>
    <w:p w14:paraId="71D2627D">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严格控制工程活动范围，加强监理工作。确保工人在征地范围内活动，从而减轻非因素对周围植物及植被的占用与压踏。</w:t>
      </w:r>
    </w:p>
    <w:p w14:paraId="5108D740">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设置警示牌，在工程现场各主要区域、生态保护目标及植被较好的地段设置生态保护警示牌。警示牌上标明工程区范围，禁止越界施工，尽量减少占地造成的植被损失。</w:t>
      </w:r>
    </w:p>
    <w:p w14:paraId="1C302194">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加强宣传教育活动，强化对现有生态的保护。开工前印发生态保护手册，加强对工人的法律和生态保护知识的宣传教育，强化生态保护意识。</w:t>
      </w:r>
    </w:p>
    <w:p w14:paraId="71C2352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bookmarkStart w:id="123" w:name="_Toc9743"/>
      <w:bookmarkStart w:id="124" w:name="_Toc16605"/>
      <w:bookmarkStart w:id="125" w:name="_Toc24011"/>
      <w:bookmarkStart w:id="126" w:name="_Toc23100"/>
      <w:bookmarkStart w:id="127" w:name="_Toc1587"/>
      <w:r>
        <w:rPr>
          <w:rFonts w:hint="default" w:ascii="Times New Roman" w:hAnsi="Times New Roman" w:eastAsia="宋体" w:cs="Times New Roman"/>
          <w:color w:val="000000"/>
          <w:sz w:val="24"/>
        </w:rPr>
        <w:t>③恢复与补偿措施</w:t>
      </w:r>
      <w:bookmarkEnd w:id="123"/>
      <w:bookmarkEnd w:id="124"/>
      <w:bookmarkEnd w:id="125"/>
      <w:bookmarkEnd w:id="126"/>
      <w:bookmarkEnd w:id="127"/>
    </w:p>
    <w:p w14:paraId="5D02D006">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工程结束后，对</w:t>
      </w:r>
      <w:r>
        <w:rPr>
          <w:rFonts w:hint="default" w:ascii="Times New Roman" w:hAnsi="Times New Roman" w:eastAsia="宋体" w:cs="Times New Roman"/>
          <w:color w:val="000000"/>
          <w:sz w:val="24"/>
          <w:lang w:val="en-US" w:eastAsia="zh-CN"/>
        </w:rPr>
        <w:t>施工区域</w:t>
      </w:r>
      <w:r>
        <w:rPr>
          <w:rFonts w:hint="default" w:ascii="Times New Roman" w:hAnsi="Times New Roman" w:eastAsia="宋体" w:cs="Times New Roman"/>
          <w:color w:val="000000"/>
          <w:sz w:val="24"/>
        </w:rPr>
        <w:t>应进行场地清理、土地整治后采取复垦的方式恢复</w:t>
      </w:r>
      <w:r>
        <w:rPr>
          <w:rFonts w:hint="default" w:ascii="Times New Roman" w:hAnsi="Times New Roman" w:eastAsia="宋体" w:cs="Times New Roman"/>
          <w:color w:val="000000"/>
          <w:sz w:val="24"/>
          <w:lang w:val="en-US" w:eastAsia="zh-CN"/>
        </w:rPr>
        <w:t>生态环境</w:t>
      </w:r>
      <w:r>
        <w:rPr>
          <w:rFonts w:hint="default" w:ascii="Times New Roman" w:hAnsi="Times New Roman" w:eastAsia="宋体" w:cs="Times New Roman"/>
          <w:color w:val="000000"/>
          <w:sz w:val="24"/>
        </w:rPr>
        <w:t>。植被恢复时应遵循“适地适草”的原则。在植被恢复措施中应注意的技术要点有：</w:t>
      </w:r>
    </w:p>
    <w:p w14:paraId="73EC774C">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保护原有生态系统：在植被修复过程中，必须尽量保护占地区域原有体系的生态环境。</w:t>
      </w:r>
    </w:p>
    <w:p w14:paraId="70E85962">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选择适宜的恢复物种：尽量选用适生性强、生长快、自我繁殖和更新能力强的乡土植物进行植被恢复，同时为提高区域生物多样性，应适当引进新的优良植物，在恢复物种选择时应防止外来入侵种的扩散。</w:t>
      </w:r>
    </w:p>
    <w:p w14:paraId="73D1DE8D">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bookmarkStart w:id="128" w:name="_Toc28522"/>
      <w:bookmarkStart w:id="129" w:name="_Toc21504"/>
      <w:bookmarkStart w:id="130" w:name="_Toc5854"/>
      <w:bookmarkStart w:id="131" w:name="_Toc21852"/>
      <w:bookmarkStart w:id="132" w:name="_Toc4179"/>
      <w:r>
        <w:rPr>
          <w:rFonts w:hint="default" w:ascii="Times New Roman" w:hAnsi="Times New Roman" w:eastAsia="宋体" w:cs="Times New Roman"/>
          <w:color w:val="000000"/>
          <w:sz w:val="24"/>
        </w:rPr>
        <w:t>④管理措施</w:t>
      </w:r>
      <w:bookmarkEnd w:id="128"/>
      <w:bookmarkEnd w:id="129"/>
      <w:bookmarkEnd w:id="130"/>
      <w:bookmarkEnd w:id="131"/>
      <w:bookmarkEnd w:id="132"/>
    </w:p>
    <w:p w14:paraId="0C97F60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制定工程建设的生态保护规定。成立项目生态保护工作领导小组，明确职责和工作范围，加强对工程建设过程中生态保护工作的领导和监督。</w:t>
      </w:r>
    </w:p>
    <w:p w14:paraId="12F3126C">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在工程管理机构应设置生态环境管理人员，建立各种生态管理及报告制度。</w:t>
      </w:r>
    </w:p>
    <w:p w14:paraId="17AB23A4">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加强对施工人员、周边居民的宣传教育培训工作，树立生态绿色施工理念，提高环保认知。</w:t>
      </w:r>
    </w:p>
    <w:p w14:paraId="44CDA1FF">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加强对施工人员及施工活动的管理。施工过程中，加强人员的管理，禁止施工人员对植被滥砍滥伐，严格限制施工人员在施工现场的活动范围，防止破坏沿线的生态环境。</w:t>
      </w:r>
    </w:p>
    <w:p w14:paraId="2D45C3F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val="0"/>
          <w:color w:val="000000"/>
          <w:spacing w:val="10"/>
          <w:sz w:val="24"/>
        </w:rPr>
      </w:pPr>
      <w:r>
        <w:rPr>
          <w:rFonts w:hint="default" w:ascii="Times New Roman" w:hAnsi="Times New Roman" w:eastAsia="宋体" w:cs="Times New Roman"/>
          <w:color w:val="000000"/>
          <w:sz w:val="24"/>
        </w:rPr>
        <w:t>虽然评价区未发现重点保护野生植物，但仍建议制定评价区内可能出现的重点保护野生植物宣传册，提高施工人员识别能力，发现后及时上报并采取相应的保护措施。</w:t>
      </w:r>
    </w:p>
    <w:p w14:paraId="4A7651EF">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2）动物保护措施</w:t>
      </w:r>
    </w:p>
    <w:p w14:paraId="651B26A5">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bookmarkStart w:id="133" w:name="_Toc16462"/>
      <w:bookmarkStart w:id="134" w:name="_Toc936"/>
      <w:bookmarkStart w:id="135" w:name="_Toc26569"/>
      <w:bookmarkStart w:id="136" w:name="_Toc13991"/>
      <w:bookmarkStart w:id="137" w:name="_Toc698"/>
      <w:r>
        <w:rPr>
          <w:rFonts w:hint="default" w:ascii="Times New Roman" w:hAnsi="Times New Roman" w:eastAsia="宋体" w:cs="Times New Roman"/>
          <w:color w:val="000000"/>
          <w:sz w:val="24"/>
        </w:rPr>
        <w:t>①避免和消减措施</w:t>
      </w:r>
      <w:bookmarkEnd w:id="133"/>
      <w:bookmarkEnd w:id="134"/>
      <w:bookmarkEnd w:id="135"/>
      <w:bookmarkEnd w:id="136"/>
      <w:bookmarkEnd w:id="137"/>
    </w:p>
    <w:p w14:paraId="6531A065">
      <w:pPr>
        <w:keepNext w:val="0"/>
        <w:keepLines w:val="0"/>
        <w:pageBreakBefore w:val="0"/>
        <w:suppressLineNumbers w:val="0"/>
        <w:spacing w:before="0" w:beforeAutospacing="0" w:after="0" w:afterAutospacing="0" w:line="360" w:lineRule="auto"/>
        <w:ind w:left="0" w:right="0" w:firstLine="480"/>
        <w:rPr>
          <w:rFonts w:hint="default"/>
          <w:color w:val="000000"/>
        </w:rPr>
      </w:pPr>
      <w:r>
        <w:rPr>
          <w:rFonts w:hint="default" w:ascii="Times New Roman" w:hAnsi="Times New Roman" w:eastAsia="宋体" w:cs="Times New Roman"/>
          <w:color w:val="000000"/>
          <w:sz w:val="24"/>
        </w:rPr>
        <w:t>增强工程人员的保护意识，严禁捕猎野生动物。工人必须遵守《中华人民共和国野生动物保护法》。对工人进行宣传教育，严禁捕杀野生动物，施工过程中如遇到要尽量保护。杜绝施工人员猎捕施工作业区附近的蛙类、蛇类、鸟类等现象。建议在主要施工场地设置警示牌，提醒施工人员保护野生动物，禁止任何人员、采取任何方式进行捕捉和猎杀动物等非法行为。</w:t>
      </w:r>
    </w:p>
    <w:p w14:paraId="27B68A45">
      <w:pPr>
        <w:pStyle w:val="6"/>
        <w:keepNext/>
        <w:keepLines/>
        <w:pageBreakBefore w:val="0"/>
        <w:widowControl w:val="0"/>
        <w:suppressLineNumbers w:val="0"/>
        <w:spacing w:before="0" w:after="0" w:line="360" w:lineRule="auto"/>
        <w:ind w:left="0" w:right="0"/>
        <w:rPr>
          <w:rFonts w:hint="default"/>
          <w:b w:val="0"/>
          <w:bCs/>
          <w:color w:val="000000"/>
        </w:rPr>
      </w:pPr>
      <w:r>
        <w:rPr>
          <w:rFonts w:hint="default"/>
          <w:b w:val="0"/>
          <w:bCs/>
          <w:color w:val="000000"/>
        </w:rPr>
        <w:t>采取先进的工艺和技术，减少振动对</w:t>
      </w:r>
      <w:r>
        <w:rPr>
          <w:rFonts w:hint="eastAsia"/>
          <w:b w:val="0"/>
          <w:bCs/>
          <w:color w:val="000000"/>
          <w:lang w:eastAsia="zh-CN"/>
        </w:rPr>
        <w:t>小灵猫</w:t>
      </w:r>
      <w:r>
        <w:rPr>
          <w:rFonts w:hint="default"/>
          <w:b w:val="0"/>
          <w:bCs/>
          <w:color w:val="000000"/>
        </w:rPr>
        <w:t>带来的干扰。</w:t>
      </w:r>
    </w:p>
    <w:p w14:paraId="2DBD6790">
      <w:pPr>
        <w:pStyle w:val="6"/>
        <w:keepNext/>
        <w:keepLines/>
        <w:pageBreakBefore w:val="0"/>
        <w:widowControl w:val="0"/>
        <w:suppressLineNumbers w:val="0"/>
        <w:spacing w:before="0" w:after="0" w:line="360" w:lineRule="auto"/>
        <w:ind w:left="0" w:right="0"/>
        <w:rPr>
          <w:rFonts w:hint="default" w:ascii="Times New Roman" w:hAnsi="Times New Roman" w:eastAsia="宋体" w:cs="Times New Roman"/>
          <w:color w:val="000000"/>
          <w:sz w:val="24"/>
        </w:rPr>
      </w:pPr>
      <w:r>
        <w:rPr>
          <w:rFonts w:hint="default"/>
          <w:b w:val="0"/>
          <w:bCs/>
          <w:color w:val="000000"/>
        </w:rPr>
        <w:t>通过积极的日常巡护管理工作加强对野生动物的保护管理。</w:t>
      </w:r>
    </w:p>
    <w:p w14:paraId="0FD234F4">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高噪声作业等要避开野生动物活动的高峰期，如晨昏等。夜行</w:t>
      </w:r>
      <w:r>
        <w:rPr>
          <w:rFonts w:hint="default" w:ascii="Times New Roman" w:hAnsi="Times New Roman" w:eastAsia="宋体" w:cs="Times New Roman"/>
          <w:color w:val="000000"/>
          <w:sz w:val="24"/>
          <w:lang w:eastAsia="zh-CN"/>
        </w:rPr>
        <w:t>性</w:t>
      </w:r>
      <w:r>
        <w:rPr>
          <w:rFonts w:hint="default" w:ascii="Times New Roman" w:hAnsi="Times New Roman" w:eastAsia="宋体" w:cs="Times New Roman"/>
          <w:color w:val="000000"/>
          <w:sz w:val="24"/>
        </w:rPr>
        <w:t>动物对灯光较为敏感，开工尽量安排在白天进行，避免夜间施工对野生动物正常栖息生活造成影响。禁止高噪声设备在晨昏和夜间运行，减少噪声对动物的干扰。</w:t>
      </w:r>
    </w:p>
    <w:p w14:paraId="35DEAC7D">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加强施工管理，严格控制在征地范围内施工，避免对征地范围外</w:t>
      </w:r>
      <w:r>
        <w:rPr>
          <w:rFonts w:hint="default" w:ascii="Times New Roman" w:hAnsi="Times New Roman" w:eastAsia="宋体" w:cs="Times New Roman"/>
          <w:color w:val="000000"/>
          <w:sz w:val="24"/>
          <w:lang w:eastAsia="zh-CN"/>
        </w:rPr>
        <w:t>的其他</w:t>
      </w:r>
      <w:r>
        <w:rPr>
          <w:rFonts w:hint="default" w:ascii="Times New Roman" w:hAnsi="Times New Roman" w:eastAsia="宋体" w:cs="Times New Roman"/>
          <w:color w:val="000000"/>
          <w:sz w:val="24"/>
        </w:rPr>
        <w:t>土地的占用，减少对野生动物</w:t>
      </w:r>
      <w:r>
        <w:rPr>
          <w:rFonts w:hint="default" w:ascii="Times New Roman" w:hAnsi="Times New Roman" w:eastAsia="宋体" w:cs="Times New Roman"/>
          <w:color w:val="000000"/>
          <w:sz w:val="24"/>
          <w:lang w:val="en-US" w:eastAsia="zh-CN"/>
        </w:rPr>
        <w:t>生存环境</w:t>
      </w:r>
      <w:r>
        <w:rPr>
          <w:rFonts w:hint="default" w:ascii="Times New Roman" w:hAnsi="Times New Roman" w:eastAsia="宋体" w:cs="Times New Roman"/>
          <w:color w:val="000000"/>
          <w:sz w:val="24"/>
        </w:rPr>
        <w:t>的占用。</w:t>
      </w:r>
    </w:p>
    <w:p w14:paraId="3E17041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设置警示牌，严格控制车速，避免对两栖爬行类及小型兽类造成碾压。</w:t>
      </w:r>
    </w:p>
    <w:p w14:paraId="11C47328">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施工期间加强施工人员管理，严禁使用烟火，防止发生火灾。</w:t>
      </w:r>
    </w:p>
    <w:p w14:paraId="1A335585">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bookmarkStart w:id="138" w:name="_Toc27065"/>
      <w:bookmarkStart w:id="139" w:name="_Toc1188"/>
      <w:bookmarkStart w:id="140" w:name="_Toc4656"/>
      <w:bookmarkStart w:id="141" w:name="_Toc8386"/>
      <w:bookmarkStart w:id="142" w:name="_Toc26621"/>
      <w:r>
        <w:rPr>
          <w:rFonts w:hint="default" w:ascii="Times New Roman" w:hAnsi="Times New Roman" w:eastAsia="宋体" w:cs="Times New Roman"/>
          <w:color w:val="000000"/>
          <w:sz w:val="24"/>
        </w:rPr>
        <w:t>②恢复和补偿措施</w:t>
      </w:r>
      <w:bookmarkEnd w:id="138"/>
      <w:bookmarkEnd w:id="139"/>
      <w:bookmarkEnd w:id="140"/>
      <w:bookmarkEnd w:id="141"/>
      <w:bookmarkEnd w:id="142"/>
    </w:p>
    <w:p w14:paraId="2D8710FF">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项目工程完成后，采取一些人工辅助的生态恢复措施，对</w:t>
      </w:r>
      <w:r>
        <w:rPr>
          <w:rFonts w:hint="default" w:ascii="Times New Roman" w:hAnsi="Times New Roman" w:eastAsia="宋体" w:cs="Times New Roman"/>
          <w:color w:val="000000"/>
          <w:sz w:val="24"/>
          <w:lang w:val="en-US" w:eastAsia="zh-CN"/>
        </w:rPr>
        <w:t>施工区域</w:t>
      </w:r>
      <w:r>
        <w:rPr>
          <w:rFonts w:hint="default" w:ascii="Times New Roman" w:hAnsi="Times New Roman" w:eastAsia="宋体" w:cs="Times New Roman"/>
          <w:color w:val="000000"/>
          <w:sz w:val="24"/>
        </w:rPr>
        <w:t>及时进行植被恢复。</w:t>
      </w:r>
    </w:p>
    <w:p w14:paraId="59CA9E95">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bookmarkStart w:id="143" w:name="_Toc15057"/>
      <w:bookmarkStart w:id="144" w:name="_Toc25811"/>
      <w:bookmarkStart w:id="145" w:name="_Toc14366"/>
      <w:bookmarkStart w:id="146" w:name="_Toc29949"/>
      <w:bookmarkStart w:id="147" w:name="_Toc12586"/>
      <w:r>
        <w:rPr>
          <w:rFonts w:hint="default" w:ascii="Times New Roman" w:hAnsi="Times New Roman" w:eastAsia="宋体" w:cs="Times New Roman"/>
          <w:color w:val="000000"/>
          <w:sz w:val="24"/>
        </w:rPr>
        <w:t>③管理措施</w:t>
      </w:r>
      <w:bookmarkEnd w:id="143"/>
      <w:bookmarkEnd w:id="144"/>
      <w:bookmarkEnd w:id="145"/>
      <w:bookmarkEnd w:id="146"/>
      <w:bookmarkEnd w:id="147"/>
    </w:p>
    <w:p w14:paraId="2831B54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加强施工监控和管理。企业必须配备包括保护野生动物和生态环境在内的专职或兼职巡护人员，加强生态环境的监控和管理，防止人类开发活动加剧造成的诸如动植物资源的破坏、水环境污染和火灾等对当地生物多样性的破坏。</w:t>
      </w:r>
    </w:p>
    <w:p w14:paraId="462F423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
          <w:bCs w:val="0"/>
          <w:color w:val="000000"/>
          <w:spacing w:val="10"/>
          <w:sz w:val="24"/>
        </w:rPr>
      </w:pPr>
      <w:r>
        <w:rPr>
          <w:rFonts w:hint="default" w:ascii="Times New Roman" w:hAnsi="Times New Roman" w:eastAsia="宋体" w:cs="Times New Roman"/>
          <w:color w:val="000000"/>
          <w:sz w:val="24"/>
        </w:rPr>
        <w:t>工程期间一定时间内在评价区内进行生态监测，以及时评估项目对生态环境的影响。</w:t>
      </w:r>
    </w:p>
    <w:p w14:paraId="066812CC">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bidi="ar"/>
        </w:rPr>
      </w:pPr>
      <w:r>
        <w:rPr>
          <w:rFonts w:hint="default" w:ascii="Times New Roman" w:hAnsi="Times New Roman" w:eastAsia="宋体" w:cs="Times New Roman"/>
          <w:color w:val="000000"/>
          <w:sz w:val="24"/>
        </w:rPr>
        <w:t>3）</w:t>
      </w:r>
      <w:r>
        <w:rPr>
          <w:rFonts w:hint="default" w:ascii="Times New Roman" w:hAnsi="Times New Roman" w:eastAsia="宋体" w:cs="Times New Roman"/>
          <w:color w:val="000000"/>
          <w:sz w:val="24"/>
          <w:lang w:bidi="ar"/>
        </w:rPr>
        <w:t>农田保护措施</w:t>
      </w:r>
    </w:p>
    <w:p w14:paraId="15E9B7AC">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bidi="ar"/>
        </w:rPr>
      </w:pPr>
      <w:r>
        <w:rPr>
          <w:rFonts w:hint="default" w:ascii="Times New Roman" w:hAnsi="Times New Roman" w:eastAsia="宋体" w:cs="Times New Roman"/>
          <w:color w:val="000000"/>
          <w:sz w:val="24"/>
        </w:rPr>
        <w:t>①</w:t>
      </w:r>
      <w:r>
        <w:rPr>
          <w:rFonts w:hint="default" w:ascii="Times New Roman" w:hAnsi="Times New Roman" w:eastAsia="宋体" w:cs="Times New Roman"/>
          <w:color w:val="000000"/>
          <w:sz w:val="24"/>
          <w:lang w:bidi="ar"/>
        </w:rPr>
        <w:t>施工所产生的土方、废料以及底泥，存放于工程红线区内，采用围堰、遮盖等措施，不得占用农田。</w:t>
      </w:r>
    </w:p>
    <w:p w14:paraId="63B668A6">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bidi="ar"/>
        </w:rPr>
      </w:pPr>
      <w:r>
        <w:rPr>
          <w:rFonts w:hint="default" w:ascii="Times New Roman" w:hAnsi="Times New Roman" w:eastAsia="宋体" w:cs="Times New Roman"/>
          <w:color w:val="000000"/>
          <w:sz w:val="24"/>
        </w:rPr>
        <w:t>②</w:t>
      </w:r>
      <w:r>
        <w:rPr>
          <w:rFonts w:hint="default" w:ascii="Times New Roman" w:hAnsi="Times New Roman" w:eastAsia="宋体" w:cs="Times New Roman"/>
          <w:color w:val="000000"/>
          <w:sz w:val="24"/>
          <w:lang w:bidi="ar"/>
        </w:rPr>
        <w:t>加强施工人员管理，不得踩踏农田，不得在农田丢弃垃圾。</w:t>
      </w:r>
    </w:p>
    <w:p w14:paraId="6816BA83">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bidi="ar"/>
        </w:rPr>
      </w:pPr>
      <w:r>
        <w:rPr>
          <w:rFonts w:hint="default" w:ascii="Times New Roman" w:hAnsi="Times New Roman" w:eastAsia="宋体" w:cs="Times New Roman"/>
          <w:color w:val="000000"/>
          <w:sz w:val="24"/>
        </w:rPr>
        <w:t>③</w:t>
      </w:r>
      <w:r>
        <w:rPr>
          <w:rFonts w:hint="default" w:ascii="Times New Roman" w:hAnsi="Times New Roman" w:eastAsia="宋体" w:cs="Times New Roman"/>
          <w:color w:val="000000"/>
          <w:sz w:val="24"/>
          <w:lang w:bidi="ar"/>
        </w:rPr>
        <w:t>本工程应合理安排施工期，避开风、雨天气，避开农田灌溉期。</w:t>
      </w:r>
    </w:p>
    <w:p w14:paraId="71115B2F">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bidi="ar"/>
        </w:rPr>
        <w:t>4）</w:t>
      </w:r>
      <w:r>
        <w:rPr>
          <w:rFonts w:hint="default" w:ascii="Times New Roman" w:hAnsi="Times New Roman" w:eastAsia="宋体" w:cs="Times New Roman"/>
          <w:color w:val="000000"/>
          <w:sz w:val="24"/>
        </w:rPr>
        <w:t>水土保持措施</w:t>
      </w:r>
    </w:p>
    <w:p w14:paraId="3A59596D">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本项目在建设过程中，容易造成水土流失，必须采取必要的防治措施以避免或减少水土流失。</w:t>
      </w:r>
    </w:p>
    <w:p w14:paraId="56D47FF0">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工程措施：刮大风和降雨时应停止施工，以免造成水土流失；施工建设中，临时堆土可就近堆放，减少倒运，必要时采取拦挡措施、必须采取苫盖等措施；施工建设场地应统一规划，并采取临时性的防护措施，如布设临时拦挡、苫盖等设施，防治施工期间的水土流失；施工中对下游及周边造成影响的，必须采取相应的防护措施；施工中的裸露地，在遇暴雨时应布设防护措施。临时堆土裸露时间超过一个生长季节的，应进行临时植草加以防护。</w:t>
      </w:r>
    </w:p>
    <w:p w14:paraId="0F82E2E7">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②防治分区原则：根据实地调查结果，在确定的防治责任范围内，依据工程布局、施工扰动特点、建设时序、地貌特征、自然属性、水土流失影响等进行水土流失防治分区。</w:t>
      </w:r>
    </w:p>
    <w:p w14:paraId="574C876D">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③管理措施：需加强施工管理，机械和工人要按照作业范围进行，工程作业全部控制在红线之内。机械及其他材料不得乱停乱放，防止扰动道路红线以外的植被，爱护生态环境，禁止破坏道路红线以外的植被。</w:t>
      </w:r>
    </w:p>
    <w:p w14:paraId="54EE58C4">
      <w:pPr>
        <w:pStyle w:val="36"/>
        <w:keepNext w:val="0"/>
        <w:keepLines w:val="0"/>
        <w:pageBreakBefore w:val="0"/>
        <w:widowControl/>
        <w:numPr>
          <w:ilvl w:val="0"/>
          <w:numId w:val="0"/>
        </w:numPr>
        <w:suppressLineNumbers w:val="0"/>
        <w:spacing w:before="0" w:beforeAutospacing="0" w:after="0" w:afterAutospacing="0" w:line="360" w:lineRule="auto"/>
        <w:ind w:left="0" w:right="0" w:firstLine="480"/>
        <w:jc w:val="both"/>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t>④植物措施</w:t>
      </w:r>
    </w:p>
    <w:p w14:paraId="57B01104">
      <w:pPr>
        <w:pStyle w:val="36"/>
        <w:keepNext w:val="0"/>
        <w:keepLines w:val="0"/>
        <w:pageBreakBefore w:val="0"/>
        <w:widowControl/>
        <w:numPr>
          <w:ilvl w:val="0"/>
          <w:numId w:val="0"/>
        </w:numPr>
        <w:suppressLineNumbers w:val="0"/>
        <w:spacing w:before="0" w:beforeAutospacing="0" w:after="0" w:afterAutospacing="0" w:line="360" w:lineRule="auto"/>
        <w:ind w:left="0" w:right="0" w:firstLine="480"/>
        <w:jc w:val="both"/>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t>施工生产生活区域通过种草措施对路边及田埂进行植被恢复。草种选用</w:t>
      </w:r>
      <w:r>
        <w:rPr>
          <w:rFonts w:hint="eastAsia" w:ascii="Times New Roman" w:hAnsi="Times New Roman" w:eastAsia="宋体" w:cs="Times New Roman"/>
          <w:color w:val="000000"/>
          <w:sz w:val="24"/>
          <w:szCs w:val="24"/>
          <w:highlight w:val="none"/>
          <w:vertAlign w:val="baseline"/>
          <w:lang w:val="en-US" w:eastAsia="zh-CN"/>
        </w:rPr>
        <w:t>本地物种</w:t>
      </w:r>
      <w:r>
        <w:rPr>
          <w:rFonts w:hint="default" w:ascii="Times New Roman" w:hAnsi="Times New Roman" w:eastAsia="宋体" w:cs="Times New Roman"/>
          <w:color w:val="000000"/>
          <w:sz w:val="24"/>
          <w:szCs w:val="24"/>
          <w:highlight w:val="none"/>
          <w:vertAlign w:val="baseline"/>
          <w:lang w:val="en-US" w:eastAsia="zh-CN"/>
        </w:rPr>
        <w:t>。</w:t>
      </w:r>
    </w:p>
    <w:p w14:paraId="5680A224">
      <w:pPr>
        <w:keepNext w:val="0"/>
        <w:keepLines w:val="0"/>
        <w:pageBreakBefore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⑤临时措施</w:t>
      </w:r>
    </w:p>
    <w:p w14:paraId="50ACCE79">
      <w:pPr>
        <w:pStyle w:val="36"/>
        <w:keepNext w:val="0"/>
        <w:keepLines w:val="0"/>
        <w:pageBreakBefore w:val="0"/>
        <w:widowControl/>
        <w:numPr>
          <w:ilvl w:val="0"/>
          <w:numId w:val="0"/>
        </w:numPr>
        <w:suppressLineNumbers w:val="0"/>
        <w:spacing w:before="0" w:beforeAutospacing="0" w:after="0" w:afterAutospacing="0" w:line="360" w:lineRule="auto"/>
        <w:ind w:left="0" w:right="0" w:firstLine="480"/>
        <w:jc w:val="both"/>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t>表土苫盖：为防止风蚀和减小面蚀强度，对临时堆土场剥离的表土根据占地区实际情况定点堆放，堆高不大于3</w:t>
      </w:r>
      <w:r>
        <w:rPr>
          <w:rFonts w:hint="eastAsia" w:ascii="Times New Roman" w:hAnsi="Times New Roman" w:eastAsia="宋体" w:cs="Times New Roman"/>
          <w:color w:val="000000"/>
          <w:sz w:val="24"/>
          <w:szCs w:val="24"/>
          <w:highlight w:val="none"/>
          <w:vertAlign w:val="baseline"/>
          <w:lang w:val="en-US" w:eastAsia="zh-CN"/>
        </w:rPr>
        <w:t>m</w:t>
      </w:r>
      <w:r>
        <w:rPr>
          <w:rFonts w:hint="default" w:ascii="Times New Roman" w:hAnsi="Times New Roman" w:eastAsia="宋体" w:cs="Times New Roman"/>
          <w:color w:val="000000"/>
          <w:sz w:val="24"/>
          <w:szCs w:val="24"/>
          <w:highlight w:val="none"/>
          <w:vertAlign w:val="baseline"/>
          <w:lang w:val="en-US" w:eastAsia="zh-CN"/>
        </w:rPr>
        <w:t>，表面采用纤维网进行苫盖，苫盖面积为100</w:t>
      </w:r>
      <w:r>
        <w:rPr>
          <w:rFonts w:hint="eastAsia" w:ascii="Times New Roman" w:hAnsi="Times New Roman" w:eastAsia="宋体" w:cs="Times New Roman"/>
          <w:color w:val="000000"/>
          <w:sz w:val="24"/>
          <w:szCs w:val="24"/>
          <w:highlight w:val="none"/>
          <w:vertAlign w:val="baseline"/>
          <w:lang w:val="en-US" w:eastAsia="zh-CN"/>
        </w:rPr>
        <w:t>m</w:t>
      </w:r>
      <w:r>
        <w:rPr>
          <w:rFonts w:hint="default"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color w:val="000000"/>
          <w:sz w:val="24"/>
          <w:szCs w:val="24"/>
          <w:highlight w:val="none"/>
          <w:vertAlign w:val="baseline"/>
          <w:lang w:val="en-US" w:eastAsia="zh-CN"/>
        </w:rPr>
        <w:t>。</w:t>
      </w:r>
    </w:p>
    <w:p w14:paraId="15BA7223">
      <w:pPr>
        <w:pStyle w:val="36"/>
        <w:keepNext w:val="0"/>
        <w:keepLines w:val="0"/>
        <w:pageBreakBefore w:val="0"/>
        <w:widowControl/>
        <w:numPr>
          <w:ilvl w:val="0"/>
          <w:numId w:val="0"/>
        </w:numPr>
        <w:suppressLineNumbers w:val="0"/>
        <w:spacing w:before="0" w:beforeAutospacing="0" w:after="0" w:afterAutospacing="0" w:line="360" w:lineRule="auto"/>
        <w:ind w:left="0" w:right="0" w:firstLine="480"/>
        <w:jc w:val="both"/>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sz w:val="24"/>
          <w:szCs w:val="24"/>
          <w:highlight w:val="none"/>
          <w:vertAlign w:val="baseline"/>
          <w:lang w:val="en-US" w:eastAsia="zh-CN"/>
        </w:rPr>
        <w:t>洒水降尘：弃土过程中，为防止尘土飞扬，对弃土区域内的拉运道路进行洒水降尘措施，洒水量以满足施工现场表面含水率大于3%为宜，每次洒水按3</w:t>
      </w:r>
      <w:r>
        <w:rPr>
          <w:rFonts w:hint="eastAsia" w:ascii="Times New Roman" w:hAnsi="Times New Roman" w:eastAsia="宋体" w:cs="Times New Roman"/>
          <w:color w:val="000000"/>
          <w:sz w:val="24"/>
          <w:szCs w:val="24"/>
          <w:highlight w:val="none"/>
          <w:vertAlign w:val="baseline"/>
          <w:lang w:val="en-US" w:eastAsia="zh-CN"/>
        </w:rPr>
        <w:t>mm</w:t>
      </w:r>
      <w:r>
        <w:rPr>
          <w:rFonts w:hint="default" w:ascii="Times New Roman" w:hAnsi="Times New Roman" w:eastAsia="宋体" w:cs="Times New Roman"/>
          <w:color w:val="000000"/>
          <w:sz w:val="24"/>
          <w:szCs w:val="24"/>
          <w:highlight w:val="none"/>
          <w:vertAlign w:val="baseline"/>
          <w:lang w:val="en-US" w:eastAsia="zh-CN"/>
        </w:rPr>
        <w:t>计。</w:t>
      </w:r>
    </w:p>
    <w:p w14:paraId="15C606B2">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b/>
          <w:bCs/>
          <w:color w:val="000000"/>
          <w:sz w:val="24"/>
          <w:szCs w:val="24"/>
          <w:highlight w:val="none"/>
          <w:vertAlign w:val="baseline"/>
          <w:lang w:val="en-US" w:eastAsia="zh-CN" w:bidi="ar-SA"/>
        </w:rPr>
      </w:pPr>
      <w:r>
        <w:rPr>
          <w:rFonts w:hint="eastAsia" w:ascii="Times New Roman" w:hAnsi="Times New Roman" w:eastAsia="宋体" w:cs="Times New Roman"/>
          <w:b/>
          <w:bCs/>
          <w:color w:val="000000"/>
          <w:sz w:val="24"/>
          <w:szCs w:val="24"/>
          <w:highlight w:val="none"/>
          <w:vertAlign w:val="baseline"/>
          <w:lang w:val="en-US" w:eastAsia="zh-CN" w:bidi="ar-SA"/>
        </w:rPr>
        <w:t>1.3水生生态保护措施</w:t>
      </w:r>
    </w:p>
    <w:p w14:paraId="601ECDFA">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ascii="Times New Roman" w:hAnsi="Times New Roman" w:eastAsia="宋体" w:cs="Times New Roman"/>
          <w:color w:val="000000"/>
          <w:sz w:val="24"/>
          <w:szCs w:val="24"/>
          <w:highlight w:val="none"/>
          <w:vertAlign w:val="baseline"/>
          <w:lang w:val="en-US" w:eastAsia="zh-CN" w:bidi="ar-SA"/>
        </w:rPr>
        <w:t>（1）合理安排施工期，应选择枯水期进行施工。</w:t>
      </w:r>
    </w:p>
    <w:p w14:paraId="124367DE">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ascii="Times New Roman" w:hAnsi="Times New Roman" w:eastAsia="宋体" w:cs="Times New Roman"/>
          <w:color w:val="000000"/>
          <w:sz w:val="24"/>
          <w:szCs w:val="24"/>
          <w:highlight w:val="none"/>
          <w:vertAlign w:val="baseline"/>
          <w:lang w:val="en-US" w:eastAsia="zh-CN" w:bidi="ar-SA"/>
        </w:rPr>
        <w:t>（2）树立环境保护意识，在工程施工和运行等各环节都应认真考虑和正确对待资源环境因素，坚持工程建设与资源保护措施“三同时”原则。</w:t>
      </w:r>
    </w:p>
    <w:p w14:paraId="4320259D">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ascii="Times New Roman" w:hAnsi="Times New Roman" w:eastAsia="宋体" w:cs="Times New Roman"/>
          <w:color w:val="000000"/>
          <w:sz w:val="24"/>
          <w:szCs w:val="24"/>
          <w:highlight w:val="none"/>
          <w:vertAlign w:val="baseline"/>
          <w:lang w:val="en-US" w:eastAsia="zh-CN" w:bidi="ar-SA"/>
        </w:rPr>
        <w:t>（3）施工期间严禁在水体中挖沙、取石、倾倒建筑垃圾、改变水流流向和加重泥沙含量等行为，这些行为将直接对鱼类生长繁殖、活动场所造成很大影响。尤其在鱼类繁殖季节，严禁向河道倾倒建设垃圾、从河中挖沙取石等严重破坏自然环境，影响鱼类产卵繁殖的行为。</w:t>
      </w:r>
    </w:p>
    <w:p w14:paraId="1A89CA52">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ascii="Times New Roman" w:hAnsi="Times New Roman" w:eastAsia="宋体" w:cs="Times New Roman"/>
          <w:color w:val="000000"/>
          <w:sz w:val="24"/>
          <w:szCs w:val="24"/>
          <w:highlight w:val="none"/>
          <w:vertAlign w:val="baseline"/>
          <w:lang w:val="en-US" w:eastAsia="zh-CN" w:bidi="ar-SA"/>
        </w:rPr>
        <w:t>（4）加强监管，严格按环保要求施工，生活污水和施工废水禁止排入水体，设置雨水截流沟，防止影响水生生物生境污染的事故发生。禁止将生活垃圾和其他施工机械的废弃物，尤其是油污类严重影响水体质量，威胁鱼类生存的污染物抛入水体，应收集后处理；有害的施工材料尤其是粉尘类材料的堆放要远离水体，降低对河流水质和水生生物的影响。</w:t>
      </w:r>
    </w:p>
    <w:p w14:paraId="75A29736">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ascii="Times New Roman" w:hAnsi="Times New Roman" w:eastAsia="宋体" w:cs="Times New Roman"/>
          <w:color w:val="000000"/>
          <w:sz w:val="24"/>
          <w:szCs w:val="24"/>
          <w:highlight w:val="none"/>
          <w:vertAlign w:val="baseline"/>
          <w:lang w:val="en-US" w:eastAsia="zh-CN" w:bidi="ar-SA"/>
        </w:rPr>
        <w:t>（5）对破坏的植被尽快恢复，建立生态防护林和防护体系，防止水土流失，避免和减少泥沙和有害物质进入河流，影响水域环境。</w:t>
      </w:r>
    </w:p>
    <w:p w14:paraId="3AF12874">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ascii="Times New Roman" w:hAnsi="Times New Roman" w:eastAsia="宋体" w:cs="Times New Roman"/>
          <w:color w:val="000000"/>
          <w:sz w:val="24"/>
          <w:szCs w:val="24"/>
          <w:highlight w:val="none"/>
          <w:vertAlign w:val="baseline"/>
          <w:lang w:val="en-US" w:eastAsia="zh-CN" w:bidi="ar-SA"/>
        </w:rPr>
        <w:t>（6）加强渔政管理。工程环境管理部门应积极协助当地渔政管理部门做好项目区鱼类的保护及宣传工作。加大执法力度，加强巡逻和检查，加强对施工人员的管理，严禁炸、电、毒鱼、捕鱼事件发生。</w:t>
      </w:r>
    </w:p>
    <w:p w14:paraId="6829E797">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eastAsia="宋体" w:cs="Times New Roman"/>
          <w:color w:val="000000"/>
          <w:sz w:val="24"/>
          <w:szCs w:val="24"/>
          <w:highlight w:val="none"/>
          <w:vertAlign w:val="baseline"/>
          <w:lang w:val="en-US" w:eastAsia="zh-CN" w:bidi="ar-SA"/>
        </w:rPr>
        <w:t>（7）</w:t>
      </w:r>
      <w:r>
        <w:rPr>
          <w:rFonts w:hint="eastAsia" w:ascii="Times New Roman" w:hAnsi="Times New Roman" w:eastAsia="宋体" w:cs="Times New Roman"/>
          <w:color w:val="000000"/>
          <w:sz w:val="24"/>
          <w:szCs w:val="24"/>
          <w:highlight w:val="none"/>
          <w:vertAlign w:val="baseline"/>
          <w:lang w:val="en-US" w:eastAsia="zh-CN" w:bidi="ar-SA"/>
        </w:rPr>
        <w:t>施工期间，对施工人员和管理人员普及和讲解水生态环境保护的相关知识，加强水生生物的保护和宣传工作，禁止施工人员在水体中进行垂钓。</w:t>
      </w:r>
    </w:p>
    <w:p w14:paraId="736C520A">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eastAsia="宋体" w:cs="Times New Roman"/>
          <w:color w:val="000000"/>
          <w:sz w:val="24"/>
          <w:szCs w:val="24"/>
          <w:highlight w:val="none"/>
          <w:vertAlign w:val="baseline"/>
          <w:lang w:val="en-US" w:eastAsia="zh-CN" w:bidi="ar-SA"/>
        </w:rPr>
        <w:t>（8）</w:t>
      </w:r>
      <w:r>
        <w:rPr>
          <w:rFonts w:hint="eastAsia" w:ascii="Times New Roman" w:hAnsi="Times New Roman" w:eastAsia="宋体" w:cs="Times New Roman"/>
          <w:color w:val="000000"/>
          <w:sz w:val="24"/>
          <w:szCs w:val="24"/>
          <w:highlight w:val="none"/>
          <w:vertAlign w:val="baseline"/>
          <w:lang w:val="en-US" w:eastAsia="zh-CN" w:bidi="ar-SA"/>
        </w:rPr>
        <w:t>为减轻工程对生态环境的影响，必要采取一定的生态补偿措施，在水域施工区移植优质沉水植物，投放螺类等底栖动物，是修复施工区域水体生态环境行之有效的生态补偿措施。</w:t>
      </w:r>
    </w:p>
    <w:p w14:paraId="6C806BF7">
      <w:pPr>
        <w:pStyle w:val="215"/>
        <w:keepNext w:val="0"/>
        <w:keepLines w:val="0"/>
        <w:pageBreakBefore w:val="0"/>
        <w:widowControl w:val="0"/>
        <w:suppressLineNumbers w:val="0"/>
        <w:spacing w:before="0" w:beforeAutospacing="0" w:after="0" w:afterAutospacing="0"/>
        <w:ind w:left="0" w:right="0" w:firstLine="480"/>
        <w:rPr>
          <w:rFonts w:hint="eastAsia" w:ascii="Times New Roman" w:hAnsi="Times New Roman" w:eastAsia="宋体" w:cs="Times New Roman"/>
          <w:color w:val="000000"/>
          <w:sz w:val="24"/>
          <w:szCs w:val="24"/>
          <w:highlight w:val="none"/>
          <w:vertAlign w:val="baseline"/>
          <w:lang w:val="en-US" w:eastAsia="zh-CN" w:bidi="ar-SA"/>
        </w:rPr>
      </w:pPr>
      <w:r>
        <w:rPr>
          <w:rFonts w:hint="eastAsia" w:eastAsia="宋体" w:cs="Times New Roman"/>
          <w:color w:val="000000"/>
          <w:sz w:val="24"/>
          <w:szCs w:val="24"/>
          <w:highlight w:val="none"/>
          <w:vertAlign w:val="baseline"/>
          <w:lang w:val="en-US" w:eastAsia="zh-CN" w:bidi="ar-SA"/>
        </w:rPr>
        <w:t>（9）</w:t>
      </w:r>
      <w:r>
        <w:rPr>
          <w:rFonts w:hint="eastAsia" w:ascii="Times New Roman" w:hAnsi="Times New Roman" w:eastAsia="宋体" w:cs="Times New Roman"/>
          <w:color w:val="000000"/>
          <w:sz w:val="24"/>
          <w:szCs w:val="24"/>
          <w:highlight w:val="none"/>
          <w:vertAlign w:val="baseline"/>
          <w:lang w:val="en-US" w:eastAsia="zh-CN" w:bidi="ar-SA"/>
        </w:rPr>
        <w:t>施工结束后，及时清理施工现场，做好河道沿岸的水土保持工作，最大程度地恢复水生生物原有的生境。</w:t>
      </w:r>
    </w:p>
    <w:p w14:paraId="39834795">
      <w:pPr>
        <w:keepNext w:val="0"/>
        <w:keepLines w:val="0"/>
        <w:pageBreakBefore w:val="0"/>
        <w:widowControl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szCs w:val="24"/>
        </w:rPr>
      </w:pPr>
      <w:r>
        <w:rPr>
          <w:rFonts w:hint="default" w:ascii="Times New Roman" w:hAnsi="Times New Roman" w:cs="Times New Roman"/>
          <w:b/>
          <w:bCs/>
          <w:color w:val="000000"/>
          <w:sz w:val="24"/>
          <w:highlight w:val="none"/>
          <w:lang w:val="en-US" w:eastAsia="zh-CN"/>
        </w:rPr>
        <w:t>1.4、</w:t>
      </w:r>
      <w:r>
        <w:rPr>
          <w:rFonts w:hint="default" w:ascii="Times New Roman" w:hAnsi="Times New Roman" w:eastAsia="宋体" w:cs="Times New Roman"/>
          <w:b/>
          <w:bCs/>
          <w:color w:val="000000"/>
          <w:sz w:val="24"/>
          <w:szCs w:val="24"/>
        </w:rPr>
        <w:t>施工场地及植被生态恢复措施</w:t>
      </w:r>
    </w:p>
    <w:p w14:paraId="1ADE3841">
      <w:pPr>
        <w:keepNext w:val="0"/>
        <w:keepLines w:val="0"/>
        <w:pageBreakBefore w:val="0"/>
        <w:widowControl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（1）施工完成后，依据植被生态演替的基本规律采取植被恢复措施，对裸露地表采取植被恢复措施或复垦措施，而且对于临时占用的施工场地也应恢复原状。</w:t>
      </w:r>
    </w:p>
    <w:p w14:paraId="3C761510">
      <w:pPr>
        <w:pStyle w:val="215"/>
        <w:keepNext w:val="0"/>
        <w:keepLines w:val="0"/>
        <w:pageBreakBefore w:val="0"/>
        <w:widowControl w:val="0"/>
        <w:suppressLineNumbers w:val="0"/>
        <w:spacing w:before="0" w:beforeAutospacing="0" w:after="0" w:afterAutospacing="0"/>
        <w:ind w:left="0" w:right="0"/>
        <w:jc w:val="left"/>
        <w:rPr>
          <w:rFonts w:hint="default" w:ascii="Times New Roman" w:hAnsi="Times New Roman" w:eastAsia="宋体" w:cs="Times New Roman"/>
          <w:color w:val="000000"/>
          <w:sz w:val="24"/>
          <w:szCs w:val="24"/>
          <w:highlight w:val="none"/>
          <w:vertAlign w:val="baseline"/>
          <w:lang w:val="en-US" w:eastAsia="zh-CN" w:bidi="ar-SA"/>
        </w:rPr>
      </w:pPr>
      <w:r>
        <w:rPr>
          <w:rFonts w:hint="eastAsia" w:eastAsia="宋体" w:cs="Times New Roman"/>
          <w:color w:val="000000"/>
          <w:sz w:val="24"/>
          <w:szCs w:val="24"/>
          <w:highlight w:val="none"/>
          <w:vertAlign w:val="baseline"/>
          <w:lang w:val="en-US" w:eastAsia="zh-CN" w:bidi="ar-SA"/>
        </w:rPr>
        <w:t>1</w:t>
      </w:r>
      <w:r>
        <w:rPr>
          <w:rFonts w:hint="default" w:ascii="Times New Roman" w:hAnsi="Times New Roman" w:eastAsia="宋体" w:cs="Times New Roman"/>
          <w:color w:val="000000"/>
          <w:sz w:val="24"/>
          <w:szCs w:val="24"/>
          <w:highlight w:val="none"/>
          <w:vertAlign w:val="baseline"/>
          <w:lang w:val="en-US" w:eastAsia="zh-CN" w:bidi="ar-SA"/>
        </w:rPr>
        <w:t>）临时工程生态恢复措施</w:t>
      </w:r>
    </w:p>
    <w:p w14:paraId="6CEDF9DD">
      <w:pPr>
        <w:pStyle w:val="215"/>
        <w:keepNext w:val="0"/>
        <w:keepLines w:val="0"/>
        <w:pageBreakBefore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000000"/>
          <w:sz w:val="24"/>
          <w:szCs w:val="24"/>
          <w:highlight w:val="none"/>
          <w:vertAlign w:val="baseline"/>
          <w:lang w:val="en-US" w:eastAsia="zh-CN" w:bidi="ar-SA"/>
        </w:rPr>
      </w:pPr>
      <w:r>
        <w:rPr>
          <w:rFonts w:hint="default" w:ascii="Times New Roman" w:hAnsi="Times New Roman" w:eastAsia="宋体" w:cs="Times New Roman"/>
          <w:color w:val="000000"/>
          <w:sz w:val="24"/>
          <w:szCs w:val="24"/>
          <w:highlight w:val="none"/>
          <w:vertAlign w:val="baseline"/>
          <w:lang w:val="en-US" w:eastAsia="zh-CN" w:bidi="ar-SA"/>
        </w:rPr>
        <w:t>①工程施工时由施工单位先剥离临时施工区0.5m表层土，由县矿产公司统一运输安置。</w:t>
      </w:r>
    </w:p>
    <w:p w14:paraId="76FBDE43">
      <w:pPr>
        <w:pStyle w:val="215"/>
        <w:keepNext w:val="0"/>
        <w:keepLines w:val="0"/>
        <w:pageBreakBefore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000000"/>
          <w:sz w:val="24"/>
          <w:szCs w:val="24"/>
          <w:highlight w:val="none"/>
          <w:vertAlign w:val="baseline"/>
          <w:lang w:val="en-US" w:eastAsia="zh-CN" w:bidi="ar-SA"/>
        </w:rPr>
      </w:pPr>
      <w:r>
        <w:rPr>
          <w:rFonts w:hint="default" w:ascii="Times New Roman" w:hAnsi="Times New Roman" w:eastAsia="宋体" w:cs="Times New Roman"/>
          <w:color w:val="000000"/>
          <w:sz w:val="24"/>
          <w:szCs w:val="24"/>
          <w:highlight w:val="none"/>
          <w:vertAlign w:val="baseline"/>
          <w:lang w:val="en-US" w:eastAsia="zh-CN" w:bidi="ar-SA"/>
        </w:rPr>
        <w:t>②施工结束后，由施工单位拆除施工道路的压实路面，将该工程垃圾运至指定地点，然后交由复垦单位进行复垦。</w:t>
      </w:r>
    </w:p>
    <w:p w14:paraId="371BCE29">
      <w:pPr>
        <w:pStyle w:val="215"/>
        <w:keepNext w:val="0"/>
        <w:keepLines w:val="0"/>
        <w:pageBreakBefore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000000"/>
          <w:sz w:val="24"/>
          <w:szCs w:val="24"/>
          <w:highlight w:val="none"/>
          <w:vertAlign w:val="baseline"/>
          <w:lang w:val="en-US" w:eastAsia="zh-CN" w:bidi="ar-SA"/>
        </w:rPr>
      </w:pPr>
      <w:r>
        <w:rPr>
          <w:rFonts w:hint="default" w:ascii="Times New Roman" w:hAnsi="Times New Roman" w:eastAsia="宋体" w:cs="Times New Roman"/>
          <w:color w:val="000000"/>
          <w:sz w:val="24"/>
          <w:szCs w:val="24"/>
          <w:highlight w:val="none"/>
          <w:vertAlign w:val="baseline"/>
          <w:lang w:val="en-US" w:eastAsia="zh-CN" w:bidi="ar-SA"/>
        </w:rPr>
        <w:t>③土地翻耕、改良土壤。由于施工活动影响，临时工程用地土壤比较板结，需要采取深翻松耕和土壤改良措施。翻松土地深度不小于0.7m。</w:t>
      </w:r>
    </w:p>
    <w:p w14:paraId="33873245">
      <w:pPr>
        <w:pStyle w:val="215"/>
        <w:keepNext w:val="0"/>
        <w:keepLines w:val="0"/>
        <w:pageBreakBefore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000000"/>
          <w:sz w:val="24"/>
          <w:szCs w:val="24"/>
          <w:highlight w:val="none"/>
          <w:vertAlign w:val="baseline"/>
          <w:lang w:val="en-US" w:eastAsia="zh-CN" w:bidi="ar-SA"/>
        </w:rPr>
      </w:pPr>
      <w:r>
        <w:rPr>
          <w:rFonts w:hint="default" w:ascii="Times New Roman" w:hAnsi="Times New Roman" w:eastAsia="宋体" w:cs="Times New Roman"/>
          <w:color w:val="000000"/>
          <w:sz w:val="24"/>
          <w:szCs w:val="24"/>
          <w:highlight w:val="none"/>
          <w:vertAlign w:val="baseline"/>
          <w:lang w:val="en-US" w:eastAsia="zh-CN" w:bidi="ar-SA"/>
        </w:rPr>
        <w:t>④回填原地表表层土。将预先开挖剥离存放的原地表表层腐殖土从临时堆土区回运、回填表土，同时翻、耙、压，否则影响土层质量。</w:t>
      </w:r>
    </w:p>
    <w:p w14:paraId="2F2CF5CB">
      <w:pPr>
        <w:pStyle w:val="215"/>
        <w:keepNext w:val="0"/>
        <w:keepLines w:val="0"/>
        <w:pageBreakBefore w:val="0"/>
        <w:widowControl w:val="0"/>
        <w:suppressLineNumbers w:val="0"/>
        <w:spacing w:before="0" w:beforeAutospacing="0" w:after="0" w:afterAutospacing="0"/>
        <w:ind w:left="0" w:right="0" w:firstLine="480"/>
        <w:jc w:val="left"/>
        <w:rPr>
          <w:rFonts w:hint="default" w:ascii="Times New Roman" w:hAnsi="Times New Roman" w:eastAsia="宋体" w:cs="Times New Roman"/>
          <w:color w:val="000000"/>
          <w:sz w:val="24"/>
          <w:szCs w:val="24"/>
          <w:highlight w:val="none"/>
          <w:vertAlign w:val="baseline"/>
          <w:lang w:val="en-US" w:eastAsia="zh-CN" w:bidi="ar-SA"/>
        </w:rPr>
      </w:pPr>
      <w:r>
        <w:rPr>
          <w:rFonts w:hint="default" w:ascii="Times New Roman" w:hAnsi="Times New Roman" w:eastAsia="宋体" w:cs="Times New Roman"/>
          <w:color w:val="000000"/>
          <w:sz w:val="24"/>
          <w:szCs w:val="24"/>
          <w:highlight w:val="none"/>
          <w:vertAlign w:val="baseline"/>
          <w:lang w:val="en-US" w:eastAsia="zh-CN" w:bidi="ar-SA"/>
        </w:rPr>
        <w:t>⑤在施工结束后尽可能恢复原地貌及原有土地利用功能。</w:t>
      </w:r>
    </w:p>
    <w:p w14:paraId="25616455">
      <w:pPr>
        <w:pStyle w:val="215"/>
        <w:keepNext w:val="0"/>
        <w:keepLines w:val="0"/>
        <w:pageBreakBefore w:val="0"/>
        <w:widowControl w:val="0"/>
        <w:suppressLineNumbers w:val="0"/>
        <w:spacing w:before="0" w:beforeAutospacing="0" w:after="0" w:afterAutospacing="0"/>
        <w:ind w:left="0" w:right="0" w:firstLine="480"/>
        <w:jc w:val="left"/>
        <w:rPr>
          <w:rFonts w:hint="eastAsia" w:ascii="Times New Roman" w:hAnsi="Times New Roman" w:eastAsia="宋体" w:cs="Times New Roman"/>
          <w:color w:val="000000"/>
          <w:lang w:val="en-US" w:eastAsia="zh-CN"/>
        </w:rPr>
      </w:pPr>
      <w:r>
        <w:rPr>
          <w:rFonts w:hint="default" w:ascii="Times New Roman" w:hAnsi="Times New Roman" w:eastAsia="宋体" w:cs="Times New Roman"/>
          <w:color w:val="000000"/>
          <w:sz w:val="24"/>
          <w:szCs w:val="24"/>
        </w:rPr>
        <w:t>（2）施工期应限定施工范围，施工活动要在征地范围内进行。做好火源管理，开展防火教育，防范火灾。对工程涉及地段进行封育，严禁滥砍滥伐</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加强坡地绿化，加强项目周围植被恢复。植被恢复应当采用当地物种，避免生态入侵等风险</w:t>
      </w:r>
      <w:r>
        <w:rPr>
          <w:rFonts w:hint="default" w:ascii="Times New Roman" w:hAnsi="Times New Roman" w:eastAsia="宋体" w:cs="Times New Roman"/>
          <w:color w:val="000000"/>
          <w:sz w:val="24"/>
          <w:lang w:val="en-US" w:eastAsia="zh-CN"/>
        </w:rPr>
        <w:t>。</w:t>
      </w:r>
    </w:p>
    <w:p w14:paraId="36DF53F5">
      <w:pPr>
        <w:pStyle w:val="4"/>
        <w:rPr>
          <w:rFonts w:hint="eastAsia" w:ascii="Times New Roman" w:hAnsi="Times New Roman" w:cs="Times New Roman"/>
          <w:color w:val="000000"/>
          <w:lang w:val="en-US" w:eastAsia="zh-CN"/>
        </w:rPr>
      </w:pPr>
      <w:bookmarkStart w:id="148" w:name="_Toc9228"/>
      <w:bookmarkStart w:id="149" w:name="_Toc7263"/>
      <w:r>
        <w:rPr>
          <w:rFonts w:hint="eastAsia" w:ascii="Times New Roman" w:hAnsi="Times New Roman" w:cs="Times New Roman"/>
          <w:color w:val="000000"/>
          <w:lang w:val="en-US" w:eastAsia="zh-CN"/>
        </w:rPr>
        <w:t>6.2 运营期生态环境保护措施</w:t>
      </w:r>
      <w:bookmarkEnd w:id="148"/>
      <w:bookmarkEnd w:id="149"/>
    </w:p>
    <w:p w14:paraId="11E810C6">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val="en-US" w:eastAsia="zh-CN"/>
        </w:rPr>
        <w:t>本工程建成后，可改善项目所在区域排水情况，缓解城市防洪压力，缓解城区淹积水问题，对保护水环境和居民生活环境有利。针对运营期产生的污染提出如下保护措施：</w:t>
      </w:r>
    </w:p>
    <w:p w14:paraId="21AF1DF5">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val="en-US" w:eastAsia="zh-CN"/>
        </w:rPr>
        <w:t>①加强排水管网的检修，及时对产生破损、泄漏的管（沟）进行维修，保障其正常排水功能。</w:t>
      </w:r>
    </w:p>
    <w:p w14:paraId="22CE2529">
      <w:pPr>
        <w:keepNext w:val="0"/>
        <w:keepLines w:val="0"/>
        <w:pageBreakBefore w:val="0"/>
        <w:widowControl w:val="0"/>
        <w:suppressLineNumbers w:val="0"/>
        <w:spacing w:before="0" w:beforeAutospacing="0" w:after="0" w:afterAutospacing="0" w:line="360" w:lineRule="auto"/>
        <w:ind w:left="0" w:right="0" w:firstLine="480"/>
        <w:rPr>
          <w:rFonts w:hint="default"/>
          <w:color w:val="000000"/>
        </w:rPr>
      </w:pPr>
      <w:r>
        <w:rPr>
          <w:rFonts w:hint="default" w:ascii="Times New Roman" w:hAnsi="Times New Roman" w:eastAsia="宋体" w:cs="Times New Roman"/>
          <w:color w:val="000000"/>
          <w:sz w:val="24"/>
          <w:lang w:val="en-US" w:eastAsia="zh-CN"/>
        </w:rPr>
        <w:t>②</w:t>
      </w:r>
      <w:r>
        <w:rPr>
          <w:rFonts w:hint="eastAsia" w:eastAsia="宋体" w:cs="Times New Roman"/>
          <w:color w:val="000000"/>
          <w:sz w:val="24"/>
          <w:lang w:val="en-US" w:eastAsia="zh-CN"/>
        </w:rPr>
        <w:t>一体式水处理设施</w:t>
      </w:r>
      <w:r>
        <w:rPr>
          <w:rFonts w:hint="default" w:ascii="Times New Roman" w:hAnsi="Times New Roman" w:eastAsia="宋体" w:cs="Times New Roman"/>
          <w:color w:val="000000"/>
          <w:sz w:val="24"/>
          <w:lang w:val="en-US" w:eastAsia="zh-CN"/>
        </w:rPr>
        <w:t>污泥及时由环卫部门清掏清运，减少其滞留时间。</w:t>
      </w:r>
    </w:p>
    <w:p w14:paraId="7502BAE9">
      <w:pPr>
        <w:rPr>
          <w:rFonts w:hint="eastAsia"/>
          <w:color w:val="000000"/>
        </w:rPr>
      </w:pPr>
      <w:r>
        <w:rPr>
          <w:rFonts w:hint="default" w:ascii="Times New Roman" w:hAnsi="Times New Roman" w:eastAsia="宋体" w:cs="Times New Roman"/>
          <w:color w:val="000000"/>
          <w:sz w:val="24"/>
          <w:lang w:val="en-US" w:eastAsia="zh-CN"/>
        </w:rPr>
        <w:t>③</w:t>
      </w:r>
      <w:r>
        <w:rPr>
          <w:rFonts w:hint="eastAsia" w:ascii="Times New Roman" w:hAnsi="Times New Roman" w:eastAsia="宋体" w:cs="Times New Roman"/>
          <w:color w:val="000000"/>
          <w:sz w:val="24"/>
          <w:lang w:val="en-US" w:eastAsia="zh-CN"/>
        </w:rPr>
        <w:t>加强对排水泵站管理，确保设施设备正常运行，减少噪声、固废产生</w:t>
      </w:r>
      <w:r>
        <w:rPr>
          <w:rFonts w:hint="eastAsia"/>
          <w:color w:val="000000"/>
        </w:rPr>
        <w:t>。</w:t>
      </w:r>
    </w:p>
    <w:p w14:paraId="1D064C79">
      <w:pPr>
        <w:pStyle w:val="4"/>
        <w:rPr>
          <w:rFonts w:hint="eastAsia"/>
          <w:color w:val="000000"/>
          <w:lang w:val="en-US" w:eastAsia="zh-CN"/>
        </w:rPr>
      </w:pPr>
      <w:bookmarkStart w:id="150" w:name="_Toc26823"/>
      <w:bookmarkStart w:id="151" w:name="_Toc15416"/>
      <w:r>
        <w:rPr>
          <w:rFonts w:hint="eastAsia"/>
          <w:color w:val="000000"/>
          <w:lang w:val="en-US" w:eastAsia="zh-CN"/>
        </w:rPr>
        <w:t>6.3 环境管理措施</w:t>
      </w:r>
      <w:bookmarkEnd w:id="150"/>
      <w:bookmarkEnd w:id="151"/>
    </w:p>
    <w:p w14:paraId="5458691D">
      <w:pPr>
        <w:outlineLvl w:val="2"/>
        <w:rPr>
          <w:rFonts w:hint="eastAsia" w:ascii="Times New Roman" w:hAnsi="Times New Roman" w:eastAsia="黑体" w:cs="Times New Roman"/>
          <w:b/>
          <w:color w:val="000000"/>
          <w:sz w:val="28"/>
          <w:szCs w:val="28"/>
          <w:lang w:val="en-US" w:eastAsia="zh-CN" w:bidi="ar-SA"/>
        </w:rPr>
      </w:pPr>
      <w:bookmarkStart w:id="152" w:name="_Toc11349"/>
      <w:r>
        <w:rPr>
          <w:rFonts w:hint="eastAsia" w:ascii="Times New Roman" w:hAnsi="Times New Roman" w:eastAsia="黑体" w:cs="Times New Roman"/>
          <w:b/>
          <w:color w:val="000000"/>
          <w:sz w:val="28"/>
          <w:szCs w:val="28"/>
          <w:lang w:val="en-US" w:eastAsia="zh-CN" w:bidi="ar-SA"/>
        </w:rPr>
        <w:t>6.3.1 环境管理</w:t>
      </w:r>
      <w:bookmarkEnd w:id="152"/>
    </w:p>
    <w:p w14:paraId="1BADB8CF">
      <w:pPr>
        <w:keepNext w:val="0"/>
        <w:keepLines w:val="0"/>
        <w:pageBreakBefore w:val="0"/>
        <w:widowControl/>
        <w:suppressLineNumbers w:val="0"/>
        <w:spacing w:before="0" w:beforeAutospacing="0" w:after="0" w:afterAutospacing="0" w:line="360" w:lineRule="auto"/>
        <w:ind w:left="0" w:right="0" w:firstLine="482"/>
        <w:jc w:val="left"/>
        <w:outlineLvl w:val="9"/>
        <w:rPr>
          <w:rFonts w:hint="default" w:ascii="Times New Roman" w:hAnsi="Times New Roman" w:eastAsia="宋体" w:cs="Times New Roman"/>
          <w:color w:val="000000"/>
        </w:rPr>
      </w:pPr>
      <w:r>
        <w:rPr>
          <w:rFonts w:hint="default" w:ascii="Times New Roman" w:hAnsi="Times New Roman" w:eastAsia="宋体" w:cs="Times New Roman"/>
          <w:b/>
          <w:bCs/>
          <w:color w:val="000000"/>
          <w:sz w:val="24"/>
          <w:szCs w:val="24"/>
          <w:lang w:val="en-US" w:eastAsia="zh-CN" w:bidi="ar"/>
        </w:rPr>
        <w:t>1、施工期环境管理</w:t>
      </w:r>
    </w:p>
    <w:p w14:paraId="3EA33426">
      <w:pPr>
        <w:keepNext w:val="0"/>
        <w:keepLines w:val="0"/>
        <w:pageBreakBefore w:val="0"/>
        <w:widowControl/>
        <w:suppressLineNumbers w:val="0"/>
        <w:spacing w:before="0" w:beforeAutospacing="0" w:after="0" w:afterAutospacing="0" w:line="360" w:lineRule="auto"/>
        <w:ind w:left="0" w:right="0" w:firstLine="480"/>
        <w:jc w:val="left"/>
        <w:outlineLvl w:val="9"/>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项目应安排一名熟悉环保政策和法规的专业技术人员负责落实环保措施，同时组成一个由指挥长为组长的环境管理小组，以协调施工单位的环保工作。监理公司配置环保专业人员，负责施工过程中的环保工程监理，并检查“三同时”的落实情况。环境监理部门应充分了解本项目施工计划，制定详细的监理计划，施工中环境监理人员可根据情况，对重要地段或敏感点提出环境监测计划，掌握施工期的环境状况，确保不发生重大的环境事故。</w:t>
      </w:r>
    </w:p>
    <w:p w14:paraId="549A1FB9">
      <w:pPr>
        <w:keepNext w:val="0"/>
        <w:keepLines w:val="0"/>
        <w:pageBreakBefore w:val="0"/>
        <w:widowControl/>
        <w:suppressLineNumbers w:val="0"/>
        <w:spacing w:before="0" w:beforeAutospacing="0" w:after="0" w:afterAutospacing="0" w:line="360" w:lineRule="auto"/>
        <w:ind w:left="0" w:right="0" w:firstLine="480"/>
        <w:jc w:val="left"/>
        <w:outlineLvl w:val="9"/>
        <w:rPr>
          <w:rFonts w:hint="default" w:ascii="Times New Roman" w:hAnsi="Times New Roman" w:eastAsia="宋体" w:cs="Times New Roman"/>
          <w:color w:val="000000"/>
        </w:rPr>
      </w:pPr>
      <w:r>
        <w:rPr>
          <w:rFonts w:hint="default" w:ascii="Times New Roman" w:hAnsi="Times New Roman" w:eastAsia="宋体" w:cs="Times New Roman"/>
          <w:color w:val="000000"/>
          <w:sz w:val="24"/>
          <w:szCs w:val="24"/>
          <w:lang w:val="en-US" w:eastAsia="zh-CN" w:bidi="ar"/>
        </w:rPr>
        <w:t>项目施工期会对环境造成一定影响，在加强施工期的环境管理并采取环评建议和要求的环保措施的基础上，可将其影响控制在最低程度。</w:t>
      </w:r>
    </w:p>
    <w:p w14:paraId="6CDF82AD">
      <w:pPr>
        <w:keepNext w:val="0"/>
        <w:keepLines w:val="0"/>
        <w:pageBreakBefore w:val="0"/>
        <w:widowControl/>
        <w:suppressLineNumbers w:val="0"/>
        <w:spacing w:before="0" w:beforeAutospacing="0" w:after="0" w:afterAutospacing="0" w:line="360" w:lineRule="auto"/>
        <w:ind w:left="0" w:right="0" w:firstLine="482"/>
        <w:jc w:val="left"/>
        <w:outlineLvl w:val="9"/>
        <w:rPr>
          <w:rFonts w:hint="default" w:ascii="Times New Roman" w:hAnsi="Times New Roman" w:eastAsia="宋体" w:cs="Times New Roman"/>
          <w:color w:val="000000"/>
        </w:rPr>
      </w:pPr>
      <w:r>
        <w:rPr>
          <w:rFonts w:hint="default" w:ascii="Times New Roman" w:hAnsi="Times New Roman" w:eastAsia="宋体" w:cs="Times New Roman"/>
          <w:b/>
          <w:bCs/>
          <w:color w:val="000000"/>
          <w:sz w:val="24"/>
          <w:szCs w:val="24"/>
          <w:lang w:val="en-US" w:eastAsia="zh-CN" w:bidi="ar"/>
        </w:rPr>
        <w:t>2、营运期环境管理</w:t>
      </w:r>
    </w:p>
    <w:p w14:paraId="22915AD7">
      <w:pPr>
        <w:keepNext w:val="0"/>
        <w:keepLines w:val="0"/>
        <w:pageBreakBefore w:val="0"/>
        <w:widowControl/>
        <w:suppressLineNumbers w:val="0"/>
        <w:spacing w:before="0" w:beforeAutospacing="0" w:after="0" w:afterAutospacing="0" w:line="360" w:lineRule="auto"/>
        <w:ind w:left="0" w:right="0" w:firstLine="480"/>
        <w:jc w:val="left"/>
        <w:outlineLvl w:val="9"/>
        <w:rPr>
          <w:color w:val="000000"/>
        </w:rPr>
      </w:pPr>
      <w:r>
        <w:rPr>
          <w:rFonts w:hint="default" w:ascii="Times New Roman" w:hAnsi="Times New Roman" w:eastAsia="宋体" w:cs="Times New Roman"/>
          <w:color w:val="000000"/>
          <w:sz w:val="24"/>
          <w:szCs w:val="24"/>
          <w:lang w:val="en-US" w:eastAsia="zh-CN" w:bidi="ar"/>
        </w:rPr>
        <w:t>工程实施完成后，运营期监督管理环境恢复监测和环境恢复计划的落实情况及环保处理设施运行情况。检查生态恢复和污染防治措施的落实情况。参与环境工程验收活动，协助建设单位组织人员的环境保护培训，负责工程环境监理工作计划和总结。</w:t>
      </w:r>
    </w:p>
    <w:p w14:paraId="0B9F94FA">
      <w:pPr>
        <w:keepNext w:val="0"/>
        <w:keepLines w:val="0"/>
        <w:pageBreakBefore w:val="0"/>
        <w:widowControl/>
        <w:suppressLineNumbers w:val="0"/>
        <w:spacing w:before="0" w:beforeAutospacing="0" w:after="0" w:afterAutospacing="0" w:line="360" w:lineRule="auto"/>
        <w:ind w:left="0" w:right="0" w:firstLine="482"/>
        <w:jc w:val="left"/>
        <w:outlineLvl w:val="9"/>
        <w:rPr>
          <w:rFonts w:hint="default" w:ascii="Times New Roman" w:hAnsi="Times New Roman" w:eastAsia="宋体" w:cs="Times New Roman"/>
          <w:b/>
          <w:bCs/>
          <w:color w:val="000000"/>
          <w:sz w:val="24"/>
          <w:szCs w:val="24"/>
          <w:lang w:val="en-US" w:eastAsia="zh-CN" w:bidi="ar"/>
        </w:rPr>
      </w:pPr>
      <w:bookmarkStart w:id="153" w:name="_Toc3530"/>
      <w:bookmarkStart w:id="154" w:name="_Toc29789"/>
      <w:bookmarkStart w:id="155" w:name="_Toc5252"/>
      <w:r>
        <w:rPr>
          <w:rFonts w:hint="eastAsia" w:ascii="Times New Roman" w:hAnsi="Times New Roman" w:eastAsia="宋体" w:cs="Times New Roman"/>
          <w:b/>
          <w:bCs/>
          <w:color w:val="000000"/>
          <w:sz w:val="24"/>
          <w:szCs w:val="24"/>
          <w:lang w:val="en-US" w:eastAsia="zh-CN" w:bidi="ar"/>
        </w:rPr>
        <w:t>3、环境管理制度</w:t>
      </w:r>
      <w:bookmarkEnd w:id="153"/>
      <w:bookmarkEnd w:id="154"/>
      <w:bookmarkEnd w:id="155"/>
    </w:p>
    <w:p w14:paraId="51648708">
      <w:pPr>
        <w:outlineLvl w:val="9"/>
        <w:rPr>
          <w:rFonts w:hint="default" w:eastAsia="宋体"/>
          <w:color w:val="000000"/>
          <w:lang w:val="en-US" w:eastAsia="zh-CN"/>
        </w:rPr>
      </w:pPr>
      <w:r>
        <w:rPr>
          <w:rFonts w:hint="eastAsia"/>
          <w:color w:val="000000"/>
          <w:lang w:val="en-US" w:eastAsia="zh-CN"/>
        </w:rPr>
        <w:t>通过建立</w:t>
      </w:r>
      <w:r>
        <w:rPr>
          <w:color w:val="000000"/>
        </w:rPr>
        <w:t>环境保护责任制</w:t>
      </w:r>
      <w:r>
        <w:rPr>
          <w:rFonts w:hint="eastAsia"/>
          <w:color w:val="000000"/>
          <w:lang w:eastAsia="zh-CN"/>
        </w:rPr>
        <w:t>、</w:t>
      </w:r>
      <w:r>
        <w:rPr>
          <w:color w:val="000000"/>
        </w:rPr>
        <w:t>分级管理制度</w:t>
      </w:r>
      <w:r>
        <w:rPr>
          <w:rFonts w:hint="eastAsia"/>
          <w:color w:val="000000"/>
          <w:lang w:eastAsia="zh-CN"/>
        </w:rPr>
        <w:t>、“</w:t>
      </w:r>
      <w:r>
        <w:rPr>
          <w:color w:val="000000"/>
        </w:rPr>
        <w:t>三同时</w:t>
      </w:r>
      <w:r>
        <w:rPr>
          <w:rFonts w:hint="eastAsia"/>
          <w:color w:val="000000"/>
          <w:lang w:eastAsia="zh-CN"/>
        </w:rPr>
        <w:t>”</w:t>
      </w:r>
      <w:r>
        <w:rPr>
          <w:color w:val="000000"/>
        </w:rPr>
        <w:t>验收制度</w:t>
      </w:r>
      <w:r>
        <w:rPr>
          <w:rFonts w:hint="eastAsia"/>
          <w:color w:val="000000"/>
          <w:lang w:eastAsia="zh-CN"/>
        </w:rPr>
        <w:t>、</w:t>
      </w:r>
      <w:r>
        <w:rPr>
          <w:color w:val="000000"/>
        </w:rPr>
        <w:t>书面制度</w:t>
      </w:r>
      <w:r>
        <w:rPr>
          <w:rFonts w:hint="eastAsia"/>
          <w:color w:val="000000"/>
          <w:lang w:eastAsia="zh-CN"/>
        </w:rPr>
        <w:t>、</w:t>
      </w:r>
      <w:r>
        <w:rPr>
          <w:color w:val="000000"/>
        </w:rPr>
        <w:t>报告制度</w:t>
      </w:r>
      <w:r>
        <w:rPr>
          <w:rFonts w:hint="eastAsia"/>
          <w:color w:val="000000"/>
          <w:lang w:eastAsia="zh-CN"/>
        </w:rPr>
        <w:t>、</w:t>
      </w:r>
      <w:r>
        <w:rPr>
          <w:color w:val="000000"/>
        </w:rPr>
        <w:t>污染事故预防和处理措施</w:t>
      </w:r>
      <w:r>
        <w:rPr>
          <w:rFonts w:hint="eastAsia"/>
          <w:color w:val="000000"/>
          <w:lang w:val="en-US" w:eastAsia="zh-CN"/>
        </w:rPr>
        <w:t>等环境管理，加强施工期和运营期责任，将生态环境保护要求落实到位。</w:t>
      </w:r>
    </w:p>
    <w:p w14:paraId="092F7B33">
      <w:pPr>
        <w:outlineLvl w:val="2"/>
        <w:rPr>
          <w:rFonts w:hint="eastAsia" w:ascii="Times New Roman" w:hAnsi="Times New Roman" w:eastAsia="黑体" w:cs="Times New Roman"/>
          <w:b/>
          <w:color w:val="000000"/>
          <w:sz w:val="28"/>
          <w:szCs w:val="28"/>
          <w:lang w:val="en-US" w:eastAsia="zh-CN" w:bidi="ar-SA"/>
        </w:rPr>
      </w:pPr>
      <w:bookmarkStart w:id="156" w:name="_Toc119915382"/>
      <w:bookmarkStart w:id="157" w:name="_Toc18580"/>
      <w:bookmarkStart w:id="158" w:name="_Toc5594"/>
      <w:r>
        <w:rPr>
          <w:rFonts w:hint="eastAsia" w:ascii="Times New Roman" w:hAnsi="Times New Roman" w:eastAsia="黑体" w:cs="Times New Roman"/>
          <w:b/>
          <w:color w:val="000000"/>
          <w:sz w:val="28"/>
          <w:szCs w:val="28"/>
          <w:lang w:val="en-US" w:eastAsia="zh-CN" w:bidi="ar-SA"/>
        </w:rPr>
        <w:t>6.3.2 环境监理</w:t>
      </w:r>
      <w:bookmarkEnd w:id="156"/>
      <w:bookmarkEnd w:id="157"/>
      <w:bookmarkEnd w:id="158"/>
    </w:p>
    <w:p w14:paraId="6F19D2CD">
      <w:pPr>
        <w:outlineLvl w:val="9"/>
        <w:rPr>
          <w:color w:val="000000"/>
        </w:rPr>
      </w:pPr>
      <w:r>
        <w:rPr>
          <w:rFonts w:hint="eastAsia"/>
          <w:color w:val="000000"/>
          <w:lang w:val="en-US" w:eastAsia="zh-CN"/>
        </w:rPr>
        <w:t>根据</w:t>
      </w:r>
      <w:r>
        <w:rPr>
          <w:color w:val="000000"/>
        </w:rPr>
        <w:t>工程规模和施工规划，施工期环境保护监理部门设专职监理人员。环境监理人员常驻工地，对施工区环境保护工作进行动态管理。监理方式以现场监督管理为主，并随时检查各项环境监测数据，发现问题后，立即要求承包商限期治理，并以公文函件确认。对于限期处理的环境问题，按期进行检查验收，将检查结果形成纪要下发承包商。</w:t>
      </w:r>
    </w:p>
    <w:p w14:paraId="655696AD">
      <w:pPr>
        <w:pStyle w:val="4"/>
        <w:rPr>
          <w:rFonts w:hint="eastAsia" w:ascii="Times New Roman" w:hAnsi="Times New Roman" w:cs="Times New Roman"/>
          <w:color w:val="000000"/>
          <w:lang w:val="en-US" w:eastAsia="zh-CN"/>
        </w:rPr>
      </w:pPr>
      <w:bookmarkStart w:id="159" w:name="_Toc21687"/>
      <w:bookmarkStart w:id="160" w:name="_Toc350352181"/>
      <w:bookmarkStart w:id="161" w:name="_Toc119915383"/>
      <w:bookmarkStart w:id="162" w:name="_Toc3446"/>
      <w:r>
        <w:rPr>
          <w:rFonts w:hint="eastAsia" w:ascii="Times New Roman" w:hAnsi="Times New Roman" w:cs="Times New Roman"/>
          <w:color w:val="000000"/>
          <w:lang w:val="en-US" w:eastAsia="zh-CN"/>
        </w:rPr>
        <w:t>6.4 环境监测</w:t>
      </w:r>
      <w:bookmarkEnd w:id="159"/>
      <w:bookmarkEnd w:id="160"/>
      <w:bookmarkEnd w:id="161"/>
      <w:bookmarkEnd w:id="162"/>
    </w:p>
    <w:p w14:paraId="5460BB2F">
      <w:pPr>
        <w:pStyle w:val="5"/>
        <w:outlineLvl w:val="1"/>
        <w:rPr>
          <w:color w:val="000000"/>
        </w:rPr>
      </w:pPr>
      <w:bookmarkStart w:id="163" w:name="_Toc1129"/>
      <w:bookmarkStart w:id="164" w:name="_Toc6483"/>
      <w:bookmarkStart w:id="165" w:name="_Toc6480"/>
      <w:bookmarkStart w:id="166" w:name="_Toc8409"/>
      <w:r>
        <w:rPr>
          <w:rFonts w:hint="eastAsia"/>
          <w:color w:val="000000"/>
          <w:lang w:val="en-US" w:eastAsia="zh-CN"/>
        </w:rPr>
        <w:t>6</w:t>
      </w:r>
      <w:r>
        <w:rPr>
          <w:color w:val="000000"/>
          <w:lang w:eastAsia="zh-CN"/>
        </w:rPr>
        <w:t>.</w:t>
      </w:r>
      <w:r>
        <w:rPr>
          <w:rFonts w:hint="eastAsia"/>
          <w:color w:val="000000"/>
          <w:lang w:val="en-US" w:eastAsia="zh-CN"/>
        </w:rPr>
        <w:t>4</w:t>
      </w:r>
      <w:r>
        <w:rPr>
          <w:color w:val="000000"/>
        </w:rPr>
        <w:t>.1</w:t>
      </w:r>
      <w:r>
        <w:rPr>
          <w:rFonts w:hint="eastAsia"/>
          <w:color w:val="000000"/>
          <w:lang w:eastAsia="zh-CN"/>
        </w:rPr>
        <w:t xml:space="preserve"> </w:t>
      </w:r>
      <w:r>
        <w:rPr>
          <w:color w:val="000000"/>
        </w:rPr>
        <w:t>环境监测</w:t>
      </w:r>
      <w:r>
        <w:rPr>
          <w:rFonts w:hint="eastAsia"/>
          <w:color w:val="000000"/>
          <w:lang w:eastAsia="zh-CN"/>
        </w:rPr>
        <w:t>制定的目的和原则</w:t>
      </w:r>
      <w:bookmarkEnd w:id="163"/>
      <w:bookmarkEnd w:id="164"/>
      <w:bookmarkEnd w:id="165"/>
      <w:bookmarkEnd w:id="166"/>
    </w:p>
    <w:p w14:paraId="5A8A06B2">
      <w:pPr>
        <w:rPr>
          <w:color w:val="000000"/>
        </w:rPr>
      </w:pPr>
      <w:r>
        <w:rPr>
          <w:color w:val="000000"/>
        </w:rPr>
        <w:t>制定环境监测计划的</w:t>
      </w:r>
      <w:r>
        <w:rPr>
          <w:rFonts w:hint="eastAsia"/>
          <w:color w:val="000000"/>
          <w:lang w:eastAsia="zh-CN"/>
        </w:rPr>
        <w:t>目的是</w:t>
      </w:r>
      <w:r>
        <w:rPr>
          <w:color w:val="000000"/>
        </w:rPr>
        <w:t>监督各项环保措施的落实，根据监测结果适时调整环境保护行动计划，为环保措施的实施提供依据。制定的原则是根据项目的特点预测各个时期的主要环境影响因素而定。</w:t>
      </w:r>
    </w:p>
    <w:p w14:paraId="680A1D10">
      <w:pPr>
        <w:pStyle w:val="5"/>
        <w:outlineLvl w:val="1"/>
        <w:rPr>
          <w:color w:val="000000"/>
        </w:rPr>
      </w:pPr>
      <w:bookmarkStart w:id="167" w:name="_Toc9143"/>
      <w:bookmarkStart w:id="168" w:name="_Toc18649"/>
      <w:bookmarkStart w:id="169" w:name="_Toc1312"/>
      <w:bookmarkStart w:id="170" w:name="_Toc16976"/>
      <w:r>
        <w:rPr>
          <w:rFonts w:hint="eastAsia"/>
          <w:color w:val="000000"/>
          <w:lang w:val="en-US" w:eastAsia="zh-CN"/>
        </w:rPr>
        <w:t>6</w:t>
      </w:r>
      <w:r>
        <w:rPr>
          <w:color w:val="000000"/>
          <w:lang w:eastAsia="zh-CN"/>
        </w:rPr>
        <w:t>.</w:t>
      </w:r>
      <w:r>
        <w:rPr>
          <w:rFonts w:hint="eastAsia"/>
          <w:color w:val="000000"/>
          <w:lang w:val="en-US" w:eastAsia="zh-CN"/>
        </w:rPr>
        <w:t>4</w:t>
      </w:r>
      <w:r>
        <w:rPr>
          <w:color w:val="000000"/>
        </w:rPr>
        <w:t>.2</w:t>
      </w:r>
      <w:r>
        <w:rPr>
          <w:rFonts w:hint="eastAsia"/>
          <w:color w:val="000000"/>
          <w:lang w:eastAsia="zh-CN"/>
        </w:rPr>
        <w:t xml:space="preserve"> </w:t>
      </w:r>
      <w:r>
        <w:rPr>
          <w:color w:val="000000"/>
        </w:rPr>
        <w:t>环境监测</w:t>
      </w:r>
      <w:r>
        <w:rPr>
          <w:rFonts w:hint="eastAsia"/>
          <w:color w:val="000000"/>
          <w:lang w:eastAsia="zh-CN"/>
        </w:rPr>
        <w:t>机构及职责</w:t>
      </w:r>
      <w:bookmarkEnd w:id="167"/>
      <w:bookmarkEnd w:id="168"/>
      <w:bookmarkEnd w:id="169"/>
      <w:bookmarkEnd w:id="170"/>
    </w:p>
    <w:p w14:paraId="7FD0CBCA">
      <w:pPr>
        <w:rPr>
          <w:color w:val="000000"/>
        </w:rPr>
      </w:pPr>
      <w:r>
        <w:rPr>
          <w:color w:val="000000"/>
        </w:rPr>
        <w:t>项目委托有资质监测单位进行环境监测，切实搞好监测质量保证工作。</w:t>
      </w:r>
    </w:p>
    <w:p w14:paraId="16A24D00">
      <w:pPr>
        <w:rPr>
          <w:color w:val="000000"/>
        </w:rPr>
      </w:pPr>
      <w:r>
        <w:rPr>
          <w:color w:val="000000"/>
        </w:rPr>
        <w:t>其主要职责：</w:t>
      </w:r>
    </w:p>
    <w:p w14:paraId="3B40E47B">
      <w:pPr>
        <w:rPr>
          <w:color w:val="000000"/>
        </w:rPr>
      </w:pPr>
      <w:r>
        <w:rPr>
          <w:rFonts w:hint="eastAsia"/>
          <w:color w:val="000000"/>
        </w:rPr>
        <w:t>（1）</w:t>
      </w:r>
      <w:r>
        <w:rPr>
          <w:color w:val="000000"/>
        </w:rPr>
        <w:t>建立严格可行的环境监测计划及质量保证制度；</w:t>
      </w:r>
    </w:p>
    <w:p w14:paraId="722245D8">
      <w:pPr>
        <w:rPr>
          <w:color w:val="000000"/>
        </w:rPr>
      </w:pPr>
      <w:r>
        <w:rPr>
          <w:rFonts w:hint="eastAsia"/>
          <w:color w:val="000000"/>
        </w:rPr>
        <w:t>（2）</w:t>
      </w:r>
      <w:r>
        <w:rPr>
          <w:color w:val="000000"/>
        </w:rPr>
        <w:t>定期开展监测，为决策部门提供污染防治的依据。</w:t>
      </w:r>
    </w:p>
    <w:p w14:paraId="4CD86072">
      <w:pPr>
        <w:pStyle w:val="5"/>
        <w:outlineLvl w:val="1"/>
        <w:rPr>
          <w:color w:val="000000"/>
          <w:lang w:eastAsia="zh-CN"/>
        </w:rPr>
      </w:pPr>
      <w:bookmarkStart w:id="171" w:name="_Toc1163"/>
      <w:bookmarkStart w:id="172" w:name="_Toc28488"/>
      <w:bookmarkStart w:id="173" w:name="_Toc27466"/>
      <w:bookmarkStart w:id="174" w:name="_Toc32609"/>
      <w:r>
        <w:rPr>
          <w:rFonts w:hint="eastAsia"/>
          <w:color w:val="000000"/>
          <w:lang w:val="en-US" w:eastAsia="zh-CN"/>
        </w:rPr>
        <w:t>6</w:t>
      </w:r>
      <w:r>
        <w:rPr>
          <w:color w:val="000000"/>
          <w:lang w:eastAsia="zh-CN"/>
        </w:rPr>
        <w:t>.</w:t>
      </w:r>
      <w:r>
        <w:rPr>
          <w:rFonts w:hint="eastAsia"/>
          <w:color w:val="000000"/>
          <w:lang w:val="en-US" w:eastAsia="zh-CN"/>
        </w:rPr>
        <w:t>4</w:t>
      </w:r>
      <w:r>
        <w:rPr>
          <w:color w:val="000000"/>
        </w:rPr>
        <w:t>.3</w:t>
      </w:r>
      <w:r>
        <w:rPr>
          <w:rFonts w:hint="eastAsia"/>
          <w:color w:val="000000"/>
          <w:lang w:eastAsia="zh-CN"/>
        </w:rPr>
        <w:t xml:space="preserve"> </w:t>
      </w:r>
      <w:r>
        <w:rPr>
          <w:color w:val="000000"/>
        </w:rPr>
        <w:t>环境监测</w:t>
      </w:r>
      <w:r>
        <w:rPr>
          <w:rFonts w:hint="eastAsia"/>
          <w:color w:val="000000"/>
          <w:lang w:eastAsia="zh-CN"/>
        </w:rPr>
        <w:t>计划</w:t>
      </w:r>
      <w:bookmarkEnd w:id="171"/>
      <w:bookmarkEnd w:id="172"/>
      <w:bookmarkEnd w:id="173"/>
      <w:bookmarkEnd w:id="174"/>
    </w:p>
    <w:p w14:paraId="3C1125F0">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根据《排污单位自行监测技术指南总则》（HJ819-2017）的相关规定，并参照其他同类型项目制定本项目的监测计划，建设单位可委托具有资质的检（监）测机构开展监测。</w:t>
      </w:r>
    </w:p>
    <w:p w14:paraId="26D3A3F4">
      <w:pPr>
        <w:keepNext w:val="0"/>
        <w:keepLines w:val="0"/>
        <w:pageBreakBefore w:val="0"/>
        <w:widowControl/>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lang w:val="en-US" w:eastAsia="zh-CN" w:bidi="ar"/>
        </w:rPr>
      </w:pPr>
      <w:r>
        <w:rPr>
          <w:rFonts w:hint="default" w:ascii="Times New Roman" w:hAnsi="Times New Roman" w:eastAsia="宋体" w:cs="Times New Roman"/>
          <w:color w:val="000000"/>
          <w:sz w:val="24"/>
          <w:szCs w:val="24"/>
          <w:lang w:val="en-US" w:eastAsia="zh-CN" w:bidi="ar"/>
        </w:rPr>
        <w:t>具体监测计划详见表</w:t>
      </w:r>
      <w:r>
        <w:rPr>
          <w:rFonts w:hint="eastAsia" w:ascii="Times New Roman" w:hAnsi="Times New Roman" w:eastAsia="宋体" w:cs="Times New Roman"/>
          <w:color w:val="000000"/>
          <w:sz w:val="24"/>
          <w:szCs w:val="24"/>
          <w:lang w:val="en-US" w:eastAsia="zh-CN" w:bidi="ar"/>
        </w:rPr>
        <w:t>6</w:t>
      </w:r>
      <w:r>
        <w:rPr>
          <w:rFonts w:hint="default" w:ascii="Times New Roman" w:hAnsi="Times New Roman" w:eastAsia="宋体" w:cs="Times New Roman"/>
          <w:color w:val="000000"/>
          <w:sz w:val="24"/>
          <w:szCs w:val="24"/>
          <w:lang w:val="en-US" w:eastAsia="zh-CN" w:bidi="ar"/>
        </w:rPr>
        <w:t>-1。</w:t>
      </w:r>
    </w:p>
    <w:p w14:paraId="31321A90">
      <w:pPr>
        <w:keepNext w:val="0"/>
        <w:keepLines w:val="0"/>
        <w:pageBreakBefore w:val="0"/>
        <w:widowControl w:val="0"/>
        <w:suppressLineNumbers w:val="0"/>
        <w:spacing w:before="0" w:beforeAutospacing="0" w:after="0" w:afterAutospacing="0" w:line="360" w:lineRule="auto"/>
        <w:ind w:left="0" w:right="0" w:firstLine="482"/>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环境监测计划表</w:t>
      </w:r>
    </w:p>
    <w:tbl>
      <w:tblPr>
        <w:tblStyle w:val="39"/>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53"/>
        <w:gridCol w:w="2306"/>
        <w:gridCol w:w="2256"/>
        <w:gridCol w:w="1798"/>
      </w:tblGrid>
      <w:tr w14:paraId="290A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noWrap w:val="0"/>
            <w:vAlign w:val="center"/>
          </w:tcPr>
          <w:p w14:paraId="319EACE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监测时期</w:t>
            </w:r>
          </w:p>
        </w:tc>
        <w:tc>
          <w:tcPr>
            <w:tcW w:w="1153" w:type="dxa"/>
            <w:noWrap w:val="0"/>
            <w:vAlign w:val="center"/>
          </w:tcPr>
          <w:p w14:paraId="393D18D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监测项目</w:t>
            </w:r>
          </w:p>
        </w:tc>
        <w:tc>
          <w:tcPr>
            <w:tcW w:w="2306" w:type="dxa"/>
            <w:noWrap w:val="0"/>
            <w:vAlign w:val="center"/>
          </w:tcPr>
          <w:p w14:paraId="163555F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指标</w:t>
            </w:r>
          </w:p>
        </w:tc>
        <w:tc>
          <w:tcPr>
            <w:tcW w:w="2256" w:type="dxa"/>
            <w:noWrap w:val="0"/>
            <w:vAlign w:val="center"/>
          </w:tcPr>
          <w:p w14:paraId="6339743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频次</w:t>
            </w:r>
          </w:p>
        </w:tc>
        <w:tc>
          <w:tcPr>
            <w:tcW w:w="1798" w:type="dxa"/>
            <w:noWrap w:val="0"/>
            <w:vAlign w:val="center"/>
          </w:tcPr>
          <w:p w14:paraId="1B80BE3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监测点</w:t>
            </w:r>
          </w:p>
        </w:tc>
      </w:tr>
      <w:tr w14:paraId="6A60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noWrap w:val="0"/>
            <w:vAlign w:val="center"/>
          </w:tcPr>
          <w:p w14:paraId="64F4AB4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w:t>
            </w:r>
          </w:p>
        </w:tc>
        <w:tc>
          <w:tcPr>
            <w:tcW w:w="1153" w:type="dxa"/>
            <w:noWrap w:val="0"/>
            <w:vAlign w:val="center"/>
          </w:tcPr>
          <w:p w14:paraId="5BBC70B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大气监测</w:t>
            </w:r>
          </w:p>
        </w:tc>
        <w:tc>
          <w:tcPr>
            <w:tcW w:w="2306" w:type="dxa"/>
            <w:noWrap w:val="0"/>
            <w:vAlign w:val="center"/>
          </w:tcPr>
          <w:p w14:paraId="5330C67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TSP</w:t>
            </w:r>
          </w:p>
        </w:tc>
        <w:tc>
          <w:tcPr>
            <w:tcW w:w="2256" w:type="dxa"/>
            <w:noWrap w:val="0"/>
            <w:vAlign w:val="center"/>
          </w:tcPr>
          <w:p w14:paraId="271F3130">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高峰期监测1次，每次连续监测3天，每天分4个时段监测</w:t>
            </w:r>
          </w:p>
        </w:tc>
        <w:tc>
          <w:tcPr>
            <w:tcW w:w="1798" w:type="dxa"/>
            <w:noWrap w:val="0"/>
            <w:vAlign w:val="center"/>
          </w:tcPr>
          <w:p w14:paraId="55B73B17">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施工现场</w:t>
            </w:r>
          </w:p>
        </w:tc>
      </w:tr>
      <w:tr w14:paraId="6565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5EFF45B3">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sz w:val="21"/>
                <w:szCs w:val="21"/>
              </w:rPr>
            </w:pPr>
          </w:p>
        </w:tc>
        <w:tc>
          <w:tcPr>
            <w:tcW w:w="1153" w:type="dxa"/>
            <w:noWrap w:val="0"/>
            <w:vAlign w:val="center"/>
          </w:tcPr>
          <w:p w14:paraId="3E12DA80">
            <w:pPr>
              <w:keepNext w:val="0"/>
              <w:keepLines w:val="0"/>
              <w:pageBreakBefore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sz w:val="21"/>
                <w:szCs w:val="21"/>
                <w:lang w:eastAsia="zh-CN"/>
              </w:rPr>
            </w:pPr>
            <w:r>
              <w:rPr>
                <w:rFonts w:hint="eastAsia" w:eastAsia="宋体" w:cs="Times New Roman"/>
                <w:color w:val="000000"/>
                <w:sz w:val="21"/>
                <w:szCs w:val="21"/>
                <w:lang w:eastAsia="zh-CN"/>
              </w:rPr>
              <w:t>水</w:t>
            </w:r>
            <w:r>
              <w:rPr>
                <w:rFonts w:hint="default" w:ascii="Times New Roman" w:hAnsi="Times New Roman" w:eastAsia="宋体" w:cs="Times New Roman"/>
                <w:color w:val="000000"/>
                <w:sz w:val="21"/>
                <w:szCs w:val="21"/>
              </w:rPr>
              <w:t>环境监测</w:t>
            </w:r>
          </w:p>
        </w:tc>
        <w:tc>
          <w:tcPr>
            <w:tcW w:w="2306" w:type="dxa"/>
            <w:noWrap w:val="0"/>
            <w:vAlign w:val="center"/>
          </w:tcPr>
          <w:p w14:paraId="0C9AA7E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河流水质监测项目水温、pH、DO、SS、COD、</w:t>
            </w:r>
          </w:p>
          <w:p w14:paraId="1F966B2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BOD</w:t>
            </w:r>
            <w:r>
              <w:rPr>
                <w:rFonts w:hint="default" w:ascii="Times New Roman" w:hAnsi="Times New Roman" w:eastAsia="宋体" w:cs="Times New Roman"/>
                <w:color w:val="000000"/>
                <w:sz w:val="21"/>
                <w:szCs w:val="21"/>
                <w:vertAlign w:val="subscript"/>
                <w:lang w:val="en-US" w:eastAsia="zh-CN"/>
              </w:rPr>
              <w:t>5</w:t>
            </w:r>
            <w:r>
              <w:rPr>
                <w:rFonts w:hint="default" w:ascii="Times New Roman" w:hAnsi="Times New Roman" w:eastAsia="宋体" w:cs="Times New Roman"/>
                <w:color w:val="000000"/>
                <w:sz w:val="21"/>
                <w:szCs w:val="21"/>
                <w:lang w:val="en-US" w:eastAsia="zh-CN"/>
              </w:rPr>
              <w:t>、NH</w:t>
            </w:r>
            <w:r>
              <w:rPr>
                <w:rFonts w:hint="default" w:ascii="Times New Roman" w:hAnsi="Times New Roman" w:eastAsia="宋体" w:cs="Times New Roman"/>
                <w:color w:val="000000"/>
                <w:sz w:val="21"/>
                <w:szCs w:val="21"/>
                <w:vertAlign w:val="subscript"/>
                <w:lang w:val="en-US" w:eastAsia="zh-CN"/>
              </w:rPr>
              <w:t>3</w:t>
            </w:r>
            <w:r>
              <w:rPr>
                <w:rFonts w:hint="default" w:ascii="Times New Roman" w:hAnsi="Times New Roman" w:eastAsia="宋体" w:cs="Times New Roman"/>
                <w:color w:val="000000"/>
                <w:sz w:val="21"/>
                <w:szCs w:val="21"/>
                <w:lang w:val="en-US" w:eastAsia="zh-CN"/>
              </w:rPr>
              <w:t>-N、总磷、六价铬、挥发酚、氟化物、粪大肠菌群和锌等；生活污水监测项目主要为流量、SS、BOD</w:t>
            </w:r>
          </w:p>
          <w:p w14:paraId="29DEF33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vertAlign w:val="subscript"/>
                <w:lang w:val="en-US" w:eastAsia="zh-CN"/>
              </w:rPr>
              <w:t>5</w:t>
            </w:r>
            <w:r>
              <w:rPr>
                <w:rFonts w:hint="default" w:ascii="Times New Roman" w:hAnsi="Times New Roman" w:eastAsia="宋体" w:cs="Times New Roman"/>
                <w:color w:val="000000"/>
                <w:sz w:val="21"/>
                <w:szCs w:val="21"/>
                <w:lang w:val="en-US" w:eastAsia="zh-CN"/>
              </w:rPr>
              <w:t>、COD、粪大肠菌群、阴离子表面活性剂和氨氮等；施工废水仅监测流量和SS。</w:t>
            </w:r>
          </w:p>
        </w:tc>
        <w:tc>
          <w:tcPr>
            <w:tcW w:w="2256" w:type="dxa"/>
            <w:noWrap w:val="0"/>
            <w:vAlign w:val="center"/>
          </w:tcPr>
          <w:p w14:paraId="4406A8B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施工期内至少一次，连续监测</w:t>
            </w: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天</w:t>
            </w:r>
          </w:p>
        </w:tc>
        <w:tc>
          <w:tcPr>
            <w:tcW w:w="1798" w:type="dxa"/>
            <w:noWrap w:val="0"/>
            <w:vAlign w:val="center"/>
          </w:tcPr>
          <w:p w14:paraId="4C37006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河道施工下游处、各个配套建筑物、生活废水处理末端和生活区生活污水处理末端等处各设1个监测点位。</w:t>
            </w:r>
          </w:p>
          <w:p w14:paraId="68D5D00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p>
        </w:tc>
      </w:tr>
      <w:tr w14:paraId="6181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2F7F6C77">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sz w:val="21"/>
                <w:szCs w:val="21"/>
              </w:rPr>
            </w:pPr>
          </w:p>
        </w:tc>
        <w:tc>
          <w:tcPr>
            <w:tcW w:w="1153" w:type="dxa"/>
            <w:noWrap w:val="0"/>
            <w:vAlign w:val="center"/>
          </w:tcPr>
          <w:p w14:paraId="09752C9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声环境监测</w:t>
            </w:r>
          </w:p>
        </w:tc>
        <w:tc>
          <w:tcPr>
            <w:tcW w:w="2306" w:type="dxa"/>
            <w:noWrap w:val="0"/>
            <w:vAlign w:val="center"/>
          </w:tcPr>
          <w:p w14:paraId="6D0513F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等效连续A声级</w:t>
            </w:r>
          </w:p>
        </w:tc>
        <w:tc>
          <w:tcPr>
            <w:tcW w:w="2256" w:type="dxa"/>
            <w:noWrap w:val="0"/>
            <w:vAlign w:val="center"/>
          </w:tcPr>
          <w:p w14:paraId="3B272FC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施工期内至少一次，连续监测2天，每天昼、夜间监测1次</w:t>
            </w:r>
          </w:p>
        </w:tc>
        <w:tc>
          <w:tcPr>
            <w:tcW w:w="1798" w:type="dxa"/>
            <w:noWrap w:val="0"/>
            <w:vAlign w:val="center"/>
          </w:tcPr>
          <w:p w14:paraId="054E889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施工现场边界</w:t>
            </w:r>
          </w:p>
        </w:tc>
      </w:tr>
      <w:tr w14:paraId="323E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580AEAE3">
            <w:pPr>
              <w:keepNext w:val="0"/>
              <w:keepLines w:val="0"/>
              <w:pageBreakBefore w:val="0"/>
              <w:widowControl/>
              <w:suppressLineNumbers w:val="0"/>
              <w:spacing w:before="0" w:beforeAutospacing="0" w:after="0" w:afterAutospacing="0" w:line="240" w:lineRule="auto"/>
              <w:ind w:left="0" w:right="0" w:firstLine="0"/>
              <w:jc w:val="left"/>
              <w:rPr>
                <w:rFonts w:hint="default" w:ascii="Times New Roman" w:hAnsi="Times New Roman" w:eastAsia="宋体" w:cs="Times New Roman"/>
                <w:color w:val="000000"/>
                <w:sz w:val="21"/>
                <w:szCs w:val="21"/>
              </w:rPr>
            </w:pPr>
          </w:p>
        </w:tc>
        <w:tc>
          <w:tcPr>
            <w:tcW w:w="1153" w:type="dxa"/>
            <w:noWrap w:val="0"/>
            <w:vAlign w:val="center"/>
          </w:tcPr>
          <w:p w14:paraId="2C0BE495">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固体废物</w:t>
            </w:r>
          </w:p>
        </w:tc>
        <w:tc>
          <w:tcPr>
            <w:tcW w:w="2306" w:type="dxa"/>
            <w:noWrap w:val="0"/>
            <w:vAlign w:val="center"/>
          </w:tcPr>
          <w:p w14:paraId="1752DC36">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排洪渠沙土</w:t>
            </w:r>
            <w:r>
              <w:rPr>
                <w:rFonts w:hint="default" w:ascii="Times New Roman" w:hAnsi="Times New Roman" w:eastAsia="宋体" w:cs="Times New Roman"/>
                <w:color w:val="000000"/>
                <w:sz w:val="21"/>
                <w:szCs w:val="21"/>
              </w:rPr>
              <w:t>土方量</w:t>
            </w:r>
          </w:p>
        </w:tc>
        <w:tc>
          <w:tcPr>
            <w:tcW w:w="2256" w:type="dxa"/>
            <w:noWrap w:val="0"/>
            <w:vAlign w:val="center"/>
          </w:tcPr>
          <w:p w14:paraId="2E5FA29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每天进行统计</w:t>
            </w:r>
          </w:p>
        </w:tc>
        <w:tc>
          <w:tcPr>
            <w:tcW w:w="1798" w:type="dxa"/>
            <w:noWrap w:val="0"/>
            <w:vAlign w:val="center"/>
          </w:tcPr>
          <w:p w14:paraId="729AA2D2">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施工现场</w:t>
            </w:r>
          </w:p>
        </w:tc>
      </w:tr>
      <w:tr w14:paraId="25C0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noWrap w:val="0"/>
            <w:vAlign w:val="center"/>
          </w:tcPr>
          <w:p w14:paraId="41634E0B">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运营期</w:t>
            </w:r>
          </w:p>
        </w:tc>
        <w:tc>
          <w:tcPr>
            <w:tcW w:w="1153" w:type="dxa"/>
            <w:noWrap w:val="0"/>
            <w:vAlign w:val="center"/>
          </w:tcPr>
          <w:p w14:paraId="00A6EB8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固体废物</w:t>
            </w:r>
          </w:p>
        </w:tc>
        <w:tc>
          <w:tcPr>
            <w:tcW w:w="2306" w:type="dxa"/>
            <w:noWrap w:val="0"/>
            <w:vAlign w:val="center"/>
          </w:tcPr>
          <w:p w14:paraId="770018E4">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排洪渠植物枯叶及沙土方量</w:t>
            </w:r>
          </w:p>
        </w:tc>
        <w:tc>
          <w:tcPr>
            <w:tcW w:w="2256" w:type="dxa"/>
            <w:noWrap w:val="0"/>
            <w:vAlign w:val="center"/>
          </w:tcPr>
          <w:p w14:paraId="51EF543C">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定期统计</w:t>
            </w:r>
          </w:p>
        </w:tc>
        <w:tc>
          <w:tcPr>
            <w:tcW w:w="1798" w:type="dxa"/>
            <w:noWrap w:val="0"/>
            <w:vAlign w:val="center"/>
          </w:tcPr>
          <w:p w14:paraId="3A5F7183">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项目现场</w:t>
            </w:r>
          </w:p>
        </w:tc>
      </w:tr>
      <w:tr w14:paraId="57E8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noWrap w:val="0"/>
            <w:vAlign w:val="center"/>
          </w:tcPr>
          <w:p w14:paraId="1CA69517">
            <w:pPr>
              <w:keepNext w:val="0"/>
              <w:keepLines w:val="0"/>
              <w:pageBreakBefore w:val="0"/>
              <w:widowControl/>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p>
        </w:tc>
        <w:tc>
          <w:tcPr>
            <w:tcW w:w="1153" w:type="dxa"/>
            <w:noWrap w:val="0"/>
            <w:vAlign w:val="center"/>
          </w:tcPr>
          <w:p w14:paraId="3DC918CA">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w:t>
            </w:r>
          </w:p>
        </w:tc>
        <w:tc>
          <w:tcPr>
            <w:tcW w:w="2306" w:type="dxa"/>
            <w:noWrap w:val="0"/>
            <w:vAlign w:val="center"/>
          </w:tcPr>
          <w:p w14:paraId="7B190811">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排洪渠</w:t>
            </w:r>
            <w:r>
              <w:rPr>
                <w:rFonts w:hint="default" w:ascii="Times New Roman" w:hAnsi="Times New Roman" w:eastAsia="宋体" w:cs="Times New Roman"/>
                <w:color w:val="000000"/>
                <w:sz w:val="21"/>
                <w:szCs w:val="21"/>
              </w:rPr>
              <w:t>周围绿化区域</w:t>
            </w:r>
          </w:p>
        </w:tc>
        <w:tc>
          <w:tcPr>
            <w:tcW w:w="2256" w:type="dxa"/>
            <w:noWrap w:val="0"/>
            <w:vAlign w:val="center"/>
          </w:tcPr>
          <w:p w14:paraId="44CA3929">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生物损失量，植被覆盖率及水土流失恢复率</w:t>
            </w:r>
          </w:p>
        </w:tc>
        <w:tc>
          <w:tcPr>
            <w:tcW w:w="1798" w:type="dxa"/>
            <w:noWrap w:val="0"/>
            <w:vAlign w:val="center"/>
          </w:tcPr>
          <w:p w14:paraId="3E393288">
            <w:pPr>
              <w:keepNext w:val="0"/>
              <w:keepLines w:val="0"/>
              <w:pageBreakBefore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土质边坡和右堤堤顶</w:t>
            </w:r>
          </w:p>
        </w:tc>
      </w:tr>
    </w:tbl>
    <w:p w14:paraId="5801347F">
      <w:pPr>
        <w:rPr>
          <w:color w:val="000000"/>
        </w:rPr>
      </w:pPr>
    </w:p>
    <w:p w14:paraId="7CBF2801">
      <w:pPr>
        <w:pStyle w:val="3"/>
        <w:rPr>
          <w:rFonts w:hint="eastAsia"/>
          <w:color w:val="000000"/>
          <w:lang w:val="en-US" w:eastAsia="zh-CN"/>
        </w:rPr>
      </w:pPr>
      <w:r>
        <w:rPr>
          <w:color w:val="000000"/>
        </w:rPr>
        <w:br w:type="page" w:clear="all"/>
      </w:r>
      <w:bookmarkStart w:id="175" w:name="_Toc11117"/>
      <w:bookmarkStart w:id="176" w:name="_Toc19576"/>
      <w:r>
        <w:rPr>
          <w:rFonts w:hint="eastAsia"/>
          <w:color w:val="000000"/>
          <w:lang w:val="en-US" w:eastAsia="zh-CN"/>
        </w:rPr>
        <w:t>7 结论</w:t>
      </w:r>
      <w:bookmarkEnd w:id="175"/>
      <w:bookmarkEnd w:id="176"/>
    </w:p>
    <w:p w14:paraId="2E8F5273">
      <w:pPr>
        <w:pStyle w:val="4"/>
        <w:rPr>
          <w:color w:val="000000"/>
        </w:rPr>
      </w:pPr>
      <w:bookmarkStart w:id="177" w:name="_Toc268009160"/>
      <w:bookmarkStart w:id="178" w:name="_Toc325656886"/>
      <w:bookmarkStart w:id="179" w:name="_Toc320987642"/>
      <w:bookmarkStart w:id="180" w:name="_Toc340228333"/>
      <w:bookmarkStart w:id="181" w:name="_Toc331248778"/>
      <w:bookmarkStart w:id="182" w:name="_Toc325659667"/>
      <w:bookmarkStart w:id="183" w:name="_Toc347660488"/>
      <w:bookmarkStart w:id="184" w:name="_Toc320446421"/>
      <w:bookmarkStart w:id="185" w:name="_Toc327020747"/>
      <w:bookmarkStart w:id="186" w:name="_Toc320530116"/>
      <w:bookmarkStart w:id="187" w:name="_Toc339475815"/>
      <w:bookmarkStart w:id="188" w:name="_Toc331248176"/>
      <w:bookmarkStart w:id="189" w:name="_Toc350352183"/>
      <w:bookmarkStart w:id="190" w:name="_Toc7669"/>
      <w:bookmarkStart w:id="191" w:name="_Toc119915385"/>
      <w:bookmarkStart w:id="192" w:name="_Toc20539"/>
      <w:r>
        <w:rPr>
          <w:rFonts w:hint="eastAsia"/>
          <w:color w:val="000000"/>
          <w:lang w:val="en-US" w:eastAsia="zh-CN"/>
        </w:rPr>
        <w:t>7</w:t>
      </w:r>
      <w:r>
        <w:rPr>
          <w:color w:val="000000"/>
        </w:rPr>
        <w:t>.1</w:t>
      </w:r>
      <w:bookmarkEnd w:id="177"/>
      <w:bookmarkEnd w:id="178"/>
      <w:bookmarkEnd w:id="179"/>
      <w:bookmarkEnd w:id="180"/>
      <w:bookmarkEnd w:id="181"/>
      <w:bookmarkEnd w:id="182"/>
      <w:bookmarkEnd w:id="183"/>
      <w:bookmarkEnd w:id="184"/>
      <w:bookmarkEnd w:id="185"/>
      <w:bookmarkEnd w:id="186"/>
      <w:bookmarkEnd w:id="187"/>
      <w:bookmarkEnd w:id="188"/>
      <w:bookmarkEnd w:id="189"/>
      <w:r>
        <w:rPr>
          <w:rFonts w:hint="eastAsia"/>
          <w:color w:val="000000"/>
          <w:lang w:eastAsia="zh-CN"/>
        </w:rPr>
        <w:t xml:space="preserve"> </w:t>
      </w:r>
      <w:r>
        <w:rPr>
          <w:color w:val="000000"/>
        </w:rPr>
        <w:t>建设项目概况</w:t>
      </w:r>
      <w:bookmarkEnd w:id="190"/>
      <w:bookmarkEnd w:id="191"/>
      <w:bookmarkEnd w:id="192"/>
    </w:p>
    <w:p w14:paraId="40F8871E">
      <w:pPr>
        <w:rPr>
          <w:rFonts w:hint="default" w:eastAsia="宋体"/>
          <w:color w:val="000000"/>
          <w:lang w:val="en-US" w:eastAsia="zh-CN"/>
        </w:rPr>
      </w:pPr>
      <w:bookmarkStart w:id="193" w:name="_Toc119915386"/>
      <w:r>
        <w:rPr>
          <w:rFonts w:hint="default"/>
          <w:color w:val="000000"/>
          <w:lang w:val="en-US" w:eastAsia="zh-CN"/>
        </w:rPr>
        <w:t>为解决区域排涝能力不足、排水沟渠不成系统的问题，保障区域工农业生产及人民群众的生命财产安全，促进霍山县经济发展。通过幽芳河、高庙河、柳林河、新店河等霍山县城区排涝通道整治，解决排涝通道防洪排涝不达标，护岸损毁、滩地坡面裸露、河床下切等问题，为区域发展提供安全的水利基础设施，并建设山洪灾害预防系统以提升水利工程管理能力。通过新建排水管网工程，全面提升城市排水防涝能力与水环境质量。</w:t>
      </w:r>
      <w:r>
        <w:rPr>
          <w:rFonts w:hint="eastAsia"/>
          <w:color w:val="000000"/>
          <w:lang w:val="en-US" w:eastAsia="zh-CN"/>
        </w:rPr>
        <w:t>霍山县水务局拟投</w:t>
      </w:r>
      <w:r>
        <w:rPr>
          <w:rFonts w:hint="eastAsia"/>
          <w:color w:val="000000"/>
          <w:highlight w:val="none"/>
          <w:lang w:val="en-US" w:eastAsia="zh-CN"/>
        </w:rPr>
        <w:t>资</w:t>
      </w:r>
      <w:r>
        <w:rPr>
          <w:rFonts w:hint="eastAsia" w:eastAsia="宋体" w:cs="Times New Roman"/>
          <w:color w:val="000000"/>
          <w:sz w:val="24"/>
          <w:highlight w:val="none"/>
          <w:lang w:val="en-US" w:eastAsia="zh-CN"/>
        </w:rPr>
        <w:t>39550.68</w:t>
      </w:r>
      <w:r>
        <w:rPr>
          <w:rFonts w:hint="eastAsia"/>
          <w:color w:val="000000"/>
          <w:highlight w:val="none"/>
          <w:lang w:val="en-US" w:eastAsia="zh-CN"/>
        </w:rPr>
        <w:t>万元</w:t>
      </w:r>
      <w:r>
        <w:rPr>
          <w:rFonts w:hint="eastAsia"/>
          <w:color w:val="000000"/>
          <w:lang w:val="en-US" w:eastAsia="zh-CN"/>
        </w:rPr>
        <w:t>建设“六安市霍山县排水防涝能力提升项目”，该工程建设内容为：</w:t>
      </w:r>
      <w:r>
        <w:rPr>
          <w:rFonts w:hint="default" w:ascii="Times New Roman" w:hAnsi="Times New Roman" w:eastAsia="宋体" w:cs="Times New Roman"/>
          <w:color w:val="000000"/>
          <w:sz w:val="24"/>
          <w:szCs w:val="24"/>
        </w:rPr>
        <w:t>新建排水管网30.8k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；增设西部新城排涝泵站1座，改造排涝沟11.49k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；整治城区柳林河、幽芳河、高庙河、新店河四条排涝通道总长25.62k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。2025年1</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月</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5日，霍山县发改委</w:t>
      </w:r>
      <w:r>
        <w:rPr>
          <w:rFonts w:hint="eastAsia" w:ascii="Times New Roman" w:hAnsi="Times New Roman" w:eastAsia="宋体" w:cs="Times New Roman"/>
          <w:color w:val="000000"/>
          <w:sz w:val="24"/>
          <w:szCs w:val="24"/>
          <w:lang w:eastAsia="zh-CN"/>
        </w:rPr>
        <w:t>以</w:t>
      </w:r>
      <w:r>
        <w:rPr>
          <w:rFonts w:hint="default" w:ascii="Times New Roman" w:hAnsi="Times New Roman" w:eastAsia="宋体" w:cs="Times New Roman"/>
          <w:color w:val="000000"/>
          <w:sz w:val="24"/>
          <w:szCs w:val="24"/>
        </w:rPr>
        <w:t>（霍发改投资〔2025〕2</w:t>
      </w:r>
      <w:r>
        <w:rPr>
          <w:rFonts w:hint="eastAsia" w:ascii="Times New Roman" w:hAnsi="Times New Roman" w:eastAsia="宋体" w:cs="Times New Roman"/>
          <w:color w:val="000000"/>
          <w:sz w:val="24"/>
          <w:szCs w:val="24"/>
          <w:lang w:val="en-US" w:eastAsia="zh-CN"/>
        </w:rPr>
        <w:t>284</w:t>
      </w:r>
      <w:r>
        <w:rPr>
          <w:rFonts w:hint="default" w:ascii="Times New Roman" w:hAnsi="Times New Roman" w:eastAsia="宋体" w:cs="Times New Roman"/>
          <w:color w:val="000000"/>
          <w:sz w:val="24"/>
          <w:szCs w:val="24"/>
        </w:rPr>
        <w:t>号）</w:t>
      </w:r>
      <w:r>
        <w:rPr>
          <w:rFonts w:hint="eastAsia" w:ascii="Times New Roman" w:hAnsi="Times New Roman" w:eastAsia="宋体" w:cs="Times New Roman"/>
          <w:color w:val="000000"/>
          <w:sz w:val="24"/>
          <w:szCs w:val="24"/>
          <w:lang w:eastAsia="zh-CN"/>
        </w:rPr>
        <w:t>对</w:t>
      </w:r>
      <w:r>
        <w:rPr>
          <w:rFonts w:hint="default" w:ascii="Times New Roman" w:hAnsi="Times New Roman" w:eastAsia="宋体" w:cs="Times New Roman"/>
          <w:color w:val="000000"/>
          <w:sz w:val="24"/>
          <w:szCs w:val="24"/>
        </w:rPr>
        <w:t>《六安市霍山县排水防涝能力提升项目</w:t>
      </w:r>
      <w:r>
        <w:rPr>
          <w:rFonts w:hint="eastAsia"/>
          <w:color w:val="000000"/>
          <w:lang w:eastAsia="zh-CN"/>
        </w:rPr>
        <w:t>可行性研究报告</w:t>
      </w:r>
      <w:r>
        <w:rPr>
          <w:rFonts w:hint="default" w:ascii="Times New Roman" w:hAnsi="Times New Roman" w:eastAsia="宋体" w:cs="Times New Roman"/>
          <w:color w:val="000000"/>
          <w:sz w:val="24"/>
          <w:szCs w:val="24"/>
        </w:rPr>
        <w:t>》</w:t>
      </w:r>
      <w:r>
        <w:rPr>
          <w:color w:val="000000"/>
        </w:rPr>
        <w:t>进行了</w:t>
      </w:r>
      <w:r>
        <w:rPr>
          <w:rFonts w:hint="eastAsia"/>
          <w:color w:val="000000"/>
          <w:lang w:eastAsia="zh-CN"/>
        </w:rPr>
        <w:t>批复</w:t>
      </w:r>
      <w:r>
        <w:rPr>
          <w:color w:val="000000"/>
        </w:rPr>
        <w:t>。</w:t>
      </w:r>
      <w:bookmarkEnd w:id="193"/>
    </w:p>
    <w:p w14:paraId="7ECFCE8A">
      <w:pPr>
        <w:pStyle w:val="5"/>
        <w:outlineLvl w:val="1"/>
        <w:rPr>
          <w:color w:val="000000"/>
        </w:rPr>
      </w:pPr>
      <w:bookmarkStart w:id="194" w:name="_Toc11995"/>
      <w:bookmarkStart w:id="195" w:name="_Toc10288"/>
      <w:r>
        <w:rPr>
          <w:rFonts w:hint="eastAsia"/>
          <w:color w:val="000000"/>
          <w:lang w:val="en-US" w:eastAsia="zh-CN"/>
        </w:rPr>
        <w:t xml:space="preserve">7.2 </w:t>
      </w:r>
      <w:r>
        <w:rPr>
          <w:rFonts w:hint="eastAsia"/>
          <w:color w:val="000000"/>
          <w:lang w:eastAsia="zh-CN"/>
        </w:rPr>
        <w:t>产业政策、规划相符性</w:t>
      </w:r>
      <w:bookmarkEnd w:id="194"/>
      <w:bookmarkEnd w:id="195"/>
    </w:p>
    <w:p w14:paraId="24CA13DD">
      <w:pPr>
        <w:rPr>
          <w:rFonts w:hint="eastAsia"/>
          <w:color w:val="000000"/>
          <w:lang w:val="en-US" w:eastAsia="zh-CN"/>
        </w:rPr>
      </w:pPr>
      <w:r>
        <w:rPr>
          <w:rFonts w:hint="eastAsia"/>
          <w:color w:val="000000"/>
          <w:lang w:val="en-US" w:eastAsia="zh-CN"/>
        </w:rPr>
        <w:t>根据中华人民共和国国家发展和改革委员会令第7号《产业结构调整指导目录（2024年本）》，本项目属于第一类鼓励类，二、水利—3．防洪提升工程：“城市积涝预警和防洪工程，江河湖库清淤疏浚工程，堤防隐患排查与修复”，因此本项目符合国家产业政策。</w:t>
      </w:r>
    </w:p>
    <w:p w14:paraId="0C6835AC">
      <w:pPr>
        <w:pStyle w:val="5"/>
        <w:outlineLvl w:val="1"/>
        <w:rPr>
          <w:color w:val="000000"/>
        </w:rPr>
      </w:pPr>
      <w:bookmarkStart w:id="196" w:name="_Toc30158"/>
      <w:bookmarkStart w:id="197" w:name="_Toc17177"/>
      <w:r>
        <w:rPr>
          <w:rFonts w:hint="eastAsia"/>
          <w:color w:val="000000"/>
          <w:lang w:val="en-US" w:eastAsia="zh-CN"/>
        </w:rPr>
        <w:t>7.3 生态</w:t>
      </w:r>
      <w:r>
        <w:rPr>
          <w:color w:val="000000"/>
        </w:rPr>
        <w:t>环境</w:t>
      </w:r>
      <w:r>
        <w:rPr>
          <w:rFonts w:hint="eastAsia"/>
          <w:color w:val="000000"/>
          <w:lang w:eastAsia="zh-CN"/>
        </w:rPr>
        <w:t>质量</w:t>
      </w:r>
      <w:r>
        <w:rPr>
          <w:color w:val="000000"/>
        </w:rPr>
        <w:t>现状</w:t>
      </w:r>
      <w:bookmarkEnd w:id="196"/>
      <w:bookmarkEnd w:id="197"/>
    </w:p>
    <w:p w14:paraId="3F28E4CC">
      <w:pPr>
        <w:keepNext w:val="0"/>
        <w:keepLines w:val="0"/>
        <w:pageBreakBefore w:val="0"/>
        <w:widowControl w:val="0"/>
        <w:suppressLineNumbers w:val="0"/>
        <w:spacing w:before="0" w:beforeAutospacing="0" w:after="0" w:afterAutospacing="0" w:line="360" w:lineRule="auto"/>
        <w:ind w:left="0" w:right="0" w:firstLine="480"/>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内容，霍山县兽类优势种有东北刺猬、赤腹松鼠、小麂和野猪，它们的分布从海拔400m至1700m都有分布。啮齿目以及翼手目多分布在村落和农耕地附近，与人类活动高度关联。猪獾、亚洲狗獾等小型食肉目动物多分布在200～600m的区域，海拔相对低，小麂主要分布在600～1000m的中海拔地区，安徽麝主要分布在海拔1000m以上的高海拔地区。</w:t>
      </w:r>
    </w:p>
    <w:p w14:paraId="153FBF4E">
      <w:pPr>
        <w:keepNext w:val="0"/>
        <w:keepLines w:val="0"/>
        <w:pageBreakBefore w:val="0"/>
        <w:widowControl w:val="0"/>
        <w:suppressLineNumbers w:val="0"/>
        <w:spacing w:before="0" w:beforeAutospacing="0" w:after="0" w:afterAutospacing="0" w:line="360" w:lineRule="auto"/>
        <w:ind w:left="0" w:right="0" w:firstLine="480"/>
        <w:jc w:val="left"/>
        <w:rPr>
          <w:color w:val="000000"/>
        </w:rPr>
      </w:pPr>
      <w:r>
        <w:rPr>
          <w:rFonts w:hint="eastAsia" w:cs="Times New Roman"/>
          <w:bCs/>
          <w:color w:val="000000"/>
          <w:highlight w:val="none"/>
          <w:lang w:val="en-US" w:eastAsia="zh-CN"/>
        </w:rPr>
        <w:t>调查结果显示，大多数重点保护兽类活动海拔约在400～1300m之间，其中安徽麝在500-1200m的海拔区段活动，小麂、花面狸、猪獾、貉、黄鼬在400～1300m左右海拔区段均有活动；整体分布海拔跨度广，其中鼬獾海拔分布最窄，在海拔400～900m左右海拔区段活动</w:t>
      </w:r>
      <w:r>
        <w:rPr>
          <w:color w:val="000000"/>
        </w:rPr>
        <w:t>。</w:t>
      </w:r>
    </w:p>
    <w:p w14:paraId="52A66E8A">
      <w:pPr>
        <w:keepNext w:val="0"/>
        <w:keepLines w:val="0"/>
        <w:pageBreakBefore w:val="0"/>
        <w:widowControl w:val="0"/>
        <w:suppressLineNumbers w:val="0"/>
        <w:spacing w:before="0" w:beforeAutospacing="0" w:after="0" w:afterAutospacing="0" w:line="360" w:lineRule="auto"/>
        <w:ind w:left="0" w:right="0" w:firstLine="480"/>
        <w:rPr>
          <w:rFonts w:hint="eastAsia"/>
          <w:color w:val="000000"/>
          <w:lang w:val="en-US" w:eastAsia="zh-CN"/>
        </w:rPr>
      </w:pP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r>
        <w:rPr>
          <w:rFonts w:hint="eastAsia"/>
          <w:color w:val="000000"/>
          <w:lang w:val="en-US" w:eastAsia="zh-CN"/>
        </w:rPr>
        <w:t>。</w:t>
      </w:r>
    </w:p>
    <w:p w14:paraId="4B43302B">
      <w:pPr>
        <w:keepNext w:val="0"/>
        <w:keepLines w:val="0"/>
        <w:pageBreakBefore w:val="0"/>
        <w:widowControl w:val="0"/>
        <w:suppressLineNumbers w:val="0"/>
        <w:spacing w:before="0" w:beforeAutospacing="0" w:after="0" w:afterAutospacing="0" w:line="360" w:lineRule="auto"/>
        <w:ind w:left="0" w:right="0" w:firstLine="480"/>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》技术报告中内容：水生生物调查范围主要为霍山县域内的东淠河、佛子岭水库、磨子潭水库和白莲崖水库及周边水域，其中白莲崖水库属漫水河蒙古红鲌国家级水产种质资源保护区范围。</w:t>
      </w:r>
    </w:p>
    <w:p w14:paraId="177186F9">
      <w:pPr>
        <w:keepNext w:val="0"/>
        <w:keepLines w:val="0"/>
        <w:pageBreakBefore w:val="0"/>
        <w:widowControl w:val="0"/>
        <w:suppressLineNumbers w:val="0"/>
        <w:spacing w:before="0" w:beforeAutospacing="0" w:after="0" w:afterAutospacing="0" w:line="360" w:lineRule="auto"/>
        <w:ind w:left="0" w:right="0" w:firstLine="480"/>
        <w:rPr>
          <w:rFonts w:hint="default"/>
          <w:color w:val="000000"/>
          <w:lang w:val="en-US" w:eastAsia="zh-CN"/>
        </w:rPr>
      </w:pPr>
      <w:r>
        <w:rPr>
          <w:rFonts w:hint="default" w:ascii="Times New Roman" w:hAnsi="Times New Roman" w:eastAsia="宋体" w:cs="Times New Roman"/>
          <w:color w:val="000000"/>
          <w:lang w:val="en-US" w:eastAsia="zh-CN"/>
        </w:rPr>
        <w:t>根据现场调查，本项目涉及水域</w:t>
      </w:r>
      <w:r>
        <w:rPr>
          <w:rFonts w:hint="eastAsia" w:cs="Times New Roman"/>
          <w:color w:val="000000"/>
          <w:lang w:val="en-US" w:eastAsia="zh-CN"/>
        </w:rPr>
        <w:t>，</w:t>
      </w:r>
      <w:r>
        <w:rPr>
          <w:rFonts w:hint="default" w:ascii="Times New Roman" w:hAnsi="Times New Roman" w:eastAsia="宋体" w:cs="Times New Roman"/>
          <w:color w:val="000000"/>
          <w:lang w:val="en-US" w:eastAsia="zh-CN"/>
        </w:rPr>
        <w:t>项目区无鱼类产卵场、索饵场和越冬场等三场”，项目区无珍稀、特有鱼类。</w:t>
      </w:r>
    </w:p>
    <w:p w14:paraId="5DCD14B6">
      <w:pPr>
        <w:pStyle w:val="5"/>
        <w:outlineLvl w:val="1"/>
        <w:rPr>
          <w:color w:val="000000"/>
        </w:rPr>
      </w:pPr>
      <w:bookmarkStart w:id="198" w:name="_Toc23214"/>
      <w:bookmarkStart w:id="199" w:name="_Toc25725"/>
      <w:r>
        <w:rPr>
          <w:rFonts w:hint="eastAsia"/>
          <w:color w:val="000000"/>
          <w:lang w:val="en-US" w:eastAsia="zh-CN"/>
        </w:rPr>
        <w:t>7.4</w:t>
      </w:r>
      <w:r>
        <w:rPr>
          <w:rFonts w:hint="eastAsia"/>
          <w:color w:val="000000"/>
          <w:lang w:eastAsia="zh-CN"/>
        </w:rPr>
        <w:t>主要</w:t>
      </w:r>
      <w:r>
        <w:rPr>
          <w:rFonts w:hint="eastAsia"/>
          <w:color w:val="000000"/>
          <w:lang w:val="en-US" w:eastAsia="zh-CN"/>
        </w:rPr>
        <w:t>生态</w:t>
      </w:r>
      <w:r>
        <w:rPr>
          <w:rFonts w:hint="eastAsia"/>
          <w:color w:val="000000"/>
          <w:lang w:eastAsia="zh-CN"/>
        </w:rPr>
        <w:t>环境影响</w:t>
      </w:r>
      <w:bookmarkEnd w:id="198"/>
      <w:bookmarkEnd w:id="199"/>
    </w:p>
    <w:p w14:paraId="22A49465">
      <w:pPr>
        <w:rPr>
          <w:color w:val="000000"/>
        </w:rPr>
      </w:pPr>
      <w:r>
        <w:rPr>
          <w:rFonts w:hint="eastAsia"/>
          <w:color w:val="000000"/>
          <w:lang w:eastAsia="zh-CN"/>
        </w:rPr>
        <w:t>本项目生态环境影响主要为土方开挖、填土以及围堰等临时工程占地改变</w:t>
      </w:r>
      <w:r>
        <w:rPr>
          <w:rFonts w:hint="eastAsia"/>
          <w:color w:val="000000"/>
          <w:highlight w:val="none"/>
          <w:lang w:eastAsia="zh-CN"/>
        </w:rPr>
        <w:t>土地利用类型和</w:t>
      </w:r>
      <w:r>
        <w:rPr>
          <w:rFonts w:hint="eastAsia"/>
          <w:color w:val="000000"/>
          <w:lang w:eastAsia="zh-CN"/>
        </w:rPr>
        <w:t>河底的地形地貌。工程施工对植物种类、生物量以及分布区域产生不利影响，进一步改变了动植物的生存环境。施工行为使得动物直接死亡或远离施工区域，周边动物种类、分布以及数量均有所减少。施工扰动水体，使得水质、水文情势发生变化，不利于陆生动物、水生动物生存，</w:t>
      </w:r>
      <w:r>
        <w:rPr>
          <w:rFonts w:hint="eastAsia" w:ascii="Times New Roman" w:hAnsi="Times New Roman" w:cs="Times New Roman"/>
          <w:i w:val="0"/>
          <w:iCs w:val="0"/>
          <w:caps w:val="0"/>
          <w:color w:val="000000"/>
          <w:spacing w:val="0"/>
          <w:sz w:val="24"/>
          <w:szCs w:val="24"/>
          <w:shd w:val="clear" w:color="auto" w:fill="FFFFFF"/>
          <w:lang w:eastAsia="zh-CN"/>
        </w:rPr>
        <w:t>对浮游生物、底栖生物、鱼类、鸟类如国家和省级保护动物</w:t>
      </w:r>
      <w:r>
        <w:rPr>
          <w:rFonts w:hint="eastAsia" w:cs="Times New Roman"/>
          <w:bCs/>
          <w:color w:val="000000"/>
          <w:highlight w:val="none"/>
          <w:lang w:val="en-US" w:eastAsia="zh-CN"/>
        </w:rPr>
        <w:t>小灵猫</w:t>
      </w:r>
      <w:r>
        <w:rPr>
          <w:rFonts w:hint="eastAsia" w:ascii="Times New Roman" w:hAnsi="Times New Roman" w:cs="Times New Roman"/>
          <w:i w:val="0"/>
          <w:iCs w:val="0"/>
          <w:caps w:val="0"/>
          <w:color w:val="000000"/>
          <w:spacing w:val="0"/>
          <w:sz w:val="24"/>
          <w:szCs w:val="24"/>
          <w:shd w:val="clear" w:color="auto" w:fill="FFFFFF"/>
          <w:lang w:eastAsia="zh-CN"/>
        </w:rPr>
        <w:t>分布和觅食、栖息等造成影响。</w:t>
      </w:r>
      <w:r>
        <w:rPr>
          <w:rFonts w:hint="eastAsia"/>
          <w:color w:val="000000"/>
          <w:lang w:eastAsia="zh-CN"/>
        </w:rPr>
        <w:t>另外，</w:t>
      </w:r>
      <w:r>
        <w:rPr>
          <w:color w:val="000000"/>
        </w:rPr>
        <w:t>本次投放的植物均为本地所有的植物种类，不存在外来物种的入侵影响。</w:t>
      </w:r>
    </w:p>
    <w:p w14:paraId="40A9DE4B">
      <w:pPr>
        <w:rPr>
          <w:color w:val="000000"/>
        </w:rPr>
      </w:pPr>
      <w:r>
        <w:rPr>
          <w:color w:val="000000"/>
        </w:rPr>
        <w:t>在营运期，随着植被的恢复，</w:t>
      </w:r>
      <w:r>
        <w:rPr>
          <w:rFonts w:hint="eastAsia"/>
          <w:color w:val="000000"/>
          <w:lang w:eastAsia="zh-CN"/>
        </w:rPr>
        <w:t>河道</w:t>
      </w:r>
      <w:r>
        <w:rPr>
          <w:color w:val="000000"/>
        </w:rPr>
        <w:t>水生植物的恢复，区域陆生和水生生境得到改善，将在一定程度上改善底栖动物的生长环境，有利于丰富其生物多样性。</w:t>
      </w:r>
    </w:p>
    <w:p w14:paraId="3D964C9C">
      <w:pPr>
        <w:pStyle w:val="5"/>
        <w:ind w:left="0" w:firstLine="0"/>
        <w:outlineLvl w:val="1"/>
        <w:rPr>
          <w:rFonts w:hint="default"/>
          <w:color w:val="000000"/>
          <w:lang w:val="en-US"/>
        </w:rPr>
      </w:pPr>
      <w:bookmarkStart w:id="200" w:name="_Toc6230"/>
      <w:bookmarkStart w:id="201" w:name="_Toc3364"/>
      <w:r>
        <w:rPr>
          <w:rFonts w:hint="eastAsia"/>
          <w:color w:val="000000"/>
          <w:lang w:val="en-US" w:eastAsia="zh-CN"/>
        </w:rPr>
        <w:t>7.5 生态</w:t>
      </w:r>
      <w:r>
        <w:rPr>
          <w:rFonts w:hint="eastAsia"/>
          <w:color w:val="000000"/>
          <w:lang w:eastAsia="zh-CN"/>
        </w:rPr>
        <w:t>环境保护</w:t>
      </w:r>
      <w:r>
        <w:rPr>
          <w:rFonts w:hint="eastAsia"/>
          <w:color w:val="000000"/>
          <w:lang w:val="en-US" w:eastAsia="zh-CN"/>
        </w:rPr>
        <w:t>与恢复措施</w:t>
      </w:r>
      <w:bookmarkEnd w:id="200"/>
      <w:bookmarkEnd w:id="201"/>
    </w:p>
    <w:p w14:paraId="007200CA">
      <w:pPr>
        <w:rPr>
          <w:rFonts w:hint="eastAsia"/>
          <w:color w:val="000000"/>
          <w:lang w:val="en-US" w:eastAsia="zh-CN"/>
        </w:rPr>
      </w:pPr>
      <w:r>
        <w:rPr>
          <w:rFonts w:hint="eastAsia"/>
          <w:color w:val="000000"/>
          <w:lang w:val="en-US" w:eastAsia="zh-CN"/>
        </w:rPr>
        <w:t>本项目生态影响主要为施工期，为了减少施工期对影响，加强对国家和安徽省重点保护动植物的保护，本次评价提出以下生态保护措施：</w:t>
      </w:r>
    </w:p>
    <w:p w14:paraId="2A4A05A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（1）施工活动开始之前，需制定详细的施工方案，限定施工人员的活动区域，尽量控制施工动土范围，以保持原生生态系统的稳定性和完整性。</w:t>
      </w:r>
    </w:p>
    <w:p w14:paraId="1A89E72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施工前对需要保护的植物进行移栽保护或者设置围挡</w:t>
      </w:r>
      <w:r>
        <w:rPr>
          <w:rFonts w:hint="eastAsia" w:eastAsia="宋体" w:cs="Times New Roman"/>
          <w:bCs/>
          <w:color w:val="000000"/>
          <w:sz w:val="24"/>
          <w:lang w:val="en-US" w:eastAsia="zh-CN"/>
        </w:rPr>
        <w:t>；</w:t>
      </w:r>
      <w:r>
        <w:rPr>
          <w:rFonts w:hint="default" w:ascii="Times New Roman" w:hAnsi="Times New Roman" w:eastAsia="宋体" w:cs="Times New Roman"/>
          <w:bCs/>
          <w:color w:val="000000"/>
          <w:sz w:val="24"/>
          <w:lang w:val="en-US" w:eastAsia="zh-CN"/>
        </w:rPr>
        <w:t>施工期，减少开挖作业面，严格施工区域，禁止对施工临时占地范围内植物进行破坏。</w:t>
      </w:r>
    </w:p>
    <w:p w14:paraId="10E4F4BB">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通过优化方案，有效降低项目建设对评价范围内植物、植被的影响和破坏。</w:t>
      </w:r>
    </w:p>
    <w:p w14:paraId="2B8A86C7">
      <w:pPr>
        <w:keepNext w:val="0"/>
        <w:keepLines w:val="0"/>
        <w:pageBreakBefore w:val="0"/>
        <w:widowControl w:val="0"/>
        <w:numPr>
          <w:ilvl w:val="0"/>
          <w:numId w:val="11"/>
        </w:numPr>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在所有永久建筑完成后，应立即进行裸露区的恢复，恢复时对施工迹地进行绿化回覆，尽量减少工程区内的施工痕迹。施工迹地的绿化恢复过程中将完全采用当地树种、草种。</w:t>
      </w:r>
    </w:p>
    <w:p w14:paraId="0B3C086D">
      <w:pPr>
        <w:keepNext w:val="0"/>
        <w:keepLines w:val="0"/>
        <w:pageBreakBefore w:val="0"/>
        <w:widowControl w:val="0"/>
        <w:numPr>
          <w:ilvl w:val="0"/>
          <w:numId w:val="0"/>
        </w:numPr>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（3）在施工中须有效地防止机械检修、冲洗废水等随意排放，对工程废物进行快速、集中处理，减少对环境的污染，对于施工人员产生的垃圾集中进行处理。</w:t>
      </w:r>
    </w:p>
    <w:p w14:paraId="79E8DCF7">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（4）为减少施工期间的景观影响，应对施工场地内施工机械整齐放置、合理布设，散乱的建筑材料和物品尽量加以覆盖，开挖后的区域尽快平整，保持施工场地及周围的整齐美观。</w:t>
      </w:r>
    </w:p>
    <w:p w14:paraId="57BDDD03">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（5）加强管理，保护水质。避免因污水的直接排放对水体产生污染而引起对水生生物的影响。</w:t>
      </w:r>
    </w:p>
    <w:p w14:paraId="4382120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（6）建设单位应在施工过程中加强施工管理，严格执行施工操作规程，弃土务必运至指定地点。合理安排施工周期，在发生大暴雨时应停止施工，并采取短期覆盖措施，减少水土流失。</w:t>
      </w:r>
    </w:p>
    <w:p w14:paraId="46FB197D">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7）对施工单位和施工人员进行水土保持教育，广泛宣传水土保持法律法规及有关方针政策，普及水土保持知识，提高其水土保持意识，规范其水土保持行为。在工程建设中，尽量采用先进的施工手段和合理的施工程序以减少和避免水土流失。</w:t>
      </w:r>
    </w:p>
    <w:p w14:paraId="4D89B7AF">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（8）项目在施工过程中应加强施工管理，避免雨水冲刷。道路运输避免沿途抛弃，减少水土流失。工程施工后期，植树种草，覆盖表土，避免水土流失，计划植草、植水保树等。</w:t>
      </w:r>
    </w:p>
    <w:p w14:paraId="1A3D1CF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（9）做好水土保持和生态保护工作，项目施工过程应注意保护生态环境，尽量减少施工区的数量和面积。</w:t>
      </w:r>
    </w:p>
    <w:p w14:paraId="74958119">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（10）在施工过程中应合理安排工期，做好施工场地等的规划设置工作，最大限度地减少对植被的影响。</w:t>
      </w:r>
    </w:p>
    <w:p w14:paraId="3D862C00">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（11）在施工结束后进行植树补偿，以保持自然和生态环境免遭破坏。</w:t>
      </w:r>
    </w:p>
    <w:p w14:paraId="37E7E85E">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（12）施工结束后，要及时清理、恢复施工场所的生态环境和路面进行修复。</w:t>
      </w:r>
    </w:p>
    <w:p w14:paraId="0C362B11">
      <w:pPr>
        <w:keepNext w:val="0"/>
        <w:keepLines w:val="0"/>
        <w:pageBreakBefore w:val="0"/>
        <w:widowControl w:val="0"/>
        <w:suppressLineNumbers w:val="0"/>
        <w:spacing w:before="0" w:beforeAutospacing="0" w:after="0" w:afterAutospacing="0" w:line="360" w:lineRule="auto"/>
        <w:ind w:left="0" w:right="0" w:firstLine="480"/>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（13）临时开挖出的土方堆放，要采取防浸泡、防冲刷、防止水土流失等措施，避免给环境带来二次污染。</w:t>
      </w:r>
    </w:p>
    <w:p w14:paraId="39D8081B">
      <w:pPr>
        <w:numPr>
          <w:ilvl w:val="0"/>
          <w:numId w:val="0"/>
        </w:numPr>
        <w:ind w:firstLine="480"/>
        <w:rPr>
          <w:rFonts w:hint="default"/>
          <w:color w:val="000000"/>
          <w:lang w:val="en-US" w:eastAsia="zh-CN"/>
        </w:rPr>
      </w:pPr>
      <w:r>
        <w:rPr>
          <w:rFonts w:hint="default" w:ascii="Times New Roman" w:hAnsi="Times New Roman" w:eastAsia="宋体" w:cs="Times New Roman"/>
          <w:bCs/>
          <w:color w:val="000000"/>
          <w:sz w:val="24"/>
          <w:lang w:val="en-US" w:eastAsia="zh-CN"/>
        </w:rPr>
        <w:t>（14）项目水土保持措施有：土地平整、排水沟、直播种草、乔灌木栽植、临时排水沟等，工程建设应严格控制地表扰动和植被损坏范围，尽量减少工程占地、加强工程建设管理、优化施工工艺、加强水土保持防护，控制可能造成的水土流失。</w:t>
      </w:r>
      <w:r>
        <w:rPr>
          <w:rFonts w:hint="eastAsia" w:cs="Times New Roman"/>
          <w:color w:val="000000"/>
          <w:sz w:val="24"/>
          <w:szCs w:val="20"/>
          <w:lang w:val="en-US" w:eastAsia="zh-CN" w:bidi="ar-SA"/>
        </w:rPr>
        <w:t>。</w:t>
      </w:r>
    </w:p>
    <w:p w14:paraId="00D3A42F">
      <w:pPr>
        <w:pStyle w:val="4"/>
        <w:rPr>
          <w:color w:val="000000"/>
        </w:rPr>
      </w:pPr>
      <w:bookmarkStart w:id="202" w:name="_Toc119915388"/>
      <w:bookmarkStart w:id="203" w:name="_Toc807"/>
      <w:bookmarkStart w:id="204" w:name="_Toc3634"/>
      <w:bookmarkStart w:id="205" w:name="_Toc350352184"/>
      <w:r>
        <w:rPr>
          <w:rFonts w:hint="eastAsia"/>
          <w:color w:val="000000"/>
          <w:lang w:val="en-US" w:eastAsia="zh-CN"/>
        </w:rPr>
        <w:t>7</w:t>
      </w:r>
      <w:r>
        <w:rPr>
          <w:color w:val="000000"/>
        </w:rPr>
        <w:t>.</w:t>
      </w:r>
      <w:r>
        <w:rPr>
          <w:rFonts w:hint="eastAsia"/>
          <w:color w:val="000000"/>
          <w:lang w:val="en-US" w:eastAsia="zh-CN"/>
        </w:rPr>
        <w:t>6</w:t>
      </w:r>
      <w:r>
        <w:rPr>
          <w:rFonts w:hint="eastAsia"/>
          <w:color w:val="000000"/>
          <w:lang w:eastAsia="zh-CN"/>
        </w:rPr>
        <w:t xml:space="preserve"> </w:t>
      </w:r>
      <w:r>
        <w:rPr>
          <w:color w:val="000000"/>
        </w:rPr>
        <w:t>环境管理与监测计划</w:t>
      </w:r>
      <w:bookmarkEnd w:id="202"/>
      <w:bookmarkEnd w:id="203"/>
      <w:bookmarkEnd w:id="204"/>
    </w:p>
    <w:p w14:paraId="107C44F6">
      <w:pPr>
        <w:rPr>
          <w:color w:val="000000"/>
        </w:rPr>
      </w:pPr>
      <w:bookmarkStart w:id="206" w:name="_Hlk100276679"/>
      <w:r>
        <w:rPr>
          <w:color w:val="000000"/>
        </w:rPr>
        <w:t>为控制项目在</w:t>
      </w:r>
      <w:r>
        <w:rPr>
          <w:rFonts w:hint="eastAsia"/>
          <w:color w:val="000000"/>
        </w:rPr>
        <w:t>施工期及</w:t>
      </w:r>
      <w:r>
        <w:rPr>
          <w:color w:val="000000"/>
        </w:rPr>
        <w:t>运营期对其所在区域环境造成一定的不利影响，建设单位在加强环境管理的同时，应定期进行环境监测，及时了解工程在不同时期对周围环境的影响，以便采取相应措施，消除不利影响，减轻环境污染</w:t>
      </w:r>
      <w:bookmarkEnd w:id="206"/>
      <w:r>
        <w:rPr>
          <w:rFonts w:hint="eastAsia"/>
          <w:color w:val="000000"/>
        </w:rPr>
        <w:t>。</w:t>
      </w:r>
    </w:p>
    <w:p w14:paraId="070E5D0C">
      <w:pPr>
        <w:pStyle w:val="4"/>
        <w:rPr>
          <w:color w:val="000000"/>
          <w:lang w:eastAsia="zh-CN"/>
        </w:rPr>
      </w:pPr>
      <w:bookmarkStart w:id="207" w:name="_Toc1298"/>
      <w:bookmarkStart w:id="208" w:name="_Toc119915390"/>
      <w:bookmarkStart w:id="209" w:name="_Toc19944"/>
      <w:r>
        <w:rPr>
          <w:rFonts w:hint="eastAsia"/>
          <w:color w:val="000000"/>
          <w:lang w:val="en-US" w:eastAsia="zh-CN"/>
        </w:rPr>
        <w:t>7</w:t>
      </w:r>
      <w:r>
        <w:rPr>
          <w:color w:val="000000"/>
        </w:rPr>
        <w:t>.</w:t>
      </w:r>
      <w:r>
        <w:rPr>
          <w:rFonts w:hint="eastAsia"/>
          <w:color w:val="000000"/>
          <w:lang w:val="en-US" w:eastAsia="zh-CN"/>
        </w:rPr>
        <w:t>7</w:t>
      </w:r>
      <w:r>
        <w:rPr>
          <w:rFonts w:hint="eastAsia"/>
          <w:color w:val="000000"/>
          <w:lang w:eastAsia="zh-CN"/>
        </w:rPr>
        <w:t xml:space="preserve"> </w:t>
      </w:r>
      <w:r>
        <w:rPr>
          <w:color w:val="000000"/>
        </w:rPr>
        <w:t>总结论</w:t>
      </w:r>
      <w:bookmarkEnd w:id="205"/>
      <w:bookmarkEnd w:id="207"/>
      <w:bookmarkEnd w:id="208"/>
      <w:bookmarkEnd w:id="209"/>
    </w:p>
    <w:p w14:paraId="227FA991">
      <w:pPr>
        <w:rPr>
          <w:color w:val="auto"/>
        </w:rPr>
      </w:pPr>
      <w:bookmarkStart w:id="210" w:name="_Toc350352185"/>
      <w:r>
        <w:rPr>
          <w:rFonts w:hint="eastAsia"/>
          <w:color w:val="000000"/>
          <w:lang w:eastAsia="zh-CN"/>
        </w:rPr>
        <w:t>六安市霍山县排水防涝能力提升项目</w:t>
      </w:r>
      <w:r>
        <w:rPr>
          <w:rFonts w:hint="default" w:ascii="Times New Roman" w:hAnsi="Times New Roman" w:eastAsia="宋体" w:cs="Times New Roman"/>
          <w:color w:val="000000"/>
          <w:sz w:val="24"/>
          <w:lang w:val="en-US" w:eastAsia="zh-CN"/>
        </w:rPr>
        <w:t>为防洪除涝工程，不属于生产型项目，本项目建成后解决了城市内涝的问题，工程建设不涉及自然保护区、世界自然和文化遗产地、风景名胜区、森林公园等环境敏感区</w:t>
      </w:r>
      <w:r>
        <w:rPr>
          <w:color w:val="000000"/>
        </w:rPr>
        <w:t>，具有较好的社会效益和生态效益。经过对项目</w:t>
      </w:r>
      <w:r>
        <w:rPr>
          <w:rFonts w:hint="eastAsia"/>
          <w:color w:val="000000"/>
          <w:lang w:eastAsia="zh-CN"/>
        </w:rPr>
        <w:t>所在地</w:t>
      </w:r>
      <w:r>
        <w:rPr>
          <w:color w:val="000000"/>
        </w:rPr>
        <w:t>的环境现状、环境影响预测和环境保护措施等方面的分析，采取和实施了相应的环境保护措施，项目所引起的环境负面影响较小。在全面落实本报告中提出的各项</w:t>
      </w:r>
      <w:r>
        <w:rPr>
          <w:rFonts w:hint="eastAsia"/>
          <w:color w:val="000000"/>
          <w:lang w:eastAsia="zh-CN"/>
        </w:rPr>
        <w:t>污染</w:t>
      </w:r>
      <w:r>
        <w:rPr>
          <w:color w:val="000000"/>
        </w:rPr>
        <w:t>防治措施、</w:t>
      </w:r>
      <w:r>
        <w:rPr>
          <w:rFonts w:hint="eastAsia"/>
          <w:color w:val="000000"/>
          <w:lang w:eastAsia="zh-CN"/>
        </w:rPr>
        <w:t>生态保护措施</w:t>
      </w:r>
      <w:r>
        <w:rPr>
          <w:color w:val="000000"/>
        </w:rPr>
        <w:t>的前提下</w:t>
      </w:r>
      <w:r>
        <w:rPr>
          <w:rFonts w:hint="eastAsia"/>
          <w:color w:val="000000"/>
        </w:rPr>
        <w:t>，</w:t>
      </w:r>
      <w:r>
        <w:rPr>
          <w:color w:val="000000"/>
        </w:rPr>
        <w:t>从环境</w:t>
      </w:r>
      <w:r>
        <w:rPr>
          <w:rFonts w:hint="eastAsia"/>
          <w:color w:val="000000"/>
        </w:rPr>
        <w:t>影响</w:t>
      </w:r>
      <w:r>
        <w:rPr>
          <w:color w:val="000000"/>
        </w:rPr>
        <w:t>角度分析，该项目的建设是可行的。</w:t>
      </w:r>
      <w:bookmarkEnd w:id="210"/>
    </w:p>
    <w:p w14:paraId="2DBEC436">
      <w:pPr>
        <w:pStyle w:val="19"/>
        <w:ind w:left="0" w:firstLine="0"/>
        <w:rPr>
          <w:rFonts w:hint="eastAsia" w:eastAsia="宋体"/>
          <w:lang w:val="en-US" w:eastAsia="zh-CN"/>
        </w:rPr>
      </w:pPr>
    </w:p>
    <w:sectPr>
      <w:pgSz w:w="11906" w:h="16838" w:orient="landscape"/>
      <w:pgMar w:top="1417" w:right="1417" w:bottom="1417" w:left="1417" w:header="851" w:footer="1077" w:gutter="0"/>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Courier New">
    <w:panose1 w:val="02070309020205020404"/>
    <w:charset w:val="00"/>
    <w:family w:val="auto"/>
    <w:pitch w:val="default"/>
    <w:sig w:usb0="E0002E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Fang Song">
    <w:altName w:val="Segoe Print"/>
    <w:panose1 w:val="02010609060101010101"/>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2DB7E">
    <w:pPr>
      <w:widowControl w:val="0"/>
      <w:ind w:right="360" w:firstLine="360"/>
      <w:jc w:val="center"/>
      <w:rPr>
        <w:rFonts w:hint="eastAsia"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Style w:val="44"/>
        <w:rFonts w:ascii="Times New Roman" w:hAnsi="Times New Roman" w:eastAsia="宋体" w:cs="Times New Roman"/>
        <w:sz w:val="21"/>
        <w:szCs w:val="24"/>
        <w:lang w:val="en-US" w:eastAsia="zh-CN" w:bidi="ar-SA"/>
      </w:rPr>
      <w:instrText xml:space="preserve"> PAGE </w:instrText>
    </w:r>
    <w:r>
      <w:rPr>
        <w:rFonts w:ascii="Times New Roman" w:hAnsi="Times New Roman" w:eastAsia="宋体" w:cs="Times New Roman"/>
        <w:sz w:val="18"/>
        <w:szCs w:val="18"/>
        <w:lang w:val="en-US" w:eastAsia="zh-CN" w:bidi="ar-SA"/>
      </w:rPr>
      <w:fldChar w:fldCharType="separate"/>
    </w:r>
    <w:r>
      <w:rPr>
        <w:rStyle w:val="44"/>
        <w:rFonts w:ascii="Times New Roman" w:hAnsi="Times New Roman" w:eastAsia="宋体" w:cs="Times New Roman"/>
        <w:sz w:val="21"/>
        <w:szCs w:val="24"/>
        <w:lang w:val="en-US" w:eastAsia="zh-CN" w:bidi="ar-SA"/>
      </w:rPr>
      <w:t>- 2 -</w:t>
    </w:r>
    <w:r>
      <w:rPr>
        <w:rFonts w:ascii="Times New Roman" w:hAnsi="Times New Roman" w:eastAsia="宋体" w:cs="Times New Roman"/>
        <w:sz w:val="18"/>
        <w:szCs w:val="18"/>
        <w:lang w:val="en-US" w:eastAsia="zh-CN"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EF71E">
    <w:pPr>
      <w:pStyle w:val="2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9"/>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A5BE375">
                          <w:pPr>
                            <w:pStyle w:val="25"/>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O1VvMnUAQAAqAMAAA4AAAAAAAAAAQAgAAAAHgEA&#10;AGRycy9lMm9Eb2MueG1sUEsFBgAAAAAGAAYAWQEAAGQFAAAAAA==&#10;">
              <v:fill on="f" focussize="0,0"/>
              <v:stroke on="f"/>
              <v:imagedata o:title=""/>
              <o:lock v:ext="edit" aspectratio="f"/>
              <v:textbox inset="0mm,0mm,0mm,0mm" style="mso-fit-shape-to-text:t;">
                <w:txbxContent>
                  <w:p w14:paraId="7A5BE375">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FE917">
    <w:pPr>
      <w:pStyle w:val="2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6"/>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14C43A5E">
                          <w:pPr>
                            <w:pStyle w:val="25"/>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JyHfMrUAQAAqAMAAA4AAAAAAAAAAQAgAAAAHgEA&#10;AGRycy9lMm9Eb2MueG1sUEsFBgAAAAAGAAYAWQEAAGQFAAAAAA==&#10;">
              <v:fill on="f" focussize="0,0"/>
              <v:stroke on="f"/>
              <v:imagedata o:title=""/>
              <o:lock v:ext="edit" aspectratio="f"/>
              <v:textbox inset="0mm,0mm,0mm,0mm" style="mso-fit-shape-to-text:t;">
                <w:txbxContent>
                  <w:p w14:paraId="14C43A5E">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1">
    <w:nsid w:val="B5E306ED"/>
    <w:multiLevelType w:val="multilevel"/>
    <w:tmpl w:val="B5E306ED"/>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2">
    <w:nsid w:val="BF205925"/>
    <w:multiLevelType w:val="multilevel"/>
    <w:tmpl w:val="BF205925"/>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3">
    <w:nsid w:val="CF092B84"/>
    <w:multiLevelType w:val="multilevel"/>
    <w:tmpl w:val="CF092B84"/>
    <w:lvl w:ilvl="0" w:tentative="0">
      <w:start w:val="1"/>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4">
    <w:nsid w:val="0053208E"/>
    <w:multiLevelType w:val="multilevel"/>
    <w:tmpl w:val="0053208E"/>
    <w:lvl w:ilvl="0" w:tentative="0">
      <w:start w:val="2"/>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5">
    <w:nsid w:val="0248C179"/>
    <w:multiLevelType w:val="multilevel"/>
    <w:tmpl w:val="0248C179"/>
    <w:lvl w:ilvl="0" w:tentative="0">
      <w:start w:val="1"/>
      <w:numFmt w:val="decimal"/>
      <w:suff w:val="nothing"/>
      <w:lvlText w:val="（%1）"/>
      <w:lvlJc w:val="left"/>
      <w:pPr>
        <w:ind w:left="60"/>
      </w:p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6">
    <w:nsid w:val="03D62ECE"/>
    <w:multiLevelType w:val="multilevel"/>
    <w:tmpl w:val="03D62ECE"/>
    <w:lvl w:ilvl="0" w:tentative="0">
      <w:start w:val="1"/>
      <w:numFmt w:val="decimal"/>
      <w:suff w:val="space"/>
      <w:lvlText w:val="(%1)"/>
      <w:lvlJc w:val="left"/>
      <w:pPr>
        <w:ind w:left="425" w:hanging="425"/>
      </w:pPr>
      <w:rPr>
        <w:rFonts w:hint="default"/>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7">
    <w:nsid w:val="25B654F3"/>
    <w:multiLevelType w:val="multilevel"/>
    <w:tmpl w:val="25B654F3"/>
    <w:lvl w:ilvl="0" w:tentative="0">
      <w:start w:val="1"/>
      <w:numFmt w:val="decimal"/>
      <w:suff w:val="space"/>
      <w:lvlText w:val="(%1)"/>
      <w:lvlJc w:val="left"/>
      <w:pPr>
        <w:ind w:left="425" w:hanging="425"/>
      </w:pPr>
      <w:rPr>
        <w:rFonts w:hint="default"/>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8">
    <w:nsid w:val="2A8F537B"/>
    <w:multiLevelType w:val="multilevel"/>
    <w:tmpl w:val="2A8F537B"/>
    <w:lvl w:ilvl="0" w:tentative="0">
      <w:start w:val="2"/>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9">
    <w:nsid w:val="59ADCABA"/>
    <w:multiLevelType w:val="multilevel"/>
    <w:tmpl w:val="59ADCABA"/>
    <w:lvl w:ilvl="0" w:tentative="0">
      <w:start w:val="3"/>
      <w:numFmt w:val="decimal"/>
      <w:suff w:val="nothing"/>
      <w:lvlText w:val="（%1）"/>
      <w:lvlJc w:val="left"/>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10">
    <w:nsid w:val="72183CF9"/>
    <w:multiLevelType w:val="multilevel"/>
    <w:tmpl w:val="72183CF9"/>
    <w:lvl w:ilvl="0" w:tentative="0">
      <w:start w:val="1"/>
      <w:numFmt w:val="decimal"/>
      <w:suff w:val="space"/>
      <w:lvlText w:val="(%1)"/>
      <w:lvlJc w:val="left"/>
      <w:pPr>
        <w:ind w:left="425" w:hanging="425"/>
      </w:pPr>
      <w:rPr>
        <w:rFonts w:hint="default"/>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characterSpacingControl w:val="doNotCompress"/>
  <w:footnotePr>
    <w:footnote w:id="0"/>
    <w:footnote w:id="1"/>
  </w:footnotePr>
  <w:endnotePr>
    <w:endnote w:id="0"/>
    <w:endnote w:id="1"/>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A787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nhideWhenUsed="0" w:uiPriority="0"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40" w:lineRule="exact"/>
      <w:ind w:firstLine="720"/>
      <w:jc w:val="both"/>
    </w:pPr>
    <w:rPr>
      <w:rFonts w:hint="default" w:ascii="Times New Roman" w:hAnsi="Times New Roman" w:eastAsia="宋体" w:cs="宋体"/>
      <w:sz w:val="24"/>
      <w:szCs w:val="24"/>
      <w:lang w:val="en-US" w:eastAsia="zh-CN" w:bidi="ar-SA"/>
    </w:rPr>
  </w:style>
  <w:style w:type="paragraph" w:styleId="3">
    <w:name w:val="heading 1"/>
    <w:basedOn w:val="1"/>
    <w:next w:val="1"/>
    <w:link w:val="221"/>
    <w:qFormat/>
    <w:uiPriority w:val="0"/>
    <w:pPr>
      <w:spacing w:before="0" w:beforeAutospacing="1" w:after="0" w:afterAutospacing="1"/>
      <w:jc w:val="left"/>
    </w:pPr>
    <w:rPr>
      <w:rFonts w:hint="eastAsia" w:ascii="宋体" w:hAnsi="宋体" w:eastAsia="宋体" w:cs="宋体"/>
      <w:b/>
      <w:bCs/>
      <w:sz w:val="48"/>
      <w:szCs w:val="48"/>
      <w:lang w:val="en-US" w:eastAsia="zh-CN" w:bidi="ar"/>
    </w:rPr>
  </w:style>
  <w:style w:type="paragraph" w:styleId="4">
    <w:name w:val="heading 2"/>
    <w:basedOn w:val="1"/>
    <w:next w:val="1"/>
    <w:link w:val="222"/>
    <w:unhideWhenUsed/>
    <w:qFormat/>
    <w:uiPriority w:val="0"/>
    <w:pPr>
      <w:keepNext/>
      <w:keepLines/>
      <w:spacing w:before="50" w:beforeAutospacing="0" w:after="50" w:afterAutospacing="0" w:line="360" w:lineRule="auto"/>
      <w:outlineLvl w:val="1"/>
    </w:pPr>
    <w:rPr>
      <w:rFonts w:ascii="Arial" w:hAnsi="Arial" w:eastAsia="宋体"/>
      <w:b/>
      <w:sz w:val="32"/>
    </w:rPr>
  </w:style>
  <w:style w:type="paragraph" w:styleId="5">
    <w:name w:val="heading 3"/>
    <w:basedOn w:val="1"/>
    <w:next w:val="1"/>
    <w:link w:val="223"/>
    <w:unhideWhenUsed/>
    <w:qFormat/>
    <w:uiPriority w:val="0"/>
    <w:pPr>
      <w:keepNext/>
      <w:keepLines/>
      <w:spacing w:line="360" w:lineRule="auto"/>
      <w:outlineLvl w:val="2"/>
    </w:pPr>
    <w:rPr>
      <w:rFonts w:ascii="Times New Roman" w:hAnsi="Times New Roman" w:eastAsia="宋体" w:cs="Times New Roman"/>
      <w:b/>
      <w:bCs/>
      <w:sz w:val="24"/>
      <w:szCs w:val="32"/>
    </w:rPr>
  </w:style>
  <w:style w:type="paragraph" w:styleId="6">
    <w:name w:val="heading 4"/>
    <w:basedOn w:val="1"/>
    <w:next w:val="1"/>
    <w:unhideWhenUsed/>
    <w:qFormat/>
    <w:uiPriority w:val="0"/>
    <w:pPr>
      <w:keepNext/>
      <w:keepLines/>
      <w:spacing w:before="280" w:beforeAutospacing="0" w:after="290" w:afterAutospacing="0" w:line="372" w:lineRule="auto"/>
      <w:outlineLvl w:val="3"/>
    </w:pPr>
    <w:rPr>
      <w:rFonts w:ascii="Arial" w:hAnsi="Arial" w:eastAsia="宋体"/>
      <w:b/>
    </w:rPr>
  </w:style>
  <w:style w:type="paragraph" w:styleId="7">
    <w:name w:val="heading 5"/>
    <w:basedOn w:val="1"/>
    <w:next w:val="1"/>
    <w:qFormat/>
    <w:uiPriority w:val="0"/>
    <w:pPr>
      <w:ind w:left="824" w:hanging="586"/>
      <w:outlineLvl w:val="5"/>
    </w:pPr>
    <w:rPr>
      <w:rFonts w:ascii="宋体" w:hAnsi="宋体" w:eastAsia="宋体" w:cs="宋体"/>
      <w:b/>
      <w:bCs/>
      <w:sz w:val="24"/>
      <w:szCs w:val="24"/>
      <w:lang w:val="zh-CN" w:eastAsia="zh-CN" w:bidi="zh-CN"/>
    </w:rPr>
  </w:style>
  <w:style w:type="paragraph" w:styleId="8">
    <w:name w:val="heading 6"/>
    <w:basedOn w:val="1"/>
    <w:next w:val="1"/>
    <w:unhideWhenUsed/>
    <w:qFormat/>
    <w:uiPriority w:val="0"/>
    <w:pPr>
      <w:keepNext/>
      <w:keepLines/>
      <w:spacing w:before="240" w:beforeAutospacing="0" w:after="64" w:afterAutospacing="0" w:line="317" w:lineRule="auto"/>
      <w:ind w:firstLine="420"/>
      <w:outlineLvl w:val="5"/>
    </w:pPr>
    <w:rPr>
      <w:rFonts w:ascii="Arial" w:hAnsi="Arial" w:eastAsia="黑体" w:cs="Times New Roman"/>
      <w:b/>
      <w:sz w:val="24"/>
    </w:rPr>
  </w:style>
  <w:style w:type="paragraph" w:styleId="9">
    <w:name w:val="heading 7"/>
    <w:basedOn w:val="1"/>
    <w:next w:val="1"/>
    <w:unhideWhenUsed/>
    <w:qFormat/>
    <w:uiPriority w:val="0"/>
    <w:pPr>
      <w:keepNext/>
      <w:keepLines/>
      <w:spacing w:before="240" w:beforeAutospacing="0" w:after="64" w:afterAutospacing="0" w:line="317" w:lineRule="auto"/>
      <w:ind w:firstLine="420"/>
      <w:outlineLvl w:val="6"/>
    </w:pPr>
    <w:rPr>
      <w:rFonts w:ascii="Times New Roman" w:hAnsi="Times New Roman" w:eastAsia="宋体" w:cs="Times New Roman"/>
      <w:b/>
      <w:sz w:val="24"/>
    </w:rPr>
  </w:style>
  <w:style w:type="paragraph" w:styleId="10">
    <w:name w:val="heading 8"/>
    <w:basedOn w:val="1"/>
    <w:next w:val="1"/>
    <w:link w:val="55"/>
    <w:unhideWhenUsed/>
    <w:qFormat/>
    <w:uiPriority w:val="9"/>
    <w:pPr>
      <w:keepNext/>
      <w:keepLines/>
      <w:spacing w:before="320" w:after="200"/>
      <w:outlineLvl w:val="7"/>
    </w:pPr>
    <w:rPr>
      <w:rFonts w:ascii="等线" w:hAnsi="等线" w:eastAsia="等线" w:cs="等线"/>
      <w:i/>
      <w:iCs/>
      <w:sz w:val="22"/>
      <w:szCs w:val="22"/>
    </w:rPr>
  </w:style>
  <w:style w:type="paragraph" w:styleId="11">
    <w:name w:val="heading 9"/>
    <w:basedOn w:val="1"/>
    <w:next w:val="1"/>
    <w:link w:val="56"/>
    <w:unhideWhenUsed/>
    <w:qFormat/>
    <w:uiPriority w:val="9"/>
    <w:pPr>
      <w:keepNext/>
      <w:keepLines/>
      <w:spacing w:before="320" w:after="200"/>
      <w:outlineLvl w:val="8"/>
    </w:pPr>
    <w:rPr>
      <w:rFonts w:ascii="等线" w:hAnsi="等线" w:eastAsia="等线" w:cs="等线"/>
      <w:i/>
      <w:iCs/>
      <w:sz w:val="21"/>
      <w:szCs w:val="21"/>
    </w:rPr>
  </w:style>
  <w:style w:type="character" w:default="1" w:styleId="41">
    <w:name w:val="Default Paragraph Font"/>
    <w:semiHidden/>
    <w:qFormat/>
    <w:uiPriority w:val="0"/>
  </w:style>
  <w:style w:type="table" w:default="1" w:styleId="3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2">
    <w:name w:val="Normal Indent"/>
    <w:basedOn w:val="1"/>
    <w:qFormat/>
    <w:uiPriority w:val="0"/>
    <w:pPr>
      <w:widowControl w:val="0"/>
      <w:spacing w:line="240" w:lineRule="auto"/>
      <w:ind w:firstLine="0"/>
      <w:jc w:val="both"/>
    </w:pPr>
    <w:rPr>
      <w:rFonts w:ascii="Times New Roman" w:hAnsi="Times New Roman"/>
      <w:szCs w:val="24"/>
    </w:rPr>
  </w:style>
  <w:style w:type="paragraph" w:styleId="12">
    <w:name w:val="List 3"/>
    <w:basedOn w:val="1"/>
    <w:next w:val="1"/>
    <w:qFormat/>
    <w:uiPriority w:val="0"/>
    <w:pPr>
      <w:ind w:left="100" w:hanging="200"/>
    </w:pPr>
  </w:style>
  <w:style w:type="paragraph" w:styleId="13">
    <w:name w:val="toc 7"/>
    <w:basedOn w:val="1"/>
    <w:next w:val="1"/>
    <w:unhideWhenUsed/>
    <w:uiPriority w:val="39"/>
    <w:pPr>
      <w:spacing w:after="57"/>
      <w:ind w:left="1701" w:right="0" w:firstLine="0"/>
    </w:pPr>
  </w:style>
  <w:style w:type="paragraph" w:styleId="14">
    <w:name w:val="caption"/>
    <w:basedOn w:val="1"/>
    <w:next w:val="1"/>
    <w:semiHidden/>
    <w:unhideWhenUsed/>
    <w:qFormat/>
    <w:uiPriority w:val="35"/>
    <w:pPr>
      <w:spacing w:line="276" w:lineRule="auto"/>
    </w:pPr>
    <w:rPr>
      <w:b/>
      <w:bCs/>
      <w:color w:val="4874CB" w:themeColor="accent1"/>
      <w:sz w:val="18"/>
      <w:szCs w:val="18"/>
      <w14:textFill>
        <w14:solidFill>
          <w14:schemeClr w14:val="accent1"/>
        </w14:solidFill>
      </w14:textFill>
    </w:rPr>
  </w:style>
  <w:style w:type="paragraph" w:styleId="15">
    <w:name w:val="annotation text"/>
    <w:basedOn w:val="1"/>
    <w:qFormat/>
    <w:uiPriority w:val="0"/>
    <w:pPr>
      <w:jc w:val="left"/>
    </w:pPr>
  </w:style>
  <w:style w:type="paragraph" w:styleId="16">
    <w:name w:val="Body Text"/>
    <w:basedOn w:val="1"/>
    <w:qFormat/>
    <w:uiPriority w:val="0"/>
    <w:pPr>
      <w:widowControl/>
      <w:spacing w:before="60" w:after="160" w:line="259" w:lineRule="auto"/>
      <w:ind w:right="113"/>
    </w:pPr>
    <w:rPr>
      <w:sz w:val="18"/>
      <w:szCs w:val="18"/>
    </w:rPr>
  </w:style>
  <w:style w:type="paragraph" w:styleId="17">
    <w:name w:val="Body Text Indent"/>
    <w:basedOn w:val="1"/>
    <w:next w:val="18"/>
    <w:qFormat/>
    <w:uiPriority w:val="0"/>
    <w:pPr>
      <w:spacing w:after="120"/>
      <w:ind w:left="420"/>
    </w:pPr>
  </w:style>
  <w:style w:type="paragraph" w:styleId="18">
    <w:name w:val="Body Text Indent 2"/>
    <w:basedOn w:val="1"/>
    <w:next w:val="19"/>
    <w:qFormat/>
    <w:uiPriority w:val="0"/>
    <w:pPr>
      <w:tabs>
        <w:tab w:val="left" w:pos="180"/>
      </w:tabs>
      <w:spacing w:line="360" w:lineRule="auto"/>
      <w:ind w:firstLine="567"/>
    </w:pPr>
    <w:rPr>
      <w:rFonts w:ascii="宋体" w:hAnsi="宋体" w:eastAsia="宋体" w:cs="Times New Roman"/>
      <w:sz w:val="28"/>
    </w:rPr>
  </w:style>
  <w:style w:type="paragraph" w:styleId="19">
    <w:name w:val="Body Text First Indent 2"/>
    <w:basedOn w:val="17"/>
    <w:next w:val="1"/>
    <w:qFormat/>
    <w:uiPriority w:val="0"/>
    <w:pPr>
      <w:widowControl/>
      <w:spacing w:after="120" w:line="240" w:lineRule="auto"/>
      <w:ind w:left="420" w:firstLine="420"/>
    </w:pPr>
    <w:rPr>
      <w:rFonts w:cs="宋体"/>
      <w:szCs w:val="24"/>
    </w:rPr>
  </w:style>
  <w:style w:type="paragraph" w:styleId="20">
    <w:name w:val="toc 5"/>
    <w:basedOn w:val="1"/>
    <w:next w:val="1"/>
    <w:unhideWhenUsed/>
    <w:uiPriority w:val="39"/>
    <w:pPr>
      <w:spacing w:after="57"/>
      <w:ind w:left="1134" w:right="0" w:firstLine="0"/>
    </w:pPr>
  </w:style>
  <w:style w:type="paragraph" w:styleId="21">
    <w:name w:val="toc 3"/>
    <w:basedOn w:val="1"/>
    <w:next w:val="1"/>
    <w:unhideWhenUsed/>
    <w:uiPriority w:val="39"/>
    <w:pPr>
      <w:spacing w:after="57"/>
      <w:ind w:left="567" w:right="0" w:firstLine="0"/>
    </w:pPr>
  </w:style>
  <w:style w:type="paragraph" w:styleId="22">
    <w:name w:val="Plain Text"/>
    <w:basedOn w:val="1"/>
    <w:qFormat/>
    <w:uiPriority w:val="0"/>
    <w:rPr>
      <w:rFonts w:ascii="宋体" w:hAnsi="Courier New"/>
      <w:sz w:val="20"/>
      <w:szCs w:val="20"/>
    </w:rPr>
  </w:style>
  <w:style w:type="paragraph" w:styleId="23">
    <w:name w:val="toc 8"/>
    <w:basedOn w:val="1"/>
    <w:next w:val="1"/>
    <w:unhideWhenUsed/>
    <w:uiPriority w:val="39"/>
    <w:pPr>
      <w:spacing w:after="57"/>
      <w:ind w:left="1984" w:right="0" w:firstLine="0"/>
    </w:pPr>
  </w:style>
  <w:style w:type="paragraph" w:styleId="24">
    <w:name w:val="endnote text"/>
    <w:basedOn w:val="1"/>
    <w:link w:val="193"/>
    <w:semiHidden/>
    <w:unhideWhenUsed/>
    <w:qFormat/>
    <w:uiPriority w:val="99"/>
    <w:pPr>
      <w:spacing w:after="0" w:line="240" w:lineRule="auto"/>
    </w:pPr>
    <w:rPr>
      <w:sz w:val="20"/>
    </w:rPr>
  </w:style>
  <w:style w:type="paragraph" w:styleId="25">
    <w:name w:val="footer"/>
    <w:basedOn w:val="1"/>
    <w:qFormat/>
    <w:uiPriority w:val="0"/>
    <w:pPr>
      <w:tabs>
        <w:tab w:val="center" w:pos="4153"/>
        <w:tab w:val="right" w:pos="8306"/>
      </w:tabs>
      <w:jc w:val="left"/>
    </w:pPr>
    <w:rPr>
      <w:sz w:val="18"/>
      <w:szCs w:val="20"/>
    </w:rPr>
  </w:style>
  <w:style w:type="paragraph" w:styleId="26">
    <w:name w:val="header"/>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pacing w:line="240" w:lineRule="auto"/>
      <w:jc w:val="both"/>
      <w:outlineLvl w:val="9"/>
    </w:pPr>
    <w:rPr>
      <w:sz w:val="18"/>
    </w:rPr>
  </w:style>
  <w:style w:type="paragraph" w:styleId="27">
    <w:name w:val="toc 1"/>
    <w:basedOn w:val="1"/>
    <w:next w:val="1"/>
    <w:qFormat/>
    <w:uiPriority w:val="0"/>
    <w:pPr>
      <w:spacing w:line="360" w:lineRule="auto"/>
      <w:ind w:firstLine="420"/>
    </w:pPr>
    <w:rPr>
      <w:rFonts w:ascii="Times New Roman" w:hAnsi="Times New Roman" w:eastAsia="宋体" w:cs="Times New Roman"/>
    </w:rPr>
  </w:style>
  <w:style w:type="paragraph" w:styleId="28">
    <w:name w:val="toc 4"/>
    <w:basedOn w:val="1"/>
    <w:next w:val="1"/>
    <w:unhideWhenUsed/>
    <w:uiPriority w:val="39"/>
    <w:pPr>
      <w:spacing w:after="57"/>
      <w:ind w:left="850" w:right="0" w:firstLine="0"/>
    </w:pPr>
  </w:style>
  <w:style w:type="paragraph" w:styleId="29">
    <w:name w:val="Subtitle"/>
    <w:basedOn w:val="1"/>
    <w:next w:val="1"/>
    <w:link w:val="59"/>
    <w:qFormat/>
    <w:uiPriority w:val="11"/>
    <w:pPr>
      <w:spacing w:before="200" w:after="200"/>
    </w:pPr>
    <w:rPr>
      <w:sz w:val="24"/>
      <w:szCs w:val="24"/>
    </w:rPr>
  </w:style>
  <w:style w:type="paragraph" w:styleId="30">
    <w:name w:val="footnote text"/>
    <w:basedOn w:val="1"/>
    <w:link w:val="192"/>
    <w:semiHidden/>
    <w:unhideWhenUsed/>
    <w:uiPriority w:val="99"/>
    <w:pPr>
      <w:spacing w:after="40" w:line="240" w:lineRule="auto"/>
    </w:pPr>
    <w:rPr>
      <w:sz w:val="18"/>
    </w:rPr>
  </w:style>
  <w:style w:type="paragraph" w:styleId="31">
    <w:name w:val="toc 6"/>
    <w:basedOn w:val="1"/>
    <w:next w:val="1"/>
    <w:unhideWhenUsed/>
    <w:uiPriority w:val="39"/>
    <w:pPr>
      <w:spacing w:after="57"/>
      <w:ind w:left="1417" w:right="0" w:firstLine="0"/>
    </w:pPr>
  </w:style>
  <w:style w:type="paragraph" w:styleId="32">
    <w:name w:val="table of figures"/>
    <w:basedOn w:val="1"/>
    <w:next w:val="1"/>
    <w:qFormat/>
    <w:uiPriority w:val="0"/>
    <w:pPr>
      <w:ind w:hanging="200"/>
    </w:pPr>
    <w:rPr>
      <w:rFonts w:ascii="Calibri" w:hAnsi="Calibri"/>
      <w:szCs w:val="22"/>
    </w:rPr>
  </w:style>
  <w:style w:type="paragraph" w:styleId="33">
    <w:name w:val="toc 2"/>
    <w:basedOn w:val="1"/>
    <w:next w:val="1"/>
    <w:uiPriority w:val="0"/>
    <w:pPr>
      <w:spacing w:line="360" w:lineRule="auto"/>
      <w:ind w:left="420" w:firstLine="420"/>
    </w:pPr>
    <w:rPr>
      <w:rFonts w:ascii="Times New Roman" w:hAnsi="Times New Roman" w:eastAsia="宋体" w:cs="Times New Roman"/>
    </w:rPr>
  </w:style>
  <w:style w:type="paragraph" w:styleId="34">
    <w:name w:val="toc 9"/>
    <w:basedOn w:val="1"/>
    <w:next w:val="1"/>
    <w:unhideWhenUsed/>
    <w:qFormat/>
    <w:uiPriority w:val="39"/>
    <w:pPr>
      <w:spacing w:after="57"/>
      <w:ind w:left="2268" w:right="0" w:firstLine="0"/>
    </w:pPr>
  </w:style>
  <w:style w:type="paragraph" w:styleId="35">
    <w:name w:val="Body Text 2"/>
    <w:basedOn w:val="1"/>
    <w:qFormat/>
    <w:uiPriority w:val="0"/>
    <w:pPr>
      <w:jc w:val="center"/>
    </w:pPr>
    <w:rPr>
      <w:rFonts w:ascii="宋体" w:hAnsi="宋体"/>
      <w:color w:val="000000"/>
      <w:szCs w:val="21"/>
    </w:rPr>
  </w:style>
  <w:style w:type="paragraph" w:styleId="36">
    <w:name w:val="Normal (Web)"/>
    <w:basedOn w:val="1"/>
    <w:qFormat/>
    <w:uiPriority w:val="0"/>
    <w:pPr>
      <w:widowControl/>
      <w:spacing w:before="100" w:beforeAutospacing="1" w:after="100" w:afterAutospacing="1"/>
      <w:jc w:val="left"/>
    </w:pPr>
    <w:rPr>
      <w:rFonts w:ascii="宋体" w:hAnsi="宋体"/>
      <w:sz w:val="24"/>
    </w:rPr>
  </w:style>
  <w:style w:type="paragraph" w:styleId="37">
    <w:name w:val="Title"/>
    <w:basedOn w:val="1"/>
    <w:next w:val="1"/>
    <w:link w:val="58"/>
    <w:qFormat/>
    <w:uiPriority w:val="10"/>
    <w:pPr>
      <w:spacing w:before="300" w:after="200"/>
      <w:contextualSpacing/>
    </w:pPr>
    <w:rPr>
      <w:sz w:val="48"/>
      <w:szCs w:val="48"/>
    </w:rPr>
  </w:style>
  <w:style w:type="paragraph" w:styleId="38">
    <w:name w:val="Body Text First Indent"/>
    <w:basedOn w:val="1"/>
    <w:next w:val="1"/>
    <w:uiPriority w:val="0"/>
    <w:pPr>
      <w:ind w:firstLine="420"/>
    </w:pPr>
  </w:style>
  <w:style w:type="table" w:styleId="40">
    <w:name w:val="Table Grid"/>
    <w:basedOn w:val="39"/>
    <w:qFormat/>
    <w:uiPriority w:val="0"/>
    <w:rPr>
      <w:lang w:val="en-US" w:eastAsia="zh-CN" w:bidi="ar-S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42">
    <w:name w:val="Strong"/>
    <w:basedOn w:val="41"/>
    <w:qFormat/>
    <w:uiPriority w:val="0"/>
    <w:rPr>
      <w:b/>
    </w:rPr>
  </w:style>
  <w:style w:type="character" w:styleId="43">
    <w:name w:val="endnote reference"/>
    <w:basedOn w:val="41"/>
    <w:semiHidden/>
    <w:unhideWhenUsed/>
    <w:uiPriority w:val="99"/>
    <w:rPr>
      <w:vertAlign w:val="superscript"/>
    </w:rPr>
  </w:style>
  <w:style w:type="character" w:styleId="44">
    <w:name w:val="page number"/>
    <w:basedOn w:val="41"/>
    <w:qFormat/>
    <w:uiPriority w:val="0"/>
  </w:style>
  <w:style w:type="character" w:styleId="45">
    <w:name w:val="Emphasis"/>
    <w:basedOn w:val="41"/>
    <w:qFormat/>
    <w:uiPriority w:val="0"/>
    <w:rPr>
      <w:i/>
    </w:rPr>
  </w:style>
  <w:style w:type="character" w:styleId="46">
    <w:name w:val="Hyperlink"/>
    <w:basedOn w:val="41"/>
    <w:unhideWhenUsed/>
    <w:qFormat/>
    <w:uiPriority w:val="99"/>
    <w:rPr>
      <w:rFonts w:ascii="Times New Roman" w:hAnsi="Times New Roman" w:eastAsia="宋体" w:cs="Times New Roman"/>
      <w:color w:val="0000FF"/>
      <w:u w:val="single"/>
    </w:rPr>
  </w:style>
  <w:style w:type="character" w:styleId="47">
    <w:name w:val="footnote reference"/>
    <w:basedOn w:val="41"/>
    <w:unhideWhenUsed/>
    <w:uiPriority w:val="99"/>
    <w:rPr>
      <w:vertAlign w:val="superscript"/>
    </w:rPr>
  </w:style>
  <w:style w:type="character" w:customStyle="1" w:styleId="48">
    <w:name w:val="Heading 1 Char"/>
    <w:basedOn w:val="41"/>
    <w:qFormat/>
    <w:uiPriority w:val="9"/>
    <w:rPr>
      <w:rFonts w:ascii="等线" w:hAnsi="等线" w:eastAsia="等线" w:cs="等线"/>
      <w:sz w:val="40"/>
      <w:szCs w:val="40"/>
    </w:rPr>
  </w:style>
  <w:style w:type="character" w:customStyle="1" w:styleId="49">
    <w:name w:val="Heading 2 Char"/>
    <w:basedOn w:val="41"/>
    <w:qFormat/>
    <w:uiPriority w:val="9"/>
    <w:rPr>
      <w:rFonts w:ascii="等线" w:hAnsi="等线" w:eastAsia="等线" w:cs="等线"/>
      <w:sz w:val="34"/>
    </w:rPr>
  </w:style>
  <w:style w:type="character" w:customStyle="1" w:styleId="50">
    <w:name w:val="Heading 3 Char"/>
    <w:basedOn w:val="41"/>
    <w:qFormat/>
    <w:uiPriority w:val="9"/>
    <w:rPr>
      <w:rFonts w:ascii="等线" w:hAnsi="等线" w:eastAsia="等线" w:cs="等线"/>
      <w:sz w:val="30"/>
      <w:szCs w:val="30"/>
    </w:rPr>
  </w:style>
  <w:style w:type="character" w:customStyle="1" w:styleId="51">
    <w:name w:val="Heading 4 Char"/>
    <w:basedOn w:val="41"/>
    <w:uiPriority w:val="9"/>
    <w:rPr>
      <w:rFonts w:ascii="等线" w:hAnsi="等线" w:eastAsia="等线" w:cs="等线"/>
      <w:b/>
      <w:bCs/>
      <w:sz w:val="26"/>
      <w:szCs w:val="26"/>
    </w:rPr>
  </w:style>
  <w:style w:type="character" w:customStyle="1" w:styleId="52">
    <w:name w:val="Heading 5 Char"/>
    <w:basedOn w:val="41"/>
    <w:uiPriority w:val="9"/>
    <w:rPr>
      <w:rFonts w:ascii="等线" w:hAnsi="等线" w:eastAsia="等线" w:cs="等线"/>
      <w:b/>
      <w:bCs/>
      <w:sz w:val="24"/>
      <w:szCs w:val="24"/>
    </w:rPr>
  </w:style>
  <w:style w:type="character" w:customStyle="1" w:styleId="53">
    <w:name w:val="Heading 6 Char"/>
    <w:basedOn w:val="41"/>
    <w:qFormat/>
    <w:uiPriority w:val="9"/>
    <w:rPr>
      <w:rFonts w:ascii="等线" w:hAnsi="等线" w:eastAsia="等线" w:cs="等线"/>
      <w:b/>
      <w:bCs/>
      <w:sz w:val="22"/>
      <w:szCs w:val="22"/>
    </w:rPr>
  </w:style>
  <w:style w:type="character" w:customStyle="1" w:styleId="54">
    <w:name w:val="Heading 7 Char"/>
    <w:basedOn w:val="41"/>
    <w:qFormat/>
    <w:uiPriority w:val="9"/>
    <w:rPr>
      <w:rFonts w:ascii="等线" w:hAnsi="等线" w:eastAsia="等线" w:cs="等线"/>
      <w:b/>
      <w:bCs/>
      <w:i/>
      <w:iCs/>
      <w:sz w:val="22"/>
      <w:szCs w:val="22"/>
    </w:rPr>
  </w:style>
  <w:style w:type="character" w:customStyle="1" w:styleId="55">
    <w:name w:val="Heading 8 Char"/>
    <w:basedOn w:val="41"/>
    <w:link w:val="10"/>
    <w:uiPriority w:val="9"/>
    <w:rPr>
      <w:rFonts w:ascii="等线" w:hAnsi="等线" w:eastAsia="等线" w:cs="等线"/>
      <w:i/>
      <w:iCs/>
      <w:sz w:val="22"/>
      <w:szCs w:val="22"/>
    </w:rPr>
  </w:style>
  <w:style w:type="character" w:customStyle="1" w:styleId="56">
    <w:name w:val="Heading 9 Char"/>
    <w:basedOn w:val="41"/>
    <w:link w:val="11"/>
    <w:qFormat/>
    <w:uiPriority w:val="9"/>
    <w:rPr>
      <w:rFonts w:ascii="等线" w:hAnsi="等线" w:eastAsia="等线" w:cs="等线"/>
      <w:i/>
      <w:iCs/>
      <w:sz w:val="21"/>
      <w:szCs w:val="21"/>
    </w:rPr>
  </w:style>
  <w:style w:type="paragraph" w:styleId="57">
    <w:name w:val="No Spacing"/>
    <w:qFormat/>
    <w:uiPriority w:val="1"/>
    <w:pPr>
      <w:spacing w:before="0" w:after="0" w:line="240" w:lineRule="auto"/>
    </w:pPr>
    <w:rPr>
      <w:rFonts w:hint="default" w:ascii="Times New Roman" w:hAnsi="Times New Roman" w:eastAsia="宋体" w:cs="Times New Roman"/>
    </w:rPr>
  </w:style>
  <w:style w:type="character" w:customStyle="1" w:styleId="58">
    <w:name w:val="Title Char"/>
    <w:basedOn w:val="41"/>
    <w:link w:val="37"/>
    <w:qFormat/>
    <w:uiPriority w:val="10"/>
    <w:rPr>
      <w:sz w:val="48"/>
      <w:szCs w:val="48"/>
    </w:rPr>
  </w:style>
  <w:style w:type="character" w:customStyle="1" w:styleId="59">
    <w:name w:val="Subtitle Char"/>
    <w:basedOn w:val="41"/>
    <w:link w:val="29"/>
    <w:qFormat/>
    <w:uiPriority w:val="11"/>
    <w:rPr>
      <w:sz w:val="24"/>
      <w:szCs w:val="24"/>
    </w:rPr>
  </w:style>
  <w:style w:type="paragraph" w:styleId="60">
    <w:name w:val="Quote"/>
    <w:basedOn w:val="1"/>
    <w:next w:val="1"/>
    <w:link w:val="61"/>
    <w:qFormat/>
    <w:uiPriority w:val="29"/>
    <w:pPr>
      <w:ind w:left="720" w:right="720"/>
    </w:pPr>
    <w:rPr>
      <w:i/>
    </w:rPr>
  </w:style>
  <w:style w:type="character" w:customStyle="1" w:styleId="61">
    <w:name w:val="Quote Char"/>
    <w:link w:val="60"/>
    <w:qFormat/>
    <w:uiPriority w:val="29"/>
    <w:rPr>
      <w:i/>
    </w:rPr>
  </w:style>
  <w:style w:type="paragraph" w:styleId="62">
    <w:name w:val="Intense Quote"/>
    <w:basedOn w:val="1"/>
    <w:next w:val="1"/>
    <w:link w:val="63"/>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63">
    <w:name w:val="Intense Quote Char"/>
    <w:link w:val="62"/>
    <w:qFormat/>
    <w:uiPriority w:val="30"/>
    <w:rPr>
      <w:i/>
    </w:rPr>
  </w:style>
  <w:style w:type="character" w:customStyle="1" w:styleId="64">
    <w:name w:val="Header Char"/>
    <w:basedOn w:val="41"/>
    <w:uiPriority w:val="99"/>
  </w:style>
  <w:style w:type="character" w:customStyle="1" w:styleId="65">
    <w:name w:val="Footer Char"/>
    <w:basedOn w:val="41"/>
    <w:qFormat/>
    <w:uiPriority w:val="99"/>
  </w:style>
  <w:style w:type="character" w:customStyle="1" w:styleId="66">
    <w:name w:val="Caption Char"/>
    <w:qFormat/>
    <w:uiPriority w:val="99"/>
  </w:style>
  <w:style w:type="table" w:customStyle="1" w:styleId="67">
    <w:name w:val="Table Grid Light"/>
    <w:basedOn w:val="39"/>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Plain Table 1"/>
    <w:basedOn w:val="39"/>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Plain Table 2"/>
    <w:basedOn w:val="39"/>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Plain Table 3"/>
    <w:basedOn w:val="39"/>
    <w:qFormat/>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Plain Table 4"/>
    <w:basedOn w:val="39"/>
    <w:qFormat/>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Plain Table 5"/>
    <w:basedOn w:val="39"/>
    <w:qFormat/>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1 Light"/>
    <w:basedOn w:val="39"/>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1 Light - Accent 1"/>
    <w:basedOn w:val="39"/>
    <w:qFormat/>
    <w:uiPriority w:val="99"/>
    <w:pPr>
      <w:spacing w:after="0" w:line="240" w:lineRule="auto"/>
    </w:pPr>
    <w:tblPr>
      <w:tblBorders>
        <w:top w:val="single" w:color="B5C6E9" w:themeColor="accent1" w:themeTint="67" w:sz="4" w:space="0"/>
        <w:left w:val="single" w:color="B5C6E9" w:themeColor="accent1" w:themeTint="67" w:sz="4" w:space="0"/>
        <w:bottom w:val="single" w:color="B5C6E9" w:themeColor="accent1" w:themeTint="67" w:sz="4" w:space="0"/>
        <w:right w:val="single" w:color="B5C6E9" w:themeColor="accent1" w:themeTint="67" w:sz="4" w:space="0"/>
        <w:insideH w:val="single" w:color="B5C6E9" w:themeColor="accent1" w:themeTint="67" w:sz="4" w:space="0"/>
        <w:insideV w:val="single" w:color="B5C6E9" w:themeColor="accent1" w:themeTint="67" w:sz="4" w:space="0"/>
      </w:tblBorders>
    </w:tblPr>
    <w:tblStylePr w:type="firstRow">
      <w:rPr>
        <w:b/>
        <w:color w:val="404040"/>
      </w:rPr>
      <w:tblPr/>
      <w:tcPr>
        <w:tcBorders>
          <w:bottom w:val="single" w:color="94ADE0"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5C6E9" w:themeColor="accent1" w:themeTint="67" w:sz="4" w:space="0"/>
          <w:left w:val="single" w:color="B5C6E9" w:themeColor="accent1" w:themeTint="67" w:sz="4" w:space="0"/>
          <w:bottom w:val="single" w:color="B5C6E9" w:themeColor="accent1" w:themeTint="67" w:sz="4" w:space="0"/>
          <w:right w:val="single" w:color="B5C6E9"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1 Light - Accent 2"/>
    <w:basedOn w:val="39"/>
    <w:qFormat/>
    <w:uiPriority w:val="99"/>
    <w:pPr>
      <w:spacing w:after="0" w:line="240" w:lineRule="auto"/>
    </w:pPr>
    <w:tblPr>
      <w:tblBorders>
        <w:top w:val="single" w:color="F8CCAA" w:themeColor="accent2" w:themeTint="67" w:sz="4" w:space="0"/>
        <w:left w:val="single" w:color="F8CCAA" w:themeColor="accent2" w:themeTint="67" w:sz="4" w:space="0"/>
        <w:bottom w:val="single" w:color="F8CCAA" w:themeColor="accent2" w:themeTint="67" w:sz="4" w:space="0"/>
        <w:right w:val="single" w:color="F8CCAA" w:themeColor="accent2" w:themeTint="67" w:sz="4" w:space="0"/>
        <w:insideH w:val="single" w:color="F8CCAA" w:themeColor="accent2" w:themeTint="67" w:sz="4" w:space="0"/>
        <w:insideV w:val="single" w:color="F8CCAA" w:themeColor="accent2" w:themeTint="67" w:sz="4" w:space="0"/>
      </w:tblBorders>
    </w:tblPr>
    <w:tblStylePr w:type="firstRow">
      <w:rPr>
        <w:b/>
        <w:color w:val="404040"/>
      </w:rPr>
      <w:tblPr/>
      <w:tcPr>
        <w:tcBorders>
          <w:bottom w:val="single" w:color="F5B585"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8CCAA" w:themeColor="accent2" w:themeTint="67" w:sz="4" w:space="0"/>
          <w:left w:val="single" w:color="F8CCAA" w:themeColor="accent2" w:themeTint="67" w:sz="4" w:space="0"/>
          <w:bottom w:val="single" w:color="F8CCAA" w:themeColor="accent2" w:themeTint="67" w:sz="4" w:space="0"/>
          <w:right w:val="single" w:color="F8CCAA"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1 Light - Accent 3"/>
    <w:basedOn w:val="39"/>
    <w:qFormat/>
    <w:uiPriority w:val="99"/>
    <w:pPr>
      <w:spacing w:after="0" w:line="240" w:lineRule="auto"/>
    </w:pPr>
    <w:tblPr>
      <w:tblBorders>
        <w:top w:val="single" w:color="FEE594" w:themeColor="accent3" w:themeTint="67" w:sz="4" w:space="0"/>
        <w:left w:val="single" w:color="FEE594" w:themeColor="accent3" w:themeTint="67" w:sz="4" w:space="0"/>
        <w:bottom w:val="single" w:color="FEE594" w:themeColor="accent3" w:themeTint="67" w:sz="4" w:space="0"/>
        <w:right w:val="single" w:color="FEE594" w:themeColor="accent3" w:themeTint="67" w:sz="4" w:space="0"/>
        <w:insideH w:val="single" w:color="FEE594" w:themeColor="accent3" w:themeTint="67" w:sz="4" w:space="0"/>
        <w:insideV w:val="single" w:color="FEE594" w:themeColor="accent3" w:themeTint="67" w:sz="4" w:space="0"/>
      </w:tblBorders>
    </w:tblPr>
    <w:tblStylePr w:type="firstRow">
      <w:rPr>
        <w:b/>
        <w:color w:val="404040"/>
      </w:rPr>
      <w:tblPr/>
      <w:tcPr>
        <w:tcBorders>
          <w:bottom w:val="single" w:color="FDDA64"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EE594" w:themeColor="accent3" w:themeTint="67" w:sz="4" w:space="0"/>
          <w:left w:val="single" w:color="FEE594" w:themeColor="accent3" w:themeTint="67" w:sz="4" w:space="0"/>
          <w:bottom w:val="single" w:color="FEE594" w:themeColor="accent3" w:themeTint="67" w:sz="4" w:space="0"/>
          <w:right w:val="single" w:color="FEE594"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1 Light - Accent 4"/>
    <w:basedOn w:val="39"/>
    <w:qFormat/>
    <w:uiPriority w:val="99"/>
    <w:pPr>
      <w:spacing w:after="0" w:line="240" w:lineRule="auto"/>
    </w:pPr>
    <w:tblPr>
      <w:tblBorders>
        <w:top w:val="single" w:color="C7E4B2" w:themeColor="accent4" w:themeTint="67" w:sz="4" w:space="0"/>
        <w:left w:val="single" w:color="C7E4B2" w:themeColor="accent4" w:themeTint="67" w:sz="4" w:space="0"/>
        <w:bottom w:val="single" w:color="C7E4B2" w:themeColor="accent4" w:themeTint="67" w:sz="4" w:space="0"/>
        <w:right w:val="single" w:color="C7E4B2" w:themeColor="accent4" w:themeTint="67" w:sz="4" w:space="0"/>
        <w:insideH w:val="single" w:color="C7E4B2" w:themeColor="accent4" w:themeTint="67" w:sz="4" w:space="0"/>
        <w:insideV w:val="single" w:color="C7E4B2" w:themeColor="accent4" w:themeTint="67" w:sz="4" w:space="0"/>
      </w:tblBorders>
    </w:tblPr>
    <w:tblStylePr w:type="firstRow">
      <w:rPr>
        <w:b/>
        <w:color w:val="404040"/>
      </w:rPr>
      <w:tblPr/>
      <w:tcPr>
        <w:tcBorders>
          <w:bottom w:val="single" w:color="AED890"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7E4B2" w:themeColor="accent4" w:themeTint="67" w:sz="4" w:space="0"/>
          <w:left w:val="single" w:color="C7E4B2" w:themeColor="accent4" w:themeTint="67" w:sz="4" w:space="0"/>
          <w:bottom w:val="single" w:color="C7E4B2" w:themeColor="accent4" w:themeTint="67" w:sz="4" w:space="0"/>
          <w:right w:val="single" w:color="C7E4B2"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1 Light - Accent 5"/>
    <w:basedOn w:val="39"/>
    <w:qFormat/>
    <w:uiPriority w:val="99"/>
    <w:pPr>
      <w:spacing w:after="0" w:line="240" w:lineRule="auto"/>
    </w:pPr>
    <w:tblPr>
      <w:tblBorders>
        <w:top w:val="single" w:color="A7E9E3" w:themeColor="accent5" w:themeTint="67" w:sz="4" w:space="0"/>
        <w:left w:val="single" w:color="A7E9E3" w:themeColor="accent5" w:themeTint="67" w:sz="4" w:space="0"/>
        <w:bottom w:val="single" w:color="A7E9E3" w:themeColor="accent5" w:themeTint="67" w:sz="4" w:space="0"/>
        <w:right w:val="single" w:color="A7E9E3" w:themeColor="accent5" w:themeTint="67" w:sz="4" w:space="0"/>
        <w:insideH w:val="single" w:color="A7E9E3" w:themeColor="accent5" w:themeTint="67" w:sz="4" w:space="0"/>
        <w:insideV w:val="single" w:color="A7E9E3" w:themeColor="accent5" w:themeTint="67" w:sz="4" w:space="0"/>
      </w:tblBorders>
    </w:tblPr>
    <w:tblStylePr w:type="firstRow">
      <w:rPr>
        <w:b/>
        <w:color w:val="404040"/>
      </w:rPr>
      <w:tblPr/>
      <w:tcPr>
        <w:tcBorders>
          <w:bottom w:val="single" w:color="80DFD7"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A7E9E3" w:themeColor="accent5" w:themeTint="67" w:sz="4" w:space="0"/>
          <w:left w:val="single" w:color="A7E9E3" w:themeColor="accent5" w:themeTint="67" w:sz="4" w:space="0"/>
          <w:bottom w:val="single" w:color="A7E9E3" w:themeColor="accent5" w:themeTint="67" w:sz="4" w:space="0"/>
          <w:right w:val="single" w:color="A7E9E3"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1 Light - Accent 6"/>
    <w:basedOn w:val="39"/>
    <w:qFormat/>
    <w:uiPriority w:val="99"/>
    <w:pPr>
      <w:spacing w:after="0" w:line="240" w:lineRule="auto"/>
    </w:pPr>
    <w:tblPr>
      <w:tblBorders>
        <w:top w:val="single" w:color="F4B6BD" w:themeColor="accent6" w:themeTint="67" w:sz="4" w:space="0"/>
        <w:left w:val="single" w:color="F4B6BD" w:themeColor="accent6" w:themeTint="67" w:sz="4" w:space="0"/>
        <w:bottom w:val="single" w:color="F4B6BD" w:themeColor="accent6" w:themeTint="67" w:sz="4" w:space="0"/>
        <w:right w:val="single" w:color="F4B6BD" w:themeColor="accent6" w:themeTint="67" w:sz="4" w:space="0"/>
        <w:insideH w:val="single" w:color="F4B6BD" w:themeColor="accent6" w:themeTint="67" w:sz="4" w:space="0"/>
        <w:insideV w:val="single" w:color="F4B6BD" w:themeColor="accent6" w:themeTint="67" w:sz="4" w:space="0"/>
      </w:tblBorders>
    </w:tblPr>
    <w:tblStylePr w:type="firstRow">
      <w:rPr>
        <w:b/>
        <w:color w:val="404040"/>
      </w:rPr>
      <w:tblPr/>
      <w:tcPr>
        <w:tcBorders>
          <w:bottom w:val="single" w:color="EF96A0"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4B6BD" w:themeColor="accent6" w:themeTint="67" w:sz="4" w:space="0"/>
          <w:left w:val="single" w:color="F4B6BD" w:themeColor="accent6" w:themeTint="67" w:sz="4" w:space="0"/>
          <w:bottom w:val="single" w:color="F4B6BD" w:themeColor="accent6" w:themeTint="67" w:sz="4" w:space="0"/>
          <w:right w:val="single" w:color="F4B6BD"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2"/>
    <w:basedOn w:val="39"/>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2 - Accent 1"/>
    <w:basedOn w:val="39"/>
    <w:qFormat/>
    <w:uiPriority w:val="99"/>
    <w:pPr>
      <w:spacing w:after="0" w:line="240" w:lineRule="auto"/>
    </w:pPr>
    <w:tblPr>
      <w:tblBorders>
        <w:bottom w:val="single" w:color="577FCF" w:themeColor="accent1" w:themeTint="EA" w:sz="4" w:space="0"/>
        <w:insideH w:val="single" w:color="577FCF" w:themeColor="accent1" w:themeTint="EA" w:sz="4" w:space="0"/>
        <w:insideV w:val="single" w:color="577FCF" w:themeColor="accent1" w:themeTint="EA" w:sz="4" w:space="0"/>
      </w:tblBorders>
    </w:tblPr>
    <w:tblStylePr w:type="firstRow">
      <w:rPr>
        <w:b/>
        <w:color w:val="404040"/>
      </w:rPr>
      <w:tblPr/>
      <w:tcPr>
        <w:tcBorders>
          <w:top w:val="nil"/>
          <w:left w:val="nil"/>
          <w:bottom w:val="single" w:color="577FCF" w:themeColor="accent1" w:themeTint="EA" w:sz="12" w:space="0"/>
          <w:right w:val="nil"/>
        </w:tcBorders>
        <w:shd w:val="clear" w:color="FFFFFF" w:fill="auto"/>
      </w:tcPr>
    </w:tblStylePr>
    <w:tblStylePr w:type="lastRow">
      <w:rPr>
        <w:b/>
        <w:color w:val="404040"/>
      </w:rPr>
      <w:tblPr/>
      <w:tcPr>
        <w:tcBorders>
          <w:top w:val="single" w:color="577FCF"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9E2F4" w:themeColor="accent1" w:themeTint="34" w:fill="D9E2F4" w:themeFill="accent1" w:themeFillTint="34"/>
      </w:tcPr>
    </w:tblStylePr>
    <w:tblStylePr w:type="band2Vert">
      <w:tblPr/>
    </w:tblStylePr>
    <w:tblStylePr w:type="band1Horz">
      <w:rPr>
        <w:rFonts w:ascii="Arial" w:hAnsi="Arial"/>
        <w:color w:val="404040"/>
        <w:sz w:val="22"/>
      </w:rPr>
      <w:tblPr/>
      <w:tcPr>
        <w:shd w:val="clear" w:color="D9E2F4" w:themeColor="accent1" w:themeTint="34" w:fill="D9E2F4"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2 - Accent 2"/>
    <w:basedOn w:val="39"/>
    <w:qFormat/>
    <w:uiPriority w:val="99"/>
    <w:pPr>
      <w:spacing w:after="0" w:line="240" w:lineRule="auto"/>
    </w:pPr>
    <w:tblPr>
      <w:tblBorders>
        <w:bottom w:val="single" w:color="F4B483" w:themeColor="accent2" w:themeTint="97" w:sz="4" w:space="0"/>
        <w:insideH w:val="single" w:color="F4B483" w:themeColor="accent2" w:themeTint="97" w:sz="4" w:space="0"/>
        <w:insideV w:val="single" w:color="F4B483" w:themeColor="accent2" w:themeTint="97" w:sz="4" w:space="0"/>
      </w:tblBorders>
    </w:tblPr>
    <w:tblStylePr w:type="firstRow">
      <w:rPr>
        <w:b/>
        <w:color w:val="404040"/>
      </w:rPr>
      <w:tblPr/>
      <w:tcPr>
        <w:tcBorders>
          <w:top w:val="nil"/>
          <w:left w:val="nil"/>
          <w:bottom w:val="single" w:color="F4B483" w:themeColor="accent2" w:themeTint="97" w:sz="12" w:space="0"/>
          <w:right w:val="nil"/>
        </w:tcBorders>
        <w:shd w:val="clear" w:color="FFFFFF" w:fill="auto"/>
      </w:tcPr>
    </w:tblStylePr>
    <w:tblStylePr w:type="lastRow">
      <w:rPr>
        <w:b/>
        <w:color w:val="404040"/>
      </w:rPr>
      <w:tblPr/>
      <w:tcPr>
        <w:tcBorders>
          <w:top w:val="single" w:color="F4B483"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6D6" w:themeColor="accent2" w:themeTint="32" w:fill="FBE6D6" w:themeFill="accent2" w:themeFillTint="32"/>
      </w:tcPr>
    </w:tblStylePr>
    <w:tblStylePr w:type="band2Vert">
      <w:tblPr/>
    </w:tblStylePr>
    <w:tblStylePr w:type="band1Horz">
      <w:rPr>
        <w:rFonts w:ascii="Arial" w:hAnsi="Arial"/>
        <w:color w:val="404040"/>
        <w:sz w:val="22"/>
      </w:rPr>
      <w:tblPr/>
      <w:tcPr>
        <w:shd w:val="clear" w:color="FBE6D6" w:themeColor="accent2" w:themeTint="32" w:fill="FBE6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2 - Accent 3"/>
    <w:basedOn w:val="39"/>
    <w:qFormat/>
    <w:uiPriority w:val="99"/>
    <w:pPr>
      <w:spacing w:after="0" w:line="240" w:lineRule="auto"/>
    </w:pPr>
    <w:tblPr>
      <w:tblBorders>
        <w:bottom w:val="single" w:color="F3BA02" w:themeColor="accent3" w:themeTint="FE" w:sz="4" w:space="0"/>
        <w:insideH w:val="single" w:color="F3BA02" w:themeColor="accent3" w:themeTint="FE" w:sz="4" w:space="0"/>
        <w:insideV w:val="single" w:color="F3BA02" w:themeColor="accent3" w:themeTint="FE" w:sz="4" w:space="0"/>
      </w:tblBorders>
    </w:tblPr>
    <w:tblStylePr w:type="firstRow">
      <w:rPr>
        <w:b/>
        <w:color w:val="404040"/>
      </w:rPr>
      <w:tblPr/>
      <w:tcPr>
        <w:tcBorders>
          <w:top w:val="nil"/>
          <w:left w:val="nil"/>
          <w:bottom w:val="single" w:color="F3BA02" w:themeColor="accent3" w:themeTint="FE" w:sz="12" w:space="0"/>
          <w:right w:val="nil"/>
        </w:tcBorders>
        <w:shd w:val="clear" w:color="FFFFFF" w:fill="auto"/>
      </w:tcPr>
    </w:tblStylePr>
    <w:tblStylePr w:type="lastRow">
      <w:rPr>
        <w:b/>
        <w:color w:val="404040"/>
      </w:rPr>
      <w:tblPr/>
      <w:tcPr>
        <w:tcBorders>
          <w:top w:val="single" w:color="F3BA02"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9" w:themeColor="accent3" w:themeTint="34" w:fill="FEF2C9" w:themeFill="accent3" w:themeFillTint="34"/>
      </w:tcPr>
    </w:tblStylePr>
    <w:tblStylePr w:type="band2Vert">
      <w:tblPr/>
    </w:tblStylePr>
    <w:tblStylePr w:type="band1Horz">
      <w:rPr>
        <w:rFonts w:ascii="Arial" w:hAnsi="Arial"/>
        <w:color w:val="404040"/>
        <w:sz w:val="22"/>
      </w:rPr>
      <w:tblPr/>
      <w:tcPr>
        <w:shd w:val="clear" w:color="FEF2C9" w:themeColor="accent3" w:themeTint="34" w:fill="FEF2C9"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2 - Accent 4"/>
    <w:basedOn w:val="39"/>
    <w:qFormat/>
    <w:uiPriority w:val="99"/>
    <w:pPr>
      <w:spacing w:after="0" w:line="240" w:lineRule="auto"/>
    </w:pPr>
    <w:tblPr>
      <w:tblBorders>
        <w:bottom w:val="single" w:color="ABD78C" w:themeColor="accent4" w:themeTint="9A" w:sz="4" w:space="0"/>
        <w:insideH w:val="single" w:color="ABD78C" w:themeColor="accent4" w:themeTint="9A" w:sz="4" w:space="0"/>
        <w:insideV w:val="single" w:color="ABD78C" w:themeColor="accent4" w:themeTint="9A" w:sz="4" w:space="0"/>
      </w:tblBorders>
    </w:tblPr>
    <w:tblStylePr w:type="firstRow">
      <w:rPr>
        <w:b/>
        <w:color w:val="404040"/>
      </w:rPr>
      <w:tblPr/>
      <w:tcPr>
        <w:tcBorders>
          <w:top w:val="nil"/>
          <w:left w:val="nil"/>
          <w:bottom w:val="single" w:color="ABD78C" w:themeColor="accent4" w:themeTint="9A" w:sz="12" w:space="0"/>
          <w:right w:val="nil"/>
        </w:tcBorders>
        <w:shd w:val="clear" w:color="FFFFFF" w:fill="auto"/>
      </w:tcPr>
    </w:tblStylePr>
    <w:tblStylePr w:type="lastRow">
      <w:rPr>
        <w:b/>
        <w:color w:val="404040"/>
      </w:rPr>
      <w:tblPr/>
      <w:tcPr>
        <w:tcBorders>
          <w:top w:val="single" w:color="ABD78C"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2F1D8" w:themeColor="accent4" w:themeTint="34" w:fill="E2F1D8" w:themeFill="accent4" w:themeFillTint="34"/>
      </w:tcPr>
    </w:tblStylePr>
    <w:tblStylePr w:type="band2Vert">
      <w:tblPr/>
    </w:tblStylePr>
    <w:tblStylePr w:type="band1Horz">
      <w:rPr>
        <w:rFonts w:ascii="Arial" w:hAnsi="Arial"/>
        <w:color w:val="404040"/>
        <w:sz w:val="22"/>
      </w:rPr>
      <w:tblPr/>
      <w:tcPr>
        <w:shd w:val="clear" w:color="E2F1D8" w:themeColor="accent4" w:themeTint="34" w:fill="E2F1D8"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2 - Accent 5"/>
    <w:basedOn w:val="39"/>
    <w:qFormat/>
    <w:uiPriority w:val="99"/>
    <w:pPr>
      <w:spacing w:after="0" w:line="240" w:lineRule="auto"/>
    </w:pPr>
    <w:tblPr>
      <w:tblBorders>
        <w:bottom w:val="single" w:color="30C0B4" w:themeColor="accent5" w:sz="4" w:space="0"/>
        <w:insideH w:val="single" w:color="30C0B4" w:themeColor="accent5" w:sz="4" w:space="0"/>
        <w:insideV w:val="single" w:color="30C0B4" w:themeColor="accent5" w:sz="4" w:space="0"/>
      </w:tblBorders>
    </w:tblPr>
    <w:tblStylePr w:type="firstRow">
      <w:rPr>
        <w:b/>
        <w:color w:val="404040"/>
      </w:rPr>
      <w:tblPr/>
      <w:tcPr>
        <w:tcBorders>
          <w:top w:val="nil"/>
          <w:left w:val="nil"/>
          <w:bottom w:val="single" w:color="30C0B4" w:themeColor="accent5" w:sz="12" w:space="0"/>
          <w:right w:val="nil"/>
        </w:tcBorders>
        <w:shd w:val="clear" w:color="FFFFFF" w:fill="auto"/>
      </w:tcPr>
    </w:tblStylePr>
    <w:tblStylePr w:type="lastRow">
      <w:rPr>
        <w:b/>
        <w:color w:val="404040"/>
      </w:rPr>
      <w:tblPr/>
      <w:tcPr>
        <w:tcBorders>
          <w:top w:val="single" w:color="30C0B4"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2F3F1" w:themeColor="accent5" w:themeTint="34" w:fill="D2F3F1" w:themeFill="accent5" w:themeFillTint="34"/>
      </w:tcPr>
    </w:tblStylePr>
    <w:tblStylePr w:type="band2Vert">
      <w:tblPr/>
    </w:tblStylePr>
    <w:tblStylePr w:type="band1Horz">
      <w:rPr>
        <w:rFonts w:ascii="Arial" w:hAnsi="Arial"/>
        <w:color w:val="404040"/>
        <w:sz w:val="22"/>
      </w:rPr>
      <w:tblPr/>
      <w:tcPr>
        <w:shd w:val="clear" w:color="D2F3F1" w:themeColor="accent5" w:themeTint="34" w:fill="D2F3F1"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2 - Accent 6"/>
    <w:basedOn w:val="39"/>
    <w:qFormat/>
    <w:uiPriority w:val="99"/>
    <w:pPr>
      <w:spacing w:after="0" w:line="240" w:lineRule="auto"/>
    </w:pPr>
    <w:tblPr>
      <w:tblBorders>
        <w:bottom w:val="single" w:color="E54C5E" w:themeColor="accent6" w:sz="4" w:space="0"/>
        <w:insideH w:val="single" w:color="E54C5E" w:themeColor="accent6" w:sz="4" w:space="0"/>
        <w:insideV w:val="single" w:color="E54C5E" w:themeColor="accent6" w:sz="4" w:space="0"/>
      </w:tblBorders>
    </w:tblPr>
    <w:tblStylePr w:type="firstRow">
      <w:rPr>
        <w:b/>
        <w:color w:val="404040"/>
      </w:rPr>
      <w:tblPr/>
      <w:tcPr>
        <w:tcBorders>
          <w:top w:val="nil"/>
          <w:left w:val="nil"/>
          <w:bottom w:val="single" w:color="E54C5E" w:themeColor="accent6" w:sz="12" w:space="0"/>
          <w:right w:val="nil"/>
        </w:tcBorders>
        <w:shd w:val="clear" w:color="FFFFFF" w:fill="auto"/>
      </w:tcPr>
    </w:tblStylePr>
    <w:tblStylePr w:type="lastRow">
      <w:rPr>
        <w:b/>
        <w:color w:val="404040"/>
      </w:rPr>
      <w:tblPr/>
      <w:tcPr>
        <w:tcBorders>
          <w:top w:val="single" w:color="E54C5E"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9DADE" w:themeColor="accent6" w:themeTint="34" w:fill="F9DADE" w:themeFill="accent6" w:themeFillTint="34"/>
      </w:tcPr>
    </w:tblStylePr>
    <w:tblStylePr w:type="band2Vert">
      <w:tblPr/>
    </w:tblStylePr>
    <w:tblStylePr w:type="band1Horz">
      <w:rPr>
        <w:rFonts w:ascii="Arial" w:hAnsi="Arial"/>
        <w:color w:val="404040"/>
        <w:sz w:val="22"/>
      </w:rPr>
      <w:tblPr/>
      <w:tcPr>
        <w:shd w:val="clear" w:color="F9DADE" w:themeColor="accent6" w:themeTint="34" w:fill="F9DADE"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3"/>
    <w:basedOn w:val="39"/>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3 - Accent 1"/>
    <w:basedOn w:val="39"/>
    <w:qFormat/>
    <w:uiPriority w:val="99"/>
    <w:pPr>
      <w:spacing w:after="0" w:line="240" w:lineRule="auto"/>
    </w:pPr>
    <w:tblPr>
      <w:tblBorders>
        <w:bottom w:val="single" w:color="577FCF" w:themeColor="accent1" w:themeTint="EA" w:sz="4" w:space="0"/>
        <w:insideH w:val="single" w:color="577FCF" w:themeColor="accent1" w:themeTint="EA" w:sz="4" w:space="0"/>
        <w:insideV w:val="single" w:color="577FCF"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9E2F4" w:themeColor="accent1" w:themeTint="34" w:fill="D9E2F4" w:themeFill="accent1" w:themeFillTint="34"/>
      </w:tcPr>
    </w:tblStylePr>
    <w:tblStylePr w:type="band2Vert">
      <w:tblPr/>
    </w:tblStylePr>
    <w:tblStylePr w:type="band1Horz">
      <w:rPr>
        <w:rFonts w:ascii="Arial" w:hAnsi="Arial"/>
        <w:color w:val="404040"/>
        <w:sz w:val="22"/>
      </w:rPr>
      <w:tblPr/>
      <w:tcPr>
        <w:shd w:val="clear" w:color="D9E2F4" w:themeColor="accent1" w:themeTint="34" w:fill="D9E2F4"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3 - Accent 2"/>
    <w:basedOn w:val="39"/>
    <w:qFormat/>
    <w:uiPriority w:val="99"/>
    <w:pPr>
      <w:spacing w:after="0" w:line="240" w:lineRule="auto"/>
    </w:pPr>
    <w:tblPr>
      <w:tblBorders>
        <w:bottom w:val="single" w:color="F4B483" w:themeColor="accent2" w:themeTint="97" w:sz="4" w:space="0"/>
        <w:insideH w:val="single" w:color="F4B483" w:themeColor="accent2" w:themeTint="97" w:sz="4" w:space="0"/>
        <w:insideV w:val="single" w:color="F4B483"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6D6" w:themeColor="accent2" w:themeTint="32" w:fill="FBE6D6" w:themeFill="accent2" w:themeFillTint="32"/>
      </w:tcPr>
    </w:tblStylePr>
    <w:tblStylePr w:type="band2Vert">
      <w:tblPr/>
    </w:tblStylePr>
    <w:tblStylePr w:type="band1Horz">
      <w:rPr>
        <w:rFonts w:ascii="Arial" w:hAnsi="Arial"/>
        <w:color w:val="404040"/>
        <w:sz w:val="22"/>
      </w:rPr>
      <w:tblPr/>
      <w:tcPr>
        <w:shd w:val="clear" w:color="FBE6D6" w:themeColor="accent2" w:themeTint="32" w:fill="FBE6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3 - Accent 3"/>
    <w:basedOn w:val="39"/>
    <w:qFormat/>
    <w:uiPriority w:val="99"/>
    <w:pPr>
      <w:spacing w:after="0" w:line="240" w:lineRule="auto"/>
    </w:pPr>
    <w:tblPr>
      <w:tblBorders>
        <w:bottom w:val="single" w:color="F3BA02" w:themeColor="accent3" w:themeTint="FE" w:sz="4" w:space="0"/>
        <w:insideH w:val="single" w:color="F3BA02" w:themeColor="accent3" w:themeTint="FE" w:sz="4" w:space="0"/>
        <w:insideV w:val="single" w:color="F3BA02"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EF2C9" w:themeColor="accent3" w:themeTint="34" w:fill="FEF2C9" w:themeFill="accent3" w:themeFillTint="34"/>
      </w:tcPr>
    </w:tblStylePr>
    <w:tblStylePr w:type="band2Vert">
      <w:tblPr/>
    </w:tblStylePr>
    <w:tblStylePr w:type="band1Horz">
      <w:rPr>
        <w:rFonts w:ascii="Arial" w:hAnsi="Arial"/>
        <w:color w:val="404040"/>
        <w:sz w:val="22"/>
      </w:rPr>
      <w:tblPr/>
      <w:tcPr>
        <w:shd w:val="clear" w:color="FEF2C9" w:themeColor="accent3" w:themeTint="34" w:fill="FEF2C9"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3 - Accent 4"/>
    <w:basedOn w:val="39"/>
    <w:qFormat/>
    <w:uiPriority w:val="99"/>
    <w:pPr>
      <w:spacing w:after="0" w:line="240" w:lineRule="auto"/>
    </w:pPr>
    <w:tblPr>
      <w:tblBorders>
        <w:bottom w:val="single" w:color="ABD78C" w:themeColor="accent4" w:themeTint="9A" w:sz="4" w:space="0"/>
        <w:insideH w:val="single" w:color="ABD78C" w:themeColor="accent4" w:themeTint="9A" w:sz="4" w:space="0"/>
        <w:insideV w:val="single" w:color="ABD78C"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2F1D8" w:themeColor="accent4" w:themeTint="34" w:fill="E2F1D8" w:themeFill="accent4" w:themeFillTint="34"/>
      </w:tcPr>
    </w:tblStylePr>
    <w:tblStylePr w:type="band2Vert">
      <w:tblPr/>
    </w:tblStylePr>
    <w:tblStylePr w:type="band1Horz">
      <w:rPr>
        <w:rFonts w:ascii="Arial" w:hAnsi="Arial"/>
        <w:color w:val="404040"/>
        <w:sz w:val="22"/>
      </w:rPr>
      <w:tblPr/>
      <w:tcPr>
        <w:shd w:val="clear" w:color="E2F1D8" w:themeColor="accent4" w:themeTint="34" w:fill="E2F1D8"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3 - Accent 5"/>
    <w:basedOn w:val="39"/>
    <w:qFormat/>
    <w:uiPriority w:val="99"/>
    <w:pPr>
      <w:spacing w:after="0" w:line="240" w:lineRule="auto"/>
    </w:pPr>
    <w:tblPr>
      <w:tblBorders>
        <w:bottom w:val="single" w:color="30C0B4" w:themeColor="accent5" w:sz="4" w:space="0"/>
        <w:insideH w:val="single" w:color="30C0B4" w:themeColor="accent5" w:sz="4" w:space="0"/>
        <w:insideV w:val="single" w:color="30C0B4"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2F3F1" w:themeColor="accent5" w:themeTint="34" w:fill="D2F3F1" w:themeFill="accent5" w:themeFillTint="34"/>
      </w:tcPr>
    </w:tblStylePr>
    <w:tblStylePr w:type="band2Vert">
      <w:tblPr/>
    </w:tblStylePr>
    <w:tblStylePr w:type="band1Horz">
      <w:rPr>
        <w:rFonts w:ascii="Arial" w:hAnsi="Arial"/>
        <w:color w:val="404040"/>
        <w:sz w:val="22"/>
      </w:rPr>
      <w:tblPr/>
      <w:tcPr>
        <w:shd w:val="clear" w:color="D2F3F1" w:themeColor="accent5" w:themeTint="34" w:fill="D2F3F1"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3 - Accent 6"/>
    <w:basedOn w:val="39"/>
    <w:qFormat/>
    <w:uiPriority w:val="99"/>
    <w:pPr>
      <w:spacing w:after="0" w:line="240" w:lineRule="auto"/>
    </w:pPr>
    <w:tblPr>
      <w:tblBorders>
        <w:bottom w:val="single" w:color="E54C5E" w:themeColor="accent6" w:sz="4" w:space="0"/>
        <w:insideH w:val="single" w:color="E54C5E" w:themeColor="accent6" w:sz="4" w:space="0"/>
        <w:insideV w:val="single" w:color="E54C5E"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9DADE" w:themeColor="accent6" w:themeTint="34" w:fill="F9DADE" w:themeFill="accent6" w:themeFillTint="34"/>
      </w:tcPr>
    </w:tblStylePr>
    <w:tblStylePr w:type="band2Vert">
      <w:tblPr/>
    </w:tblStylePr>
    <w:tblStylePr w:type="band1Horz">
      <w:rPr>
        <w:rFonts w:ascii="Arial" w:hAnsi="Arial"/>
        <w:color w:val="404040"/>
        <w:sz w:val="22"/>
      </w:rPr>
      <w:tblPr/>
      <w:tcPr>
        <w:shd w:val="clear" w:color="F9DADE" w:themeColor="accent6" w:themeTint="34" w:fill="F9DADE"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4"/>
    <w:basedOn w:val="39"/>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4 - Accent 1"/>
    <w:basedOn w:val="39"/>
    <w:qFormat/>
    <w:uiPriority w:val="59"/>
    <w:pPr>
      <w:spacing w:after="0" w:line="240" w:lineRule="auto"/>
    </w:pPr>
    <w:tblPr>
      <w:tblBorders>
        <w:top w:val="single" w:color="97B0E1" w:themeColor="accent1" w:themeTint="90" w:sz="4" w:space="0"/>
        <w:left w:val="single" w:color="97B0E1" w:themeColor="accent1" w:themeTint="90" w:sz="4" w:space="0"/>
        <w:bottom w:val="single" w:color="97B0E1" w:themeColor="accent1" w:themeTint="90" w:sz="4" w:space="0"/>
        <w:right w:val="single" w:color="97B0E1" w:themeColor="accent1" w:themeTint="90" w:sz="4" w:space="0"/>
        <w:insideH w:val="single" w:color="97B0E1" w:themeColor="accent1" w:themeTint="90" w:sz="4" w:space="0"/>
        <w:insideV w:val="single" w:color="97B0E1" w:themeColor="accent1" w:themeTint="90" w:sz="4" w:space="0"/>
      </w:tblBorders>
    </w:tblPr>
    <w:tblStylePr w:type="firstRow">
      <w:rPr>
        <w:rFonts w:ascii="Arial" w:hAnsi="Arial"/>
        <w:b/>
        <w:color w:val="FFFFFF"/>
        <w:sz w:val="22"/>
      </w:rPr>
      <w:tblPr/>
      <w:tcPr>
        <w:tcBorders>
          <w:top w:val="single" w:color="577FCF" w:themeColor="accent1" w:themeTint="EA" w:sz="4" w:space="0"/>
          <w:left w:val="single" w:color="577FCF" w:themeColor="accent1" w:themeTint="EA" w:sz="4" w:space="0"/>
          <w:bottom w:val="single" w:color="577FCF" w:themeColor="accent1" w:themeTint="EA" w:sz="4" w:space="0"/>
          <w:right w:val="single" w:color="577FCF" w:themeColor="accent1" w:themeTint="EA" w:sz="4" w:space="0"/>
        </w:tcBorders>
        <w:shd w:val="clear" w:color="577FCF" w:themeColor="accent1" w:themeTint="EA" w:fill="577FCF" w:themeFill="accent1" w:themeFillTint="EA"/>
      </w:tcPr>
    </w:tblStylePr>
    <w:tblStylePr w:type="lastRow">
      <w:rPr>
        <w:b/>
        <w:color w:val="404040"/>
      </w:rPr>
      <w:tblPr/>
      <w:tcPr>
        <w:tcBorders>
          <w:top w:val="single" w:color="577FCF"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BE3F4" w:themeColor="accent1" w:themeTint="32" w:fill="DBE3F4" w:themeFill="accent1" w:themeFillTint="32"/>
      </w:tcPr>
    </w:tblStylePr>
    <w:tblStylePr w:type="band2Vert">
      <w:tblPr/>
    </w:tblStylePr>
    <w:tblStylePr w:type="band1Horz">
      <w:rPr>
        <w:rFonts w:ascii="Arial" w:hAnsi="Arial"/>
        <w:color w:val="404040"/>
        <w:sz w:val="22"/>
      </w:rPr>
      <w:tblPr/>
      <w:tcPr>
        <w:shd w:val="clear" w:color="DBE3F4" w:themeColor="accent1" w:themeTint="32" w:fill="DBE3F4"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Grid Table 4 - Accent 2"/>
    <w:basedOn w:val="39"/>
    <w:qFormat/>
    <w:uiPriority w:val="59"/>
    <w:pPr>
      <w:spacing w:after="0" w:line="240" w:lineRule="auto"/>
    </w:pPr>
    <w:tblPr>
      <w:tblBorders>
        <w:top w:val="single" w:color="F5B889" w:themeColor="accent2" w:themeTint="90" w:sz="4" w:space="0"/>
        <w:left w:val="single" w:color="F5B889" w:themeColor="accent2" w:themeTint="90" w:sz="4" w:space="0"/>
        <w:bottom w:val="single" w:color="F5B889" w:themeColor="accent2" w:themeTint="90" w:sz="4" w:space="0"/>
        <w:right w:val="single" w:color="F5B889" w:themeColor="accent2" w:themeTint="90" w:sz="4" w:space="0"/>
        <w:insideH w:val="single" w:color="F5B889" w:themeColor="accent2" w:themeTint="90" w:sz="4" w:space="0"/>
        <w:insideV w:val="single" w:color="F5B889" w:themeColor="accent2" w:themeTint="90" w:sz="4" w:space="0"/>
      </w:tblBorders>
    </w:tblPr>
    <w:tblStylePr w:type="firstRow">
      <w:rPr>
        <w:rFonts w:ascii="Arial" w:hAnsi="Arial"/>
        <w:b/>
        <w:color w:val="FFFFFF"/>
        <w:sz w:val="22"/>
      </w:rPr>
      <w:tblPr/>
      <w:tcPr>
        <w:tcBorders>
          <w:top w:val="single" w:color="F4B483" w:themeColor="accent2" w:themeTint="97" w:sz="4" w:space="0"/>
          <w:left w:val="single" w:color="F4B483" w:themeColor="accent2" w:themeTint="97" w:sz="4" w:space="0"/>
          <w:bottom w:val="single" w:color="F4B483" w:themeColor="accent2" w:themeTint="97" w:sz="4" w:space="0"/>
          <w:right w:val="single" w:color="F4B483" w:themeColor="accent2" w:themeTint="97" w:sz="4" w:space="0"/>
        </w:tcBorders>
        <w:shd w:val="clear" w:color="F4B483" w:themeColor="accent2" w:themeTint="97" w:fill="F4B483" w:themeFill="accent2" w:themeFillTint="97"/>
      </w:tcPr>
    </w:tblStylePr>
    <w:tblStylePr w:type="lastRow">
      <w:rPr>
        <w:b/>
        <w:color w:val="404040"/>
      </w:rPr>
      <w:tblPr/>
      <w:tcPr>
        <w:tcBorders>
          <w:top w:val="single" w:color="F4B483"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6D6" w:themeColor="accent2" w:themeTint="32" w:fill="FBE6D6" w:themeFill="accent2" w:themeFillTint="32"/>
      </w:tcPr>
    </w:tblStylePr>
    <w:tblStylePr w:type="band2Vert">
      <w:tblPr/>
    </w:tblStylePr>
    <w:tblStylePr w:type="band1Horz">
      <w:rPr>
        <w:rFonts w:ascii="Arial" w:hAnsi="Arial"/>
        <w:color w:val="404040"/>
        <w:sz w:val="22"/>
      </w:rPr>
      <w:tblPr/>
      <w:tcPr>
        <w:shd w:val="clear" w:color="FBE6D6" w:themeColor="accent2" w:themeTint="32" w:fill="FBE6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7">
    <w:name w:val="Grid Table 4 - Accent 3"/>
    <w:basedOn w:val="39"/>
    <w:qFormat/>
    <w:uiPriority w:val="59"/>
    <w:pPr>
      <w:spacing w:after="0" w:line="240" w:lineRule="auto"/>
    </w:pPr>
    <w:tblPr>
      <w:tblBorders>
        <w:top w:val="single" w:color="FDDB6A" w:themeColor="accent3" w:themeTint="90" w:sz="4" w:space="0"/>
        <w:left w:val="single" w:color="FDDB6A" w:themeColor="accent3" w:themeTint="90" w:sz="4" w:space="0"/>
        <w:bottom w:val="single" w:color="FDDB6A" w:themeColor="accent3" w:themeTint="90" w:sz="4" w:space="0"/>
        <w:right w:val="single" w:color="FDDB6A" w:themeColor="accent3" w:themeTint="90" w:sz="4" w:space="0"/>
        <w:insideH w:val="single" w:color="FDDB6A" w:themeColor="accent3" w:themeTint="90" w:sz="4" w:space="0"/>
        <w:insideV w:val="single" w:color="FDDB6A" w:themeColor="accent3" w:themeTint="90" w:sz="4" w:space="0"/>
      </w:tblBorders>
    </w:tblPr>
    <w:tblStylePr w:type="firstRow">
      <w:rPr>
        <w:rFonts w:ascii="Arial" w:hAnsi="Arial"/>
        <w:b/>
        <w:color w:val="FFFFFF"/>
        <w:sz w:val="22"/>
      </w:rPr>
      <w:tblPr/>
      <w:tcPr>
        <w:tcBorders>
          <w:top w:val="single" w:color="F3BA02" w:themeColor="accent3" w:themeTint="FE" w:sz="4" w:space="0"/>
          <w:left w:val="single" w:color="F3BA02" w:themeColor="accent3" w:themeTint="FE" w:sz="4" w:space="0"/>
          <w:bottom w:val="single" w:color="F3BA02" w:themeColor="accent3" w:themeTint="FE" w:sz="4" w:space="0"/>
          <w:right w:val="single" w:color="F3BA02" w:themeColor="accent3" w:themeTint="FE" w:sz="4" w:space="0"/>
        </w:tcBorders>
        <w:shd w:val="clear" w:color="F3BA02" w:themeColor="accent3" w:themeTint="FE" w:fill="F3BA02" w:themeFill="accent3" w:themeFillTint="FE"/>
      </w:tcPr>
    </w:tblStylePr>
    <w:tblStylePr w:type="lastRow">
      <w:rPr>
        <w:b/>
        <w:color w:val="404040"/>
      </w:rPr>
      <w:tblPr/>
      <w:tcPr>
        <w:tcBorders>
          <w:top w:val="single" w:color="F3BA02"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9" w:themeColor="accent3" w:themeTint="34" w:fill="FEF2C9" w:themeFill="accent3" w:themeFillTint="34"/>
      </w:tcPr>
    </w:tblStylePr>
    <w:tblStylePr w:type="band2Vert">
      <w:tblPr/>
    </w:tblStylePr>
    <w:tblStylePr w:type="band1Horz">
      <w:rPr>
        <w:rFonts w:ascii="Arial" w:hAnsi="Arial"/>
        <w:color w:val="404040"/>
        <w:sz w:val="22"/>
      </w:rPr>
      <w:tblPr/>
      <w:tcPr>
        <w:shd w:val="clear" w:color="FEF2C9" w:themeColor="accent3" w:themeTint="34" w:fill="FEF2C9"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8">
    <w:name w:val="Grid Table 4 - Accent 4"/>
    <w:basedOn w:val="39"/>
    <w:qFormat/>
    <w:uiPriority w:val="59"/>
    <w:pPr>
      <w:spacing w:after="0" w:line="240" w:lineRule="auto"/>
    </w:pPr>
    <w:tblPr>
      <w:tblBorders>
        <w:top w:val="single" w:color="B1D994" w:themeColor="accent4" w:themeTint="90" w:sz="4" w:space="0"/>
        <w:left w:val="single" w:color="B1D994" w:themeColor="accent4" w:themeTint="90" w:sz="4" w:space="0"/>
        <w:bottom w:val="single" w:color="B1D994" w:themeColor="accent4" w:themeTint="90" w:sz="4" w:space="0"/>
        <w:right w:val="single" w:color="B1D994" w:themeColor="accent4" w:themeTint="90" w:sz="4" w:space="0"/>
        <w:insideH w:val="single" w:color="B1D994" w:themeColor="accent4" w:themeTint="90" w:sz="4" w:space="0"/>
        <w:insideV w:val="single" w:color="B1D994" w:themeColor="accent4" w:themeTint="90" w:sz="4" w:space="0"/>
      </w:tblBorders>
    </w:tblPr>
    <w:tblStylePr w:type="firstRow">
      <w:rPr>
        <w:rFonts w:ascii="Arial" w:hAnsi="Arial"/>
        <w:b/>
        <w:color w:val="FFFFFF"/>
        <w:sz w:val="22"/>
      </w:rPr>
      <w:tblPr/>
      <w:tcPr>
        <w:tcBorders>
          <w:top w:val="single" w:color="ABD78C" w:themeColor="accent4" w:themeTint="9A" w:sz="4" w:space="0"/>
          <w:left w:val="single" w:color="ABD78C" w:themeColor="accent4" w:themeTint="9A" w:sz="4" w:space="0"/>
          <w:bottom w:val="single" w:color="ABD78C" w:themeColor="accent4" w:themeTint="9A" w:sz="4" w:space="0"/>
          <w:right w:val="single" w:color="ABD78C" w:themeColor="accent4" w:themeTint="9A" w:sz="4" w:space="0"/>
        </w:tcBorders>
        <w:shd w:val="clear" w:color="ABD78C" w:themeColor="accent4" w:themeTint="9A" w:fill="ABD78C" w:themeFill="accent4" w:themeFillTint="9A"/>
      </w:tcPr>
    </w:tblStylePr>
    <w:tblStylePr w:type="lastRow">
      <w:rPr>
        <w:b/>
        <w:color w:val="404040"/>
      </w:rPr>
      <w:tblPr/>
      <w:tcPr>
        <w:tcBorders>
          <w:top w:val="single" w:color="ABD78C"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2F1D8" w:themeColor="accent4" w:themeTint="34" w:fill="E2F1D8" w:themeFill="accent4" w:themeFillTint="34"/>
      </w:tcPr>
    </w:tblStylePr>
    <w:tblStylePr w:type="band2Vert">
      <w:tblPr/>
    </w:tblStylePr>
    <w:tblStylePr w:type="band1Horz">
      <w:rPr>
        <w:rFonts w:ascii="Arial" w:hAnsi="Arial"/>
        <w:color w:val="404040"/>
        <w:sz w:val="22"/>
      </w:rPr>
      <w:tblPr/>
      <w:tcPr>
        <w:shd w:val="clear" w:color="E2F1D8" w:themeColor="accent4" w:themeTint="34" w:fill="E2F1D8"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9">
    <w:name w:val="Grid Table 4 - Accent 5"/>
    <w:basedOn w:val="39"/>
    <w:qFormat/>
    <w:uiPriority w:val="59"/>
    <w:pPr>
      <w:spacing w:after="0" w:line="240" w:lineRule="auto"/>
    </w:pPr>
    <w:tblPr>
      <w:tblBorders>
        <w:top w:val="single" w:color="85E0D8" w:themeColor="accent5" w:themeTint="90" w:sz="4" w:space="0"/>
        <w:left w:val="single" w:color="85E0D8" w:themeColor="accent5" w:themeTint="90" w:sz="4" w:space="0"/>
        <w:bottom w:val="single" w:color="85E0D8" w:themeColor="accent5" w:themeTint="90" w:sz="4" w:space="0"/>
        <w:right w:val="single" w:color="85E0D8" w:themeColor="accent5" w:themeTint="90" w:sz="4" w:space="0"/>
        <w:insideH w:val="single" w:color="85E0D8" w:themeColor="accent5" w:themeTint="90" w:sz="4" w:space="0"/>
        <w:insideV w:val="single" w:color="85E0D8" w:themeColor="accent5" w:themeTint="90" w:sz="4" w:space="0"/>
      </w:tblBorders>
    </w:tblPr>
    <w:tblStylePr w:type="firstRow">
      <w:rPr>
        <w:rFonts w:ascii="Arial" w:hAnsi="Arial"/>
        <w:b/>
        <w:color w:val="FFFFFF"/>
        <w:sz w:val="22"/>
      </w:rPr>
      <w:tblPr/>
      <w:tcPr>
        <w:tcBorders>
          <w:top w:val="single" w:color="30C0B4" w:themeColor="accent5" w:sz="4" w:space="0"/>
          <w:left w:val="single" w:color="30C0B4" w:themeColor="accent5" w:sz="4" w:space="0"/>
          <w:bottom w:val="single" w:color="30C0B4" w:themeColor="accent5" w:sz="4" w:space="0"/>
          <w:right w:val="single" w:color="30C0B4" w:themeColor="accent5" w:sz="4" w:space="0"/>
        </w:tcBorders>
        <w:shd w:val="clear" w:color="30C0B4" w:themeColor="accent5" w:fill="30C0B4" w:themeFill="accent5"/>
      </w:tcPr>
    </w:tblStylePr>
    <w:tblStylePr w:type="lastRow">
      <w:rPr>
        <w:b/>
        <w:color w:val="404040"/>
      </w:rPr>
      <w:tblPr/>
      <w:tcPr>
        <w:tcBorders>
          <w:top w:val="single" w:color="30C0B4"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2F3F1" w:themeColor="accent5" w:themeTint="34" w:fill="D2F3F1" w:themeFill="accent5" w:themeFillTint="34"/>
      </w:tcPr>
    </w:tblStylePr>
    <w:tblStylePr w:type="band2Vert">
      <w:tblPr/>
    </w:tblStylePr>
    <w:tblStylePr w:type="band1Horz">
      <w:rPr>
        <w:rFonts w:ascii="Arial" w:hAnsi="Arial"/>
        <w:color w:val="404040"/>
        <w:sz w:val="22"/>
      </w:rPr>
      <w:tblPr/>
      <w:tcPr>
        <w:shd w:val="clear" w:color="D2F3F1" w:themeColor="accent5" w:themeTint="34" w:fill="D2F3F1"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0">
    <w:name w:val="Grid Table 4 - Accent 6"/>
    <w:basedOn w:val="39"/>
    <w:qFormat/>
    <w:uiPriority w:val="59"/>
    <w:pPr>
      <w:spacing w:after="0" w:line="240" w:lineRule="auto"/>
    </w:pPr>
    <w:tblPr>
      <w:tblBorders>
        <w:top w:val="single" w:color="F099A4" w:themeColor="accent6" w:themeTint="90" w:sz="4" w:space="0"/>
        <w:left w:val="single" w:color="F099A4" w:themeColor="accent6" w:themeTint="90" w:sz="4" w:space="0"/>
        <w:bottom w:val="single" w:color="F099A4" w:themeColor="accent6" w:themeTint="90" w:sz="4" w:space="0"/>
        <w:right w:val="single" w:color="F099A4" w:themeColor="accent6" w:themeTint="90" w:sz="4" w:space="0"/>
        <w:insideH w:val="single" w:color="F099A4" w:themeColor="accent6" w:themeTint="90" w:sz="4" w:space="0"/>
        <w:insideV w:val="single" w:color="F099A4" w:themeColor="accent6" w:themeTint="90" w:sz="4" w:space="0"/>
      </w:tblBorders>
    </w:tblPr>
    <w:tblStylePr w:type="firstRow">
      <w:rPr>
        <w:rFonts w:ascii="Arial" w:hAnsi="Arial"/>
        <w:b/>
        <w:color w:val="FFFFFF"/>
        <w:sz w:val="22"/>
      </w:rPr>
      <w:tblPr/>
      <w:tcPr>
        <w:tcBorders>
          <w:top w:val="single" w:color="E54C5E" w:themeColor="accent6" w:sz="4" w:space="0"/>
          <w:left w:val="single" w:color="E54C5E" w:themeColor="accent6" w:sz="4" w:space="0"/>
          <w:bottom w:val="single" w:color="E54C5E" w:themeColor="accent6" w:sz="4" w:space="0"/>
          <w:right w:val="single" w:color="E54C5E" w:themeColor="accent6" w:sz="4" w:space="0"/>
        </w:tcBorders>
        <w:shd w:val="clear" w:color="E54C5E" w:themeColor="accent6" w:fill="E54C5E" w:themeFill="accent6"/>
      </w:tcPr>
    </w:tblStylePr>
    <w:tblStylePr w:type="lastRow">
      <w:rPr>
        <w:b/>
        <w:color w:val="404040"/>
      </w:rPr>
      <w:tblPr/>
      <w:tcPr>
        <w:tcBorders>
          <w:top w:val="single" w:color="E54C5E"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9DADE" w:themeColor="accent6" w:themeTint="34" w:fill="F9DADE" w:themeFill="accent6" w:themeFillTint="34"/>
      </w:tcPr>
    </w:tblStylePr>
    <w:tblStylePr w:type="band2Vert">
      <w:tblPr/>
    </w:tblStylePr>
    <w:tblStylePr w:type="band1Horz">
      <w:rPr>
        <w:rFonts w:ascii="Arial" w:hAnsi="Arial"/>
        <w:color w:val="404040"/>
        <w:sz w:val="22"/>
      </w:rPr>
      <w:tblPr/>
      <w:tcPr>
        <w:shd w:val="clear" w:color="F9DADE" w:themeColor="accent6" w:themeTint="34" w:fill="F9DADE"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1">
    <w:name w:val="Grid Table 5 Dark"/>
    <w:basedOn w:val="39"/>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2">
    <w:name w:val="Grid Table 5 Dark- Accent 1"/>
    <w:basedOn w:val="39"/>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874CB" w:themeColor="accent1" w:fill="4874CB" w:themeFill="accent1"/>
      </w:tcPr>
    </w:tblStylePr>
    <w:tblStylePr w:type="lastRow">
      <w:rPr>
        <w:rFonts w:ascii="Arial" w:hAnsi="Arial"/>
        <w:b/>
        <w:color w:val="FFFFFF"/>
        <w:sz w:val="22"/>
      </w:rPr>
      <w:tblPr/>
      <w:tcPr>
        <w:tcBorders>
          <w:top w:val="single" w:color="FFFFFF" w:themeColor="light1" w:sz="4" w:space="0"/>
        </w:tcBorders>
        <w:shd w:val="clear" w:color="4874CB" w:themeColor="accent1" w:fill="4874CB" w:themeFill="accent1"/>
      </w:tcPr>
    </w:tblStylePr>
    <w:tblStylePr w:type="firstCol">
      <w:rPr>
        <w:rFonts w:ascii="Arial" w:hAnsi="Arial"/>
        <w:b/>
        <w:color w:val="FFFFFF"/>
        <w:sz w:val="22"/>
      </w:rPr>
      <w:tblPr/>
      <w:tcPr>
        <w:shd w:val="clear" w:color="4874CB" w:themeColor="accent1" w:fill="4874CB" w:themeFill="accent1"/>
      </w:tcPr>
    </w:tblStylePr>
    <w:tblStylePr w:type="lastCol">
      <w:rPr>
        <w:rFonts w:ascii="Arial" w:hAnsi="Arial"/>
        <w:b/>
        <w:color w:val="FFFFFF"/>
        <w:sz w:val="22"/>
      </w:rPr>
      <w:tblPr/>
      <w:tcPr>
        <w:shd w:val="clear" w:color="4874CB" w:themeColor="accent1" w:fill="4874CB" w:themeFill="accent1"/>
      </w:tcPr>
    </w:tblStylePr>
    <w:tblStylePr w:type="band1Vert">
      <w:tblPr/>
      <w:tcPr>
        <w:shd w:val="clear" w:color="ABBFE7" w:themeColor="accent1" w:themeTint="75" w:fill="ABBFE7" w:themeFill="accent1" w:themeFillTint="75"/>
      </w:tcPr>
    </w:tblStylePr>
    <w:tblStylePr w:type="band2Vert">
      <w:tblPr/>
    </w:tblStylePr>
    <w:tblStylePr w:type="band1Horz">
      <w:tblPr/>
      <w:tcPr>
        <w:shd w:val="clear" w:color="ABBFE7" w:themeColor="accent1" w:themeTint="75" w:fill="ABBFE7"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3">
    <w:name w:val="Grid Table 5 Dark - Accent 2"/>
    <w:basedOn w:val="39"/>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EE822F" w:themeColor="accent2" w:fill="EE822F" w:themeFill="accent2"/>
      </w:tcPr>
    </w:tblStylePr>
    <w:tblStylePr w:type="lastRow">
      <w:rPr>
        <w:rFonts w:ascii="Arial" w:hAnsi="Arial"/>
        <w:b/>
        <w:color w:val="FFFFFF"/>
        <w:sz w:val="22"/>
      </w:rPr>
      <w:tblPr/>
      <w:tcPr>
        <w:tcBorders>
          <w:top w:val="single" w:color="FFFFFF" w:themeColor="light1" w:sz="4" w:space="0"/>
        </w:tcBorders>
        <w:shd w:val="clear" w:color="EE822F" w:themeColor="accent2" w:fill="EE822F" w:themeFill="accent2"/>
      </w:tcPr>
    </w:tblStylePr>
    <w:tblStylePr w:type="firstCol">
      <w:rPr>
        <w:rFonts w:ascii="Arial" w:hAnsi="Arial"/>
        <w:b/>
        <w:color w:val="FFFFFF"/>
        <w:sz w:val="22"/>
      </w:rPr>
      <w:tblPr/>
      <w:tcPr>
        <w:shd w:val="clear" w:color="EE822F" w:themeColor="accent2" w:fill="EE822F" w:themeFill="accent2"/>
      </w:tcPr>
    </w:tblStylePr>
    <w:tblStylePr w:type="lastCol">
      <w:rPr>
        <w:rFonts w:ascii="Arial" w:hAnsi="Arial"/>
        <w:b/>
        <w:color w:val="FFFFFF"/>
        <w:sz w:val="22"/>
      </w:rPr>
      <w:tblPr/>
      <w:tcPr>
        <w:shd w:val="clear" w:color="EE822F" w:themeColor="accent2" w:fill="EE822F" w:themeFill="accent2"/>
      </w:tcPr>
    </w:tblStylePr>
    <w:tblStylePr w:type="band1Vert">
      <w:tblPr/>
      <w:tcPr>
        <w:shd w:val="clear" w:color="F7C59F" w:themeColor="accent2" w:themeTint="75" w:fill="F7C59F" w:themeFill="accent2" w:themeFillTint="75"/>
      </w:tcPr>
    </w:tblStylePr>
    <w:tblStylePr w:type="band2Vert">
      <w:tblPr/>
    </w:tblStylePr>
    <w:tblStylePr w:type="band1Horz">
      <w:tblPr/>
      <w:tcPr>
        <w:shd w:val="clear" w:color="F7C59F" w:themeColor="accent2" w:themeTint="75" w:fill="F7C59F"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4">
    <w:name w:val="Grid Table 5 Dark - Accent 3"/>
    <w:basedOn w:val="39"/>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2BA02" w:themeColor="accent3" w:fill="F2BA02" w:themeFill="accent3"/>
      </w:tcPr>
    </w:tblStylePr>
    <w:tblStylePr w:type="lastRow">
      <w:rPr>
        <w:rFonts w:ascii="Arial" w:hAnsi="Arial"/>
        <w:b/>
        <w:color w:val="FFFFFF"/>
        <w:sz w:val="22"/>
      </w:rPr>
      <w:tblPr/>
      <w:tcPr>
        <w:tcBorders>
          <w:top w:val="single" w:color="FFFFFF" w:themeColor="light1" w:sz="4" w:space="0"/>
        </w:tcBorders>
        <w:shd w:val="clear" w:color="F2BA02" w:themeColor="accent3" w:fill="F2BA02" w:themeFill="accent3"/>
      </w:tcPr>
    </w:tblStylePr>
    <w:tblStylePr w:type="firstCol">
      <w:rPr>
        <w:rFonts w:ascii="Arial" w:hAnsi="Arial"/>
        <w:b/>
        <w:color w:val="FFFFFF"/>
        <w:sz w:val="22"/>
      </w:rPr>
      <w:tblPr/>
      <w:tcPr>
        <w:shd w:val="clear" w:color="F2BA02" w:themeColor="accent3" w:fill="F2BA02" w:themeFill="accent3"/>
      </w:tcPr>
    </w:tblStylePr>
    <w:tblStylePr w:type="lastCol">
      <w:rPr>
        <w:rFonts w:ascii="Arial" w:hAnsi="Arial"/>
        <w:b/>
        <w:color w:val="FFFFFF"/>
        <w:sz w:val="22"/>
      </w:rPr>
      <w:tblPr/>
      <w:tcPr>
        <w:shd w:val="clear" w:color="F2BA02" w:themeColor="accent3" w:fill="F2BA02" w:themeFill="accent3"/>
      </w:tcPr>
    </w:tblStylePr>
    <w:tblStylePr w:type="band1Vert">
      <w:tblPr/>
      <w:tcPr>
        <w:shd w:val="clear" w:color="FDE185" w:themeColor="accent3" w:themeTint="75" w:fill="FDE185" w:themeFill="accent3" w:themeFillTint="75"/>
      </w:tcPr>
    </w:tblStylePr>
    <w:tblStylePr w:type="band2Vert">
      <w:tblPr/>
    </w:tblStylePr>
    <w:tblStylePr w:type="band1Horz">
      <w:tblPr/>
      <w:tcPr>
        <w:shd w:val="clear" w:color="FDE185" w:themeColor="accent3" w:themeTint="75" w:fill="FDE185"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5">
    <w:name w:val="Grid Table 5 Dark- Accent 4"/>
    <w:basedOn w:val="39"/>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75BD42" w:themeColor="accent4" w:fill="75BD42" w:themeFill="accent4"/>
      </w:tcPr>
    </w:tblStylePr>
    <w:tblStylePr w:type="lastRow">
      <w:rPr>
        <w:rFonts w:ascii="Arial" w:hAnsi="Arial"/>
        <w:b/>
        <w:color w:val="FFFFFF"/>
        <w:sz w:val="22"/>
      </w:rPr>
      <w:tblPr/>
      <w:tcPr>
        <w:tcBorders>
          <w:top w:val="single" w:color="FFFFFF" w:themeColor="light1" w:sz="4" w:space="0"/>
        </w:tcBorders>
        <w:shd w:val="clear" w:color="75BD42" w:themeColor="accent4" w:fill="75BD42" w:themeFill="accent4"/>
      </w:tcPr>
    </w:tblStylePr>
    <w:tblStylePr w:type="firstCol">
      <w:rPr>
        <w:rFonts w:ascii="Arial" w:hAnsi="Arial"/>
        <w:b/>
        <w:color w:val="FFFFFF"/>
        <w:sz w:val="22"/>
      </w:rPr>
      <w:tblPr/>
      <w:tcPr>
        <w:shd w:val="clear" w:color="75BD42" w:themeColor="accent4" w:fill="75BD42" w:themeFill="accent4"/>
      </w:tcPr>
    </w:tblStylePr>
    <w:tblStylePr w:type="lastCol">
      <w:rPr>
        <w:rFonts w:ascii="Arial" w:hAnsi="Arial"/>
        <w:b/>
        <w:color w:val="FFFFFF"/>
        <w:sz w:val="22"/>
      </w:rPr>
      <w:tblPr/>
      <w:tcPr>
        <w:shd w:val="clear" w:color="75BD42" w:themeColor="accent4" w:fill="75BD42" w:themeFill="accent4"/>
      </w:tcPr>
    </w:tblStylePr>
    <w:tblStylePr w:type="band1Vert">
      <w:tblPr/>
      <w:tcPr>
        <w:shd w:val="clear" w:color="BFE0A8" w:themeColor="accent4" w:themeTint="75" w:fill="BFE0A8" w:themeFill="accent4" w:themeFillTint="75"/>
      </w:tcPr>
    </w:tblStylePr>
    <w:tblStylePr w:type="band2Vert">
      <w:tblPr/>
    </w:tblStylePr>
    <w:tblStylePr w:type="band1Horz">
      <w:tblPr/>
      <w:tcPr>
        <w:shd w:val="clear" w:color="BFE0A8" w:themeColor="accent4" w:themeTint="75" w:fill="BFE0A8"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6">
    <w:name w:val="Grid Table 5 Dark - Accent 5"/>
    <w:basedOn w:val="39"/>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30C0B4" w:themeColor="accent5" w:fill="30C0B4" w:themeFill="accent5"/>
      </w:tcPr>
    </w:tblStylePr>
    <w:tblStylePr w:type="lastRow">
      <w:rPr>
        <w:rFonts w:ascii="Arial" w:hAnsi="Arial"/>
        <w:b/>
        <w:color w:val="FFFFFF"/>
        <w:sz w:val="22"/>
      </w:rPr>
      <w:tblPr/>
      <w:tcPr>
        <w:tcBorders>
          <w:top w:val="single" w:color="FFFFFF" w:themeColor="light1" w:sz="4" w:space="0"/>
        </w:tcBorders>
        <w:shd w:val="clear" w:color="30C0B4" w:themeColor="accent5" w:fill="30C0B4" w:themeFill="accent5"/>
      </w:tcPr>
    </w:tblStylePr>
    <w:tblStylePr w:type="firstCol">
      <w:rPr>
        <w:rFonts w:ascii="Arial" w:hAnsi="Arial"/>
        <w:b/>
        <w:color w:val="FFFFFF"/>
        <w:sz w:val="22"/>
      </w:rPr>
      <w:tblPr/>
      <w:tcPr>
        <w:shd w:val="clear" w:color="30C0B4" w:themeColor="accent5" w:fill="30C0B4" w:themeFill="accent5"/>
      </w:tcPr>
    </w:tblStylePr>
    <w:tblStylePr w:type="lastCol">
      <w:rPr>
        <w:rFonts w:ascii="Arial" w:hAnsi="Arial"/>
        <w:b/>
        <w:color w:val="FFFFFF"/>
        <w:sz w:val="22"/>
      </w:rPr>
      <w:tblPr/>
      <w:tcPr>
        <w:shd w:val="clear" w:color="30C0B4" w:themeColor="accent5" w:fill="30C0B4" w:themeFill="accent5"/>
      </w:tcPr>
    </w:tblStylePr>
    <w:tblStylePr w:type="band1Vert">
      <w:tblPr/>
      <w:tcPr>
        <w:shd w:val="clear" w:color="9BE6E0" w:themeColor="accent5" w:themeTint="75" w:fill="9BE6E0" w:themeFill="accent5" w:themeFillTint="75"/>
      </w:tcPr>
    </w:tblStylePr>
    <w:tblStylePr w:type="band2Vert">
      <w:tblPr/>
    </w:tblStylePr>
    <w:tblStylePr w:type="band1Horz">
      <w:tblPr/>
      <w:tcPr>
        <w:shd w:val="clear" w:color="9BE6E0" w:themeColor="accent5" w:themeTint="75" w:fill="9BE6E0"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7">
    <w:name w:val="Grid Table 5 Dark - Accent 6"/>
    <w:basedOn w:val="39"/>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E54C5E" w:themeColor="accent6" w:fill="E54C5E" w:themeFill="accent6"/>
      </w:tcPr>
    </w:tblStylePr>
    <w:tblStylePr w:type="lastRow">
      <w:rPr>
        <w:rFonts w:ascii="Arial" w:hAnsi="Arial"/>
        <w:b/>
        <w:color w:val="FFFFFF"/>
        <w:sz w:val="22"/>
      </w:rPr>
      <w:tblPr/>
      <w:tcPr>
        <w:tcBorders>
          <w:top w:val="single" w:color="FFFFFF" w:themeColor="light1" w:sz="4" w:space="0"/>
        </w:tcBorders>
        <w:shd w:val="clear" w:color="E54C5E" w:themeColor="accent6" w:fill="E54C5E" w:themeFill="accent6"/>
      </w:tcPr>
    </w:tblStylePr>
    <w:tblStylePr w:type="firstCol">
      <w:rPr>
        <w:rFonts w:ascii="Arial" w:hAnsi="Arial"/>
        <w:b/>
        <w:color w:val="FFFFFF"/>
        <w:sz w:val="22"/>
      </w:rPr>
      <w:tblPr/>
      <w:tcPr>
        <w:shd w:val="clear" w:color="E54C5E" w:themeColor="accent6" w:fill="E54C5E" w:themeFill="accent6"/>
      </w:tcPr>
    </w:tblStylePr>
    <w:tblStylePr w:type="lastCol">
      <w:rPr>
        <w:rFonts w:ascii="Arial" w:hAnsi="Arial"/>
        <w:b/>
        <w:color w:val="FFFFFF"/>
        <w:sz w:val="22"/>
      </w:rPr>
      <w:tblPr/>
      <w:tcPr>
        <w:shd w:val="clear" w:color="E54C5E" w:themeColor="accent6" w:fill="E54C5E" w:themeFill="accent6"/>
      </w:tcPr>
    </w:tblStylePr>
    <w:tblStylePr w:type="band1Vert">
      <w:tblPr/>
      <w:tcPr>
        <w:shd w:val="clear" w:color="F3ACB5" w:themeColor="accent6" w:themeTint="75" w:fill="F3ACB5" w:themeFill="accent6" w:themeFillTint="75"/>
      </w:tcPr>
    </w:tblStylePr>
    <w:tblStylePr w:type="band2Vert">
      <w:tblPr/>
    </w:tblStylePr>
    <w:tblStylePr w:type="band1Horz">
      <w:tblPr/>
      <w:tcPr>
        <w:shd w:val="clear" w:color="F3ACB5" w:themeColor="accent6" w:themeTint="75" w:fill="F3ACB5"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8">
    <w:name w:val="Grid Table 6 Colorful"/>
    <w:basedOn w:val="39"/>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9">
    <w:name w:val="Grid Table 6 Colorful - Accent 1"/>
    <w:basedOn w:val="39"/>
    <w:qFormat/>
    <w:uiPriority w:val="99"/>
    <w:pPr>
      <w:spacing w:after="0" w:line="240" w:lineRule="auto"/>
    </w:pPr>
    <w:tblPr>
      <w:tblBorders>
        <w:top w:val="single" w:color="A3B9E4" w:themeColor="accent1" w:themeTint="80" w:sz="4" w:space="0"/>
        <w:left w:val="single" w:color="A3B9E4" w:themeColor="accent1" w:themeTint="80" w:sz="4" w:space="0"/>
        <w:bottom w:val="single" w:color="A3B9E4" w:themeColor="accent1" w:themeTint="80" w:sz="4" w:space="0"/>
        <w:right w:val="single" w:color="A3B9E4" w:themeColor="accent1" w:themeTint="80" w:sz="4" w:space="0"/>
        <w:insideH w:val="single" w:color="A3B9E4" w:themeColor="accent1" w:themeTint="80" w:sz="4" w:space="0"/>
        <w:insideV w:val="single" w:color="A3B9E4" w:themeColor="accent1" w:themeTint="80" w:sz="4" w:space="0"/>
      </w:tblBorders>
    </w:tblPr>
    <w:tblStylePr w:type="firstRow">
      <w:rPr>
        <w:b/>
        <w:color w:val="A4BAE5" w:themeColor="accent1" w:themeTint="80"/>
        <w14:textFill>
          <w14:solidFill>
            <w14:schemeClr w14:val="accent1">
              <w14:lumMod w14:val="50000"/>
              <w14:lumOff w14:val="50000"/>
            </w14:schemeClr>
          </w14:solidFill>
        </w14:textFill>
      </w:rPr>
      <w:tblPr/>
      <w:tcPr>
        <w:tcBorders>
          <w:bottom w:val="single" w:color="A3B9E4" w:themeColor="accent1" w:themeTint="80" w:sz="12" w:space="0"/>
        </w:tcBorders>
      </w:tcPr>
    </w:tblStylePr>
    <w:tblStylePr w:type="lastRow">
      <w:rPr>
        <w:b/>
        <w:color w:val="A4BAE5" w:themeColor="accent1" w:themeTint="80"/>
        <w14:textFill>
          <w14:solidFill>
            <w14:schemeClr w14:val="accent1">
              <w14:lumMod w14:val="50000"/>
              <w14:lumOff w14:val="50000"/>
            </w14:schemeClr>
          </w14:solidFill>
        </w14:textFill>
      </w:rPr>
      <w:tblPr/>
    </w:tblStylePr>
    <w:tblStylePr w:type="firstCol">
      <w:rPr>
        <w:b/>
        <w:color w:val="A4BAE5" w:themeColor="accent1" w:themeTint="80"/>
        <w14:textFill>
          <w14:solidFill>
            <w14:schemeClr w14:val="accent1">
              <w14:lumMod w14:val="50000"/>
              <w14:lumOff w14:val="50000"/>
            </w14:schemeClr>
          </w14:solidFill>
        </w14:textFill>
      </w:rPr>
      <w:tblPr/>
    </w:tblStylePr>
    <w:tblStylePr w:type="lastCol">
      <w:rPr>
        <w:b/>
        <w:color w:val="A4BAE5" w:themeColor="accent1" w:themeTint="80"/>
        <w14:textFill>
          <w14:solidFill>
            <w14:schemeClr w14:val="accent1">
              <w14:lumMod w14:val="50000"/>
              <w14:lumOff w14:val="50000"/>
            </w14:schemeClr>
          </w14:solidFill>
        </w14:textFill>
      </w:rPr>
      <w:tblPr/>
    </w:tblStylePr>
    <w:tblStylePr w:type="band1Vert">
      <w:tblPr/>
      <w:tcPr>
        <w:shd w:val="clear" w:color="D9E2F4" w:themeColor="accent1" w:themeTint="34" w:fill="D9E2F4" w:themeFill="accent1" w:themeFillTint="34"/>
      </w:tcPr>
    </w:tblStylePr>
    <w:tblStylePr w:type="band2Vert">
      <w:tblPr/>
    </w:tblStylePr>
    <w:tblStylePr w:type="band1Horz">
      <w:rPr>
        <w:rFonts w:ascii="Arial" w:hAnsi="Arial"/>
        <w:color w:val="A4BAE5" w:themeColor="accent1" w:themeTint="80"/>
        <w:sz w:val="22"/>
        <w14:textFill>
          <w14:solidFill>
            <w14:schemeClr w14:val="accent1">
              <w14:lumMod w14:val="50000"/>
              <w14:lumOff w14:val="50000"/>
            </w14:schemeClr>
          </w14:solidFill>
        </w14:textFill>
      </w:rPr>
      <w:tblPr/>
      <w:tcPr>
        <w:shd w:val="clear" w:color="D9E2F4" w:themeColor="accent1" w:themeTint="34" w:fill="D9E2F4" w:themeFill="accent1" w:themeFillTint="34"/>
      </w:tcPr>
    </w:tblStylePr>
    <w:tblStylePr w:type="band2Horz">
      <w:rPr>
        <w:rFonts w:ascii="Arial" w:hAnsi="Arial"/>
        <w:color w:val="A4BAE5"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0">
    <w:name w:val="Grid Table 6 Colorful - Accent 2"/>
    <w:basedOn w:val="39"/>
    <w:qFormat/>
    <w:uiPriority w:val="99"/>
    <w:pPr>
      <w:spacing w:after="0" w:line="240" w:lineRule="auto"/>
    </w:pPr>
    <w:tblPr>
      <w:tblBorders>
        <w:top w:val="single" w:color="F4B483" w:themeColor="accent2" w:themeTint="97" w:sz="4" w:space="0"/>
        <w:left w:val="single" w:color="F4B483" w:themeColor="accent2" w:themeTint="97" w:sz="4" w:space="0"/>
        <w:bottom w:val="single" w:color="F4B483" w:themeColor="accent2" w:themeTint="97" w:sz="4" w:space="0"/>
        <w:right w:val="single" w:color="F4B483" w:themeColor="accent2" w:themeTint="97" w:sz="4" w:space="0"/>
        <w:insideH w:val="single" w:color="F4B483" w:themeColor="accent2" w:themeTint="97" w:sz="4" w:space="0"/>
        <w:insideV w:val="single" w:color="F4B483" w:themeColor="accent2" w:themeTint="97" w:sz="4" w:space="0"/>
      </w:tblBorders>
    </w:tblPr>
    <w:tblStylePr w:type="firstRow">
      <w:rPr>
        <w:b/>
        <w:color w:val="F5B584" w:themeColor="accent2" w:themeTint="96"/>
        <w14:textFill>
          <w14:solidFill>
            <w14:schemeClr w14:val="accent2">
              <w14:lumMod w14:val="59000"/>
              <w14:lumOff w14:val="41000"/>
            </w14:schemeClr>
          </w14:solidFill>
        </w14:textFill>
      </w:rPr>
      <w:tblPr/>
      <w:tcPr>
        <w:tcBorders>
          <w:bottom w:val="single" w:color="F4B483" w:themeColor="accent2" w:themeTint="97" w:sz="12" w:space="0"/>
        </w:tcBorders>
      </w:tcPr>
    </w:tblStylePr>
    <w:tblStylePr w:type="lastRow">
      <w:rPr>
        <w:b/>
        <w:color w:val="F5B584" w:themeColor="accent2" w:themeTint="96"/>
        <w14:textFill>
          <w14:solidFill>
            <w14:schemeClr w14:val="accent2">
              <w14:lumMod w14:val="59000"/>
              <w14:lumOff w14:val="41000"/>
            </w14:schemeClr>
          </w14:solidFill>
        </w14:textFill>
      </w:rPr>
      <w:tblPr/>
    </w:tblStylePr>
    <w:tblStylePr w:type="firstCol">
      <w:rPr>
        <w:b/>
        <w:color w:val="F5B584" w:themeColor="accent2" w:themeTint="96"/>
        <w14:textFill>
          <w14:solidFill>
            <w14:schemeClr w14:val="accent2">
              <w14:lumMod w14:val="59000"/>
              <w14:lumOff w14:val="41000"/>
            </w14:schemeClr>
          </w14:solidFill>
        </w14:textFill>
      </w:rPr>
      <w:tblPr/>
    </w:tblStylePr>
    <w:tblStylePr w:type="lastCol">
      <w:rPr>
        <w:b/>
        <w:color w:val="F5B584" w:themeColor="accent2" w:themeTint="96"/>
        <w14:textFill>
          <w14:solidFill>
            <w14:schemeClr w14:val="accent2">
              <w14:lumMod w14:val="59000"/>
              <w14:lumOff w14:val="41000"/>
            </w14:schemeClr>
          </w14:solidFill>
        </w14:textFill>
      </w:rPr>
      <w:tblPr/>
    </w:tblStylePr>
    <w:tblStylePr w:type="band1Vert">
      <w:tblPr/>
      <w:tcPr>
        <w:shd w:val="clear" w:color="FBE6D6" w:themeColor="accent2" w:themeTint="32" w:fill="FBE6D6" w:themeFill="accent2" w:themeFillTint="32"/>
      </w:tcPr>
    </w:tblStylePr>
    <w:tblStylePr w:type="band2Vert">
      <w:tblPr/>
    </w:tblStylePr>
    <w:tblStylePr w:type="band1Horz">
      <w:rPr>
        <w:rFonts w:ascii="Arial" w:hAnsi="Arial"/>
        <w:color w:val="F5B584" w:themeColor="accent2" w:themeTint="96"/>
        <w:sz w:val="22"/>
        <w14:textFill>
          <w14:solidFill>
            <w14:schemeClr w14:val="accent2">
              <w14:lumMod w14:val="59000"/>
              <w14:lumOff w14:val="41000"/>
            </w14:schemeClr>
          </w14:solidFill>
        </w14:textFill>
      </w:rPr>
      <w:tblPr/>
      <w:tcPr>
        <w:shd w:val="clear" w:color="FBE6D6" w:themeColor="accent2" w:themeTint="32" w:fill="FBE6D6" w:themeFill="accent2" w:themeFillTint="32"/>
      </w:tcPr>
    </w:tblStylePr>
    <w:tblStylePr w:type="band2Horz">
      <w:rPr>
        <w:rFonts w:ascii="Arial" w:hAnsi="Arial"/>
        <w:color w:val="F5B584"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1">
    <w:name w:val="Grid Table 6 Colorful - Accent 3"/>
    <w:basedOn w:val="39"/>
    <w:qFormat/>
    <w:uiPriority w:val="99"/>
    <w:pPr>
      <w:spacing w:after="0" w:line="240" w:lineRule="auto"/>
    </w:pPr>
    <w:tblPr>
      <w:tblBorders>
        <w:top w:val="single" w:color="F3BA02" w:themeColor="accent3" w:themeTint="FE" w:sz="4" w:space="0"/>
        <w:left w:val="single" w:color="F3BA02" w:themeColor="accent3" w:themeTint="FE" w:sz="4" w:space="0"/>
        <w:bottom w:val="single" w:color="F3BA02" w:themeColor="accent3" w:themeTint="FE" w:sz="4" w:space="0"/>
        <w:right w:val="single" w:color="F3BA02" w:themeColor="accent3" w:themeTint="FE" w:sz="4" w:space="0"/>
        <w:insideH w:val="single" w:color="F3BA02" w:themeColor="accent3" w:themeTint="FE" w:sz="4" w:space="0"/>
        <w:insideV w:val="single" w:color="F3BA02" w:themeColor="accent3" w:themeTint="FE" w:sz="4" w:space="0"/>
      </w:tblBorders>
    </w:tblPr>
    <w:tblStylePr w:type="firstRow">
      <w:rPr>
        <w:b/>
        <w:color w:val="F2BA02" w:themeColor="accent3" w:themeTint="FF"/>
        <w14:textFill>
          <w14:solidFill>
            <w14:schemeClr w14:val="accent3">
              <w14:lumMod w14:val="100000"/>
              <w14:lumOff w14:val="0"/>
            </w14:schemeClr>
          </w14:solidFill>
        </w14:textFill>
      </w:rPr>
      <w:tblPr/>
      <w:tcPr>
        <w:tcBorders>
          <w:bottom w:val="single" w:color="F3BA02" w:themeColor="accent3" w:themeTint="FE" w:sz="12" w:space="0"/>
        </w:tcBorders>
      </w:tcPr>
    </w:tblStylePr>
    <w:tblStylePr w:type="lastRow">
      <w:rPr>
        <w:b/>
        <w:color w:val="F2BA02" w:themeColor="accent3" w:themeTint="FF"/>
        <w14:textFill>
          <w14:solidFill>
            <w14:schemeClr w14:val="accent3">
              <w14:lumMod w14:val="100000"/>
              <w14:lumOff w14:val="0"/>
            </w14:schemeClr>
          </w14:solidFill>
        </w14:textFill>
      </w:rPr>
      <w:tblPr/>
    </w:tblStylePr>
    <w:tblStylePr w:type="firstCol">
      <w:rPr>
        <w:b/>
        <w:color w:val="F2BA02" w:themeColor="accent3" w:themeTint="FF"/>
        <w14:textFill>
          <w14:solidFill>
            <w14:schemeClr w14:val="accent3">
              <w14:lumMod w14:val="100000"/>
              <w14:lumOff w14:val="0"/>
            </w14:schemeClr>
          </w14:solidFill>
        </w14:textFill>
      </w:rPr>
      <w:tblPr/>
    </w:tblStylePr>
    <w:tblStylePr w:type="lastCol">
      <w:rPr>
        <w:b/>
        <w:color w:val="F2BA02" w:themeColor="accent3" w:themeTint="FF"/>
        <w14:textFill>
          <w14:solidFill>
            <w14:schemeClr w14:val="accent3">
              <w14:lumMod w14:val="100000"/>
              <w14:lumOff w14:val="0"/>
            </w14:schemeClr>
          </w14:solidFill>
        </w14:textFill>
      </w:rPr>
      <w:tblPr/>
    </w:tblStylePr>
    <w:tblStylePr w:type="band1Vert">
      <w:tblPr/>
      <w:tcPr>
        <w:shd w:val="clear" w:color="FEF2C9" w:themeColor="accent3" w:themeTint="34" w:fill="FEF2C9" w:themeFill="accent3" w:themeFillTint="34"/>
      </w:tcPr>
    </w:tblStylePr>
    <w:tblStylePr w:type="band2Vert">
      <w:tblPr/>
    </w:tblStylePr>
    <w:tblStylePr w:type="band1Horz">
      <w:rPr>
        <w:rFonts w:ascii="Arial" w:hAnsi="Arial"/>
        <w:color w:val="F2BA02" w:themeColor="accent3" w:themeTint="FF"/>
        <w:sz w:val="22"/>
        <w14:textFill>
          <w14:solidFill>
            <w14:schemeClr w14:val="accent3">
              <w14:lumMod w14:val="100000"/>
              <w14:lumOff w14:val="0"/>
            </w14:schemeClr>
          </w14:solidFill>
        </w14:textFill>
      </w:rPr>
      <w:tblPr/>
      <w:tcPr>
        <w:shd w:val="clear" w:color="FEF2C9" w:themeColor="accent3" w:themeTint="34" w:fill="FEF2C9" w:themeFill="accent3" w:themeFillTint="34"/>
      </w:tcPr>
    </w:tblStylePr>
    <w:tblStylePr w:type="band2Horz">
      <w:rPr>
        <w:rFonts w:ascii="Arial" w:hAnsi="Arial"/>
        <w:color w:val="F2BA02"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2">
    <w:name w:val="Grid Table 6 Colorful - Accent 4"/>
    <w:basedOn w:val="39"/>
    <w:qFormat/>
    <w:uiPriority w:val="99"/>
    <w:pPr>
      <w:spacing w:after="0" w:line="240" w:lineRule="auto"/>
    </w:pPr>
    <w:tblPr>
      <w:tblBorders>
        <w:top w:val="single" w:color="ABD78C" w:themeColor="accent4" w:themeTint="9A" w:sz="4" w:space="0"/>
        <w:left w:val="single" w:color="ABD78C" w:themeColor="accent4" w:themeTint="9A" w:sz="4" w:space="0"/>
        <w:bottom w:val="single" w:color="ABD78C" w:themeColor="accent4" w:themeTint="9A" w:sz="4" w:space="0"/>
        <w:right w:val="single" w:color="ABD78C" w:themeColor="accent4" w:themeTint="9A" w:sz="4" w:space="0"/>
        <w:insideH w:val="single" w:color="ABD78C" w:themeColor="accent4" w:themeTint="9A" w:sz="4" w:space="0"/>
        <w:insideV w:val="single" w:color="ABD78C" w:themeColor="accent4" w:themeTint="9A" w:sz="4" w:space="0"/>
      </w:tblBorders>
    </w:tblPr>
    <w:tblStylePr w:type="firstRow">
      <w:rPr>
        <w:b/>
        <w:color w:val="ACD78E" w:themeColor="accent4" w:themeTint="99"/>
        <w14:textFill>
          <w14:solidFill>
            <w14:schemeClr w14:val="accent4">
              <w14:lumMod w14:val="60000"/>
              <w14:lumOff w14:val="40000"/>
            </w14:schemeClr>
          </w14:solidFill>
        </w14:textFill>
      </w:rPr>
      <w:tblPr/>
      <w:tcPr>
        <w:tcBorders>
          <w:bottom w:val="single" w:color="ABD78C" w:themeColor="accent4" w:themeTint="9A" w:sz="12" w:space="0"/>
        </w:tcBorders>
      </w:tcPr>
    </w:tblStylePr>
    <w:tblStylePr w:type="lastRow">
      <w:rPr>
        <w:b/>
        <w:color w:val="ACD78E" w:themeColor="accent4" w:themeTint="99"/>
        <w14:textFill>
          <w14:solidFill>
            <w14:schemeClr w14:val="accent4">
              <w14:lumMod w14:val="60000"/>
              <w14:lumOff w14:val="40000"/>
            </w14:schemeClr>
          </w14:solidFill>
        </w14:textFill>
      </w:rPr>
      <w:tblPr/>
    </w:tblStylePr>
    <w:tblStylePr w:type="firstCol">
      <w:rPr>
        <w:b/>
        <w:color w:val="ACD78E" w:themeColor="accent4" w:themeTint="99"/>
        <w14:textFill>
          <w14:solidFill>
            <w14:schemeClr w14:val="accent4">
              <w14:lumMod w14:val="60000"/>
              <w14:lumOff w14:val="40000"/>
            </w14:schemeClr>
          </w14:solidFill>
        </w14:textFill>
      </w:rPr>
      <w:tblPr/>
    </w:tblStylePr>
    <w:tblStylePr w:type="lastCol">
      <w:rPr>
        <w:b/>
        <w:color w:val="ACD78E" w:themeColor="accent4" w:themeTint="99"/>
        <w14:textFill>
          <w14:solidFill>
            <w14:schemeClr w14:val="accent4">
              <w14:lumMod w14:val="60000"/>
              <w14:lumOff w14:val="40000"/>
            </w14:schemeClr>
          </w14:solidFill>
        </w14:textFill>
      </w:rPr>
      <w:tblPr/>
    </w:tblStylePr>
    <w:tblStylePr w:type="band1Vert">
      <w:tblPr/>
      <w:tcPr>
        <w:shd w:val="clear" w:color="E2F1D8" w:themeColor="accent4" w:themeTint="34" w:fill="E2F1D8" w:themeFill="accent4" w:themeFillTint="34"/>
      </w:tcPr>
    </w:tblStylePr>
    <w:tblStylePr w:type="band2Vert">
      <w:tblPr/>
    </w:tblStylePr>
    <w:tblStylePr w:type="band1Horz">
      <w:rPr>
        <w:rFonts w:ascii="Arial" w:hAnsi="Arial"/>
        <w:color w:val="ACD78E" w:themeColor="accent4" w:themeTint="99"/>
        <w:sz w:val="22"/>
        <w14:textFill>
          <w14:solidFill>
            <w14:schemeClr w14:val="accent4">
              <w14:lumMod w14:val="60000"/>
              <w14:lumOff w14:val="40000"/>
            </w14:schemeClr>
          </w14:solidFill>
        </w14:textFill>
      </w:rPr>
      <w:tblPr/>
      <w:tcPr>
        <w:shd w:val="clear" w:color="E2F1D8" w:themeColor="accent4" w:themeTint="34" w:fill="E2F1D8" w:themeFill="accent4" w:themeFillTint="34"/>
      </w:tcPr>
    </w:tblStylePr>
    <w:tblStylePr w:type="band2Horz">
      <w:rPr>
        <w:rFonts w:ascii="Arial" w:hAnsi="Arial"/>
        <w:color w:val="ACD78E"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3">
    <w:name w:val="Grid Table 6 Colorful - Accent 5"/>
    <w:basedOn w:val="39"/>
    <w:qFormat/>
    <w:uiPriority w:val="99"/>
    <w:pPr>
      <w:spacing w:after="0" w:line="240" w:lineRule="auto"/>
    </w:pPr>
    <w:tblPr>
      <w:tblBorders>
        <w:top w:val="single" w:color="30C0B4" w:themeColor="accent5" w:sz="4" w:space="0"/>
        <w:left w:val="single" w:color="30C0B4" w:themeColor="accent5" w:sz="4" w:space="0"/>
        <w:bottom w:val="single" w:color="30C0B4" w:themeColor="accent5" w:sz="4" w:space="0"/>
        <w:right w:val="single" w:color="30C0B4" w:themeColor="accent5" w:sz="4" w:space="0"/>
        <w:insideH w:val="single" w:color="30C0B4" w:themeColor="accent5" w:sz="4" w:space="0"/>
        <w:insideV w:val="single" w:color="30C0B4" w:themeColor="accent5" w:sz="4" w:space="0"/>
      </w:tblBorders>
    </w:tblPr>
    <w:tblStylePr w:type="firstRow">
      <w:rPr>
        <w:b/>
        <w:color w:val="1C6F68" w:themeColor="accent5" w:themeShade="94"/>
      </w:rPr>
      <w:tblPr/>
      <w:tcPr>
        <w:tcBorders>
          <w:bottom w:val="single" w:color="30C0B4" w:themeColor="accent5" w:sz="12" w:space="0"/>
        </w:tcBorders>
      </w:tcPr>
    </w:tblStylePr>
    <w:tblStylePr w:type="lastRow">
      <w:rPr>
        <w:b/>
        <w:color w:val="1C6F68" w:themeColor="accent5" w:themeShade="94"/>
      </w:rPr>
      <w:tblPr/>
    </w:tblStylePr>
    <w:tblStylePr w:type="firstCol">
      <w:rPr>
        <w:b/>
        <w:color w:val="1C6F68" w:themeColor="accent5" w:themeShade="94"/>
      </w:rPr>
      <w:tblPr/>
    </w:tblStylePr>
    <w:tblStylePr w:type="lastCol">
      <w:rPr>
        <w:b/>
        <w:color w:val="1C6F68" w:themeColor="accent5" w:themeShade="94"/>
      </w:rPr>
      <w:tblPr/>
    </w:tblStylePr>
    <w:tblStylePr w:type="band1Vert">
      <w:tblPr/>
      <w:tcPr>
        <w:shd w:val="clear" w:color="D2F3F1" w:themeColor="accent5" w:themeTint="34" w:fill="D2F3F1" w:themeFill="accent5" w:themeFillTint="34"/>
      </w:tcPr>
    </w:tblStylePr>
    <w:tblStylePr w:type="band2Vert">
      <w:tblPr/>
    </w:tblStylePr>
    <w:tblStylePr w:type="band1Horz">
      <w:rPr>
        <w:rFonts w:ascii="Arial" w:hAnsi="Arial"/>
        <w:color w:val="1C6F68" w:themeColor="accent5" w:themeShade="94"/>
        <w:sz w:val="22"/>
      </w:rPr>
      <w:tblPr/>
      <w:tcPr>
        <w:shd w:val="clear" w:color="D2F3F1" w:themeColor="accent5" w:themeTint="34" w:fill="D2F3F1" w:themeFill="accent5" w:themeFillTint="34"/>
      </w:tcPr>
    </w:tblStylePr>
    <w:tblStylePr w:type="band2Horz">
      <w:rPr>
        <w:rFonts w:ascii="Arial" w:hAnsi="Arial"/>
        <w:color w:val="1C6F6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4">
    <w:name w:val="Grid Table 6 Colorful - Accent 6"/>
    <w:basedOn w:val="39"/>
    <w:qFormat/>
    <w:uiPriority w:val="99"/>
    <w:pPr>
      <w:spacing w:after="0" w:line="240" w:lineRule="auto"/>
    </w:pPr>
    <w:tblPr>
      <w:tblBorders>
        <w:top w:val="single" w:color="E54C5E" w:themeColor="accent6" w:sz="4" w:space="0"/>
        <w:left w:val="single" w:color="E54C5E" w:themeColor="accent6" w:sz="4" w:space="0"/>
        <w:bottom w:val="single" w:color="E54C5E" w:themeColor="accent6" w:sz="4" w:space="0"/>
        <w:right w:val="single" w:color="E54C5E" w:themeColor="accent6" w:sz="4" w:space="0"/>
        <w:insideH w:val="single" w:color="E54C5E" w:themeColor="accent6" w:sz="4" w:space="0"/>
        <w:insideV w:val="single" w:color="E54C5E" w:themeColor="accent6" w:sz="4" w:space="0"/>
      </w:tblBorders>
    </w:tblPr>
    <w:tblStylePr w:type="firstRow">
      <w:rPr>
        <w:b/>
        <w:color w:val="1C6F68" w:themeColor="accent5" w:themeShade="94"/>
      </w:rPr>
      <w:tblPr/>
      <w:tcPr>
        <w:tcBorders>
          <w:bottom w:val="single" w:color="E54C5E" w:themeColor="accent6" w:sz="12" w:space="0"/>
        </w:tcBorders>
      </w:tcPr>
    </w:tblStylePr>
    <w:tblStylePr w:type="lastRow">
      <w:rPr>
        <w:b/>
        <w:color w:val="1C6F68" w:themeColor="accent5" w:themeShade="94"/>
      </w:rPr>
      <w:tblPr/>
    </w:tblStylePr>
    <w:tblStylePr w:type="firstCol">
      <w:rPr>
        <w:b/>
        <w:color w:val="1C6F68" w:themeColor="accent5" w:themeShade="94"/>
      </w:rPr>
      <w:tblPr/>
    </w:tblStylePr>
    <w:tblStylePr w:type="lastCol">
      <w:rPr>
        <w:b/>
        <w:color w:val="1C6F68" w:themeColor="accent5" w:themeShade="94"/>
      </w:rPr>
      <w:tblPr/>
    </w:tblStylePr>
    <w:tblStylePr w:type="band1Vert">
      <w:tblPr/>
      <w:tcPr>
        <w:shd w:val="clear" w:color="F9DADE" w:themeColor="accent6" w:themeTint="34" w:fill="F9DADE" w:themeFill="accent6" w:themeFillTint="34"/>
      </w:tcPr>
    </w:tblStylePr>
    <w:tblStylePr w:type="band2Vert">
      <w:tblPr/>
    </w:tblStylePr>
    <w:tblStylePr w:type="band1Horz">
      <w:rPr>
        <w:rFonts w:ascii="Arial" w:hAnsi="Arial"/>
        <w:color w:val="1C6F68" w:themeColor="accent5" w:themeShade="94"/>
        <w:sz w:val="22"/>
      </w:rPr>
      <w:tblPr/>
      <w:tcPr>
        <w:shd w:val="clear" w:color="F9DADE" w:themeColor="accent6" w:themeTint="34" w:fill="F9DADE" w:themeFill="accent6" w:themeFillTint="34"/>
      </w:tcPr>
    </w:tblStylePr>
    <w:tblStylePr w:type="band2Horz">
      <w:rPr>
        <w:rFonts w:ascii="Arial" w:hAnsi="Arial"/>
        <w:color w:val="1C6F6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5">
    <w:name w:val="Grid Table 7 Colorful"/>
    <w:basedOn w:val="39"/>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6">
    <w:name w:val="Grid Table 7 Colorful - Accent 1"/>
    <w:basedOn w:val="39"/>
    <w:qFormat/>
    <w:uiPriority w:val="99"/>
    <w:pPr>
      <w:spacing w:after="0" w:line="240" w:lineRule="auto"/>
    </w:pPr>
    <w:tblPr>
      <w:tblBorders>
        <w:bottom w:val="single" w:color="A3B9E4" w:themeColor="accent1" w:themeTint="80" w:sz="4" w:space="0"/>
        <w:right w:val="single" w:color="A3B9E4" w:themeColor="accent1" w:themeTint="80" w:sz="4" w:space="0"/>
        <w:insideH w:val="single" w:color="A3B9E4" w:themeColor="accent1" w:themeTint="80" w:sz="4" w:space="0"/>
        <w:insideV w:val="single" w:color="A3B9E4" w:themeColor="accent1" w:themeTint="80" w:sz="4" w:space="0"/>
      </w:tblBorders>
    </w:tblPr>
    <w:tblStylePr w:type="firstRow">
      <w:rPr>
        <w:rFonts w:ascii="Arial" w:hAnsi="Arial"/>
        <w:b/>
        <w:color w:val="A4BAE5" w:themeColor="accent1" w:themeTint="80"/>
        <w:sz w:val="22"/>
        <w14:textFill>
          <w14:solidFill>
            <w14:schemeClr w14:val="accent1">
              <w14:lumMod w14:val="50000"/>
              <w14:lumOff w14:val="50000"/>
            </w14:schemeClr>
          </w14:solidFill>
        </w14:textFill>
      </w:rPr>
      <w:tblPr/>
      <w:tcPr>
        <w:tcBorders>
          <w:top w:val="nil"/>
          <w:left w:val="nil"/>
          <w:bottom w:val="single" w:color="A3B9E4" w:themeColor="accent1" w:themeTint="80" w:sz="4" w:space="0"/>
          <w:right w:val="nil"/>
        </w:tcBorders>
        <w:shd w:val="clear" w:color="FFFFFF" w:themeColor="light1" w:fill="FFFFFF" w:themeFill="light1"/>
      </w:tcPr>
    </w:tblStylePr>
    <w:tblStylePr w:type="lastRow">
      <w:rPr>
        <w:rFonts w:ascii="Arial" w:hAnsi="Arial"/>
        <w:b/>
        <w:color w:val="A4BAE5" w:themeColor="accent1" w:themeTint="80"/>
        <w:sz w:val="22"/>
        <w14:textFill>
          <w14:solidFill>
            <w14:schemeClr w14:val="accent1">
              <w14:lumMod w14:val="50000"/>
              <w14:lumOff w14:val="50000"/>
            </w14:schemeClr>
          </w14:solidFill>
        </w14:textFill>
      </w:rPr>
      <w:tblPr/>
      <w:tcPr>
        <w:tcBorders>
          <w:top w:val="single" w:color="A3B9E4"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4BAE5" w:themeColor="accent1" w:themeTint="80"/>
        <w:sz w:val="22"/>
        <w14:textFill>
          <w14:solidFill>
            <w14:schemeClr w14:val="accent1">
              <w14:lumMod w14:val="50000"/>
              <w14:lumOff w14:val="50000"/>
            </w14:schemeClr>
          </w14:solidFill>
        </w14:textFill>
      </w:rPr>
      <w:tblPr/>
      <w:tcPr>
        <w:tcBorders>
          <w:top w:val="nil"/>
          <w:left w:val="nil"/>
          <w:bottom w:val="nil"/>
          <w:right w:val="single" w:color="A3B9E4" w:themeColor="accent1" w:themeTint="80" w:sz="4" w:space="0"/>
        </w:tcBorders>
        <w:shd w:val="clear" w:color="FFFFFF" w:fill="auto"/>
      </w:tcPr>
    </w:tblStylePr>
    <w:tblStylePr w:type="lastCol">
      <w:rPr>
        <w:rFonts w:ascii="Arial" w:hAnsi="Arial"/>
        <w:i/>
        <w:color w:val="A4BAE5" w:themeColor="accent1" w:themeTint="80"/>
        <w:sz w:val="22"/>
        <w14:textFill>
          <w14:solidFill>
            <w14:schemeClr w14:val="accent1">
              <w14:lumMod w14:val="50000"/>
              <w14:lumOff w14:val="50000"/>
            </w14:schemeClr>
          </w14:solidFill>
        </w14:textFill>
      </w:rPr>
      <w:tblPr/>
      <w:tcPr>
        <w:tcBorders>
          <w:top w:val="nil"/>
          <w:left w:val="single" w:color="A3B9E4" w:themeColor="accent1" w:themeTint="80" w:sz="4" w:space="0"/>
          <w:bottom w:val="nil"/>
          <w:right w:val="nil"/>
        </w:tcBorders>
        <w:shd w:val="clear" w:color="FFFFFF" w:fill="auto"/>
      </w:tcPr>
    </w:tblStylePr>
    <w:tblStylePr w:type="band1Vert">
      <w:tblPr/>
      <w:tcPr>
        <w:shd w:val="clear" w:color="D9E2F4" w:themeColor="accent1" w:themeTint="34" w:fill="D9E2F4" w:themeFill="accent1" w:themeFillTint="34"/>
      </w:tcPr>
    </w:tblStylePr>
    <w:tblStylePr w:type="band2Vert">
      <w:tblPr/>
    </w:tblStylePr>
    <w:tblStylePr w:type="band1Horz">
      <w:rPr>
        <w:rFonts w:ascii="Arial" w:hAnsi="Arial"/>
        <w:color w:val="A4BAE5" w:themeColor="accent1" w:themeTint="80"/>
        <w:sz w:val="22"/>
        <w14:textFill>
          <w14:solidFill>
            <w14:schemeClr w14:val="accent1">
              <w14:lumMod w14:val="50000"/>
              <w14:lumOff w14:val="50000"/>
            </w14:schemeClr>
          </w14:solidFill>
        </w14:textFill>
      </w:rPr>
      <w:tblPr/>
      <w:tcPr>
        <w:shd w:val="clear" w:color="D9E2F4" w:themeColor="accent1" w:themeTint="34" w:fill="D9E2F4" w:themeFill="accent1" w:themeFillTint="34"/>
      </w:tcPr>
    </w:tblStylePr>
    <w:tblStylePr w:type="band2Horz">
      <w:rPr>
        <w:rFonts w:ascii="Arial" w:hAnsi="Arial"/>
        <w:color w:val="A4BAE5"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7">
    <w:name w:val="Grid Table 7 Colorful - Accent 2"/>
    <w:basedOn w:val="39"/>
    <w:qFormat/>
    <w:uiPriority w:val="99"/>
    <w:pPr>
      <w:spacing w:after="0" w:line="240" w:lineRule="auto"/>
    </w:pPr>
    <w:tblPr>
      <w:tblBorders>
        <w:bottom w:val="single" w:color="F4B483" w:themeColor="accent2" w:themeTint="97" w:sz="4" w:space="0"/>
        <w:right w:val="single" w:color="F4B483" w:themeColor="accent2" w:themeTint="97" w:sz="4" w:space="0"/>
        <w:insideH w:val="single" w:color="F4B483" w:themeColor="accent2" w:themeTint="97" w:sz="4" w:space="0"/>
        <w:insideV w:val="single" w:color="F4B483" w:themeColor="accent2" w:themeTint="97" w:sz="4" w:space="0"/>
      </w:tblBorders>
    </w:tblPr>
    <w:tblStylePr w:type="firstRow">
      <w:rPr>
        <w:rFonts w:ascii="Arial" w:hAnsi="Arial"/>
        <w:b/>
        <w:color w:val="F5B584" w:themeColor="accent2" w:themeTint="96"/>
        <w:sz w:val="22"/>
        <w14:textFill>
          <w14:solidFill>
            <w14:schemeClr w14:val="accent2">
              <w14:lumMod w14:val="59000"/>
              <w14:lumOff w14:val="41000"/>
            </w14:schemeClr>
          </w14:solidFill>
        </w14:textFill>
      </w:rPr>
      <w:tblPr/>
      <w:tcPr>
        <w:tcBorders>
          <w:top w:val="nil"/>
          <w:left w:val="nil"/>
          <w:bottom w:val="single" w:color="F4B483" w:themeColor="accent2" w:themeTint="97" w:sz="4" w:space="0"/>
          <w:right w:val="nil"/>
        </w:tcBorders>
        <w:shd w:val="clear" w:color="FFFFFF" w:themeColor="light1" w:fill="FFFFFF" w:themeFill="light1"/>
      </w:tcPr>
    </w:tblStylePr>
    <w:tblStylePr w:type="lastRow">
      <w:rPr>
        <w:rFonts w:ascii="Arial" w:hAnsi="Arial"/>
        <w:b/>
        <w:color w:val="F5B584" w:themeColor="accent2" w:themeTint="96"/>
        <w:sz w:val="22"/>
        <w14:textFill>
          <w14:solidFill>
            <w14:schemeClr w14:val="accent2">
              <w14:lumMod w14:val="59000"/>
              <w14:lumOff w14:val="41000"/>
            </w14:schemeClr>
          </w14:solidFill>
        </w14:textFill>
      </w:rPr>
      <w:tblPr/>
      <w:tcPr>
        <w:tcBorders>
          <w:top w:val="single" w:color="F4B483"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5B584" w:themeColor="accent2" w:themeTint="96"/>
        <w:sz w:val="22"/>
        <w14:textFill>
          <w14:solidFill>
            <w14:schemeClr w14:val="accent2">
              <w14:lumMod w14:val="59000"/>
              <w14:lumOff w14:val="41000"/>
            </w14:schemeClr>
          </w14:solidFill>
        </w14:textFill>
      </w:rPr>
      <w:tblPr/>
      <w:tcPr>
        <w:tcBorders>
          <w:top w:val="nil"/>
          <w:left w:val="nil"/>
          <w:bottom w:val="nil"/>
          <w:right w:val="single" w:color="F4B483" w:themeColor="accent2" w:themeTint="97" w:sz="4" w:space="0"/>
        </w:tcBorders>
        <w:shd w:val="clear" w:color="FFFFFF" w:fill="auto"/>
      </w:tcPr>
    </w:tblStylePr>
    <w:tblStylePr w:type="lastCol">
      <w:rPr>
        <w:rFonts w:ascii="Arial" w:hAnsi="Arial"/>
        <w:i/>
        <w:color w:val="F5B584" w:themeColor="accent2" w:themeTint="96"/>
        <w:sz w:val="22"/>
        <w14:textFill>
          <w14:solidFill>
            <w14:schemeClr w14:val="accent2">
              <w14:lumMod w14:val="59000"/>
              <w14:lumOff w14:val="41000"/>
            </w14:schemeClr>
          </w14:solidFill>
        </w14:textFill>
      </w:rPr>
      <w:tblPr/>
      <w:tcPr>
        <w:tcBorders>
          <w:top w:val="nil"/>
          <w:left w:val="single" w:color="F4B483" w:themeColor="accent2" w:themeTint="97" w:sz="4" w:space="0"/>
          <w:bottom w:val="nil"/>
          <w:right w:val="nil"/>
        </w:tcBorders>
        <w:shd w:val="clear" w:color="FFFFFF" w:fill="auto"/>
      </w:tcPr>
    </w:tblStylePr>
    <w:tblStylePr w:type="band1Vert">
      <w:tblPr/>
      <w:tcPr>
        <w:shd w:val="clear" w:color="FBE6D6" w:themeColor="accent2" w:themeTint="32" w:fill="FBE6D6" w:themeFill="accent2" w:themeFillTint="32"/>
      </w:tcPr>
    </w:tblStylePr>
    <w:tblStylePr w:type="band2Vert">
      <w:tblPr/>
    </w:tblStylePr>
    <w:tblStylePr w:type="band1Horz">
      <w:rPr>
        <w:rFonts w:ascii="Arial" w:hAnsi="Arial"/>
        <w:color w:val="F5B584" w:themeColor="accent2" w:themeTint="96"/>
        <w:sz w:val="22"/>
        <w14:textFill>
          <w14:solidFill>
            <w14:schemeClr w14:val="accent2">
              <w14:lumMod w14:val="59000"/>
              <w14:lumOff w14:val="41000"/>
            </w14:schemeClr>
          </w14:solidFill>
        </w14:textFill>
      </w:rPr>
      <w:tblPr/>
      <w:tcPr>
        <w:shd w:val="clear" w:color="FBE6D6" w:themeColor="accent2" w:themeTint="32" w:fill="FBE6D6" w:themeFill="accent2" w:themeFillTint="32"/>
      </w:tcPr>
    </w:tblStylePr>
    <w:tblStylePr w:type="band2Horz">
      <w:rPr>
        <w:rFonts w:ascii="Arial" w:hAnsi="Arial"/>
        <w:color w:val="F5B584"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8">
    <w:name w:val="Grid Table 7 Colorful - Accent 3"/>
    <w:basedOn w:val="39"/>
    <w:qFormat/>
    <w:uiPriority w:val="99"/>
    <w:pPr>
      <w:spacing w:after="0" w:line="240" w:lineRule="auto"/>
    </w:pPr>
    <w:tblPr>
      <w:tblBorders>
        <w:bottom w:val="single" w:color="F3BA02" w:themeColor="accent3" w:themeTint="FE" w:sz="4" w:space="0"/>
        <w:right w:val="single" w:color="F3BA02" w:themeColor="accent3" w:themeTint="FE" w:sz="4" w:space="0"/>
        <w:insideH w:val="single" w:color="F3BA02" w:themeColor="accent3" w:themeTint="FE" w:sz="4" w:space="0"/>
        <w:insideV w:val="single" w:color="F3BA02" w:themeColor="accent3" w:themeTint="FE" w:sz="4" w:space="0"/>
      </w:tblBorders>
    </w:tblPr>
    <w:tblStylePr w:type="firstRow">
      <w:rPr>
        <w:rFonts w:ascii="Arial" w:hAnsi="Arial"/>
        <w:b/>
        <w:color w:val="F2BA02" w:themeColor="accent3" w:themeTint="FF"/>
        <w:sz w:val="22"/>
        <w14:textFill>
          <w14:solidFill>
            <w14:schemeClr w14:val="accent3">
              <w14:lumMod w14:val="100000"/>
              <w14:lumOff w14:val="0"/>
            </w14:schemeClr>
          </w14:solidFill>
        </w14:textFill>
      </w:rPr>
      <w:tblPr/>
      <w:tcPr>
        <w:tcBorders>
          <w:top w:val="nil"/>
          <w:left w:val="nil"/>
          <w:bottom w:val="single" w:color="F3BA02" w:themeColor="accent3" w:themeTint="FE" w:sz="4" w:space="0"/>
          <w:right w:val="nil"/>
        </w:tcBorders>
        <w:shd w:val="clear" w:color="FFFFFF" w:themeColor="light1" w:fill="FFFFFF" w:themeFill="light1"/>
      </w:tcPr>
    </w:tblStylePr>
    <w:tblStylePr w:type="lastRow">
      <w:rPr>
        <w:rFonts w:ascii="Arial" w:hAnsi="Arial"/>
        <w:b/>
        <w:color w:val="F2BA02" w:themeColor="accent3" w:themeTint="FF"/>
        <w:sz w:val="22"/>
        <w14:textFill>
          <w14:solidFill>
            <w14:schemeClr w14:val="accent3">
              <w14:lumMod w14:val="100000"/>
              <w14:lumOff w14:val="0"/>
            </w14:schemeClr>
          </w14:solidFill>
        </w14:textFill>
      </w:rPr>
      <w:tblPr/>
      <w:tcPr>
        <w:tcBorders>
          <w:top w:val="single" w:color="F3BA02"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F2BA02" w:themeColor="accent3" w:themeTint="FF"/>
        <w:sz w:val="22"/>
        <w14:textFill>
          <w14:solidFill>
            <w14:schemeClr w14:val="accent3">
              <w14:lumMod w14:val="100000"/>
              <w14:lumOff w14:val="0"/>
            </w14:schemeClr>
          </w14:solidFill>
        </w14:textFill>
      </w:rPr>
      <w:tblPr/>
      <w:tcPr>
        <w:tcBorders>
          <w:top w:val="nil"/>
          <w:left w:val="nil"/>
          <w:bottom w:val="nil"/>
          <w:right w:val="single" w:color="F3BA02" w:themeColor="accent3" w:themeTint="FE" w:sz="4" w:space="0"/>
        </w:tcBorders>
        <w:shd w:val="clear" w:color="FFFFFF" w:fill="auto"/>
      </w:tcPr>
    </w:tblStylePr>
    <w:tblStylePr w:type="lastCol">
      <w:rPr>
        <w:rFonts w:ascii="Arial" w:hAnsi="Arial"/>
        <w:i/>
        <w:color w:val="F2BA02" w:themeColor="accent3" w:themeTint="FF"/>
        <w:sz w:val="22"/>
        <w14:textFill>
          <w14:solidFill>
            <w14:schemeClr w14:val="accent3">
              <w14:lumMod w14:val="100000"/>
              <w14:lumOff w14:val="0"/>
            </w14:schemeClr>
          </w14:solidFill>
        </w14:textFill>
      </w:rPr>
      <w:tblPr/>
      <w:tcPr>
        <w:tcBorders>
          <w:top w:val="nil"/>
          <w:left w:val="single" w:color="F3BA02" w:themeColor="accent3" w:themeTint="FE" w:sz="4" w:space="0"/>
          <w:bottom w:val="nil"/>
          <w:right w:val="nil"/>
        </w:tcBorders>
        <w:shd w:val="clear" w:color="FFFFFF" w:fill="auto"/>
      </w:tcPr>
    </w:tblStylePr>
    <w:tblStylePr w:type="band1Vert">
      <w:tblPr/>
      <w:tcPr>
        <w:shd w:val="clear" w:color="FEF2C9" w:themeColor="accent3" w:themeTint="34" w:fill="FEF2C9" w:themeFill="accent3" w:themeFillTint="34"/>
      </w:tcPr>
    </w:tblStylePr>
    <w:tblStylePr w:type="band2Vert">
      <w:tblPr/>
    </w:tblStylePr>
    <w:tblStylePr w:type="band1Horz">
      <w:rPr>
        <w:rFonts w:ascii="Arial" w:hAnsi="Arial"/>
        <w:color w:val="F2BA02" w:themeColor="accent3" w:themeTint="FF"/>
        <w:sz w:val="22"/>
        <w14:textFill>
          <w14:solidFill>
            <w14:schemeClr w14:val="accent3">
              <w14:lumMod w14:val="100000"/>
              <w14:lumOff w14:val="0"/>
            </w14:schemeClr>
          </w14:solidFill>
        </w14:textFill>
      </w:rPr>
      <w:tblPr/>
      <w:tcPr>
        <w:shd w:val="clear" w:color="FEF2C9" w:themeColor="accent3" w:themeTint="34" w:fill="FEF2C9" w:themeFill="accent3" w:themeFillTint="34"/>
      </w:tcPr>
    </w:tblStylePr>
    <w:tblStylePr w:type="band2Horz">
      <w:rPr>
        <w:rFonts w:ascii="Arial" w:hAnsi="Arial"/>
        <w:color w:val="F2BA02"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9">
    <w:name w:val="Grid Table 7 Colorful - Accent 4"/>
    <w:basedOn w:val="39"/>
    <w:qFormat/>
    <w:uiPriority w:val="99"/>
    <w:pPr>
      <w:spacing w:after="0" w:line="240" w:lineRule="auto"/>
    </w:pPr>
    <w:tblPr>
      <w:tblBorders>
        <w:bottom w:val="single" w:color="ABD78C" w:themeColor="accent4" w:themeTint="9A" w:sz="4" w:space="0"/>
        <w:right w:val="single" w:color="ABD78C" w:themeColor="accent4" w:themeTint="9A" w:sz="4" w:space="0"/>
        <w:insideH w:val="single" w:color="ABD78C" w:themeColor="accent4" w:themeTint="9A" w:sz="4" w:space="0"/>
        <w:insideV w:val="single" w:color="ABD78C" w:themeColor="accent4" w:themeTint="9A" w:sz="4" w:space="0"/>
      </w:tblBorders>
    </w:tblPr>
    <w:tblStylePr w:type="firstRow">
      <w:rPr>
        <w:rFonts w:ascii="Arial" w:hAnsi="Arial"/>
        <w:b/>
        <w:color w:val="ACD78E" w:themeColor="accent4" w:themeTint="99"/>
        <w:sz w:val="22"/>
        <w14:textFill>
          <w14:solidFill>
            <w14:schemeClr w14:val="accent4">
              <w14:lumMod w14:val="60000"/>
              <w14:lumOff w14:val="40000"/>
            </w14:schemeClr>
          </w14:solidFill>
        </w14:textFill>
      </w:rPr>
      <w:tblPr/>
      <w:tcPr>
        <w:tcBorders>
          <w:top w:val="nil"/>
          <w:left w:val="nil"/>
          <w:bottom w:val="single" w:color="ABD78C" w:themeColor="accent4" w:themeTint="9A" w:sz="4" w:space="0"/>
          <w:right w:val="nil"/>
        </w:tcBorders>
        <w:shd w:val="clear" w:color="FFFFFF" w:themeColor="light1" w:fill="FFFFFF" w:themeFill="light1"/>
      </w:tcPr>
    </w:tblStylePr>
    <w:tblStylePr w:type="lastRow">
      <w:rPr>
        <w:rFonts w:ascii="Arial" w:hAnsi="Arial"/>
        <w:b/>
        <w:color w:val="ACD78E" w:themeColor="accent4" w:themeTint="99"/>
        <w:sz w:val="22"/>
        <w14:textFill>
          <w14:solidFill>
            <w14:schemeClr w14:val="accent4">
              <w14:lumMod w14:val="60000"/>
              <w14:lumOff w14:val="40000"/>
            </w14:schemeClr>
          </w14:solidFill>
        </w14:textFill>
      </w:rPr>
      <w:tblPr/>
      <w:tcPr>
        <w:tcBorders>
          <w:top w:val="single" w:color="ABD78C"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ACD78E" w:themeColor="accent4" w:themeTint="99"/>
        <w:sz w:val="22"/>
        <w14:textFill>
          <w14:solidFill>
            <w14:schemeClr w14:val="accent4">
              <w14:lumMod w14:val="60000"/>
              <w14:lumOff w14:val="40000"/>
            </w14:schemeClr>
          </w14:solidFill>
        </w14:textFill>
      </w:rPr>
      <w:tblPr/>
      <w:tcPr>
        <w:tcBorders>
          <w:top w:val="nil"/>
          <w:left w:val="nil"/>
          <w:bottom w:val="nil"/>
          <w:right w:val="single" w:color="ABD78C" w:themeColor="accent4" w:themeTint="9A" w:sz="4" w:space="0"/>
        </w:tcBorders>
        <w:shd w:val="clear" w:color="FFFFFF" w:fill="auto"/>
      </w:tcPr>
    </w:tblStylePr>
    <w:tblStylePr w:type="lastCol">
      <w:rPr>
        <w:rFonts w:ascii="Arial" w:hAnsi="Arial"/>
        <w:i/>
        <w:color w:val="ACD78E" w:themeColor="accent4" w:themeTint="99"/>
        <w:sz w:val="22"/>
        <w14:textFill>
          <w14:solidFill>
            <w14:schemeClr w14:val="accent4">
              <w14:lumMod w14:val="60000"/>
              <w14:lumOff w14:val="40000"/>
            </w14:schemeClr>
          </w14:solidFill>
        </w14:textFill>
      </w:rPr>
      <w:tblPr/>
      <w:tcPr>
        <w:tcBorders>
          <w:top w:val="nil"/>
          <w:left w:val="single" w:color="ABD78C" w:themeColor="accent4" w:themeTint="9A" w:sz="4" w:space="0"/>
          <w:bottom w:val="nil"/>
          <w:right w:val="nil"/>
        </w:tcBorders>
        <w:shd w:val="clear" w:color="FFFFFF" w:fill="auto"/>
      </w:tcPr>
    </w:tblStylePr>
    <w:tblStylePr w:type="band1Vert">
      <w:tblPr/>
      <w:tcPr>
        <w:shd w:val="clear" w:color="E2F1D8" w:themeColor="accent4" w:themeTint="34" w:fill="E2F1D8" w:themeFill="accent4" w:themeFillTint="34"/>
      </w:tcPr>
    </w:tblStylePr>
    <w:tblStylePr w:type="band2Vert">
      <w:tblPr/>
    </w:tblStylePr>
    <w:tblStylePr w:type="band1Horz">
      <w:rPr>
        <w:rFonts w:ascii="Arial" w:hAnsi="Arial"/>
        <w:color w:val="ACD78E" w:themeColor="accent4" w:themeTint="99"/>
        <w:sz w:val="22"/>
        <w14:textFill>
          <w14:solidFill>
            <w14:schemeClr w14:val="accent4">
              <w14:lumMod w14:val="60000"/>
              <w14:lumOff w14:val="40000"/>
            </w14:schemeClr>
          </w14:solidFill>
        </w14:textFill>
      </w:rPr>
      <w:tblPr/>
      <w:tcPr>
        <w:shd w:val="clear" w:color="E2F1D8" w:themeColor="accent4" w:themeTint="34" w:fill="E2F1D8" w:themeFill="accent4" w:themeFillTint="34"/>
      </w:tcPr>
    </w:tblStylePr>
    <w:tblStylePr w:type="band2Horz">
      <w:rPr>
        <w:rFonts w:ascii="Arial" w:hAnsi="Arial"/>
        <w:color w:val="ACD78E"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20">
    <w:name w:val="Grid Table 7 Colorful - Accent 5"/>
    <w:basedOn w:val="39"/>
    <w:qFormat/>
    <w:uiPriority w:val="99"/>
    <w:pPr>
      <w:spacing w:after="0" w:line="240" w:lineRule="auto"/>
    </w:pPr>
    <w:tblPr>
      <w:tblBorders>
        <w:bottom w:val="single" w:color="85E0D8" w:themeColor="accent5" w:themeTint="90" w:sz="4" w:space="0"/>
        <w:right w:val="single" w:color="85E0D8" w:themeColor="accent5" w:themeTint="90" w:sz="4" w:space="0"/>
        <w:insideH w:val="single" w:color="85E0D8" w:themeColor="accent5" w:themeTint="90" w:sz="4" w:space="0"/>
        <w:insideV w:val="single" w:color="85E0D8" w:themeColor="accent5" w:themeTint="90" w:sz="4" w:space="0"/>
      </w:tblBorders>
    </w:tblPr>
    <w:tblStylePr w:type="firstRow">
      <w:rPr>
        <w:rFonts w:ascii="Arial" w:hAnsi="Arial"/>
        <w:b/>
        <w:color w:val="1C6F68" w:themeColor="accent5" w:themeShade="94"/>
        <w:sz w:val="22"/>
      </w:rPr>
      <w:tblPr/>
      <w:tcPr>
        <w:tcBorders>
          <w:top w:val="nil"/>
          <w:left w:val="nil"/>
          <w:bottom w:val="single" w:color="85E0D8" w:themeColor="accent5" w:themeTint="90" w:sz="4" w:space="0"/>
          <w:right w:val="nil"/>
        </w:tcBorders>
        <w:shd w:val="clear" w:color="FFFFFF" w:themeColor="light1" w:fill="FFFFFF" w:themeFill="light1"/>
      </w:tcPr>
    </w:tblStylePr>
    <w:tblStylePr w:type="lastRow">
      <w:rPr>
        <w:rFonts w:ascii="Arial" w:hAnsi="Arial"/>
        <w:b/>
        <w:color w:val="1C6F68" w:themeColor="accent5" w:themeShade="94"/>
        <w:sz w:val="22"/>
      </w:rPr>
      <w:tblPr/>
      <w:tcPr>
        <w:tcBorders>
          <w:top w:val="single" w:color="85E0D8"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1C6F68" w:themeColor="accent5" w:themeShade="94"/>
        <w:sz w:val="22"/>
      </w:rPr>
      <w:tblPr/>
      <w:tcPr>
        <w:tcBorders>
          <w:top w:val="nil"/>
          <w:left w:val="nil"/>
          <w:bottom w:val="nil"/>
          <w:right w:val="single" w:color="85E0D8" w:themeColor="accent5" w:themeTint="90" w:sz="4" w:space="0"/>
        </w:tcBorders>
        <w:shd w:val="clear" w:color="FFFFFF" w:fill="auto"/>
      </w:tcPr>
    </w:tblStylePr>
    <w:tblStylePr w:type="lastCol">
      <w:rPr>
        <w:rFonts w:ascii="Arial" w:hAnsi="Arial"/>
        <w:i/>
        <w:color w:val="1C6F68" w:themeColor="accent5" w:themeShade="94"/>
        <w:sz w:val="22"/>
      </w:rPr>
      <w:tblPr/>
      <w:tcPr>
        <w:tcBorders>
          <w:top w:val="nil"/>
          <w:left w:val="single" w:color="85E0D8" w:themeColor="accent5" w:themeTint="90" w:sz="4" w:space="0"/>
          <w:bottom w:val="nil"/>
          <w:right w:val="nil"/>
        </w:tcBorders>
        <w:shd w:val="clear" w:color="FFFFFF" w:fill="auto"/>
      </w:tcPr>
    </w:tblStylePr>
    <w:tblStylePr w:type="band1Vert">
      <w:tblPr/>
      <w:tcPr>
        <w:shd w:val="clear" w:color="D2F3F1" w:themeColor="accent5" w:themeTint="34" w:fill="D2F3F1" w:themeFill="accent5" w:themeFillTint="34"/>
      </w:tcPr>
    </w:tblStylePr>
    <w:tblStylePr w:type="band2Vert">
      <w:tblPr/>
    </w:tblStylePr>
    <w:tblStylePr w:type="band1Horz">
      <w:rPr>
        <w:rFonts w:ascii="Arial" w:hAnsi="Arial"/>
        <w:color w:val="1C6F68" w:themeColor="accent5" w:themeShade="94"/>
        <w:sz w:val="22"/>
      </w:rPr>
      <w:tblPr/>
      <w:tcPr>
        <w:shd w:val="clear" w:color="D2F3F1" w:themeColor="accent5" w:themeTint="34" w:fill="D2F3F1" w:themeFill="accent5" w:themeFillTint="34"/>
      </w:tcPr>
    </w:tblStylePr>
    <w:tblStylePr w:type="band2Horz">
      <w:rPr>
        <w:rFonts w:ascii="Arial" w:hAnsi="Arial"/>
        <w:color w:val="1C6F6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21">
    <w:name w:val="Grid Table 7 Colorful - Accent 6"/>
    <w:basedOn w:val="39"/>
    <w:qFormat/>
    <w:uiPriority w:val="99"/>
    <w:pPr>
      <w:spacing w:after="0" w:line="240" w:lineRule="auto"/>
    </w:pPr>
    <w:tblPr>
      <w:tblBorders>
        <w:bottom w:val="single" w:color="F099A4" w:themeColor="accent6" w:themeTint="90" w:sz="4" w:space="0"/>
        <w:right w:val="single" w:color="F099A4" w:themeColor="accent6" w:themeTint="90" w:sz="4" w:space="0"/>
        <w:insideH w:val="single" w:color="F099A4" w:themeColor="accent6" w:themeTint="90" w:sz="4" w:space="0"/>
        <w:insideV w:val="single" w:color="F099A4" w:themeColor="accent6" w:themeTint="90" w:sz="4" w:space="0"/>
      </w:tblBorders>
    </w:tblPr>
    <w:tblStylePr w:type="firstRow">
      <w:rPr>
        <w:rFonts w:ascii="Arial" w:hAnsi="Arial"/>
        <w:b/>
        <w:color w:val="9A1626" w:themeColor="accent6" w:themeShade="94"/>
        <w:sz w:val="22"/>
      </w:rPr>
      <w:tblPr/>
      <w:tcPr>
        <w:tcBorders>
          <w:top w:val="nil"/>
          <w:left w:val="nil"/>
          <w:bottom w:val="single" w:color="F099A4" w:themeColor="accent6" w:themeTint="90" w:sz="4" w:space="0"/>
          <w:right w:val="nil"/>
        </w:tcBorders>
        <w:shd w:val="clear" w:color="FFFFFF" w:themeColor="light1" w:fill="FFFFFF" w:themeFill="light1"/>
      </w:tcPr>
    </w:tblStylePr>
    <w:tblStylePr w:type="lastRow">
      <w:rPr>
        <w:rFonts w:ascii="Arial" w:hAnsi="Arial"/>
        <w:b/>
        <w:color w:val="9A1626" w:themeColor="accent6" w:themeShade="94"/>
        <w:sz w:val="22"/>
      </w:rPr>
      <w:tblPr/>
      <w:tcPr>
        <w:tcBorders>
          <w:top w:val="single" w:color="F099A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9A1626" w:themeColor="accent6" w:themeShade="94"/>
        <w:sz w:val="22"/>
      </w:rPr>
      <w:tblPr/>
      <w:tcPr>
        <w:tcBorders>
          <w:top w:val="nil"/>
          <w:left w:val="nil"/>
          <w:bottom w:val="nil"/>
          <w:right w:val="single" w:color="F099A4" w:themeColor="accent6" w:themeTint="90" w:sz="4" w:space="0"/>
        </w:tcBorders>
        <w:shd w:val="clear" w:color="FFFFFF" w:fill="auto"/>
      </w:tcPr>
    </w:tblStylePr>
    <w:tblStylePr w:type="lastCol">
      <w:rPr>
        <w:rFonts w:ascii="Arial" w:hAnsi="Arial"/>
        <w:i/>
        <w:color w:val="9A1626" w:themeColor="accent6" w:themeShade="94"/>
        <w:sz w:val="22"/>
      </w:rPr>
      <w:tblPr/>
      <w:tcPr>
        <w:tcBorders>
          <w:top w:val="nil"/>
          <w:left w:val="single" w:color="F099A4" w:themeColor="accent6" w:themeTint="90" w:sz="4" w:space="0"/>
          <w:bottom w:val="nil"/>
          <w:right w:val="nil"/>
        </w:tcBorders>
        <w:shd w:val="clear" w:color="FFFFFF" w:fill="auto"/>
      </w:tcPr>
    </w:tblStylePr>
    <w:tblStylePr w:type="band1Vert">
      <w:tblPr/>
      <w:tcPr>
        <w:shd w:val="clear" w:color="F9DADE" w:themeColor="accent6" w:themeTint="34" w:fill="F9DADE" w:themeFill="accent6" w:themeFillTint="34"/>
      </w:tcPr>
    </w:tblStylePr>
    <w:tblStylePr w:type="band2Vert">
      <w:tblPr/>
    </w:tblStylePr>
    <w:tblStylePr w:type="band1Horz">
      <w:rPr>
        <w:rFonts w:ascii="Arial" w:hAnsi="Arial"/>
        <w:color w:val="9A1626" w:themeColor="accent6" w:themeShade="94"/>
        <w:sz w:val="22"/>
      </w:rPr>
      <w:tblPr/>
      <w:tcPr>
        <w:shd w:val="clear" w:color="F9DADE" w:themeColor="accent6" w:themeTint="34" w:fill="F9DADE" w:themeFill="accent6" w:themeFillTint="34"/>
      </w:tcPr>
    </w:tblStylePr>
    <w:tblStylePr w:type="band2Horz">
      <w:rPr>
        <w:rFonts w:ascii="Arial" w:hAnsi="Arial"/>
        <w:color w:val="9A1626"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122">
    <w:name w:val="List Table 1 Light"/>
    <w:basedOn w:val="39"/>
    <w:qFormat/>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1 Light - Accent 1"/>
    <w:basedOn w:val="39"/>
    <w:qFormat/>
    <w:uiPriority w:val="99"/>
    <w:pPr>
      <w:spacing w:after="0" w:line="240" w:lineRule="auto"/>
    </w:pPr>
    <w:tblPr/>
    <w:tblStylePr w:type="firstRow">
      <w:rPr>
        <w:b/>
        <w:color w:val="404040"/>
      </w:rPr>
      <w:tblPr/>
      <w:tcPr>
        <w:tcBorders>
          <w:top w:val="nil"/>
          <w:left w:val="nil"/>
          <w:bottom w:val="single" w:color="4874CB" w:themeColor="accent1" w:sz="4" w:space="0"/>
          <w:right w:val="nil"/>
        </w:tcBorders>
      </w:tcPr>
    </w:tblStylePr>
    <w:tblStylePr w:type="lastRow">
      <w:rPr>
        <w:b/>
        <w:color w:val="404040"/>
      </w:rPr>
      <w:tblPr/>
      <w:tcPr>
        <w:tcBorders>
          <w:top w:val="single" w:color="4874CB"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1DCF1" w:themeColor="accent1" w:themeTint="40" w:fill="D1DCF1" w:themeFill="accent1" w:themeFillTint="40"/>
      </w:tcPr>
    </w:tblStylePr>
    <w:tblStylePr w:type="band2Vert">
      <w:tblPr/>
    </w:tblStylePr>
    <w:tblStylePr w:type="band1Horz">
      <w:tblPr/>
      <w:tcPr>
        <w:shd w:val="clear" w:color="D1DCF1" w:themeColor="accent1" w:themeTint="40" w:fill="D1DCF1"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1 Light - Accent 2"/>
    <w:basedOn w:val="39"/>
    <w:qFormat/>
    <w:uiPriority w:val="99"/>
    <w:pPr>
      <w:spacing w:after="0" w:line="240" w:lineRule="auto"/>
    </w:pPr>
    <w:tblPr/>
    <w:tblStylePr w:type="firstRow">
      <w:rPr>
        <w:b/>
        <w:color w:val="404040"/>
      </w:rPr>
      <w:tblPr/>
      <w:tcPr>
        <w:tcBorders>
          <w:top w:val="nil"/>
          <w:left w:val="nil"/>
          <w:bottom w:val="single" w:color="EE822F" w:themeColor="accent2" w:sz="4" w:space="0"/>
          <w:right w:val="nil"/>
        </w:tcBorders>
      </w:tcPr>
    </w:tblStylePr>
    <w:tblStylePr w:type="lastRow">
      <w:rPr>
        <w:b/>
        <w:color w:val="404040"/>
      </w:rPr>
      <w:tblPr/>
      <w:tcPr>
        <w:tcBorders>
          <w:top w:val="single" w:color="EE822F"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ADFCA" w:themeColor="accent2" w:themeTint="40" w:fill="FADFCA" w:themeFill="accent2" w:themeFillTint="40"/>
      </w:tcPr>
    </w:tblStylePr>
    <w:tblStylePr w:type="band2Vert">
      <w:tblPr/>
    </w:tblStylePr>
    <w:tblStylePr w:type="band1Horz">
      <w:tblPr/>
      <w:tcPr>
        <w:shd w:val="clear" w:color="FADFCA" w:themeColor="accent2" w:themeTint="40" w:fill="FADFCA"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1 Light - Accent 3"/>
    <w:basedOn w:val="39"/>
    <w:qFormat/>
    <w:uiPriority w:val="99"/>
    <w:pPr>
      <w:spacing w:after="0" w:line="240" w:lineRule="auto"/>
    </w:pPr>
    <w:tblPr/>
    <w:tblStylePr w:type="firstRow">
      <w:rPr>
        <w:b/>
        <w:color w:val="404040"/>
      </w:rPr>
      <w:tblPr/>
      <w:tcPr>
        <w:tcBorders>
          <w:top w:val="nil"/>
          <w:left w:val="nil"/>
          <w:bottom w:val="single" w:color="F2BA02" w:themeColor="accent3" w:sz="4" w:space="0"/>
          <w:right w:val="nil"/>
        </w:tcBorders>
      </w:tcPr>
    </w:tblStylePr>
    <w:tblStylePr w:type="lastRow">
      <w:rPr>
        <w:b/>
        <w:color w:val="404040"/>
      </w:rPr>
      <w:tblPr/>
      <w:tcPr>
        <w:tcBorders>
          <w:top w:val="single" w:color="F2BA02"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EEFBC" w:themeColor="accent3" w:themeTint="40" w:fill="FEEFBC" w:themeFill="accent3" w:themeFillTint="40"/>
      </w:tcPr>
    </w:tblStylePr>
    <w:tblStylePr w:type="band2Vert">
      <w:tblPr/>
    </w:tblStylePr>
    <w:tblStylePr w:type="band1Horz">
      <w:tblPr/>
      <w:tcPr>
        <w:shd w:val="clear" w:color="FEEFBC" w:themeColor="accent3" w:themeTint="40" w:fill="FEEFBC"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1 Light - Accent 4"/>
    <w:basedOn w:val="39"/>
    <w:qFormat/>
    <w:uiPriority w:val="99"/>
    <w:pPr>
      <w:spacing w:after="0" w:line="240" w:lineRule="auto"/>
    </w:pPr>
    <w:tblPr/>
    <w:tblStylePr w:type="firstRow">
      <w:rPr>
        <w:b/>
        <w:color w:val="404040"/>
      </w:rPr>
      <w:tblPr/>
      <w:tcPr>
        <w:tcBorders>
          <w:top w:val="nil"/>
          <w:left w:val="nil"/>
          <w:bottom w:val="single" w:color="75BD42" w:themeColor="accent4" w:sz="4" w:space="0"/>
          <w:right w:val="nil"/>
        </w:tcBorders>
      </w:tcPr>
    </w:tblStylePr>
    <w:tblStylePr w:type="lastRow">
      <w:rPr>
        <w:b/>
        <w:color w:val="404040"/>
      </w:rPr>
      <w:tblPr/>
      <w:tcPr>
        <w:tcBorders>
          <w:top w:val="single" w:color="75BD42"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CEECF" w:themeColor="accent4" w:themeTint="40" w:fill="DCEECF" w:themeFill="accent4" w:themeFillTint="40"/>
      </w:tcPr>
    </w:tblStylePr>
    <w:tblStylePr w:type="band2Vert">
      <w:tblPr/>
    </w:tblStylePr>
    <w:tblStylePr w:type="band1Horz">
      <w:tblPr/>
      <w:tcPr>
        <w:shd w:val="clear" w:color="DCEECF" w:themeColor="accent4" w:themeTint="40" w:fill="DCEECF"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1 Light - Accent 5"/>
    <w:basedOn w:val="39"/>
    <w:qFormat/>
    <w:uiPriority w:val="99"/>
    <w:pPr>
      <w:spacing w:after="0" w:line="240" w:lineRule="auto"/>
    </w:pPr>
    <w:tblPr/>
    <w:tblStylePr w:type="firstRow">
      <w:rPr>
        <w:b/>
        <w:color w:val="404040"/>
      </w:rPr>
      <w:tblPr/>
      <w:tcPr>
        <w:tcBorders>
          <w:top w:val="nil"/>
          <w:left w:val="nil"/>
          <w:bottom w:val="single" w:color="30C0B4" w:themeColor="accent5" w:sz="4" w:space="0"/>
          <w:right w:val="nil"/>
        </w:tcBorders>
      </w:tcPr>
    </w:tblStylePr>
    <w:tblStylePr w:type="lastRow">
      <w:rPr>
        <w:b/>
        <w:color w:val="404040"/>
      </w:rPr>
      <w:tblPr/>
      <w:tcPr>
        <w:tcBorders>
          <w:top w:val="single" w:color="30C0B4"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C8F1EE" w:themeColor="accent5" w:themeTint="40" w:fill="C8F1EE" w:themeFill="accent5" w:themeFillTint="40"/>
      </w:tcPr>
    </w:tblStylePr>
    <w:tblStylePr w:type="band2Vert">
      <w:tblPr/>
    </w:tblStylePr>
    <w:tblStylePr w:type="band1Horz">
      <w:tblPr/>
      <w:tcPr>
        <w:shd w:val="clear" w:color="C8F1EE" w:themeColor="accent5" w:themeTint="40" w:fill="C8F1EE"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1 Light - Accent 6"/>
    <w:basedOn w:val="39"/>
    <w:qFormat/>
    <w:uiPriority w:val="99"/>
    <w:pPr>
      <w:spacing w:after="0" w:line="240" w:lineRule="auto"/>
    </w:pPr>
    <w:tblPr/>
    <w:tblStylePr w:type="firstRow">
      <w:rPr>
        <w:b/>
        <w:color w:val="404040"/>
      </w:rPr>
      <w:tblPr/>
      <w:tcPr>
        <w:tcBorders>
          <w:top w:val="nil"/>
          <w:left w:val="nil"/>
          <w:bottom w:val="single" w:color="E54C5E" w:themeColor="accent6" w:sz="4" w:space="0"/>
          <w:right w:val="nil"/>
        </w:tcBorders>
      </w:tcPr>
    </w:tblStylePr>
    <w:tblStylePr w:type="lastRow">
      <w:rPr>
        <w:b/>
        <w:color w:val="404040"/>
      </w:rPr>
      <w:tblPr/>
      <w:tcPr>
        <w:tcBorders>
          <w:top w:val="single" w:color="E54C5E"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8D2D6" w:themeColor="accent6" w:themeTint="40" w:fill="F8D2D6" w:themeFill="accent6" w:themeFillTint="40"/>
      </w:tcPr>
    </w:tblStylePr>
    <w:tblStylePr w:type="band2Vert">
      <w:tblPr/>
    </w:tblStylePr>
    <w:tblStylePr w:type="band1Horz">
      <w:tblPr/>
      <w:tcPr>
        <w:shd w:val="clear" w:color="F8D2D6" w:themeColor="accent6" w:themeTint="40" w:fill="F8D2D6"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2"/>
    <w:basedOn w:val="39"/>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2 - Accent 1"/>
    <w:basedOn w:val="39"/>
    <w:qFormat/>
    <w:uiPriority w:val="99"/>
    <w:pPr>
      <w:spacing w:after="0" w:line="240" w:lineRule="auto"/>
    </w:pPr>
    <w:tblPr>
      <w:tblBorders>
        <w:top w:val="single" w:color="97B0E1" w:themeColor="accent1" w:themeTint="90" w:sz="4" w:space="0"/>
        <w:bottom w:val="single" w:color="97B0E1" w:themeColor="accent1" w:themeTint="90" w:sz="4" w:space="0"/>
        <w:insideH w:val="single" w:color="97B0E1" w:themeColor="accent1" w:themeTint="90" w:sz="4" w:space="0"/>
      </w:tblBorders>
    </w:tblPr>
    <w:tblStylePr w:type="firstRow">
      <w:rPr>
        <w:rFonts w:ascii="Arial" w:hAnsi="Arial"/>
        <w:b/>
        <w:color w:val="404040"/>
        <w:sz w:val="22"/>
      </w:rPr>
      <w:tblPr/>
      <w:tcPr>
        <w:tcBorders>
          <w:top w:val="single" w:color="97B0E1" w:themeColor="accent1" w:themeTint="90" w:sz="4" w:space="0"/>
          <w:left w:val="nil"/>
          <w:bottom w:val="single" w:color="97B0E1" w:themeColor="accent1" w:themeTint="90" w:sz="4" w:space="0"/>
          <w:right w:val="nil"/>
        </w:tcBorders>
      </w:tcPr>
    </w:tblStylePr>
    <w:tblStylePr w:type="lastRow">
      <w:rPr>
        <w:rFonts w:ascii="Arial" w:hAnsi="Arial"/>
        <w:b/>
        <w:color w:val="404040"/>
        <w:sz w:val="22"/>
      </w:rPr>
      <w:tblPr/>
      <w:tcPr>
        <w:tcBorders>
          <w:top w:val="single" w:color="97B0E1" w:themeColor="accent1" w:themeTint="90" w:sz="4" w:space="0"/>
          <w:left w:val="nil"/>
          <w:bottom w:val="single" w:color="97B0E1"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1DCF1" w:themeColor="accent1" w:themeTint="40" w:fill="D1DCF1" w:themeFill="accent1" w:themeFillTint="40"/>
      </w:tcPr>
    </w:tblStylePr>
    <w:tblStylePr w:type="band2Vert">
      <w:tblPr/>
    </w:tblStylePr>
    <w:tblStylePr w:type="band1Horz">
      <w:rPr>
        <w:rFonts w:ascii="Arial" w:hAnsi="Arial"/>
        <w:color w:val="404040"/>
        <w:sz w:val="22"/>
      </w:rPr>
      <w:tblPr/>
      <w:tcPr>
        <w:shd w:val="clear" w:color="D1DCF1" w:themeColor="accent1" w:themeTint="40" w:fill="D1DCF1"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2 - Accent 2"/>
    <w:basedOn w:val="39"/>
    <w:qFormat/>
    <w:uiPriority w:val="99"/>
    <w:pPr>
      <w:spacing w:after="0" w:line="240" w:lineRule="auto"/>
    </w:pPr>
    <w:tblPr>
      <w:tblBorders>
        <w:top w:val="single" w:color="F5B889" w:themeColor="accent2" w:themeTint="90" w:sz="4" w:space="0"/>
        <w:bottom w:val="single" w:color="F5B889" w:themeColor="accent2" w:themeTint="90" w:sz="4" w:space="0"/>
        <w:insideH w:val="single" w:color="F5B889" w:themeColor="accent2" w:themeTint="90" w:sz="4" w:space="0"/>
      </w:tblBorders>
    </w:tblPr>
    <w:tblStylePr w:type="firstRow">
      <w:rPr>
        <w:rFonts w:ascii="Arial" w:hAnsi="Arial"/>
        <w:b/>
        <w:color w:val="404040"/>
        <w:sz w:val="22"/>
      </w:rPr>
      <w:tblPr/>
      <w:tcPr>
        <w:tcBorders>
          <w:top w:val="single" w:color="F5B889" w:themeColor="accent2" w:themeTint="90" w:sz="4" w:space="0"/>
          <w:left w:val="nil"/>
          <w:bottom w:val="single" w:color="F5B889" w:themeColor="accent2" w:themeTint="90" w:sz="4" w:space="0"/>
          <w:right w:val="nil"/>
        </w:tcBorders>
      </w:tcPr>
    </w:tblStylePr>
    <w:tblStylePr w:type="lastRow">
      <w:rPr>
        <w:rFonts w:ascii="Arial" w:hAnsi="Arial"/>
        <w:b/>
        <w:color w:val="404040"/>
        <w:sz w:val="22"/>
      </w:rPr>
      <w:tblPr/>
      <w:tcPr>
        <w:tcBorders>
          <w:top w:val="single" w:color="F5B889" w:themeColor="accent2" w:themeTint="90" w:sz="4" w:space="0"/>
          <w:left w:val="nil"/>
          <w:bottom w:val="single" w:color="F5B889"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ADFCA" w:themeColor="accent2" w:themeTint="40" w:fill="FADFCA" w:themeFill="accent2" w:themeFillTint="40"/>
      </w:tcPr>
    </w:tblStylePr>
    <w:tblStylePr w:type="band2Vert">
      <w:tblPr/>
    </w:tblStylePr>
    <w:tblStylePr w:type="band1Horz">
      <w:rPr>
        <w:rFonts w:ascii="Arial" w:hAnsi="Arial"/>
        <w:color w:val="404040"/>
        <w:sz w:val="22"/>
      </w:rPr>
      <w:tblPr/>
      <w:tcPr>
        <w:shd w:val="clear" w:color="FADFCA" w:themeColor="accent2" w:themeTint="40" w:fill="FADFCA"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2 - Accent 3"/>
    <w:basedOn w:val="39"/>
    <w:qFormat/>
    <w:uiPriority w:val="99"/>
    <w:pPr>
      <w:spacing w:after="0" w:line="240" w:lineRule="auto"/>
    </w:pPr>
    <w:tblPr>
      <w:tblBorders>
        <w:top w:val="single" w:color="FDDB6A" w:themeColor="accent3" w:themeTint="90" w:sz="4" w:space="0"/>
        <w:bottom w:val="single" w:color="FDDB6A" w:themeColor="accent3" w:themeTint="90" w:sz="4" w:space="0"/>
        <w:insideH w:val="single" w:color="FDDB6A" w:themeColor="accent3" w:themeTint="90" w:sz="4" w:space="0"/>
      </w:tblBorders>
    </w:tblPr>
    <w:tblStylePr w:type="firstRow">
      <w:rPr>
        <w:rFonts w:ascii="Arial" w:hAnsi="Arial"/>
        <w:b/>
        <w:color w:val="404040"/>
        <w:sz w:val="22"/>
      </w:rPr>
      <w:tblPr/>
      <w:tcPr>
        <w:tcBorders>
          <w:top w:val="single" w:color="FDDB6A" w:themeColor="accent3" w:themeTint="90" w:sz="4" w:space="0"/>
          <w:left w:val="nil"/>
          <w:bottom w:val="single" w:color="FDDB6A" w:themeColor="accent3" w:themeTint="90" w:sz="4" w:space="0"/>
          <w:right w:val="nil"/>
        </w:tcBorders>
      </w:tcPr>
    </w:tblStylePr>
    <w:tblStylePr w:type="lastRow">
      <w:rPr>
        <w:rFonts w:ascii="Arial" w:hAnsi="Arial"/>
        <w:b/>
        <w:color w:val="404040"/>
        <w:sz w:val="22"/>
      </w:rPr>
      <w:tblPr/>
      <w:tcPr>
        <w:tcBorders>
          <w:top w:val="single" w:color="FDDB6A" w:themeColor="accent3" w:themeTint="90" w:sz="4" w:space="0"/>
          <w:left w:val="nil"/>
          <w:bottom w:val="single" w:color="FDDB6A"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EEFBC" w:themeColor="accent3" w:themeTint="40" w:fill="FEEFBC" w:themeFill="accent3" w:themeFillTint="40"/>
      </w:tcPr>
    </w:tblStylePr>
    <w:tblStylePr w:type="band2Vert">
      <w:tblPr/>
    </w:tblStylePr>
    <w:tblStylePr w:type="band1Horz">
      <w:rPr>
        <w:rFonts w:ascii="Arial" w:hAnsi="Arial"/>
        <w:color w:val="404040"/>
        <w:sz w:val="22"/>
      </w:rPr>
      <w:tblPr/>
      <w:tcPr>
        <w:shd w:val="clear" w:color="FEEFBC" w:themeColor="accent3" w:themeTint="40" w:fill="FEEFBC"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2 - Accent 4"/>
    <w:basedOn w:val="39"/>
    <w:qFormat/>
    <w:uiPriority w:val="99"/>
    <w:pPr>
      <w:spacing w:after="0" w:line="240" w:lineRule="auto"/>
    </w:pPr>
    <w:tblPr>
      <w:tblBorders>
        <w:top w:val="single" w:color="B1D994" w:themeColor="accent4" w:themeTint="90" w:sz="4" w:space="0"/>
        <w:bottom w:val="single" w:color="B1D994" w:themeColor="accent4" w:themeTint="90" w:sz="4" w:space="0"/>
        <w:insideH w:val="single" w:color="B1D994" w:themeColor="accent4" w:themeTint="90" w:sz="4" w:space="0"/>
      </w:tblBorders>
    </w:tblPr>
    <w:tblStylePr w:type="firstRow">
      <w:rPr>
        <w:rFonts w:ascii="Arial" w:hAnsi="Arial"/>
        <w:b/>
        <w:color w:val="404040"/>
        <w:sz w:val="22"/>
      </w:rPr>
      <w:tblPr/>
      <w:tcPr>
        <w:tcBorders>
          <w:top w:val="single" w:color="B1D994" w:themeColor="accent4" w:themeTint="90" w:sz="4" w:space="0"/>
          <w:left w:val="nil"/>
          <w:bottom w:val="single" w:color="B1D994" w:themeColor="accent4" w:themeTint="90" w:sz="4" w:space="0"/>
          <w:right w:val="nil"/>
        </w:tcBorders>
      </w:tcPr>
    </w:tblStylePr>
    <w:tblStylePr w:type="lastRow">
      <w:rPr>
        <w:rFonts w:ascii="Arial" w:hAnsi="Arial"/>
        <w:b/>
        <w:color w:val="404040"/>
        <w:sz w:val="22"/>
      </w:rPr>
      <w:tblPr/>
      <w:tcPr>
        <w:tcBorders>
          <w:top w:val="single" w:color="B1D994" w:themeColor="accent4" w:themeTint="90" w:sz="4" w:space="0"/>
          <w:left w:val="nil"/>
          <w:bottom w:val="single" w:color="B1D994"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CEECF" w:themeColor="accent4" w:themeTint="40" w:fill="DCEECF" w:themeFill="accent4" w:themeFillTint="40"/>
      </w:tcPr>
    </w:tblStylePr>
    <w:tblStylePr w:type="band2Vert">
      <w:tblPr/>
    </w:tblStylePr>
    <w:tblStylePr w:type="band1Horz">
      <w:rPr>
        <w:rFonts w:ascii="Arial" w:hAnsi="Arial"/>
        <w:color w:val="404040"/>
        <w:sz w:val="22"/>
      </w:rPr>
      <w:tblPr/>
      <w:tcPr>
        <w:shd w:val="clear" w:color="DCEECF" w:themeColor="accent4" w:themeTint="40" w:fill="DCEECF"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2 - Accent 5"/>
    <w:basedOn w:val="39"/>
    <w:qFormat/>
    <w:uiPriority w:val="99"/>
    <w:pPr>
      <w:spacing w:after="0" w:line="240" w:lineRule="auto"/>
    </w:pPr>
    <w:tblPr>
      <w:tblBorders>
        <w:top w:val="single" w:color="85E0D8" w:themeColor="accent5" w:themeTint="90" w:sz="4" w:space="0"/>
        <w:bottom w:val="single" w:color="85E0D8" w:themeColor="accent5" w:themeTint="90" w:sz="4" w:space="0"/>
        <w:insideH w:val="single" w:color="85E0D8" w:themeColor="accent5" w:themeTint="90" w:sz="4" w:space="0"/>
      </w:tblBorders>
    </w:tblPr>
    <w:tblStylePr w:type="firstRow">
      <w:rPr>
        <w:rFonts w:ascii="Arial" w:hAnsi="Arial"/>
        <w:b/>
        <w:color w:val="404040"/>
        <w:sz w:val="22"/>
      </w:rPr>
      <w:tblPr/>
      <w:tcPr>
        <w:tcBorders>
          <w:top w:val="single" w:color="85E0D8" w:themeColor="accent5" w:themeTint="90" w:sz="4" w:space="0"/>
          <w:left w:val="nil"/>
          <w:bottom w:val="single" w:color="85E0D8" w:themeColor="accent5" w:themeTint="90" w:sz="4" w:space="0"/>
          <w:right w:val="nil"/>
        </w:tcBorders>
      </w:tcPr>
    </w:tblStylePr>
    <w:tblStylePr w:type="lastRow">
      <w:rPr>
        <w:rFonts w:ascii="Arial" w:hAnsi="Arial"/>
        <w:b/>
        <w:color w:val="404040"/>
        <w:sz w:val="22"/>
      </w:rPr>
      <w:tblPr/>
      <w:tcPr>
        <w:tcBorders>
          <w:top w:val="single" w:color="85E0D8" w:themeColor="accent5" w:themeTint="90" w:sz="4" w:space="0"/>
          <w:left w:val="nil"/>
          <w:bottom w:val="single" w:color="85E0D8"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C8F1EE" w:themeColor="accent5" w:themeTint="40" w:fill="C8F1EE" w:themeFill="accent5" w:themeFillTint="40"/>
      </w:tcPr>
    </w:tblStylePr>
    <w:tblStylePr w:type="band2Vert">
      <w:tblPr/>
    </w:tblStylePr>
    <w:tblStylePr w:type="band1Horz">
      <w:rPr>
        <w:rFonts w:ascii="Arial" w:hAnsi="Arial"/>
        <w:color w:val="404040"/>
        <w:sz w:val="22"/>
      </w:rPr>
      <w:tblPr/>
      <w:tcPr>
        <w:shd w:val="clear" w:color="C8F1EE" w:themeColor="accent5" w:themeTint="40" w:fill="C8F1EE"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2 - Accent 6"/>
    <w:basedOn w:val="39"/>
    <w:qFormat/>
    <w:uiPriority w:val="99"/>
    <w:pPr>
      <w:spacing w:after="0" w:line="240" w:lineRule="auto"/>
    </w:pPr>
    <w:tblPr>
      <w:tblBorders>
        <w:top w:val="single" w:color="F099A4" w:themeColor="accent6" w:themeTint="90" w:sz="4" w:space="0"/>
        <w:bottom w:val="single" w:color="F099A4" w:themeColor="accent6" w:themeTint="90" w:sz="4" w:space="0"/>
        <w:insideH w:val="single" w:color="F099A4" w:themeColor="accent6" w:themeTint="90" w:sz="4" w:space="0"/>
      </w:tblBorders>
    </w:tblPr>
    <w:tblStylePr w:type="firstRow">
      <w:rPr>
        <w:rFonts w:ascii="Arial" w:hAnsi="Arial"/>
        <w:b/>
        <w:color w:val="404040"/>
        <w:sz w:val="22"/>
      </w:rPr>
      <w:tblPr/>
      <w:tcPr>
        <w:tcBorders>
          <w:top w:val="single" w:color="F099A4" w:themeColor="accent6" w:themeTint="90" w:sz="4" w:space="0"/>
          <w:left w:val="nil"/>
          <w:bottom w:val="single" w:color="F099A4" w:themeColor="accent6" w:themeTint="90" w:sz="4" w:space="0"/>
          <w:right w:val="nil"/>
        </w:tcBorders>
      </w:tcPr>
    </w:tblStylePr>
    <w:tblStylePr w:type="lastRow">
      <w:rPr>
        <w:rFonts w:ascii="Arial" w:hAnsi="Arial"/>
        <w:b/>
        <w:color w:val="404040"/>
        <w:sz w:val="22"/>
      </w:rPr>
      <w:tblPr/>
      <w:tcPr>
        <w:tcBorders>
          <w:top w:val="single" w:color="F099A4" w:themeColor="accent6" w:themeTint="90" w:sz="4" w:space="0"/>
          <w:left w:val="nil"/>
          <w:bottom w:val="single" w:color="F099A4"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8D2D6" w:themeColor="accent6" w:themeTint="40" w:fill="F8D2D6" w:themeFill="accent6" w:themeFillTint="40"/>
      </w:tcPr>
    </w:tblStylePr>
    <w:tblStylePr w:type="band2Vert">
      <w:tblPr/>
    </w:tblStylePr>
    <w:tblStylePr w:type="band1Horz">
      <w:rPr>
        <w:rFonts w:ascii="Arial" w:hAnsi="Arial"/>
        <w:color w:val="404040"/>
        <w:sz w:val="22"/>
      </w:rPr>
      <w:tblPr/>
      <w:tcPr>
        <w:shd w:val="clear" w:color="F8D2D6" w:themeColor="accent6" w:themeTint="40" w:fill="F8D2D6"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3"/>
    <w:basedOn w:val="39"/>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3 - Accent 1"/>
    <w:basedOn w:val="39"/>
    <w:qFormat/>
    <w:uiPriority w:val="99"/>
    <w:pPr>
      <w:spacing w:after="0" w:line="240" w:lineRule="auto"/>
    </w:pPr>
    <w:tblPr>
      <w:tblBorders>
        <w:top w:val="single" w:color="4874CB" w:themeColor="accent1" w:sz="4" w:space="0"/>
        <w:left w:val="single" w:color="4874CB" w:themeColor="accent1" w:sz="4" w:space="0"/>
        <w:bottom w:val="single" w:color="4874CB" w:themeColor="accent1" w:sz="4" w:space="0"/>
        <w:right w:val="single" w:color="4874CB" w:themeColor="accent1" w:sz="4" w:space="0"/>
      </w:tblBorders>
    </w:tblPr>
    <w:tblStylePr w:type="firstRow">
      <w:rPr>
        <w:rFonts w:ascii="Arial" w:hAnsi="Arial"/>
        <w:b/>
        <w:color w:val="FFFFFF"/>
        <w:sz w:val="22"/>
      </w:rPr>
      <w:tblPr/>
      <w:tcPr>
        <w:shd w:val="clear" w:color="4874CB" w:themeColor="accent1" w:fill="4874CB"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874CB" w:themeColor="accent1" w:sz="4" w:space="0"/>
          <w:right w:val="single" w:color="4874CB" w:themeColor="accent1" w:sz="4" w:space="0"/>
        </w:tcBorders>
      </w:tcPr>
    </w:tblStylePr>
    <w:tblStylePr w:type="band2Vert">
      <w:tblPr/>
    </w:tblStylePr>
    <w:tblStylePr w:type="band1Horz">
      <w:rPr>
        <w:rFonts w:ascii="Arial" w:hAnsi="Arial"/>
        <w:color w:val="404040"/>
        <w:sz w:val="22"/>
      </w:rPr>
      <w:tblPr/>
      <w:tcPr>
        <w:tcBorders>
          <w:top w:val="single" w:color="4874CB" w:themeColor="accent1" w:sz="4" w:space="0"/>
          <w:bottom w:val="single" w:color="4874CB"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8">
    <w:name w:val="List Table 3 - Accent 2"/>
    <w:basedOn w:val="39"/>
    <w:qFormat/>
    <w:uiPriority w:val="99"/>
    <w:pPr>
      <w:spacing w:after="0" w:line="240" w:lineRule="auto"/>
    </w:pPr>
    <w:tblPr>
      <w:tblBorders>
        <w:top w:val="single" w:color="F4B483" w:themeColor="accent2" w:themeTint="97" w:sz="4" w:space="0"/>
        <w:left w:val="single" w:color="F4B483" w:themeColor="accent2" w:themeTint="97" w:sz="4" w:space="0"/>
        <w:bottom w:val="single" w:color="F4B483" w:themeColor="accent2" w:themeTint="97" w:sz="4" w:space="0"/>
        <w:right w:val="single" w:color="F4B483" w:themeColor="accent2" w:themeTint="97" w:sz="4" w:space="0"/>
      </w:tblBorders>
    </w:tblPr>
    <w:tblStylePr w:type="firstRow">
      <w:rPr>
        <w:rFonts w:ascii="Arial" w:hAnsi="Arial"/>
        <w:b/>
        <w:color w:val="FFFFFF"/>
        <w:sz w:val="22"/>
      </w:rPr>
      <w:tblPr/>
      <w:tcPr>
        <w:shd w:val="clear" w:color="F4B483" w:themeColor="accent2" w:themeTint="97" w:fill="F4B483"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4B483" w:themeColor="accent2" w:themeTint="97" w:sz="4" w:space="0"/>
          <w:right w:val="single" w:color="F4B483" w:themeColor="accent2" w:themeTint="97" w:sz="4" w:space="0"/>
        </w:tcBorders>
      </w:tcPr>
    </w:tblStylePr>
    <w:tblStylePr w:type="band2Vert">
      <w:tblPr/>
    </w:tblStylePr>
    <w:tblStylePr w:type="band1Horz">
      <w:rPr>
        <w:rFonts w:ascii="Arial" w:hAnsi="Arial"/>
        <w:color w:val="404040"/>
        <w:sz w:val="22"/>
      </w:rPr>
      <w:tblPr/>
      <w:tcPr>
        <w:tcBorders>
          <w:top w:val="single" w:color="F4B483" w:themeColor="accent2" w:themeTint="97" w:sz="4" w:space="0"/>
          <w:bottom w:val="single" w:color="F4B483"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9">
    <w:name w:val="List Table 3 - Accent 3"/>
    <w:basedOn w:val="39"/>
    <w:qFormat/>
    <w:uiPriority w:val="99"/>
    <w:pPr>
      <w:spacing w:after="0" w:line="240" w:lineRule="auto"/>
    </w:pPr>
    <w:tblPr>
      <w:tblBorders>
        <w:top w:val="single" w:color="FDD961" w:themeColor="accent3" w:themeTint="98" w:sz="4" w:space="0"/>
        <w:left w:val="single" w:color="FDD961" w:themeColor="accent3" w:themeTint="98" w:sz="4" w:space="0"/>
        <w:bottom w:val="single" w:color="FDD961" w:themeColor="accent3" w:themeTint="98" w:sz="4" w:space="0"/>
        <w:right w:val="single" w:color="FDD961" w:themeColor="accent3" w:themeTint="98" w:sz="4" w:space="0"/>
      </w:tblBorders>
    </w:tblPr>
    <w:tblStylePr w:type="firstRow">
      <w:rPr>
        <w:rFonts w:ascii="Arial" w:hAnsi="Arial"/>
        <w:b/>
        <w:color w:val="FFFFFF"/>
        <w:sz w:val="22"/>
      </w:rPr>
      <w:tblPr/>
      <w:tcPr>
        <w:shd w:val="clear" w:color="FDD961" w:themeColor="accent3" w:themeTint="98" w:fill="FDD961"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DD961" w:themeColor="accent3" w:themeTint="98" w:sz="4" w:space="0"/>
          <w:right w:val="single" w:color="FDD961" w:themeColor="accent3" w:themeTint="98" w:sz="4" w:space="0"/>
        </w:tcBorders>
      </w:tcPr>
    </w:tblStylePr>
    <w:tblStylePr w:type="band2Vert">
      <w:tblPr/>
    </w:tblStylePr>
    <w:tblStylePr w:type="band1Horz">
      <w:rPr>
        <w:rFonts w:ascii="Arial" w:hAnsi="Arial"/>
        <w:color w:val="404040"/>
        <w:sz w:val="22"/>
      </w:rPr>
      <w:tblPr/>
      <w:tcPr>
        <w:tcBorders>
          <w:top w:val="single" w:color="FDD961" w:themeColor="accent3" w:themeTint="98" w:sz="4" w:space="0"/>
          <w:bottom w:val="single" w:color="FDD961"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0">
    <w:name w:val="List Table 3 - Accent 4"/>
    <w:basedOn w:val="39"/>
    <w:qFormat/>
    <w:uiPriority w:val="99"/>
    <w:pPr>
      <w:spacing w:after="0" w:line="240" w:lineRule="auto"/>
    </w:pPr>
    <w:tblPr>
      <w:tblBorders>
        <w:top w:val="single" w:color="ABD78C" w:themeColor="accent4" w:themeTint="9A" w:sz="4" w:space="0"/>
        <w:left w:val="single" w:color="ABD78C" w:themeColor="accent4" w:themeTint="9A" w:sz="4" w:space="0"/>
        <w:bottom w:val="single" w:color="ABD78C" w:themeColor="accent4" w:themeTint="9A" w:sz="4" w:space="0"/>
        <w:right w:val="single" w:color="ABD78C" w:themeColor="accent4" w:themeTint="9A" w:sz="4" w:space="0"/>
      </w:tblBorders>
    </w:tblPr>
    <w:tblStylePr w:type="firstRow">
      <w:rPr>
        <w:rFonts w:ascii="Arial" w:hAnsi="Arial"/>
        <w:b/>
        <w:color w:val="FFFFFF"/>
        <w:sz w:val="22"/>
      </w:rPr>
      <w:tblPr/>
      <w:tcPr>
        <w:shd w:val="clear" w:color="ABD78C" w:themeColor="accent4" w:themeTint="9A" w:fill="ABD78C"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ABD78C" w:themeColor="accent4" w:themeTint="9A" w:sz="4" w:space="0"/>
          <w:right w:val="single" w:color="ABD78C" w:themeColor="accent4" w:themeTint="9A" w:sz="4" w:space="0"/>
        </w:tcBorders>
      </w:tcPr>
    </w:tblStylePr>
    <w:tblStylePr w:type="band2Vert">
      <w:tblPr/>
    </w:tblStylePr>
    <w:tblStylePr w:type="band1Horz">
      <w:rPr>
        <w:rFonts w:ascii="Arial" w:hAnsi="Arial"/>
        <w:color w:val="404040"/>
        <w:sz w:val="22"/>
      </w:rPr>
      <w:tblPr/>
      <w:tcPr>
        <w:tcBorders>
          <w:top w:val="single" w:color="ABD78C" w:themeColor="accent4" w:themeTint="9A" w:sz="4" w:space="0"/>
          <w:bottom w:val="single" w:color="ABD78C"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1">
    <w:name w:val="List Table 3 - Accent 5"/>
    <w:basedOn w:val="39"/>
    <w:qFormat/>
    <w:uiPriority w:val="99"/>
    <w:pPr>
      <w:spacing w:after="0" w:line="240" w:lineRule="auto"/>
    </w:pPr>
    <w:tblPr>
      <w:tblBorders>
        <w:top w:val="single" w:color="7CDED6" w:themeColor="accent5" w:themeTint="9A" w:sz="4" w:space="0"/>
        <w:left w:val="single" w:color="7CDED6" w:themeColor="accent5" w:themeTint="9A" w:sz="4" w:space="0"/>
        <w:bottom w:val="single" w:color="7CDED6" w:themeColor="accent5" w:themeTint="9A" w:sz="4" w:space="0"/>
        <w:right w:val="single" w:color="7CDED6" w:themeColor="accent5" w:themeTint="9A" w:sz="4" w:space="0"/>
      </w:tblBorders>
    </w:tblPr>
    <w:tblStylePr w:type="firstRow">
      <w:rPr>
        <w:rFonts w:ascii="Arial" w:hAnsi="Arial"/>
        <w:b/>
        <w:color w:val="FFFFFF"/>
        <w:sz w:val="22"/>
      </w:rPr>
      <w:tblPr/>
      <w:tcPr>
        <w:shd w:val="clear" w:color="7CDED6" w:themeColor="accent5" w:themeTint="9A" w:fill="7CDED6"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7CDED6" w:themeColor="accent5" w:themeTint="9A" w:sz="4" w:space="0"/>
          <w:right w:val="single" w:color="7CDED6" w:themeColor="accent5" w:themeTint="9A" w:sz="4" w:space="0"/>
        </w:tcBorders>
      </w:tcPr>
    </w:tblStylePr>
    <w:tblStylePr w:type="band2Vert">
      <w:tblPr/>
    </w:tblStylePr>
    <w:tblStylePr w:type="band1Horz">
      <w:rPr>
        <w:rFonts w:ascii="Arial" w:hAnsi="Arial"/>
        <w:color w:val="404040"/>
        <w:sz w:val="22"/>
      </w:rPr>
      <w:tblPr/>
      <w:tcPr>
        <w:tcBorders>
          <w:top w:val="single" w:color="7CDED6" w:themeColor="accent5" w:themeTint="9A" w:sz="4" w:space="0"/>
          <w:bottom w:val="single" w:color="7CDED6"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2">
    <w:name w:val="List Table 3 - Accent 6"/>
    <w:basedOn w:val="39"/>
    <w:qFormat/>
    <w:uiPriority w:val="99"/>
    <w:pPr>
      <w:spacing w:after="0" w:line="240" w:lineRule="auto"/>
    </w:pPr>
    <w:tblPr>
      <w:tblBorders>
        <w:top w:val="single" w:color="EF949F" w:themeColor="accent6" w:themeTint="98" w:sz="4" w:space="0"/>
        <w:left w:val="single" w:color="EF949F" w:themeColor="accent6" w:themeTint="98" w:sz="4" w:space="0"/>
        <w:bottom w:val="single" w:color="EF949F" w:themeColor="accent6" w:themeTint="98" w:sz="4" w:space="0"/>
        <w:right w:val="single" w:color="EF949F" w:themeColor="accent6" w:themeTint="98" w:sz="4" w:space="0"/>
      </w:tblBorders>
    </w:tblPr>
    <w:tblStylePr w:type="firstRow">
      <w:rPr>
        <w:rFonts w:ascii="Arial" w:hAnsi="Arial"/>
        <w:b/>
        <w:color w:val="FFFFFF"/>
        <w:sz w:val="22"/>
      </w:rPr>
      <w:tblPr/>
      <w:tcPr>
        <w:shd w:val="clear" w:color="EF949F" w:themeColor="accent6" w:themeTint="98" w:fill="EF949F"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EF949F" w:themeColor="accent6" w:themeTint="98" w:sz="4" w:space="0"/>
          <w:right w:val="single" w:color="EF949F" w:themeColor="accent6" w:themeTint="98" w:sz="4" w:space="0"/>
        </w:tcBorders>
      </w:tcPr>
    </w:tblStylePr>
    <w:tblStylePr w:type="band2Vert">
      <w:tblPr/>
    </w:tblStylePr>
    <w:tblStylePr w:type="band1Horz">
      <w:rPr>
        <w:rFonts w:ascii="Arial" w:hAnsi="Arial"/>
        <w:color w:val="404040"/>
        <w:sz w:val="22"/>
      </w:rPr>
      <w:tblPr/>
      <w:tcPr>
        <w:tcBorders>
          <w:top w:val="single" w:color="EF949F" w:themeColor="accent6" w:themeTint="98" w:sz="4" w:space="0"/>
          <w:bottom w:val="single" w:color="EF949F"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3">
    <w:name w:val="List Table 4"/>
    <w:basedOn w:val="39"/>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4">
    <w:name w:val="List Table 4 - Accent 1"/>
    <w:basedOn w:val="39"/>
    <w:qFormat/>
    <w:uiPriority w:val="99"/>
    <w:pPr>
      <w:spacing w:after="0" w:line="240" w:lineRule="auto"/>
    </w:pPr>
    <w:tblPr>
      <w:tblBorders>
        <w:top w:val="single" w:color="97B0E1" w:themeColor="accent1" w:themeTint="90" w:sz="4" w:space="0"/>
        <w:left w:val="single" w:color="97B0E1" w:themeColor="accent1" w:themeTint="90" w:sz="4" w:space="0"/>
        <w:bottom w:val="single" w:color="97B0E1" w:themeColor="accent1" w:themeTint="90" w:sz="4" w:space="0"/>
        <w:right w:val="single" w:color="97B0E1" w:themeColor="accent1" w:themeTint="90" w:sz="4" w:space="0"/>
        <w:insideH w:val="single" w:color="97B0E1" w:themeColor="accent1" w:themeTint="90" w:sz="4" w:space="0"/>
      </w:tblBorders>
    </w:tblPr>
    <w:tblStylePr w:type="firstRow">
      <w:rPr>
        <w:rFonts w:ascii="Arial" w:hAnsi="Arial"/>
        <w:b/>
        <w:color w:val="FFFFFF"/>
        <w:sz w:val="22"/>
      </w:rPr>
      <w:tblPr/>
      <w:tcPr>
        <w:shd w:val="clear" w:color="4874CB" w:themeColor="accent1" w:fill="4874CB"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1DCF1" w:themeColor="accent1" w:themeTint="40" w:fill="D1DCF1" w:themeFill="accent1" w:themeFillTint="40"/>
      </w:tcPr>
    </w:tblStylePr>
    <w:tblStylePr w:type="band2Vert">
      <w:tblPr/>
    </w:tblStylePr>
    <w:tblStylePr w:type="band1Horz">
      <w:rPr>
        <w:rFonts w:ascii="Arial" w:hAnsi="Arial"/>
        <w:color w:val="404040"/>
        <w:sz w:val="22"/>
      </w:rPr>
      <w:tblPr/>
      <w:tcPr>
        <w:shd w:val="clear" w:color="D1DCF1" w:themeColor="accent1" w:themeTint="40" w:fill="D1DCF1"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5">
    <w:name w:val="List Table 4 - Accent 2"/>
    <w:basedOn w:val="39"/>
    <w:qFormat/>
    <w:uiPriority w:val="99"/>
    <w:pPr>
      <w:spacing w:after="0" w:line="240" w:lineRule="auto"/>
    </w:pPr>
    <w:tblPr>
      <w:tblBorders>
        <w:top w:val="single" w:color="F5B889" w:themeColor="accent2" w:themeTint="90" w:sz="4" w:space="0"/>
        <w:left w:val="single" w:color="F5B889" w:themeColor="accent2" w:themeTint="90" w:sz="4" w:space="0"/>
        <w:bottom w:val="single" w:color="F5B889" w:themeColor="accent2" w:themeTint="90" w:sz="4" w:space="0"/>
        <w:right w:val="single" w:color="F5B889" w:themeColor="accent2" w:themeTint="90" w:sz="4" w:space="0"/>
        <w:insideH w:val="single" w:color="F5B889" w:themeColor="accent2" w:themeTint="90" w:sz="4" w:space="0"/>
      </w:tblBorders>
    </w:tblPr>
    <w:tblStylePr w:type="firstRow">
      <w:rPr>
        <w:rFonts w:ascii="Arial" w:hAnsi="Arial"/>
        <w:b/>
        <w:color w:val="FFFFFF"/>
        <w:sz w:val="22"/>
      </w:rPr>
      <w:tblPr/>
      <w:tcPr>
        <w:shd w:val="clear" w:color="EE822F" w:themeColor="accent2" w:fill="EE822F"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DFCA" w:themeColor="accent2" w:themeTint="40" w:fill="FADFCA" w:themeFill="accent2" w:themeFillTint="40"/>
      </w:tcPr>
    </w:tblStylePr>
    <w:tblStylePr w:type="band2Vert">
      <w:tblPr/>
    </w:tblStylePr>
    <w:tblStylePr w:type="band1Horz">
      <w:rPr>
        <w:rFonts w:ascii="Arial" w:hAnsi="Arial"/>
        <w:color w:val="404040"/>
        <w:sz w:val="22"/>
      </w:rPr>
      <w:tblPr/>
      <w:tcPr>
        <w:shd w:val="clear" w:color="FADFCA" w:themeColor="accent2" w:themeTint="40" w:fill="FADFCA"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6">
    <w:name w:val="List Table 4 - Accent 3"/>
    <w:basedOn w:val="39"/>
    <w:qFormat/>
    <w:uiPriority w:val="99"/>
    <w:pPr>
      <w:spacing w:after="0" w:line="240" w:lineRule="auto"/>
    </w:pPr>
    <w:tblPr>
      <w:tblBorders>
        <w:top w:val="single" w:color="FDDB6A" w:themeColor="accent3" w:themeTint="90" w:sz="4" w:space="0"/>
        <w:left w:val="single" w:color="FDDB6A" w:themeColor="accent3" w:themeTint="90" w:sz="4" w:space="0"/>
        <w:bottom w:val="single" w:color="FDDB6A" w:themeColor="accent3" w:themeTint="90" w:sz="4" w:space="0"/>
        <w:right w:val="single" w:color="FDDB6A" w:themeColor="accent3" w:themeTint="90" w:sz="4" w:space="0"/>
        <w:insideH w:val="single" w:color="FDDB6A" w:themeColor="accent3" w:themeTint="90" w:sz="4" w:space="0"/>
      </w:tblBorders>
    </w:tblPr>
    <w:tblStylePr w:type="firstRow">
      <w:rPr>
        <w:rFonts w:ascii="Arial" w:hAnsi="Arial"/>
        <w:b/>
        <w:color w:val="FFFFFF"/>
        <w:sz w:val="22"/>
      </w:rPr>
      <w:tblPr/>
      <w:tcPr>
        <w:shd w:val="clear" w:color="F2BA02" w:themeColor="accent3" w:fill="F2BA02"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EFBC" w:themeColor="accent3" w:themeTint="40" w:fill="FEEFBC" w:themeFill="accent3" w:themeFillTint="40"/>
      </w:tcPr>
    </w:tblStylePr>
    <w:tblStylePr w:type="band2Vert">
      <w:tblPr/>
    </w:tblStylePr>
    <w:tblStylePr w:type="band1Horz">
      <w:rPr>
        <w:rFonts w:ascii="Arial" w:hAnsi="Arial"/>
        <w:color w:val="404040"/>
        <w:sz w:val="22"/>
      </w:rPr>
      <w:tblPr/>
      <w:tcPr>
        <w:shd w:val="clear" w:color="FEEFBC" w:themeColor="accent3" w:themeTint="40" w:fill="FEEFBC"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7">
    <w:name w:val="List Table 4 - Accent 4"/>
    <w:basedOn w:val="39"/>
    <w:qFormat/>
    <w:uiPriority w:val="99"/>
    <w:pPr>
      <w:spacing w:after="0" w:line="240" w:lineRule="auto"/>
    </w:pPr>
    <w:tblPr>
      <w:tblBorders>
        <w:top w:val="single" w:color="B1D994" w:themeColor="accent4" w:themeTint="90" w:sz="4" w:space="0"/>
        <w:left w:val="single" w:color="B1D994" w:themeColor="accent4" w:themeTint="90" w:sz="4" w:space="0"/>
        <w:bottom w:val="single" w:color="B1D994" w:themeColor="accent4" w:themeTint="90" w:sz="4" w:space="0"/>
        <w:right w:val="single" w:color="B1D994" w:themeColor="accent4" w:themeTint="90" w:sz="4" w:space="0"/>
        <w:insideH w:val="single" w:color="B1D994" w:themeColor="accent4" w:themeTint="90" w:sz="4" w:space="0"/>
      </w:tblBorders>
    </w:tblPr>
    <w:tblStylePr w:type="firstRow">
      <w:rPr>
        <w:rFonts w:ascii="Arial" w:hAnsi="Arial"/>
        <w:b/>
        <w:color w:val="FFFFFF"/>
        <w:sz w:val="22"/>
      </w:rPr>
      <w:tblPr/>
      <w:tcPr>
        <w:shd w:val="clear" w:color="75BD42" w:themeColor="accent4" w:fill="75BD4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CEECF" w:themeColor="accent4" w:themeTint="40" w:fill="DCEECF" w:themeFill="accent4" w:themeFillTint="40"/>
      </w:tcPr>
    </w:tblStylePr>
    <w:tblStylePr w:type="band2Vert">
      <w:tblPr/>
    </w:tblStylePr>
    <w:tblStylePr w:type="band1Horz">
      <w:rPr>
        <w:rFonts w:ascii="Arial" w:hAnsi="Arial"/>
        <w:color w:val="404040"/>
        <w:sz w:val="22"/>
      </w:rPr>
      <w:tblPr/>
      <w:tcPr>
        <w:shd w:val="clear" w:color="DCEECF" w:themeColor="accent4" w:themeTint="40" w:fill="DCEECF"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8">
    <w:name w:val="List Table 4 - Accent 5"/>
    <w:basedOn w:val="39"/>
    <w:qFormat/>
    <w:uiPriority w:val="99"/>
    <w:pPr>
      <w:spacing w:after="0" w:line="240" w:lineRule="auto"/>
    </w:pPr>
    <w:tblPr>
      <w:tblBorders>
        <w:top w:val="single" w:color="85E0D8" w:themeColor="accent5" w:themeTint="90" w:sz="4" w:space="0"/>
        <w:left w:val="single" w:color="85E0D8" w:themeColor="accent5" w:themeTint="90" w:sz="4" w:space="0"/>
        <w:bottom w:val="single" w:color="85E0D8" w:themeColor="accent5" w:themeTint="90" w:sz="4" w:space="0"/>
        <w:right w:val="single" w:color="85E0D8" w:themeColor="accent5" w:themeTint="90" w:sz="4" w:space="0"/>
        <w:insideH w:val="single" w:color="85E0D8" w:themeColor="accent5" w:themeTint="90" w:sz="4" w:space="0"/>
      </w:tblBorders>
    </w:tblPr>
    <w:tblStylePr w:type="firstRow">
      <w:rPr>
        <w:rFonts w:ascii="Arial" w:hAnsi="Arial"/>
        <w:b/>
        <w:color w:val="FFFFFF"/>
        <w:sz w:val="22"/>
      </w:rPr>
      <w:tblPr/>
      <w:tcPr>
        <w:shd w:val="clear" w:color="30C0B4" w:themeColor="accent5" w:fill="30C0B4"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8F1EE" w:themeColor="accent5" w:themeTint="40" w:fill="C8F1EE" w:themeFill="accent5" w:themeFillTint="40"/>
      </w:tcPr>
    </w:tblStylePr>
    <w:tblStylePr w:type="band2Vert">
      <w:tblPr/>
    </w:tblStylePr>
    <w:tblStylePr w:type="band1Horz">
      <w:rPr>
        <w:rFonts w:ascii="Arial" w:hAnsi="Arial"/>
        <w:color w:val="404040"/>
        <w:sz w:val="22"/>
      </w:rPr>
      <w:tblPr/>
      <w:tcPr>
        <w:shd w:val="clear" w:color="C8F1EE" w:themeColor="accent5" w:themeTint="40" w:fill="C8F1EE"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9">
    <w:name w:val="List Table 4 - Accent 6"/>
    <w:basedOn w:val="39"/>
    <w:qFormat/>
    <w:uiPriority w:val="99"/>
    <w:pPr>
      <w:spacing w:after="0" w:line="240" w:lineRule="auto"/>
    </w:pPr>
    <w:tblPr>
      <w:tblBorders>
        <w:top w:val="single" w:color="F099A4" w:themeColor="accent6" w:themeTint="90" w:sz="4" w:space="0"/>
        <w:left w:val="single" w:color="F099A4" w:themeColor="accent6" w:themeTint="90" w:sz="4" w:space="0"/>
        <w:bottom w:val="single" w:color="F099A4" w:themeColor="accent6" w:themeTint="90" w:sz="4" w:space="0"/>
        <w:right w:val="single" w:color="F099A4" w:themeColor="accent6" w:themeTint="90" w:sz="4" w:space="0"/>
        <w:insideH w:val="single" w:color="F099A4" w:themeColor="accent6" w:themeTint="90" w:sz="4" w:space="0"/>
      </w:tblBorders>
    </w:tblPr>
    <w:tblStylePr w:type="firstRow">
      <w:rPr>
        <w:rFonts w:ascii="Arial" w:hAnsi="Arial"/>
        <w:b/>
        <w:color w:val="FFFFFF"/>
        <w:sz w:val="22"/>
      </w:rPr>
      <w:tblPr/>
      <w:tcPr>
        <w:shd w:val="clear" w:color="E54C5E" w:themeColor="accent6" w:fill="E54C5E"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8D2D6" w:themeColor="accent6" w:themeTint="40" w:fill="F8D2D6" w:themeFill="accent6" w:themeFillTint="40"/>
      </w:tcPr>
    </w:tblStylePr>
    <w:tblStylePr w:type="band2Vert">
      <w:tblPr/>
    </w:tblStylePr>
    <w:tblStylePr w:type="band1Horz">
      <w:rPr>
        <w:rFonts w:ascii="Arial" w:hAnsi="Arial"/>
        <w:color w:val="404040"/>
        <w:sz w:val="22"/>
      </w:rPr>
      <w:tblPr/>
      <w:tcPr>
        <w:shd w:val="clear" w:color="F8D2D6" w:themeColor="accent6" w:themeTint="40" w:fill="F8D2D6"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50">
    <w:name w:val="List Table 5 Dark"/>
    <w:basedOn w:val="39"/>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51">
    <w:name w:val="List Table 5 Dark - Accent 1"/>
    <w:basedOn w:val="39"/>
    <w:qFormat/>
    <w:uiPriority w:val="99"/>
    <w:pPr>
      <w:spacing w:after="0" w:line="240" w:lineRule="auto"/>
    </w:pPr>
    <w:tblPr>
      <w:tblBorders>
        <w:top w:val="single" w:color="4874CB" w:themeColor="accent1" w:sz="32" w:space="0"/>
        <w:left w:val="single" w:color="4874CB" w:themeColor="accent1" w:sz="32" w:space="0"/>
        <w:bottom w:val="single" w:color="4874CB" w:themeColor="accent1" w:sz="32" w:space="0"/>
        <w:right w:val="single" w:color="4874CB"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4874CB" w:themeColor="accent1" w:sz="32" w:space="0"/>
          <w:bottom w:val="single" w:color="FFFFFF" w:themeColor="light1" w:sz="12" w:space="0"/>
        </w:tcBorders>
        <w:shd w:val="clear" w:color="4874CB" w:themeColor="accent1" w:fill="4874CB"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4874CB" w:themeColor="accent1" w:sz="32" w:space="0"/>
          <w:right w:val="single" w:color="FFFFFF" w:themeColor="light1" w:sz="4" w:space="0"/>
        </w:tcBorders>
      </w:tcPr>
    </w:tblStylePr>
    <w:tblStylePr w:type="lastCol">
      <w:tblPr/>
      <w:tcPr>
        <w:tcBorders>
          <w:left w:val="single" w:color="FFFFFF" w:themeColor="light1" w:sz="4" w:space="0"/>
          <w:right w:val="single" w:color="4874CB" w:themeColor="accent1" w:sz="32" w:space="0"/>
        </w:tcBorders>
      </w:tcPr>
    </w:tblStylePr>
    <w:tblStylePr w:type="band1Vert">
      <w:tblPr/>
      <w:tcPr>
        <w:tcBorders>
          <w:left w:val="single" w:color="FFFFFF" w:themeColor="light1" w:sz="4" w:space="0"/>
          <w:right w:val="single" w:color="FFFFFF" w:themeColor="light1" w:sz="4" w:space="0"/>
        </w:tcBorders>
        <w:shd w:val="clear" w:color="4874CB" w:themeColor="accent1" w:fill="4874CB"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874CB" w:themeColor="accent1" w:fill="4874CB" w:themeFill="accent1"/>
      </w:tcPr>
    </w:tblStylePr>
    <w:tblStylePr w:type="band2Horz">
      <w:tblPr/>
      <w:tcPr>
        <w:tcBorders>
          <w:top w:val="single" w:color="FFFFFF" w:themeColor="light1" w:sz="4" w:space="0"/>
          <w:bottom w:val="single" w:color="FFFFFF" w:themeColor="light1" w:sz="4" w:space="0"/>
        </w:tcBorders>
        <w:shd w:val="clear" w:color="4874CB" w:themeColor="accent1" w:fill="4874CB" w:themeFill="accent1"/>
      </w:tcPr>
    </w:tblStylePr>
    <w:tblStylePr w:type="neCell">
      <w:tblPr/>
    </w:tblStylePr>
    <w:tblStylePr w:type="nwCell">
      <w:tblPr/>
    </w:tblStylePr>
    <w:tblStylePr w:type="seCell">
      <w:tblPr/>
    </w:tblStylePr>
    <w:tblStylePr w:type="swCell">
      <w:tblPr/>
    </w:tblStylePr>
  </w:style>
  <w:style w:type="table" w:customStyle="1" w:styleId="152">
    <w:name w:val="List Table 5 Dark - Accent 2"/>
    <w:basedOn w:val="39"/>
    <w:qFormat/>
    <w:uiPriority w:val="99"/>
    <w:pPr>
      <w:spacing w:after="0" w:line="240" w:lineRule="auto"/>
    </w:pPr>
    <w:tblPr>
      <w:tblBorders>
        <w:top w:val="single" w:color="F4B483" w:themeColor="accent2" w:themeTint="97" w:sz="32" w:space="0"/>
        <w:left w:val="single" w:color="F4B483" w:themeColor="accent2" w:themeTint="97" w:sz="32" w:space="0"/>
        <w:bottom w:val="single" w:color="F4B483" w:themeColor="accent2" w:themeTint="97" w:sz="32" w:space="0"/>
        <w:right w:val="single" w:color="F4B483"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F4B483" w:themeColor="accent2" w:themeTint="97" w:sz="32" w:space="0"/>
          <w:bottom w:val="single" w:color="FFFFFF" w:themeColor="light1" w:sz="12" w:space="0"/>
        </w:tcBorders>
        <w:shd w:val="clear" w:color="F4B483" w:themeColor="accent2" w:themeTint="97" w:fill="F4B483"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4B483" w:themeColor="accent2" w:themeTint="97" w:sz="32" w:space="0"/>
          <w:right w:val="single" w:color="FFFFFF" w:themeColor="light1" w:sz="4" w:space="0"/>
        </w:tcBorders>
      </w:tcPr>
    </w:tblStylePr>
    <w:tblStylePr w:type="lastCol">
      <w:tblPr/>
      <w:tcPr>
        <w:tcBorders>
          <w:left w:val="single" w:color="FFFFFF" w:themeColor="light1" w:sz="4" w:space="0"/>
          <w:right w:val="single" w:color="F4B483"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F4B483" w:themeColor="accent2" w:themeTint="97" w:fill="F4B483"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4B483" w:themeColor="accent2" w:themeTint="97" w:fill="F4B483" w:themeFill="accent2" w:themeFillTint="97"/>
      </w:tcPr>
    </w:tblStylePr>
    <w:tblStylePr w:type="band2Horz">
      <w:tblPr/>
      <w:tcPr>
        <w:tcBorders>
          <w:top w:val="single" w:color="FFFFFF" w:themeColor="light1" w:sz="4" w:space="0"/>
          <w:bottom w:val="single" w:color="FFFFFF" w:themeColor="light1" w:sz="4" w:space="0"/>
        </w:tcBorders>
        <w:shd w:val="clear" w:color="F4B483" w:themeColor="accent2" w:themeTint="97" w:fill="F4B483" w:themeFill="accent2" w:themeFillTint="97"/>
      </w:tcPr>
    </w:tblStylePr>
    <w:tblStylePr w:type="neCell">
      <w:tblPr/>
    </w:tblStylePr>
    <w:tblStylePr w:type="nwCell">
      <w:tblPr/>
    </w:tblStylePr>
    <w:tblStylePr w:type="seCell">
      <w:tblPr/>
    </w:tblStylePr>
    <w:tblStylePr w:type="swCell">
      <w:tblPr/>
    </w:tblStylePr>
  </w:style>
  <w:style w:type="table" w:customStyle="1" w:styleId="153">
    <w:name w:val="List Table 5 Dark - Accent 3"/>
    <w:basedOn w:val="39"/>
    <w:qFormat/>
    <w:uiPriority w:val="99"/>
    <w:pPr>
      <w:spacing w:after="0" w:line="240" w:lineRule="auto"/>
    </w:pPr>
    <w:tblPr>
      <w:tblBorders>
        <w:top w:val="single" w:color="FDD961" w:themeColor="accent3" w:themeTint="98" w:sz="32" w:space="0"/>
        <w:left w:val="single" w:color="FDD961" w:themeColor="accent3" w:themeTint="98" w:sz="32" w:space="0"/>
        <w:bottom w:val="single" w:color="FDD961" w:themeColor="accent3" w:themeTint="98" w:sz="32" w:space="0"/>
        <w:right w:val="single" w:color="FDD961"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FDD961" w:themeColor="accent3" w:themeTint="98" w:sz="32" w:space="0"/>
          <w:bottom w:val="single" w:color="FFFFFF" w:themeColor="light1" w:sz="12" w:space="0"/>
        </w:tcBorders>
        <w:shd w:val="clear" w:color="FDD961" w:themeColor="accent3" w:themeTint="98" w:fill="FDD961"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DD961" w:themeColor="accent3" w:themeTint="98" w:sz="32" w:space="0"/>
          <w:right w:val="single" w:color="FFFFFF" w:themeColor="light1" w:sz="4" w:space="0"/>
        </w:tcBorders>
      </w:tcPr>
    </w:tblStylePr>
    <w:tblStylePr w:type="lastCol">
      <w:tblPr/>
      <w:tcPr>
        <w:tcBorders>
          <w:left w:val="single" w:color="FFFFFF" w:themeColor="light1" w:sz="4" w:space="0"/>
          <w:right w:val="single" w:color="FDD961"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FDD961" w:themeColor="accent3" w:themeTint="98" w:fill="FDD961"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DD961" w:themeColor="accent3" w:themeTint="98" w:fill="FDD961" w:themeFill="accent3" w:themeFillTint="98"/>
      </w:tcPr>
    </w:tblStylePr>
    <w:tblStylePr w:type="band2Horz">
      <w:tblPr/>
      <w:tcPr>
        <w:tcBorders>
          <w:top w:val="single" w:color="FFFFFF" w:themeColor="light1" w:sz="4" w:space="0"/>
          <w:bottom w:val="single" w:color="FFFFFF" w:themeColor="light1" w:sz="4" w:space="0"/>
        </w:tcBorders>
        <w:shd w:val="clear" w:color="FDD961" w:themeColor="accent3" w:themeTint="98" w:fill="FDD961" w:themeFill="accent3" w:themeFillTint="98"/>
      </w:tcPr>
    </w:tblStylePr>
    <w:tblStylePr w:type="neCell">
      <w:tblPr/>
    </w:tblStylePr>
    <w:tblStylePr w:type="nwCell">
      <w:tblPr/>
    </w:tblStylePr>
    <w:tblStylePr w:type="seCell">
      <w:tblPr/>
    </w:tblStylePr>
    <w:tblStylePr w:type="swCell">
      <w:tblPr/>
    </w:tblStylePr>
  </w:style>
  <w:style w:type="table" w:customStyle="1" w:styleId="154">
    <w:name w:val="List Table 5 Dark - Accent 4"/>
    <w:basedOn w:val="39"/>
    <w:qFormat/>
    <w:uiPriority w:val="99"/>
    <w:pPr>
      <w:spacing w:after="0" w:line="240" w:lineRule="auto"/>
    </w:pPr>
    <w:tblPr>
      <w:tblBorders>
        <w:top w:val="single" w:color="ABD78C" w:themeColor="accent4" w:themeTint="9A" w:sz="32" w:space="0"/>
        <w:left w:val="single" w:color="ABD78C" w:themeColor="accent4" w:themeTint="9A" w:sz="32" w:space="0"/>
        <w:bottom w:val="single" w:color="ABD78C" w:themeColor="accent4" w:themeTint="9A" w:sz="32" w:space="0"/>
        <w:right w:val="single" w:color="ABD78C"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ABD78C" w:themeColor="accent4" w:themeTint="9A" w:sz="32" w:space="0"/>
          <w:bottom w:val="single" w:color="FFFFFF" w:themeColor="light1" w:sz="12" w:space="0"/>
        </w:tcBorders>
        <w:shd w:val="clear" w:color="ABD78C" w:themeColor="accent4" w:themeTint="9A" w:fill="ABD78C"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ABD78C" w:themeColor="accent4" w:themeTint="9A" w:sz="32" w:space="0"/>
          <w:right w:val="single" w:color="FFFFFF" w:themeColor="light1" w:sz="4" w:space="0"/>
        </w:tcBorders>
      </w:tcPr>
    </w:tblStylePr>
    <w:tblStylePr w:type="lastCol">
      <w:tblPr/>
      <w:tcPr>
        <w:tcBorders>
          <w:left w:val="single" w:color="FFFFFF" w:themeColor="light1" w:sz="4" w:space="0"/>
          <w:right w:val="single" w:color="ABD78C"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ABD78C" w:themeColor="accent4" w:themeTint="9A" w:fill="ABD78C"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BD78C" w:themeColor="accent4" w:themeTint="9A" w:fill="ABD78C" w:themeFill="accent4" w:themeFillTint="9A"/>
      </w:tcPr>
    </w:tblStylePr>
    <w:tblStylePr w:type="band2Horz">
      <w:tblPr/>
      <w:tcPr>
        <w:tcBorders>
          <w:top w:val="single" w:color="FFFFFF" w:themeColor="light1" w:sz="4" w:space="0"/>
          <w:bottom w:val="single" w:color="FFFFFF" w:themeColor="light1" w:sz="4" w:space="0"/>
        </w:tcBorders>
        <w:shd w:val="clear" w:color="ABD78C" w:themeColor="accent4" w:themeTint="9A" w:fill="ABD78C" w:themeFill="accent4" w:themeFillTint="9A"/>
      </w:tcPr>
    </w:tblStylePr>
    <w:tblStylePr w:type="neCell">
      <w:tblPr/>
    </w:tblStylePr>
    <w:tblStylePr w:type="nwCell">
      <w:tblPr/>
    </w:tblStylePr>
    <w:tblStylePr w:type="seCell">
      <w:tblPr/>
    </w:tblStylePr>
    <w:tblStylePr w:type="swCell">
      <w:tblPr/>
    </w:tblStylePr>
  </w:style>
  <w:style w:type="table" w:customStyle="1" w:styleId="155">
    <w:name w:val="List Table 5 Dark - Accent 5"/>
    <w:basedOn w:val="39"/>
    <w:qFormat/>
    <w:uiPriority w:val="99"/>
    <w:pPr>
      <w:spacing w:after="0" w:line="240" w:lineRule="auto"/>
    </w:pPr>
    <w:tblPr>
      <w:tblBorders>
        <w:top w:val="single" w:color="7CDED6" w:themeColor="accent5" w:themeTint="9A" w:sz="32" w:space="0"/>
        <w:left w:val="single" w:color="7CDED6" w:themeColor="accent5" w:themeTint="9A" w:sz="32" w:space="0"/>
        <w:bottom w:val="single" w:color="7CDED6" w:themeColor="accent5" w:themeTint="9A" w:sz="32" w:space="0"/>
        <w:right w:val="single" w:color="7CDED6"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7CDED6" w:themeColor="accent5" w:themeTint="9A" w:sz="32" w:space="0"/>
          <w:bottom w:val="single" w:color="FFFFFF" w:themeColor="light1" w:sz="12" w:space="0"/>
        </w:tcBorders>
        <w:shd w:val="clear" w:color="7CDED6" w:themeColor="accent5" w:themeTint="9A" w:fill="7CDED6"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CDED6" w:themeColor="accent5" w:themeTint="9A" w:sz="32" w:space="0"/>
          <w:right w:val="single" w:color="FFFFFF" w:themeColor="light1" w:sz="4" w:space="0"/>
        </w:tcBorders>
      </w:tcPr>
    </w:tblStylePr>
    <w:tblStylePr w:type="lastCol">
      <w:tblPr/>
      <w:tcPr>
        <w:tcBorders>
          <w:left w:val="single" w:color="FFFFFF" w:themeColor="light1" w:sz="4" w:space="0"/>
          <w:right w:val="single" w:color="7CDED6"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7CDED6" w:themeColor="accent5" w:themeTint="9A" w:fill="7CDED6"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CDED6" w:themeColor="accent5" w:themeTint="9A" w:fill="7CDED6" w:themeFill="accent5" w:themeFillTint="9A"/>
      </w:tcPr>
    </w:tblStylePr>
    <w:tblStylePr w:type="band2Horz">
      <w:tblPr/>
      <w:tcPr>
        <w:tcBorders>
          <w:top w:val="single" w:color="FFFFFF" w:themeColor="light1" w:sz="4" w:space="0"/>
          <w:bottom w:val="single" w:color="FFFFFF" w:themeColor="light1" w:sz="4" w:space="0"/>
        </w:tcBorders>
        <w:shd w:val="clear" w:color="7CDED6" w:themeColor="accent5" w:themeTint="9A" w:fill="7CDED6" w:themeFill="accent5" w:themeFillTint="9A"/>
      </w:tcPr>
    </w:tblStylePr>
    <w:tblStylePr w:type="neCell">
      <w:tblPr/>
    </w:tblStylePr>
    <w:tblStylePr w:type="nwCell">
      <w:tblPr/>
    </w:tblStylePr>
    <w:tblStylePr w:type="seCell">
      <w:tblPr/>
    </w:tblStylePr>
    <w:tblStylePr w:type="swCell">
      <w:tblPr/>
    </w:tblStylePr>
  </w:style>
  <w:style w:type="table" w:customStyle="1" w:styleId="156">
    <w:name w:val="List Table 5 Dark - Accent 6"/>
    <w:basedOn w:val="39"/>
    <w:qFormat/>
    <w:uiPriority w:val="99"/>
    <w:pPr>
      <w:spacing w:after="0" w:line="240" w:lineRule="auto"/>
    </w:pPr>
    <w:tblPr>
      <w:tblBorders>
        <w:top w:val="single" w:color="EF949F" w:themeColor="accent6" w:themeTint="98" w:sz="32" w:space="0"/>
        <w:left w:val="single" w:color="EF949F" w:themeColor="accent6" w:themeTint="98" w:sz="32" w:space="0"/>
        <w:bottom w:val="single" w:color="EF949F" w:themeColor="accent6" w:themeTint="98" w:sz="32" w:space="0"/>
        <w:right w:val="single" w:color="EF949F"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EF949F" w:themeColor="accent6" w:themeTint="98" w:sz="32" w:space="0"/>
          <w:bottom w:val="single" w:color="FFFFFF" w:themeColor="light1" w:sz="12" w:space="0"/>
        </w:tcBorders>
        <w:shd w:val="clear" w:color="EF949F" w:themeColor="accent6" w:themeTint="98" w:fill="EF949F"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EF949F" w:themeColor="accent6" w:themeTint="98" w:sz="32" w:space="0"/>
          <w:right w:val="single" w:color="FFFFFF" w:themeColor="light1" w:sz="4" w:space="0"/>
        </w:tcBorders>
      </w:tcPr>
    </w:tblStylePr>
    <w:tblStylePr w:type="lastCol">
      <w:tblPr/>
      <w:tcPr>
        <w:tcBorders>
          <w:left w:val="single" w:color="FFFFFF" w:themeColor="light1" w:sz="4" w:space="0"/>
          <w:right w:val="single" w:color="EF949F"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EF949F" w:themeColor="accent6" w:themeTint="98" w:fill="EF949F"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EF949F" w:themeColor="accent6" w:themeTint="98" w:fill="EF949F" w:themeFill="accent6" w:themeFillTint="98"/>
      </w:tcPr>
    </w:tblStylePr>
    <w:tblStylePr w:type="band2Horz">
      <w:tblPr/>
      <w:tcPr>
        <w:tcBorders>
          <w:top w:val="single" w:color="FFFFFF" w:themeColor="light1" w:sz="4" w:space="0"/>
          <w:bottom w:val="single" w:color="FFFFFF" w:themeColor="light1" w:sz="4" w:space="0"/>
        </w:tcBorders>
        <w:shd w:val="clear" w:color="EF949F" w:themeColor="accent6" w:themeTint="98" w:fill="EF949F" w:themeFill="accent6" w:themeFillTint="98"/>
      </w:tcPr>
    </w:tblStylePr>
    <w:tblStylePr w:type="neCell">
      <w:tblPr/>
    </w:tblStylePr>
    <w:tblStylePr w:type="nwCell">
      <w:tblPr/>
    </w:tblStylePr>
    <w:tblStylePr w:type="seCell">
      <w:tblPr/>
    </w:tblStylePr>
    <w:tblStylePr w:type="swCell">
      <w:tblPr/>
    </w:tblStylePr>
  </w:style>
  <w:style w:type="table" w:customStyle="1" w:styleId="157">
    <w:name w:val="List Table 6 Colorful"/>
    <w:basedOn w:val="39"/>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58">
    <w:name w:val="List Table 6 Colorful - Accent 1"/>
    <w:basedOn w:val="39"/>
    <w:qFormat/>
    <w:uiPriority w:val="99"/>
    <w:pPr>
      <w:spacing w:after="0" w:line="240" w:lineRule="auto"/>
    </w:pPr>
    <w:tblPr>
      <w:tblBorders>
        <w:top w:val="single" w:color="4874CB" w:themeColor="accent1" w:sz="4" w:space="0"/>
        <w:bottom w:val="single" w:color="4874CB" w:themeColor="accent1" w:sz="4" w:space="0"/>
      </w:tblBorders>
    </w:tblPr>
    <w:tblStylePr w:type="firstRow">
      <w:rPr>
        <w:b/>
        <w:color w:val="23417C" w:themeColor="accent1" w:themeShade="94"/>
      </w:rPr>
      <w:tblPr/>
      <w:tcPr>
        <w:tcBorders>
          <w:bottom w:val="single" w:color="4874CB" w:themeColor="accent1" w:sz="4" w:space="0"/>
        </w:tcBorders>
      </w:tcPr>
    </w:tblStylePr>
    <w:tblStylePr w:type="lastRow">
      <w:rPr>
        <w:b/>
        <w:color w:val="23417C" w:themeColor="accent1" w:themeShade="94"/>
      </w:rPr>
      <w:tblPr/>
      <w:tcPr>
        <w:tcBorders>
          <w:top w:val="single" w:color="4874CB" w:themeColor="accent1" w:sz="4" w:space="0"/>
        </w:tcBorders>
      </w:tcPr>
    </w:tblStylePr>
    <w:tblStylePr w:type="firstCol">
      <w:rPr>
        <w:b/>
        <w:color w:val="23417C" w:themeColor="accent1" w:themeShade="94"/>
      </w:rPr>
      <w:tblPr/>
    </w:tblStylePr>
    <w:tblStylePr w:type="lastCol">
      <w:rPr>
        <w:b/>
        <w:color w:val="23417C" w:themeColor="accent1" w:themeShade="94"/>
      </w:rPr>
      <w:tblPr/>
    </w:tblStylePr>
    <w:tblStylePr w:type="band1Vert">
      <w:tblPr/>
      <w:tcPr>
        <w:shd w:val="clear" w:color="D1DCF1" w:themeColor="accent1" w:themeTint="40" w:fill="D1DCF1" w:themeFill="accent1" w:themeFillTint="40"/>
      </w:tcPr>
    </w:tblStylePr>
    <w:tblStylePr w:type="band2Vert">
      <w:tblPr/>
    </w:tblStylePr>
    <w:tblStylePr w:type="band1Horz">
      <w:rPr>
        <w:rFonts w:ascii="Arial" w:hAnsi="Arial"/>
        <w:color w:val="23417C" w:themeColor="accent1" w:themeShade="94"/>
        <w:sz w:val="22"/>
      </w:rPr>
      <w:tblPr/>
      <w:tcPr>
        <w:shd w:val="clear" w:color="D1DCF1" w:themeColor="accent1" w:themeTint="40" w:fill="D1DCF1" w:themeFill="accent1" w:themeFillTint="40"/>
      </w:tcPr>
    </w:tblStylePr>
    <w:tblStylePr w:type="band2Horz">
      <w:rPr>
        <w:rFonts w:ascii="Arial" w:hAnsi="Arial"/>
        <w:color w:val="23417C"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59">
    <w:name w:val="List Table 6 Colorful - Accent 2"/>
    <w:basedOn w:val="39"/>
    <w:qFormat/>
    <w:uiPriority w:val="99"/>
    <w:pPr>
      <w:spacing w:after="0" w:line="240" w:lineRule="auto"/>
    </w:pPr>
    <w:tblPr>
      <w:tblBorders>
        <w:top w:val="single" w:color="F4B483" w:themeColor="accent2" w:themeTint="97" w:sz="4" w:space="0"/>
        <w:bottom w:val="single" w:color="F4B483" w:themeColor="accent2" w:themeTint="97" w:sz="4" w:space="0"/>
      </w:tblBorders>
    </w:tblPr>
    <w:tblStylePr w:type="firstRow">
      <w:rPr>
        <w:b/>
        <w:color w:val="F5B584" w:themeColor="accent2" w:themeTint="96"/>
        <w14:textFill>
          <w14:solidFill>
            <w14:schemeClr w14:val="accent2">
              <w14:lumMod w14:val="59000"/>
              <w14:lumOff w14:val="41000"/>
            </w14:schemeClr>
          </w14:solidFill>
        </w14:textFill>
      </w:rPr>
      <w:tblPr/>
      <w:tcPr>
        <w:tcBorders>
          <w:bottom w:val="single" w:color="F4B483" w:themeColor="accent2" w:themeTint="97" w:sz="4" w:space="0"/>
        </w:tcBorders>
      </w:tcPr>
    </w:tblStylePr>
    <w:tblStylePr w:type="lastRow">
      <w:rPr>
        <w:b/>
        <w:color w:val="F5B584" w:themeColor="accent2" w:themeTint="96"/>
        <w14:textFill>
          <w14:solidFill>
            <w14:schemeClr w14:val="accent2">
              <w14:lumMod w14:val="59000"/>
              <w14:lumOff w14:val="41000"/>
            </w14:schemeClr>
          </w14:solidFill>
        </w14:textFill>
      </w:rPr>
      <w:tblPr/>
      <w:tcPr>
        <w:tcBorders>
          <w:top w:val="single" w:color="F4B483" w:themeColor="accent2" w:themeTint="97" w:sz="4" w:space="0"/>
        </w:tcBorders>
      </w:tcPr>
    </w:tblStylePr>
    <w:tblStylePr w:type="firstCol">
      <w:rPr>
        <w:b/>
        <w:color w:val="F5B584" w:themeColor="accent2" w:themeTint="96"/>
        <w14:textFill>
          <w14:solidFill>
            <w14:schemeClr w14:val="accent2">
              <w14:lumMod w14:val="59000"/>
              <w14:lumOff w14:val="41000"/>
            </w14:schemeClr>
          </w14:solidFill>
        </w14:textFill>
      </w:rPr>
      <w:tblPr/>
    </w:tblStylePr>
    <w:tblStylePr w:type="lastCol">
      <w:rPr>
        <w:b/>
        <w:color w:val="F5B584" w:themeColor="accent2" w:themeTint="96"/>
        <w14:textFill>
          <w14:solidFill>
            <w14:schemeClr w14:val="accent2">
              <w14:lumMod w14:val="59000"/>
              <w14:lumOff w14:val="41000"/>
            </w14:schemeClr>
          </w14:solidFill>
        </w14:textFill>
      </w:rPr>
      <w:tblPr/>
    </w:tblStylePr>
    <w:tblStylePr w:type="band1Vert">
      <w:tblPr/>
      <w:tcPr>
        <w:shd w:val="clear" w:color="FADFCA" w:themeColor="accent2" w:themeTint="40" w:fill="FADFCA" w:themeFill="accent2" w:themeFillTint="40"/>
      </w:tcPr>
    </w:tblStylePr>
    <w:tblStylePr w:type="band2Vert">
      <w:tblPr/>
    </w:tblStylePr>
    <w:tblStylePr w:type="band1Horz">
      <w:rPr>
        <w:rFonts w:ascii="Arial" w:hAnsi="Arial"/>
        <w:color w:val="F5B584" w:themeColor="accent2" w:themeTint="96"/>
        <w:sz w:val="22"/>
        <w14:textFill>
          <w14:solidFill>
            <w14:schemeClr w14:val="accent2">
              <w14:lumMod w14:val="59000"/>
              <w14:lumOff w14:val="41000"/>
            </w14:schemeClr>
          </w14:solidFill>
        </w14:textFill>
      </w:rPr>
      <w:tblPr/>
      <w:tcPr>
        <w:shd w:val="clear" w:color="FADFCA" w:themeColor="accent2" w:themeTint="40" w:fill="FADFCA" w:themeFill="accent2" w:themeFillTint="40"/>
      </w:tcPr>
    </w:tblStylePr>
    <w:tblStylePr w:type="band2Horz">
      <w:rPr>
        <w:rFonts w:ascii="Arial" w:hAnsi="Arial"/>
        <w:color w:val="F5B584"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0">
    <w:name w:val="List Table 6 Colorful - Accent 3"/>
    <w:basedOn w:val="39"/>
    <w:qFormat/>
    <w:uiPriority w:val="99"/>
    <w:pPr>
      <w:spacing w:after="0" w:line="240" w:lineRule="auto"/>
    </w:pPr>
    <w:tblPr>
      <w:tblBorders>
        <w:top w:val="single" w:color="FDD961" w:themeColor="accent3" w:themeTint="98" w:sz="4" w:space="0"/>
        <w:bottom w:val="single" w:color="FDD961" w:themeColor="accent3" w:themeTint="98" w:sz="4" w:space="0"/>
      </w:tblBorders>
    </w:tblPr>
    <w:tblStylePr w:type="firstRow">
      <w:rPr>
        <w:b/>
        <w:color w:val="FED961" w:themeColor="accent3" w:themeTint="99"/>
        <w14:textFill>
          <w14:solidFill>
            <w14:schemeClr w14:val="accent3">
              <w14:lumMod w14:val="60000"/>
              <w14:lumOff w14:val="40000"/>
            </w14:schemeClr>
          </w14:solidFill>
        </w14:textFill>
      </w:rPr>
      <w:tblPr/>
      <w:tcPr>
        <w:tcBorders>
          <w:bottom w:val="single" w:color="FDD961" w:themeColor="accent3" w:themeTint="98" w:sz="4" w:space="0"/>
        </w:tcBorders>
      </w:tcPr>
    </w:tblStylePr>
    <w:tblStylePr w:type="lastRow">
      <w:rPr>
        <w:b/>
        <w:color w:val="FED961" w:themeColor="accent3" w:themeTint="99"/>
        <w14:textFill>
          <w14:solidFill>
            <w14:schemeClr w14:val="accent3">
              <w14:lumMod w14:val="60000"/>
              <w14:lumOff w14:val="40000"/>
            </w14:schemeClr>
          </w14:solidFill>
        </w14:textFill>
      </w:rPr>
      <w:tblPr/>
      <w:tcPr>
        <w:tcBorders>
          <w:top w:val="single" w:color="FDD961" w:themeColor="accent3" w:themeTint="98" w:sz="4" w:space="0"/>
        </w:tcBorders>
      </w:tcPr>
    </w:tblStylePr>
    <w:tblStylePr w:type="firstCol">
      <w:rPr>
        <w:b/>
        <w:color w:val="FED961" w:themeColor="accent3" w:themeTint="99"/>
        <w14:textFill>
          <w14:solidFill>
            <w14:schemeClr w14:val="accent3">
              <w14:lumMod w14:val="60000"/>
              <w14:lumOff w14:val="40000"/>
            </w14:schemeClr>
          </w14:solidFill>
        </w14:textFill>
      </w:rPr>
      <w:tblPr/>
    </w:tblStylePr>
    <w:tblStylePr w:type="lastCol">
      <w:rPr>
        <w:b/>
        <w:color w:val="FED961" w:themeColor="accent3" w:themeTint="99"/>
        <w14:textFill>
          <w14:solidFill>
            <w14:schemeClr w14:val="accent3">
              <w14:lumMod w14:val="60000"/>
              <w14:lumOff w14:val="40000"/>
            </w14:schemeClr>
          </w14:solidFill>
        </w14:textFill>
      </w:rPr>
      <w:tblPr/>
    </w:tblStylePr>
    <w:tblStylePr w:type="band1Vert">
      <w:tblPr/>
      <w:tcPr>
        <w:shd w:val="clear" w:color="FEEFBC" w:themeColor="accent3" w:themeTint="40" w:fill="FEEFBC" w:themeFill="accent3" w:themeFillTint="40"/>
      </w:tcPr>
    </w:tblStylePr>
    <w:tblStylePr w:type="band2Vert">
      <w:tblPr/>
    </w:tblStylePr>
    <w:tblStylePr w:type="band1Horz">
      <w:rPr>
        <w:rFonts w:ascii="Arial" w:hAnsi="Arial"/>
        <w:color w:val="FED961" w:themeColor="accent3" w:themeTint="99"/>
        <w:sz w:val="22"/>
        <w14:textFill>
          <w14:solidFill>
            <w14:schemeClr w14:val="accent3">
              <w14:lumMod w14:val="60000"/>
              <w14:lumOff w14:val="40000"/>
            </w14:schemeClr>
          </w14:solidFill>
        </w14:textFill>
      </w:rPr>
      <w:tblPr/>
      <w:tcPr>
        <w:shd w:val="clear" w:color="FEEFBC" w:themeColor="accent3" w:themeTint="40" w:fill="FEEFBC" w:themeFill="accent3" w:themeFillTint="40"/>
      </w:tcPr>
    </w:tblStylePr>
    <w:tblStylePr w:type="band2Horz">
      <w:rPr>
        <w:rFonts w:ascii="Arial" w:hAnsi="Arial"/>
        <w:color w:val="FED961"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1">
    <w:name w:val="List Table 6 Colorful - Accent 4"/>
    <w:basedOn w:val="39"/>
    <w:qFormat/>
    <w:uiPriority w:val="99"/>
    <w:pPr>
      <w:spacing w:after="0" w:line="240" w:lineRule="auto"/>
    </w:pPr>
    <w:tblPr>
      <w:tblBorders>
        <w:top w:val="single" w:color="ABD78C" w:themeColor="accent4" w:themeTint="9A" w:sz="4" w:space="0"/>
        <w:bottom w:val="single" w:color="ABD78C" w:themeColor="accent4" w:themeTint="9A" w:sz="4" w:space="0"/>
      </w:tblBorders>
    </w:tblPr>
    <w:tblStylePr w:type="firstRow">
      <w:rPr>
        <w:b/>
        <w:color w:val="ACD78E" w:themeColor="accent4" w:themeTint="99"/>
        <w14:textFill>
          <w14:solidFill>
            <w14:schemeClr w14:val="accent4">
              <w14:lumMod w14:val="60000"/>
              <w14:lumOff w14:val="40000"/>
            </w14:schemeClr>
          </w14:solidFill>
        </w14:textFill>
      </w:rPr>
      <w:tblPr/>
      <w:tcPr>
        <w:tcBorders>
          <w:bottom w:val="single" w:color="ABD78C" w:themeColor="accent4" w:themeTint="9A" w:sz="4" w:space="0"/>
        </w:tcBorders>
      </w:tcPr>
    </w:tblStylePr>
    <w:tblStylePr w:type="lastRow">
      <w:rPr>
        <w:b/>
        <w:color w:val="ACD78E" w:themeColor="accent4" w:themeTint="99"/>
        <w14:textFill>
          <w14:solidFill>
            <w14:schemeClr w14:val="accent4">
              <w14:lumMod w14:val="60000"/>
              <w14:lumOff w14:val="40000"/>
            </w14:schemeClr>
          </w14:solidFill>
        </w14:textFill>
      </w:rPr>
      <w:tblPr/>
      <w:tcPr>
        <w:tcBorders>
          <w:top w:val="single" w:color="ABD78C" w:themeColor="accent4" w:themeTint="9A" w:sz="4" w:space="0"/>
        </w:tcBorders>
      </w:tcPr>
    </w:tblStylePr>
    <w:tblStylePr w:type="firstCol">
      <w:rPr>
        <w:b/>
        <w:color w:val="ACD78E" w:themeColor="accent4" w:themeTint="99"/>
        <w14:textFill>
          <w14:solidFill>
            <w14:schemeClr w14:val="accent4">
              <w14:lumMod w14:val="60000"/>
              <w14:lumOff w14:val="40000"/>
            </w14:schemeClr>
          </w14:solidFill>
        </w14:textFill>
      </w:rPr>
      <w:tblPr/>
    </w:tblStylePr>
    <w:tblStylePr w:type="lastCol">
      <w:rPr>
        <w:b/>
        <w:color w:val="ACD78E" w:themeColor="accent4" w:themeTint="99"/>
        <w14:textFill>
          <w14:solidFill>
            <w14:schemeClr w14:val="accent4">
              <w14:lumMod w14:val="60000"/>
              <w14:lumOff w14:val="40000"/>
            </w14:schemeClr>
          </w14:solidFill>
        </w14:textFill>
      </w:rPr>
      <w:tblPr/>
    </w:tblStylePr>
    <w:tblStylePr w:type="band1Vert">
      <w:tblPr/>
      <w:tcPr>
        <w:shd w:val="clear" w:color="DCEECF" w:themeColor="accent4" w:themeTint="40" w:fill="DCEECF" w:themeFill="accent4" w:themeFillTint="40"/>
      </w:tcPr>
    </w:tblStylePr>
    <w:tblStylePr w:type="band2Vert">
      <w:tblPr/>
    </w:tblStylePr>
    <w:tblStylePr w:type="band1Horz">
      <w:rPr>
        <w:rFonts w:ascii="Arial" w:hAnsi="Arial"/>
        <w:color w:val="ACD78E" w:themeColor="accent4" w:themeTint="99"/>
        <w:sz w:val="22"/>
        <w14:textFill>
          <w14:solidFill>
            <w14:schemeClr w14:val="accent4">
              <w14:lumMod w14:val="60000"/>
              <w14:lumOff w14:val="40000"/>
            </w14:schemeClr>
          </w14:solidFill>
        </w14:textFill>
      </w:rPr>
      <w:tblPr/>
      <w:tcPr>
        <w:shd w:val="clear" w:color="DCEECF" w:themeColor="accent4" w:themeTint="40" w:fill="DCEECF" w:themeFill="accent4" w:themeFillTint="40"/>
      </w:tcPr>
    </w:tblStylePr>
    <w:tblStylePr w:type="band2Horz">
      <w:rPr>
        <w:rFonts w:ascii="Arial" w:hAnsi="Arial"/>
        <w:color w:val="ACD78E"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2">
    <w:name w:val="List Table 6 Colorful - Accent 5"/>
    <w:basedOn w:val="39"/>
    <w:qFormat/>
    <w:uiPriority w:val="99"/>
    <w:pPr>
      <w:spacing w:after="0" w:line="240" w:lineRule="auto"/>
    </w:pPr>
    <w:tblPr>
      <w:tblBorders>
        <w:top w:val="single" w:color="7CDED6" w:themeColor="accent5" w:themeTint="9A" w:sz="4" w:space="0"/>
        <w:bottom w:val="single" w:color="7CDED6" w:themeColor="accent5" w:themeTint="9A" w:sz="4" w:space="0"/>
      </w:tblBorders>
    </w:tblPr>
    <w:tblStylePr w:type="firstRow">
      <w:rPr>
        <w:b/>
        <w:color w:val="7DDFD7" w:themeColor="accent5" w:themeTint="99"/>
        <w14:textFill>
          <w14:solidFill>
            <w14:schemeClr w14:val="accent5">
              <w14:lumMod w14:val="60000"/>
              <w14:lumOff w14:val="40000"/>
            </w14:schemeClr>
          </w14:solidFill>
        </w14:textFill>
      </w:rPr>
      <w:tblPr/>
      <w:tcPr>
        <w:tcBorders>
          <w:bottom w:val="single" w:color="7CDED6" w:themeColor="accent5" w:themeTint="9A" w:sz="4" w:space="0"/>
        </w:tcBorders>
      </w:tcPr>
    </w:tblStylePr>
    <w:tblStylePr w:type="lastRow">
      <w:rPr>
        <w:b/>
        <w:color w:val="7DDFD7" w:themeColor="accent5" w:themeTint="99"/>
        <w14:textFill>
          <w14:solidFill>
            <w14:schemeClr w14:val="accent5">
              <w14:lumMod w14:val="60000"/>
              <w14:lumOff w14:val="40000"/>
            </w14:schemeClr>
          </w14:solidFill>
        </w14:textFill>
      </w:rPr>
      <w:tblPr/>
      <w:tcPr>
        <w:tcBorders>
          <w:top w:val="single" w:color="7CDED6" w:themeColor="accent5" w:themeTint="9A" w:sz="4" w:space="0"/>
        </w:tcBorders>
      </w:tcPr>
    </w:tblStylePr>
    <w:tblStylePr w:type="firstCol">
      <w:rPr>
        <w:b/>
        <w:color w:val="7DDFD7" w:themeColor="accent5" w:themeTint="99"/>
        <w14:textFill>
          <w14:solidFill>
            <w14:schemeClr w14:val="accent5">
              <w14:lumMod w14:val="60000"/>
              <w14:lumOff w14:val="40000"/>
            </w14:schemeClr>
          </w14:solidFill>
        </w14:textFill>
      </w:rPr>
      <w:tblPr/>
    </w:tblStylePr>
    <w:tblStylePr w:type="lastCol">
      <w:rPr>
        <w:b/>
        <w:color w:val="7DDFD7" w:themeColor="accent5" w:themeTint="99"/>
        <w14:textFill>
          <w14:solidFill>
            <w14:schemeClr w14:val="accent5">
              <w14:lumMod w14:val="60000"/>
              <w14:lumOff w14:val="40000"/>
            </w14:schemeClr>
          </w14:solidFill>
        </w14:textFill>
      </w:rPr>
      <w:tblPr/>
    </w:tblStylePr>
    <w:tblStylePr w:type="band1Vert">
      <w:tblPr/>
      <w:tcPr>
        <w:shd w:val="clear" w:color="C8F1EE" w:themeColor="accent5" w:themeTint="40" w:fill="C8F1EE" w:themeFill="accent5" w:themeFillTint="40"/>
      </w:tcPr>
    </w:tblStylePr>
    <w:tblStylePr w:type="band2Vert">
      <w:tblPr/>
    </w:tblStylePr>
    <w:tblStylePr w:type="band1Horz">
      <w:rPr>
        <w:rFonts w:ascii="Arial" w:hAnsi="Arial"/>
        <w:color w:val="7DDFD7" w:themeColor="accent5" w:themeTint="99"/>
        <w:sz w:val="22"/>
        <w14:textFill>
          <w14:solidFill>
            <w14:schemeClr w14:val="accent5">
              <w14:lumMod w14:val="60000"/>
              <w14:lumOff w14:val="40000"/>
            </w14:schemeClr>
          </w14:solidFill>
        </w14:textFill>
      </w:rPr>
      <w:tblPr/>
      <w:tcPr>
        <w:shd w:val="clear" w:color="C8F1EE" w:themeColor="accent5" w:themeTint="40" w:fill="C8F1EE" w:themeFill="accent5" w:themeFillTint="40"/>
      </w:tcPr>
    </w:tblStylePr>
    <w:tblStylePr w:type="band2Horz">
      <w:rPr>
        <w:rFonts w:ascii="Arial" w:hAnsi="Arial"/>
        <w:color w:val="7DDFD7"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3">
    <w:name w:val="List Table 6 Colorful - Accent 6"/>
    <w:basedOn w:val="39"/>
    <w:uiPriority w:val="99"/>
    <w:pPr>
      <w:spacing w:after="0" w:line="240" w:lineRule="auto"/>
    </w:pPr>
    <w:tblPr>
      <w:tblBorders>
        <w:top w:val="single" w:color="EF949F" w:themeColor="accent6" w:themeTint="98" w:sz="4" w:space="0"/>
        <w:bottom w:val="single" w:color="EF949F" w:themeColor="accent6" w:themeTint="98" w:sz="4" w:space="0"/>
      </w:tblBorders>
    </w:tblPr>
    <w:tblStylePr w:type="firstRow">
      <w:rPr>
        <w:b/>
        <w:color w:val="EF949E" w:themeColor="accent6" w:themeTint="99"/>
        <w14:textFill>
          <w14:solidFill>
            <w14:schemeClr w14:val="accent6">
              <w14:lumMod w14:val="60000"/>
              <w14:lumOff w14:val="40000"/>
            </w14:schemeClr>
          </w14:solidFill>
        </w14:textFill>
      </w:rPr>
      <w:tblPr/>
      <w:tcPr>
        <w:tcBorders>
          <w:bottom w:val="single" w:color="EF949F" w:themeColor="accent6" w:themeTint="98" w:sz="4" w:space="0"/>
        </w:tcBorders>
      </w:tcPr>
    </w:tblStylePr>
    <w:tblStylePr w:type="lastRow">
      <w:rPr>
        <w:b/>
        <w:color w:val="EF949E" w:themeColor="accent6" w:themeTint="99"/>
        <w14:textFill>
          <w14:solidFill>
            <w14:schemeClr w14:val="accent6">
              <w14:lumMod w14:val="60000"/>
              <w14:lumOff w14:val="40000"/>
            </w14:schemeClr>
          </w14:solidFill>
        </w14:textFill>
      </w:rPr>
      <w:tblPr/>
      <w:tcPr>
        <w:tcBorders>
          <w:top w:val="single" w:color="EF949F" w:themeColor="accent6" w:themeTint="98" w:sz="4" w:space="0"/>
        </w:tcBorders>
      </w:tcPr>
    </w:tblStylePr>
    <w:tblStylePr w:type="firstCol">
      <w:rPr>
        <w:b/>
        <w:color w:val="EF949E" w:themeColor="accent6" w:themeTint="99"/>
        <w14:textFill>
          <w14:solidFill>
            <w14:schemeClr w14:val="accent6">
              <w14:lumMod w14:val="60000"/>
              <w14:lumOff w14:val="40000"/>
            </w14:schemeClr>
          </w14:solidFill>
        </w14:textFill>
      </w:rPr>
      <w:tblPr/>
    </w:tblStylePr>
    <w:tblStylePr w:type="lastCol">
      <w:rPr>
        <w:b/>
        <w:color w:val="EF949E" w:themeColor="accent6" w:themeTint="99"/>
        <w14:textFill>
          <w14:solidFill>
            <w14:schemeClr w14:val="accent6">
              <w14:lumMod w14:val="60000"/>
              <w14:lumOff w14:val="40000"/>
            </w14:schemeClr>
          </w14:solidFill>
        </w14:textFill>
      </w:rPr>
      <w:tblPr/>
    </w:tblStylePr>
    <w:tblStylePr w:type="band1Vert">
      <w:tblPr/>
      <w:tcPr>
        <w:shd w:val="clear" w:color="F8D2D6" w:themeColor="accent6" w:themeTint="40" w:fill="F8D2D6" w:themeFill="accent6" w:themeFillTint="40"/>
      </w:tcPr>
    </w:tblStylePr>
    <w:tblStylePr w:type="band2Vert">
      <w:tblPr/>
    </w:tblStylePr>
    <w:tblStylePr w:type="band1Horz">
      <w:rPr>
        <w:rFonts w:ascii="Arial" w:hAnsi="Arial"/>
        <w:color w:val="EF949E" w:themeColor="accent6" w:themeTint="99"/>
        <w:sz w:val="22"/>
        <w14:textFill>
          <w14:solidFill>
            <w14:schemeClr w14:val="accent6">
              <w14:lumMod w14:val="60000"/>
              <w14:lumOff w14:val="40000"/>
            </w14:schemeClr>
          </w14:solidFill>
        </w14:textFill>
      </w:rPr>
      <w:tblPr/>
      <w:tcPr>
        <w:shd w:val="clear" w:color="F8D2D6" w:themeColor="accent6" w:themeTint="40" w:fill="F8D2D6" w:themeFill="accent6" w:themeFillTint="40"/>
      </w:tcPr>
    </w:tblStylePr>
    <w:tblStylePr w:type="band2Horz">
      <w:rPr>
        <w:rFonts w:ascii="Arial" w:hAnsi="Arial"/>
        <w:color w:val="EF949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4">
    <w:name w:val="List Table 7 Colorful"/>
    <w:basedOn w:val="39"/>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5">
    <w:name w:val="List Table 7 Colorful - Accent 1"/>
    <w:basedOn w:val="39"/>
    <w:qFormat/>
    <w:uiPriority w:val="99"/>
    <w:pPr>
      <w:spacing w:after="0" w:line="240" w:lineRule="auto"/>
    </w:pPr>
    <w:tblPr>
      <w:tblBorders>
        <w:right w:val="single" w:color="4874CB" w:themeColor="accent1" w:sz="4" w:space="0"/>
      </w:tblBorders>
    </w:tblPr>
    <w:tblStylePr w:type="firstRow">
      <w:rPr>
        <w:rFonts w:ascii="Arial" w:hAnsi="Arial"/>
        <w:i/>
        <w:color w:val="23417C" w:themeColor="accent1" w:themeShade="94"/>
        <w:sz w:val="22"/>
      </w:rPr>
      <w:tblPr/>
      <w:tcPr>
        <w:tcBorders>
          <w:top w:val="nil"/>
          <w:left w:val="nil"/>
          <w:bottom w:val="single" w:color="4874CB" w:themeColor="accent1" w:sz="4" w:space="0"/>
          <w:right w:val="nil"/>
        </w:tcBorders>
        <w:shd w:val="clear" w:color="FFFFFF" w:themeColor="light1" w:fill="FFFFFF" w:themeFill="light1"/>
      </w:tcPr>
    </w:tblStylePr>
    <w:tblStylePr w:type="lastRow">
      <w:rPr>
        <w:rFonts w:ascii="Arial" w:hAnsi="Arial"/>
        <w:i/>
        <w:color w:val="23417C" w:themeColor="accent1" w:themeShade="94"/>
        <w:sz w:val="22"/>
      </w:rPr>
      <w:tblPr/>
      <w:tcPr>
        <w:tcBorders>
          <w:top w:val="single" w:color="4874CB"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3417C" w:themeColor="accent1" w:themeShade="94"/>
        <w:sz w:val="22"/>
      </w:rPr>
      <w:tblPr/>
      <w:tcPr>
        <w:tcBorders>
          <w:top w:val="nil"/>
          <w:left w:val="nil"/>
          <w:bottom w:val="nil"/>
          <w:right w:val="single" w:color="4874CB" w:themeColor="accent1" w:sz="4" w:space="0"/>
        </w:tcBorders>
        <w:shd w:val="clear" w:color="FFFFFF" w:fill="auto"/>
      </w:tcPr>
    </w:tblStylePr>
    <w:tblStylePr w:type="lastCol">
      <w:rPr>
        <w:rFonts w:ascii="Arial" w:hAnsi="Arial"/>
        <w:i/>
        <w:color w:val="23417C" w:themeColor="accent1" w:themeShade="94"/>
        <w:sz w:val="22"/>
      </w:rPr>
      <w:tblPr/>
      <w:tcPr>
        <w:tcBorders>
          <w:top w:val="nil"/>
          <w:left w:val="single" w:color="4874CB" w:themeColor="accent1" w:sz="4" w:space="0"/>
          <w:bottom w:val="nil"/>
          <w:right w:val="nil"/>
        </w:tcBorders>
        <w:shd w:val="clear" w:color="FFFFFF" w:fill="auto"/>
      </w:tcPr>
    </w:tblStylePr>
    <w:tblStylePr w:type="band1Vert">
      <w:tblPr/>
      <w:tcPr>
        <w:shd w:val="clear" w:color="D1DCF1" w:themeColor="accent1" w:themeTint="40" w:fill="D1DCF1" w:themeFill="accent1" w:themeFillTint="40"/>
      </w:tcPr>
    </w:tblStylePr>
    <w:tblStylePr w:type="band2Vert">
      <w:tblPr/>
    </w:tblStylePr>
    <w:tblStylePr w:type="band1Horz">
      <w:rPr>
        <w:rFonts w:ascii="Arial" w:hAnsi="Arial"/>
        <w:color w:val="23417C" w:themeColor="accent1" w:themeShade="94"/>
        <w:sz w:val="22"/>
      </w:rPr>
      <w:tblPr/>
      <w:tcPr>
        <w:shd w:val="clear" w:color="D1DCF1" w:themeColor="accent1" w:themeTint="40" w:fill="D1DCF1" w:themeFill="accent1" w:themeFillTint="40"/>
      </w:tcPr>
    </w:tblStylePr>
    <w:tblStylePr w:type="band2Horz">
      <w:rPr>
        <w:rFonts w:ascii="Arial" w:hAnsi="Arial"/>
        <w:color w:val="23417C"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66">
    <w:name w:val="List Table 7 Colorful - Accent 2"/>
    <w:basedOn w:val="39"/>
    <w:qFormat/>
    <w:uiPriority w:val="99"/>
    <w:pPr>
      <w:spacing w:after="0" w:line="240" w:lineRule="auto"/>
    </w:pPr>
    <w:tblPr>
      <w:tblBorders>
        <w:right w:val="single" w:color="F4B483" w:themeColor="accent2" w:themeTint="97" w:sz="4" w:space="0"/>
      </w:tblBorders>
    </w:tblPr>
    <w:tblStylePr w:type="firstRow">
      <w:rPr>
        <w:rFonts w:ascii="Arial" w:hAnsi="Arial"/>
        <w:i/>
        <w:color w:val="F5B584" w:themeColor="accent2" w:themeTint="96"/>
        <w:sz w:val="22"/>
        <w14:textFill>
          <w14:solidFill>
            <w14:schemeClr w14:val="accent2">
              <w14:lumMod w14:val="59000"/>
              <w14:lumOff w14:val="41000"/>
            </w14:schemeClr>
          </w14:solidFill>
        </w14:textFill>
      </w:rPr>
      <w:tblPr/>
      <w:tcPr>
        <w:tcBorders>
          <w:top w:val="nil"/>
          <w:left w:val="nil"/>
          <w:bottom w:val="single" w:color="F4B483" w:themeColor="accent2" w:themeTint="97" w:sz="4" w:space="0"/>
          <w:right w:val="nil"/>
        </w:tcBorders>
        <w:shd w:val="clear" w:color="FFFFFF" w:themeColor="light1" w:fill="FFFFFF" w:themeFill="light1"/>
      </w:tcPr>
    </w:tblStylePr>
    <w:tblStylePr w:type="lastRow">
      <w:rPr>
        <w:rFonts w:ascii="Arial" w:hAnsi="Arial"/>
        <w:i/>
        <w:color w:val="F5B584" w:themeColor="accent2" w:themeTint="96"/>
        <w:sz w:val="22"/>
        <w14:textFill>
          <w14:solidFill>
            <w14:schemeClr w14:val="accent2">
              <w14:lumMod w14:val="59000"/>
              <w14:lumOff w14:val="41000"/>
            </w14:schemeClr>
          </w14:solidFill>
        </w14:textFill>
      </w:rPr>
      <w:tblPr/>
      <w:tcPr>
        <w:tcBorders>
          <w:top w:val="single" w:color="F4B483"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5B584" w:themeColor="accent2" w:themeTint="96"/>
        <w:sz w:val="22"/>
        <w14:textFill>
          <w14:solidFill>
            <w14:schemeClr w14:val="accent2">
              <w14:lumMod w14:val="59000"/>
              <w14:lumOff w14:val="41000"/>
            </w14:schemeClr>
          </w14:solidFill>
        </w14:textFill>
      </w:rPr>
      <w:tblPr/>
      <w:tcPr>
        <w:tcBorders>
          <w:top w:val="nil"/>
          <w:left w:val="nil"/>
          <w:bottom w:val="nil"/>
          <w:right w:val="single" w:color="F4B483" w:themeColor="accent2" w:themeTint="97" w:sz="4" w:space="0"/>
        </w:tcBorders>
        <w:shd w:val="clear" w:color="FFFFFF" w:fill="auto"/>
      </w:tcPr>
    </w:tblStylePr>
    <w:tblStylePr w:type="lastCol">
      <w:rPr>
        <w:rFonts w:ascii="Arial" w:hAnsi="Arial"/>
        <w:i/>
        <w:color w:val="F5B584" w:themeColor="accent2" w:themeTint="96"/>
        <w:sz w:val="22"/>
        <w14:textFill>
          <w14:solidFill>
            <w14:schemeClr w14:val="accent2">
              <w14:lumMod w14:val="59000"/>
              <w14:lumOff w14:val="41000"/>
            </w14:schemeClr>
          </w14:solidFill>
        </w14:textFill>
      </w:rPr>
      <w:tblPr/>
      <w:tcPr>
        <w:tcBorders>
          <w:top w:val="nil"/>
          <w:left w:val="single" w:color="F4B483" w:themeColor="accent2" w:themeTint="97" w:sz="4" w:space="0"/>
          <w:bottom w:val="nil"/>
          <w:right w:val="nil"/>
        </w:tcBorders>
        <w:shd w:val="clear" w:color="FFFFFF" w:fill="auto"/>
      </w:tcPr>
    </w:tblStylePr>
    <w:tblStylePr w:type="band1Vert">
      <w:tblPr/>
      <w:tcPr>
        <w:shd w:val="clear" w:color="FADFCA" w:themeColor="accent2" w:themeTint="40" w:fill="FADFCA" w:themeFill="accent2" w:themeFillTint="40"/>
      </w:tcPr>
    </w:tblStylePr>
    <w:tblStylePr w:type="band2Vert">
      <w:tblPr/>
    </w:tblStylePr>
    <w:tblStylePr w:type="band1Horz">
      <w:rPr>
        <w:rFonts w:ascii="Arial" w:hAnsi="Arial"/>
        <w:color w:val="F5B584" w:themeColor="accent2" w:themeTint="96"/>
        <w:sz w:val="22"/>
        <w14:textFill>
          <w14:solidFill>
            <w14:schemeClr w14:val="accent2">
              <w14:lumMod w14:val="59000"/>
              <w14:lumOff w14:val="41000"/>
            </w14:schemeClr>
          </w14:solidFill>
        </w14:textFill>
      </w:rPr>
      <w:tblPr/>
      <w:tcPr>
        <w:shd w:val="clear" w:color="FADFCA" w:themeColor="accent2" w:themeTint="40" w:fill="FADFCA" w:themeFill="accent2" w:themeFillTint="40"/>
      </w:tcPr>
    </w:tblStylePr>
    <w:tblStylePr w:type="band2Horz">
      <w:rPr>
        <w:rFonts w:ascii="Arial" w:hAnsi="Arial"/>
        <w:color w:val="F5B584"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7">
    <w:name w:val="List Table 7 Colorful - Accent 3"/>
    <w:basedOn w:val="39"/>
    <w:qFormat/>
    <w:uiPriority w:val="99"/>
    <w:pPr>
      <w:spacing w:after="0" w:line="240" w:lineRule="auto"/>
    </w:pPr>
    <w:tblPr>
      <w:tblBorders>
        <w:right w:val="single" w:color="FDD961" w:themeColor="accent3" w:themeTint="98" w:sz="4" w:space="0"/>
      </w:tblBorders>
    </w:tblPr>
    <w:tblStylePr w:type="firstRow">
      <w:rPr>
        <w:rFonts w:ascii="Arial" w:hAnsi="Arial"/>
        <w:i/>
        <w:color w:val="FED961" w:themeColor="accent3" w:themeTint="99"/>
        <w:sz w:val="22"/>
        <w14:textFill>
          <w14:solidFill>
            <w14:schemeClr w14:val="accent3">
              <w14:lumMod w14:val="60000"/>
              <w14:lumOff w14:val="40000"/>
            </w14:schemeClr>
          </w14:solidFill>
        </w14:textFill>
      </w:rPr>
      <w:tblPr/>
      <w:tcPr>
        <w:tcBorders>
          <w:top w:val="nil"/>
          <w:left w:val="nil"/>
          <w:bottom w:val="single" w:color="FDD961" w:themeColor="accent3" w:themeTint="98" w:sz="4" w:space="0"/>
          <w:right w:val="nil"/>
        </w:tcBorders>
        <w:shd w:val="clear" w:color="FFFFFF" w:themeColor="light1" w:fill="FFFFFF" w:themeFill="light1"/>
      </w:tcPr>
    </w:tblStylePr>
    <w:tblStylePr w:type="lastRow">
      <w:rPr>
        <w:rFonts w:ascii="Arial" w:hAnsi="Arial"/>
        <w:i/>
        <w:color w:val="FED961" w:themeColor="accent3" w:themeTint="99"/>
        <w:sz w:val="22"/>
        <w14:textFill>
          <w14:solidFill>
            <w14:schemeClr w14:val="accent3">
              <w14:lumMod w14:val="60000"/>
              <w14:lumOff w14:val="40000"/>
            </w14:schemeClr>
          </w14:solidFill>
        </w14:textFill>
      </w:rPr>
      <w:tblPr/>
      <w:tcPr>
        <w:tcBorders>
          <w:top w:val="single" w:color="FDD961"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FED961" w:themeColor="accent3" w:themeTint="99"/>
        <w:sz w:val="22"/>
        <w14:textFill>
          <w14:solidFill>
            <w14:schemeClr w14:val="accent3">
              <w14:lumMod w14:val="60000"/>
              <w14:lumOff w14:val="40000"/>
            </w14:schemeClr>
          </w14:solidFill>
        </w14:textFill>
      </w:rPr>
      <w:tblPr/>
      <w:tcPr>
        <w:tcBorders>
          <w:top w:val="nil"/>
          <w:left w:val="nil"/>
          <w:bottom w:val="nil"/>
          <w:right w:val="single" w:color="FDD961" w:themeColor="accent3" w:themeTint="98" w:sz="4" w:space="0"/>
        </w:tcBorders>
        <w:shd w:val="clear" w:color="FFFFFF" w:fill="auto"/>
      </w:tcPr>
    </w:tblStylePr>
    <w:tblStylePr w:type="lastCol">
      <w:rPr>
        <w:rFonts w:ascii="Arial" w:hAnsi="Arial"/>
        <w:i/>
        <w:color w:val="FED961" w:themeColor="accent3" w:themeTint="99"/>
        <w:sz w:val="22"/>
        <w14:textFill>
          <w14:solidFill>
            <w14:schemeClr w14:val="accent3">
              <w14:lumMod w14:val="60000"/>
              <w14:lumOff w14:val="40000"/>
            </w14:schemeClr>
          </w14:solidFill>
        </w14:textFill>
      </w:rPr>
      <w:tblPr/>
      <w:tcPr>
        <w:tcBorders>
          <w:top w:val="nil"/>
          <w:left w:val="single" w:color="FDD961" w:themeColor="accent3" w:themeTint="98" w:sz="4" w:space="0"/>
          <w:bottom w:val="nil"/>
          <w:right w:val="nil"/>
        </w:tcBorders>
        <w:shd w:val="clear" w:color="FFFFFF" w:fill="auto"/>
      </w:tcPr>
    </w:tblStylePr>
    <w:tblStylePr w:type="band1Vert">
      <w:tblPr/>
      <w:tcPr>
        <w:shd w:val="clear" w:color="FEEFBC" w:themeColor="accent3" w:themeTint="40" w:fill="FEEFBC" w:themeFill="accent3" w:themeFillTint="40"/>
      </w:tcPr>
    </w:tblStylePr>
    <w:tblStylePr w:type="band2Vert">
      <w:tblPr/>
    </w:tblStylePr>
    <w:tblStylePr w:type="band1Horz">
      <w:rPr>
        <w:rFonts w:ascii="Arial" w:hAnsi="Arial"/>
        <w:color w:val="FED961" w:themeColor="accent3" w:themeTint="99"/>
        <w:sz w:val="22"/>
        <w14:textFill>
          <w14:solidFill>
            <w14:schemeClr w14:val="accent3">
              <w14:lumMod w14:val="60000"/>
              <w14:lumOff w14:val="40000"/>
            </w14:schemeClr>
          </w14:solidFill>
        </w14:textFill>
      </w:rPr>
      <w:tblPr/>
      <w:tcPr>
        <w:shd w:val="clear" w:color="FEEFBC" w:themeColor="accent3" w:themeTint="40" w:fill="FEEFBC" w:themeFill="accent3" w:themeFillTint="40"/>
      </w:tcPr>
    </w:tblStylePr>
    <w:tblStylePr w:type="band2Horz">
      <w:rPr>
        <w:rFonts w:ascii="Arial" w:hAnsi="Arial"/>
        <w:color w:val="FED961"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8">
    <w:name w:val="List Table 7 Colorful - Accent 4"/>
    <w:basedOn w:val="39"/>
    <w:qFormat/>
    <w:uiPriority w:val="99"/>
    <w:pPr>
      <w:spacing w:after="0" w:line="240" w:lineRule="auto"/>
    </w:pPr>
    <w:tblPr>
      <w:tblBorders>
        <w:right w:val="single" w:color="ABD78C" w:themeColor="accent4" w:themeTint="9A" w:sz="4" w:space="0"/>
      </w:tblBorders>
    </w:tblPr>
    <w:tblStylePr w:type="firstRow">
      <w:rPr>
        <w:rFonts w:ascii="Arial" w:hAnsi="Arial"/>
        <w:i/>
        <w:color w:val="ACD78E" w:themeColor="accent4" w:themeTint="99"/>
        <w:sz w:val="22"/>
        <w14:textFill>
          <w14:solidFill>
            <w14:schemeClr w14:val="accent4">
              <w14:lumMod w14:val="60000"/>
              <w14:lumOff w14:val="40000"/>
            </w14:schemeClr>
          </w14:solidFill>
        </w14:textFill>
      </w:rPr>
      <w:tblPr/>
      <w:tcPr>
        <w:tcBorders>
          <w:top w:val="nil"/>
          <w:left w:val="nil"/>
          <w:bottom w:val="single" w:color="ABD78C" w:themeColor="accent4" w:themeTint="9A" w:sz="4" w:space="0"/>
          <w:right w:val="nil"/>
        </w:tcBorders>
        <w:shd w:val="clear" w:color="FFFFFF" w:themeColor="light1" w:fill="FFFFFF" w:themeFill="light1"/>
      </w:tcPr>
    </w:tblStylePr>
    <w:tblStylePr w:type="lastRow">
      <w:rPr>
        <w:rFonts w:ascii="Arial" w:hAnsi="Arial"/>
        <w:i/>
        <w:color w:val="ACD78E" w:themeColor="accent4" w:themeTint="99"/>
        <w:sz w:val="22"/>
        <w14:textFill>
          <w14:solidFill>
            <w14:schemeClr w14:val="accent4">
              <w14:lumMod w14:val="60000"/>
              <w14:lumOff w14:val="40000"/>
            </w14:schemeClr>
          </w14:solidFill>
        </w14:textFill>
      </w:rPr>
      <w:tblPr/>
      <w:tcPr>
        <w:tcBorders>
          <w:top w:val="single" w:color="ABD78C"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ACD78E" w:themeColor="accent4" w:themeTint="99"/>
        <w:sz w:val="22"/>
        <w14:textFill>
          <w14:solidFill>
            <w14:schemeClr w14:val="accent4">
              <w14:lumMod w14:val="60000"/>
              <w14:lumOff w14:val="40000"/>
            </w14:schemeClr>
          </w14:solidFill>
        </w14:textFill>
      </w:rPr>
      <w:tblPr/>
      <w:tcPr>
        <w:tcBorders>
          <w:top w:val="nil"/>
          <w:left w:val="nil"/>
          <w:bottom w:val="nil"/>
          <w:right w:val="single" w:color="ABD78C" w:themeColor="accent4" w:themeTint="9A" w:sz="4" w:space="0"/>
        </w:tcBorders>
        <w:shd w:val="clear" w:color="FFFFFF" w:fill="auto"/>
      </w:tcPr>
    </w:tblStylePr>
    <w:tblStylePr w:type="lastCol">
      <w:rPr>
        <w:rFonts w:ascii="Arial" w:hAnsi="Arial"/>
        <w:i/>
        <w:color w:val="ACD78E" w:themeColor="accent4" w:themeTint="99"/>
        <w:sz w:val="22"/>
        <w14:textFill>
          <w14:solidFill>
            <w14:schemeClr w14:val="accent4">
              <w14:lumMod w14:val="60000"/>
              <w14:lumOff w14:val="40000"/>
            </w14:schemeClr>
          </w14:solidFill>
        </w14:textFill>
      </w:rPr>
      <w:tblPr/>
      <w:tcPr>
        <w:tcBorders>
          <w:top w:val="nil"/>
          <w:left w:val="single" w:color="ABD78C" w:themeColor="accent4" w:themeTint="9A" w:sz="4" w:space="0"/>
          <w:bottom w:val="nil"/>
          <w:right w:val="nil"/>
        </w:tcBorders>
        <w:shd w:val="clear" w:color="FFFFFF" w:fill="auto"/>
      </w:tcPr>
    </w:tblStylePr>
    <w:tblStylePr w:type="band1Vert">
      <w:tblPr/>
      <w:tcPr>
        <w:shd w:val="clear" w:color="DCEECF" w:themeColor="accent4" w:themeTint="40" w:fill="DCEECF" w:themeFill="accent4" w:themeFillTint="40"/>
      </w:tcPr>
    </w:tblStylePr>
    <w:tblStylePr w:type="band2Vert">
      <w:tblPr/>
    </w:tblStylePr>
    <w:tblStylePr w:type="band1Horz">
      <w:rPr>
        <w:rFonts w:ascii="Arial" w:hAnsi="Arial"/>
        <w:color w:val="ACD78E" w:themeColor="accent4" w:themeTint="99"/>
        <w:sz w:val="22"/>
        <w14:textFill>
          <w14:solidFill>
            <w14:schemeClr w14:val="accent4">
              <w14:lumMod w14:val="60000"/>
              <w14:lumOff w14:val="40000"/>
            </w14:schemeClr>
          </w14:solidFill>
        </w14:textFill>
      </w:rPr>
      <w:tblPr/>
      <w:tcPr>
        <w:shd w:val="clear" w:color="DCEECF" w:themeColor="accent4" w:themeTint="40" w:fill="DCEECF" w:themeFill="accent4" w:themeFillTint="40"/>
      </w:tcPr>
    </w:tblStylePr>
    <w:tblStylePr w:type="band2Horz">
      <w:rPr>
        <w:rFonts w:ascii="Arial" w:hAnsi="Arial"/>
        <w:color w:val="ACD78E"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9">
    <w:name w:val="List Table 7 Colorful - Accent 5"/>
    <w:basedOn w:val="39"/>
    <w:qFormat/>
    <w:uiPriority w:val="99"/>
    <w:pPr>
      <w:spacing w:after="0" w:line="240" w:lineRule="auto"/>
    </w:pPr>
    <w:tblPr>
      <w:tblBorders>
        <w:right w:val="single" w:color="7CDED6" w:themeColor="accent5" w:themeTint="9A" w:sz="4" w:space="0"/>
      </w:tblBorders>
    </w:tblPr>
    <w:tblStylePr w:type="firstRow">
      <w:rPr>
        <w:rFonts w:ascii="Arial" w:hAnsi="Arial"/>
        <w:i/>
        <w:color w:val="7DDFD7" w:themeColor="accent5" w:themeTint="99"/>
        <w:sz w:val="22"/>
        <w14:textFill>
          <w14:solidFill>
            <w14:schemeClr w14:val="accent5">
              <w14:lumMod w14:val="60000"/>
              <w14:lumOff w14:val="40000"/>
            </w14:schemeClr>
          </w14:solidFill>
        </w14:textFill>
      </w:rPr>
      <w:tblPr/>
      <w:tcPr>
        <w:tcBorders>
          <w:top w:val="nil"/>
          <w:left w:val="nil"/>
          <w:bottom w:val="single" w:color="7CDED6" w:themeColor="accent5" w:themeTint="9A" w:sz="4" w:space="0"/>
          <w:right w:val="nil"/>
        </w:tcBorders>
        <w:shd w:val="clear" w:color="FFFFFF" w:themeColor="light1" w:fill="FFFFFF" w:themeFill="light1"/>
      </w:tcPr>
    </w:tblStylePr>
    <w:tblStylePr w:type="lastRow">
      <w:rPr>
        <w:rFonts w:ascii="Arial" w:hAnsi="Arial"/>
        <w:i/>
        <w:color w:val="7DDFD7" w:themeColor="accent5" w:themeTint="99"/>
        <w:sz w:val="22"/>
        <w14:textFill>
          <w14:solidFill>
            <w14:schemeClr w14:val="accent5">
              <w14:lumMod w14:val="60000"/>
              <w14:lumOff w14:val="40000"/>
            </w14:schemeClr>
          </w14:solidFill>
        </w14:textFill>
      </w:rPr>
      <w:tblPr/>
      <w:tcPr>
        <w:tcBorders>
          <w:top w:val="single" w:color="7CDED6"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7DDFD7" w:themeColor="accent5" w:themeTint="99"/>
        <w:sz w:val="22"/>
        <w14:textFill>
          <w14:solidFill>
            <w14:schemeClr w14:val="accent5">
              <w14:lumMod w14:val="60000"/>
              <w14:lumOff w14:val="40000"/>
            </w14:schemeClr>
          </w14:solidFill>
        </w14:textFill>
      </w:rPr>
      <w:tblPr/>
      <w:tcPr>
        <w:tcBorders>
          <w:top w:val="nil"/>
          <w:left w:val="nil"/>
          <w:bottom w:val="nil"/>
          <w:right w:val="single" w:color="7CDED6" w:themeColor="accent5" w:themeTint="9A" w:sz="4" w:space="0"/>
        </w:tcBorders>
        <w:shd w:val="clear" w:color="FFFFFF" w:fill="auto"/>
      </w:tcPr>
    </w:tblStylePr>
    <w:tblStylePr w:type="lastCol">
      <w:rPr>
        <w:rFonts w:ascii="Arial" w:hAnsi="Arial"/>
        <w:i/>
        <w:color w:val="7DDFD7" w:themeColor="accent5" w:themeTint="99"/>
        <w:sz w:val="22"/>
        <w14:textFill>
          <w14:solidFill>
            <w14:schemeClr w14:val="accent5">
              <w14:lumMod w14:val="60000"/>
              <w14:lumOff w14:val="40000"/>
            </w14:schemeClr>
          </w14:solidFill>
        </w14:textFill>
      </w:rPr>
      <w:tblPr/>
      <w:tcPr>
        <w:tcBorders>
          <w:top w:val="nil"/>
          <w:left w:val="single" w:color="7CDED6" w:themeColor="accent5" w:themeTint="9A" w:sz="4" w:space="0"/>
          <w:bottom w:val="nil"/>
          <w:right w:val="nil"/>
        </w:tcBorders>
        <w:shd w:val="clear" w:color="FFFFFF" w:fill="auto"/>
      </w:tcPr>
    </w:tblStylePr>
    <w:tblStylePr w:type="band1Vert">
      <w:tblPr/>
      <w:tcPr>
        <w:shd w:val="clear" w:color="C8F1EE" w:themeColor="accent5" w:themeTint="40" w:fill="C8F1EE" w:themeFill="accent5" w:themeFillTint="40"/>
      </w:tcPr>
    </w:tblStylePr>
    <w:tblStylePr w:type="band2Vert">
      <w:tblPr/>
    </w:tblStylePr>
    <w:tblStylePr w:type="band1Horz">
      <w:rPr>
        <w:rFonts w:ascii="Arial" w:hAnsi="Arial"/>
        <w:color w:val="7DDFD7" w:themeColor="accent5" w:themeTint="99"/>
        <w:sz w:val="22"/>
        <w14:textFill>
          <w14:solidFill>
            <w14:schemeClr w14:val="accent5">
              <w14:lumMod w14:val="60000"/>
              <w14:lumOff w14:val="40000"/>
            </w14:schemeClr>
          </w14:solidFill>
        </w14:textFill>
      </w:rPr>
      <w:tblPr/>
      <w:tcPr>
        <w:shd w:val="clear" w:color="C8F1EE" w:themeColor="accent5" w:themeTint="40" w:fill="C8F1EE" w:themeFill="accent5" w:themeFillTint="40"/>
      </w:tcPr>
    </w:tblStylePr>
    <w:tblStylePr w:type="band2Horz">
      <w:rPr>
        <w:rFonts w:ascii="Arial" w:hAnsi="Arial"/>
        <w:color w:val="7DDFD7"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70">
    <w:name w:val="List Table 7 Colorful - Accent 6"/>
    <w:basedOn w:val="39"/>
    <w:qFormat/>
    <w:uiPriority w:val="99"/>
    <w:pPr>
      <w:spacing w:after="0" w:line="240" w:lineRule="auto"/>
    </w:pPr>
    <w:tblPr>
      <w:tblBorders>
        <w:right w:val="single" w:color="EF949F" w:themeColor="accent6" w:themeTint="98" w:sz="4" w:space="0"/>
      </w:tblBorders>
    </w:tblPr>
    <w:tblStylePr w:type="firstRow">
      <w:rPr>
        <w:rFonts w:ascii="Arial" w:hAnsi="Arial"/>
        <w:i/>
        <w:color w:val="EF949E" w:themeColor="accent6" w:themeTint="99"/>
        <w:sz w:val="22"/>
        <w14:textFill>
          <w14:solidFill>
            <w14:schemeClr w14:val="accent6">
              <w14:lumMod w14:val="60000"/>
              <w14:lumOff w14:val="40000"/>
            </w14:schemeClr>
          </w14:solidFill>
        </w14:textFill>
      </w:rPr>
      <w:tblPr/>
      <w:tcPr>
        <w:tcBorders>
          <w:top w:val="nil"/>
          <w:left w:val="nil"/>
          <w:bottom w:val="single" w:color="EF949F" w:themeColor="accent6" w:themeTint="98" w:sz="4" w:space="0"/>
          <w:right w:val="nil"/>
        </w:tcBorders>
        <w:shd w:val="clear" w:color="FFFFFF" w:themeColor="light1" w:fill="FFFFFF" w:themeFill="light1"/>
      </w:tcPr>
    </w:tblStylePr>
    <w:tblStylePr w:type="lastRow">
      <w:rPr>
        <w:rFonts w:ascii="Arial" w:hAnsi="Arial"/>
        <w:i/>
        <w:color w:val="EF949E" w:themeColor="accent6" w:themeTint="99"/>
        <w:sz w:val="22"/>
        <w14:textFill>
          <w14:solidFill>
            <w14:schemeClr w14:val="accent6">
              <w14:lumMod w14:val="60000"/>
              <w14:lumOff w14:val="40000"/>
            </w14:schemeClr>
          </w14:solidFill>
        </w14:textFill>
      </w:rPr>
      <w:tblPr/>
      <w:tcPr>
        <w:tcBorders>
          <w:top w:val="single" w:color="EF949F"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EF949E" w:themeColor="accent6" w:themeTint="99"/>
        <w:sz w:val="22"/>
        <w14:textFill>
          <w14:solidFill>
            <w14:schemeClr w14:val="accent6">
              <w14:lumMod w14:val="60000"/>
              <w14:lumOff w14:val="40000"/>
            </w14:schemeClr>
          </w14:solidFill>
        </w14:textFill>
      </w:rPr>
      <w:tblPr/>
      <w:tcPr>
        <w:tcBorders>
          <w:top w:val="nil"/>
          <w:left w:val="nil"/>
          <w:bottom w:val="nil"/>
          <w:right w:val="single" w:color="EF949F" w:themeColor="accent6" w:themeTint="98" w:sz="4" w:space="0"/>
        </w:tcBorders>
        <w:shd w:val="clear" w:color="FFFFFF" w:fill="auto"/>
      </w:tcPr>
    </w:tblStylePr>
    <w:tblStylePr w:type="lastCol">
      <w:rPr>
        <w:rFonts w:ascii="Arial" w:hAnsi="Arial"/>
        <w:i/>
        <w:color w:val="EF949E" w:themeColor="accent6" w:themeTint="99"/>
        <w:sz w:val="22"/>
        <w14:textFill>
          <w14:solidFill>
            <w14:schemeClr w14:val="accent6">
              <w14:lumMod w14:val="60000"/>
              <w14:lumOff w14:val="40000"/>
            </w14:schemeClr>
          </w14:solidFill>
        </w14:textFill>
      </w:rPr>
      <w:tblPr/>
      <w:tcPr>
        <w:tcBorders>
          <w:top w:val="nil"/>
          <w:left w:val="single" w:color="EF949F" w:themeColor="accent6" w:themeTint="98" w:sz="4" w:space="0"/>
          <w:bottom w:val="nil"/>
          <w:right w:val="nil"/>
        </w:tcBorders>
        <w:shd w:val="clear" w:color="FFFFFF" w:fill="auto"/>
      </w:tcPr>
    </w:tblStylePr>
    <w:tblStylePr w:type="band1Vert">
      <w:tblPr/>
      <w:tcPr>
        <w:shd w:val="clear" w:color="F8D2D6" w:themeColor="accent6" w:themeTint="40" w:fill="F8D2D6" w:themeFill="accent6" w:themeFillTint="40"/>
      </w:tcPr>
    </w:tblStylePr>
    <w:tblStylePr w:type="band2Vert">
      <w:tblPr/>
    </w:tblStylePr>
    <w:tblStylePr w:type="band1Horz">
      <w:rPr>
        <w:rFonts w:ascii="Arial" w:hAnsi="Arial"/>
        <w:color w:val="EF949E" w:themeColor="accent6" w:themeTint="99"/>
        <w:sz w:val="22"/>
        <w14:textFill>
          <w14:solidFill>
            <w14:schemeClr w14:val="accent6">
              <w14:lumMod w14:val="60000"/>
              <w14:lumOff w14:val="40000"/>
            </w14:schemeClr>
          </w14:solidFill>
        </w14:textFill>
      </w:rPr>
      <w:tblPr/>
      <w:tcPr>
        <w:shd w:val="clear" w:color="F8D2D6" w:themeColor="accent6" w:themeTint="40" w:fill="F8D2D6" w:themeFill="accent6" w:themeFillTint="40"/>
      </w:tcPr>
    </w:tblStylePr>
    <w:tblStylePr w:type="band2Horz">
      <w:rPr>
        <w:rFonts w:ascii="Arial" w:hAnsi="Arial"/>
        <w:color w:val="EF949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71">
    <w:name w:val="Lined - Accent"/>
    <w:basedOn w:val="39"/>
    <w:qFormat/>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72">
    <w:name w:val="Lined - Accent 1"/>
    <w:basedOn w:val="39"/>
    <w:qFormat/>
    <w:uiPriority w:val="99"/>
    <w:pPr>
      <w:spacing w:after="0" w:line="240" w:lineRule="auto"/>
    </w:pPr>
    <w:rPr>
      <w:color w:val="404040"/>
    </w:rPr>
    <w:tblPr/>
    <w:tblStylePr w:type="firstRow">
      <w:rPr>
        <w:rFonts w:ascii="Arial" w:hAnsi="Arial"/>
        <w:color w:val="F2F2F2"/>
        <w:sz w:val="22"/>
      </w:rPr>
      <w:tblPr/>
      <w:tcPr>
        <w:shd w:val="clear" w:color="577FCF" w:themeColor="accent1" w:themeTint="EA" w:fill="577FCF" w:themeFill="accent1" w:themeFillTint="EA"/>
      </w:tcPr>
    </w:tblStylePr>
    <w:tblStylePr w:type="lastRow">
      <w:rPr>
        <w:rFonts w:ascii="Arial" w:hAnsi="Arial"/>
        <w:color w:val="F2F2F2"/>
        <w:sz w:val="22"/>
      </w:rPr>
      <w:tblPr/>
      <w:tcPr>
        <w:shd w:val="clear" w:color="577FCF" w:themeColor="accent1" w:themeTint="EA" w:fill="577FCF" w:themeFill="accent1" w:themeFillTint="EA"/>
      </w:tcPr>
    </w:tblStylePr>
    <w:tblStylePr w:type="firstCol">
      <w:rPr>
        <w:rFonts w:ascii="Arial" w:hAnsi="Arial"/>
        <w:color w:val="F2F2F2"/>
        <w:sz w:val="22"/>
      </w:rPr>
      <w:tblPr/>
      <w:tcPr>
        <w:shd w:val="clear" w:color="577FCF" w:themeColor="accent1" w:themeTint="EA" w:fill="577FCF" w:themeFill="accent1" w:themeFillTint="EA"/>
      </w:tcPr>
    </w:tblStylePr>
    <w:tblStylePr w:type="lastCol">
      <w:rPr>
        <w:rFonts w:ascii="Arial" w:hAnsi="Arial"/>
        <w:color w:val="F2F2F2"/>
        <w:sz w:val="22"/>
      </w:rPr>
      <w:tblPr/>
      <w:tcPr>
        <w:shd w:val="clear" w:color="577FCF" w:themeColor="accent1" w:themeTint="EA" w:fill="577FCF"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5D3EE" w:themeColor="accent1" w:themeTint="50" w:fill="C5D3EE"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5D3EE" w:themeColor="accent1" w:themeTint="50" w:fill="C5D3EE" w:themeFill="accent1" w:themeFillTint="50"/>
      </w:tcPr>
    </w:tblStylePr>
    <w:tblStylePr w:type="neCell">
      <w:tblPr/>
    </w:tblStylePr>
    <w:tblStylePr w:type="nwCell">
      <w:tblPr/>
    </w:tblStylePr>
    <w:tblStylePr w:type="seCell">
      <w:tblPr/>
    </w:tblStylePr>
    <w:tblStylePr w:type="swCell">
      <w:tblPr/>
    </w:tblStylePr>
  </w:style>
  <w:style w:type="table" w:customStyle="1" w:styleId="173">
    <w:name w:val="Lined - Accent 2"/>
    <w:basedOn w:val="39"/>
    <w:qFormat/>
    <w:uiPriority w:val="99"/>
    <w:pPr>
      <w:spacing w:after="0" w:line="240" w:lineRule="auto"/>
    </w:pPr>
    <w:rPr>
      <w:color w:val="404040"/>
    </w:rPr>
    <w:tblPr/>
    <w:tblStylePr w:type="firstRow">
      <w:rPr>
        <w:rFonts w:ascii="Arial" w:hAnsi="Arial"/>
        <w:color w:val="F2F2F2"/>
        <w:sz w:val="22"/>
      </w:rPr>
      <w:tblPr/>
      <w:tcPr>
        <w:shd w:val="clear" w:color="F4B483" w:themeColor="accent2" w:themeTint="97" w:fill="F4B483" w:themeFill="accent2" w:themeFillTint="97"/>
      </w:tcPr>
    </w:tblStylePr>
    <w:tblStylePr w:type="lastRow">
      <w:rPr>
        <w:rFonts w:ascii="Arial" w:hAnsi="Arial"/>
        <w:color w:val="F2F2F2"/>
        <w:sz w:val="22"/>
      </w:rPr>
      <w:tblPr/>
      <w:tcPr>
        <w:shd w:val="clear" w:color="F4B483" w:themeColor="accent2" w:themeTint="97" w:fill="F4B483" w:themeFill="accent2" w:themeFillTint="97"/>
      </w:tcPr>
    </w:tblStylePr>
    <w:tblStylePr w:type="firstCol">
      <w:rPr>
        <w:rFonts w:ascii="Arial" w:hAnsi="Arial"/>
        <w:color w:val="F2F2F2"/>
        <w:sz w:val="22"/>
      </w:rPr>
      <w:tblPr/>
      <w:tcPr>
        <w:shd w:val="clear" w:color="F4B483" w:themeColor="accent2" w:themeTint="97" w:fill="F4B483" w:themeFill="accent2" w:themeFillTint="97"/>
      </w:tcPr>
    </w:tblStylePr>
    <w:tblStylePr w:type="lastCol">
      <w:rPr>
        <w:rFonts w:ascii="Arial" w:hAnsi="Arial"/>
        <w:color w:val="F2F2F2"/>
        <w:sz w:val="22"/>
      </w:rPr>
      <w:tblPr/>
      <w:tcPr>
        <w:shd w:val="clear" w:color="F4B483" w:themeColor="accent2" w:themeTint="97" w:fill="F4B483"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6D6" w:themeColor="accent2" w:themeTint="32" w:fill="FBE6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6D6" w:themeColor="accent2" w:themeTint="32" w:fill="FBE6D6" w:themeFill="accent2" w:themeFillTint="32"/>
      </w:tcPr>
    </w:tblStylePr>
    <w:tblStylePr w:type="neCell">
      <w:tblPr/>
    </w:tblStylePr>
    <w:tblStylePr w:type="nwCell">
      <w:tblPr/>
    </w:tblStylePr>
    <w:tblStylePr w:type="seCell">
      <w:tblPr/>
    </w:tblStylePr>
    <w:tblStylePr w:type="swCell">
      <w:tblPr/>
    </w:tblStylePr>
  </w:style>
  <w:style w:type="table" w:customStyle="1" w:styleId="174">
    <w:name w:val="Lined - Accent 3"/>
    <w:basedOn w:val="39"/>
    <w:qFormat/>
    <w:uiPriority w:val="99"/>
    <w:pPr>
      <w:spacing w:after="0" w:line="240" w:lineRule="auto"/>
    </w:pPr>
    <w:rPr>
      <w:color w:val="404040"/>
    </w:rPr>
    <w:tblPr/>
    <w:tblStylePr w:type="firstRow">
      <w:rPr>
        <w:rFonts w:ascii="Arial" w:hAnsi="Arial"/>
        <w:color w:val="F2F2F2"/>
        <w:sz w:val="22"/>
      </w:rPr>
      <w:tblPr/>
      <w:tcPr>
        <w:shd w:val="clear" w:color="F3BA02" w:themeColor="accent3" w:themeTint="FE" w:fill="F3BA02" w:themeFill="accent3" w:themeFillTint="FE"/>
      </w:tcPr>
    </w:tblStylePr>
    <w:tblStylePr w:type="lastRow">
      <w:rPr>
        <w:rFonts w:ascii="Arial" w:hAnsi="Arial"/>
        <w:color w:val="F2F2F2"/>
        <w:sz w:val="22"/>
      </w:rPr>
      <w:tblPr/>
      <w:tcPr>
        <w:shd w:val="clear" w:color="F3BA02" w:themeColor="accent3" w:themeTint="FE" w:fill="F3BA02" w:themeFill="accent3" w:themeFillTint="FE"/>
      </w:tcPr>
    </w:tblStylePr>
    <w:tblStylePr w:type="firstCol">
      <w:rPr>
        <w:rFonts w:ascii="Arial" w:hAnsi="Arial"/>
        <w:color w:val="F2F2F2"/>
        <w:sz w:val="22"/>
      </w:rPr>
      <w:tblPr/>
      <w:tcPr>
        <w:shd w:val="clear" w:color="F3BA02" w:themeColor="accent3" w:themeTint="FE" w:fill="F3BA02" w:themeFill="accent3" w:themeFillTint="FE"/>
      </w:tcPr>
    </w:tblStylePr>
    <w:tblStylePr w:type="lastCol">
      <w:rPr>
        <w:rFonts w:ascii="Arial" w:hAnsi="Arial"/>
        <w:color w:val="F2F2F2"/>
        <w:sz w:val="22"/>
      </w:rPr>
      <w:tblPr/>
      <w:tcPr>
        <w:shd w:val="clear" w:color="F3BA02" w:themeColor="accent3" w:themeTint="FE" w:fill="F3BA02"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FEF2C9" w:themeColor="accent3" w:themeTint="34" w:fill="FEF2C9"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9" w:themeColor="accent3" w:themeTint="34" w:fill="FEF2C9" w:themeFill="accent3" w:themeFillTint="34"/>
      </w:tcPr>
    </w:tblStylePr>
    <w:tblStylePr w:type="neCell">
      <w:tblPr/>
    </w:tblStylePr>
    <w:tblStylePr w:type="nwCell">
      <w:tblPr/>
    </w:tblStylePr>
    <w:tblStylePr w:type="seCell">
      <w:tblPr/>
    </w:tblStylePr>
    <w:tblStylePr w:type="swCell">
      <w:tblPr/>
    </w:tblStylePr>
  </w:style>
  <w:style w:type="table" w:customStyle="1" w:styleId="175">
    <w:name w:val="Lined - Accent 4"/>
    <w:basedOn w:val="39"/>
    <w:qFormat/>
    <w:uiPriority w:val="99"/>
    <w:pPr>
      <w:spacing w:after="0" w:line="240" w:lineRule="auto"/>
    </w:pPr>
    <w:rPr>
      <w:color w:val="404040"/>
    </w:rPr>
    <w:tblPr/>
    <w:tblStylePr w:type="firstRow">
      <w:rPr>
        <w:rFonts w:ascii="Arial" w:hAnsi="Arial"/>
        <w:color w:val="F2F2F2"/>
        <w:sz w:val="22"/>
      </w:rPr>
      <w:tblPr/>
      <w:tcPr>
        <w:shd w:val="clear" w:color="ABD78C" w:themeColor="accent4" w:themeTint="9A" w:fill="ABD78C" w:themeFill="accent4" w:themeFillTint="9A"/>
      </w:tcPr>
    </w:tblStylePr>
    <w:tblStylePr w:type="lastRow">
      <w:rPr>
        <w:rFonts w:ascii="Arial" w:hAnsi="Arial"/>
        <w:color w:val="F2F2F2"/>
        <w:sz w:val="22"/>
      </w:rPr>
      <w:tblPr/>
      <w:tcPr>
        <w:shd w:val="clear" w:color="ABD78C" w:themeColor="accent4" w:themeTint="9A" w:fill="ABD78C" w:themeFill="accent4" w:themeFillTint="9A"/>
      </w:tcPr>
    </w:tblStylePr>
    <w:tblStylePr w:type="firstCol">
      <w:rPr>
        <w:rFonts w:ascii="Arial" w:hAnsi="Arial"/>
        <w:color w:val="F2F2F2"/>
        <w:sz w:val="22"/>
      </w:rPr>
      <w:tblPr/>
      <w:tcPr>
        <w:shd w:val="clear" w:color="ABD78C" w:themeColor="accent4" w:themeTint="9A" w:fill="ABD78C" w:themeFill="accent4" w:themeFillTint="9A"/>
      </w:tcPr>
    </w:tblStylePr>
    <w:tblStylePr w:type="lastCol">
      <w:rPr>
        <w:rFonts w:ascii="Arial" w:hAnsi="Arial"/>
        <w:color w:val="F2F2F2"/>
        <w:sz w:val="22"/>
      </w:rPr>
      <w:tblPr/>
      <w:tcPr>
        <w:shd w:val="clear" w:color="ABD78C" w:themeColor="accent4" w:themeTint="9A" w:fill="ABD78C"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2F1D8" w:themeColor="accent4" w:themeTint="34" w:fill="E2F1D8"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2F1D8" w:themeColor="accent4" w:themeTint="34" w:fill="E2F1D8" w:themeFill="accent4" w:themeFillTint="34"/>
      </w:tcPr>
    </w:tblStylePr>
    <w:tblStylePr w:type="neCell">
      <w:tblPr/>
    </w:tblStylePr>
    <w:tblStylePr w:type="nwCell">
      <w:tblPr/>
    </w:tblStylePr>
    <w:tblStylePr w:type="seCell">
      <w:tblPr/>
    </w:tblStylePr>
    <w:tblStylePr w:type="swCell">
      <w:tblPr/>
    </w:tblStylePr>
  </w:style>
  <w:style w:type="table" w:customStyle="1" w:styleId="176">
    <w:name w:val="Lined - Accent 5"/>
    <w:basedOn w:val="39"/>
    <w:qFormat/>
    <w:uiPriority w:val="99"/>
    <w:pPr>
      <w:spacing w:after="0" w:line="240" w:lineRule="auto"/>
    </w:pPr>
    <w:rPr>
      <w:color w:val="404040"/>
    </w:rPr>
    <w:tblPr/>
    <w:tblStylePr w:type="firstRow">
      <w:rPr>
        <w:rFonts w:ascii="Arial" w:hAnsi="Arial"/>
        <w:color w:val="F2F2F2"/>
        <w:sz w:val="22"/>
      </w:rPr>
      <w:tblPr/>
      <w:tcPr>
        <w:shd w:val="clear" w:color="30C0B4" w:themeColor="accent5" w:fill="30C0B4" w:themeFill="accent5"/>
      </w:tcPr>
    </w:tblStylePr>
    <w:tblStylePr w:type="lastRow">
      <w:rPr>
        <w:rFonts w:ascii="Arial" w:hAnsi="Arial"/>
        <w:color w:val="F2F2F2"/>
        <w:sz w:val="22"/>
      </w:rPr>
      <w:tblPr/>
      <w:tcPr>
        <w:shd w:val="clear" w:color="30C0B4" w:themeColor="accent5" w:fill="30C0B4" w:themeFill="accent5"/>
      </w:tcPr>
    </w:tblStylePr>
    <w:tblStylePr w:type="firstCol">
      <w:rPr>
        <w:rFonts w:ascii="Arial" w:hAnsi="Arial"/>
        <w:color w:val="F2F2F2"/>
        <w:sz w:val="22"/>
      </w:rPr>
      <w:tblPr/>
      <w:tcPr>
        <w:shd w:val="clear" w:color="30C0B4" w:themeColor="accent5" w:fill="30C0B4" w:themeFill="accent5"/>
      </w:tcPr>
    </w:tblStylePr>
    <w:tblStylePr w:type="lastCol">
      <w:rPr>
        <w:rFonts w:ascii="Arial" w:hAnsi="Arial"/>
        <w:color w:val="F2F2F2"/>
        <w:sz w:val="22"/>
      </w:rPr>
      <w:tblPr/>
      <w:tcPr>
        <w:shd w:val="clear" w:color="30C0B4" w:themeColor="accent5" w:fill="30C0B4"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2F3F1" w:themeColor="accent5" w:themeTint="34" w:fill="D2F3F1"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2F3F1" w:themeColor="accent5" w:themeTint="34" w:fill="D2F3F1" w:themeFill="accent5" w:themeFillTint="34"/>
      </w:tcPr>
    </w:tblStylePr>
    <w:tblStylePr w:type="neCell">
      <w:tblPr/>
    </w:tblStylePr>
    <w:tblStylePr w:type="nwCell">
      <w:tblPr/>
    </w:tblStylePr>
    <w:tblStylePr w:type="seCell">
      <w:tblPr/>
    </w:tblStylePr>
    <w:tblStylePr w:type="swCell">
      <w:tblPr/>
    </w:tblStylePr>
  </w:style>
  <w:style w:type="table" w:customStyle="1" w:styleId="177">
    <w:name w:val="Lined - Accent 6"/>
    <w:basedOn w:val="39"/>
    <w:qFormat/>
    <w:uiPriority w:val="99"/>
    <w:pPr>
      <w:spacing w:after="0" w:line="240" w:lineRule="auto"/>
    </w:pPr>
    <w:rPr>
      <w:color w:val="404040"/>
    </w:rPr>
    <w:tblPr/>
    <w:tblStylePr w:type="firstRow">
      <w:rPr>
        <w:rFonts w:ascii="Arial" w:hAnsi="Arial"/>
        <w:color w:val="F2F2F2"/>
        <w:sz w:val="22"/>
      </w:rPr>
      <w:tblPr/>
      <w:tcPr>
        <w:shd w:val="clear" w:color="E54C5E" w:themeColor="accent6" w:fill="E54C5E" w:themeFill="accent6"/>
      </w:tcPr>
    </w:tblStylePr>
    <w:tblStylePr w:type="lastRow">
      <w:rPr>
        <w:rFonts w:ascii="Arial" w:hAnsi="Arial"/>
        <w:color w:val="F2F2F2"/>
        <w:sz w:val="22"/>
      </w:rPr>
      <w:tblPr/>
      <w:tcPr>
        <w:shd w:val="clear" w:color="E54C5E" w:themeColor="accent6" w:fill="E54C5E" w:themeFill="accent6"/>
      </w:tcPr>
    </w:tblStylePr>
    <w:tblStylePr w:type="firstCol">
      <w:rPr>
        <w:rFonts w:ascii="Arial" w:hAnsi="Arial"/>
        <w:color w:val="F2F2F2"/>
        <w:sz w:val="22"/>
      </w:rPr>
      <w:tblPr/>
      <w:tcPr>
        <w:shd w:val="clear" w:color="E54C5E" w:themeColor="accent6" w:fill="E54C5E" w:themeFill="accent6"/>
      </w:tcPr>
    </w:tblStylePr>
    <w:tblStylePr w:type="lastCol">
      <w:rPr>
        <w:rFonts w:ascii="Arial" w:hAnsi="Arial"/>
        <w:color w:val="F2F2F2"/>
        <w:sz w:val="22"/>
      </w:rPr>
      <w:tblPr/>
      <w:tcPr>
        <w:shd w:val="clear" w:color="E54C5E" w:themeColor="accent6" w:fill="E54C5E"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9DADE" w:themeColor="accent6" w:themeTint="34" w:fill="F9DADE"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9DADE" w:themeColor="accent6" w:themeTint="34" w:fill="F9DADE" w:themeFill="accent6" w:themeFillTint="34"/>
      </w:tcPr>
    </w:tblStylePr>
    <w:tblStylePr w:type="neCell">
      <w:tblPr/>
    </w:tblStylePr>
    <w:tblStylePr w:type="nwCell">
      <w:tblPr/>
    </w:tblStylePr>
    <w:tblStylePr w:type="seCell">
      <w:tblPr/>
    </w:tblStylePr>
    <w:tblStylePr w:type="swCell">
      <w:tblPr/>
    </w:tblStylePr>
  </w:style>
  <w:style w:type="table" w:customStyle="1" w:styleId="178">
    <w:name w:val="Bordered &amp; Lined - Accent"/>
    <w:basedOn w:val="39"/>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79">
    <w:name w:val="Bordered &amp; Lined - Accent 1"/>
    <w:basedOn w:val="39"/>
    <w:qFormat/>
    <w:uiPriority w:val="99"/>
    <w:pPr>
      <w:spacing w:after="0" w:line="240" w:lineRule="auto"/>
    </w:pPr>
    <w:rPr>
      <w:color w:val="404040"/>
    </w:rPr>
    <w:tblPr>
      <w:tblBorders>
        <w:top w:val="single" w:color="23417D" w:themeColor="accent1" w:themeShade="95" w:sz="4" w:space="0"/>
        <w:left w:val="single" w:color="23417D" w:themeColor="accent1" w:themeShade="95" w:sz="4" w:space="0"/>
        <w:bottom w:val="single" w:color="23417D" w:themeColor="accent1" w:themeShade="95" w:sz="4" w:space="0"/>
        <w:right w:val="single" w:color="23417D" w:themeColor="accent1" w:themeShade="95" w:sz="4" w:space="0"/>
        <w:insideH w:val="single" w:color="23417D" w:themeColor="accent1" w:themeShade="95" w:sz="4" w:space="0"/>
        <w:insideV w:val="single" w:color="23417D" w:themeColor="accent1" w:themeShade="95" w:sz="4" w:space="0"/>
      </w:tblBorders>
    </w:tblPr>
    <w:tblStylePr w:type="firstRow">
      <w:rPr>
        <w:rFonts w:ascii="Arial" w:hAnsi="Arial"/>
        <w:color w:val="F2F2F2"/>
        <w:sz w:val="22"/>
      </w:rPr>
      <w:tblPr/>
      <w:tcPr>
        <w:shd w:val="clear" w:color="577FCF" w:themeColor="accent1" w:themeTint="EA" w:fill="577FCF" w:themeFill="accent1" w:themeFillTint="EA"/>
      </w:tcPr>
    </w:tblStylePr>
    <w:tblStylePr w:type="lastRow">
      <w:rPr>
        <w:rFonts w:ascii="Arial" w:hAnsi="Arial"/>
        <w:color w:val="F2F2F2"/>
        <w:sz w:val="22"/>
      </w:rPr>
      <w:tblPr/>
      <w:tcPr>
        <w:shd w:val="clear" w:color="577FCF" w:themeColor="accent1" w:themeTint="EA" w:fill="577FCF" w:themeFill="accent1" w:themeFillTint="EA"/>
      </w:tcPr>
    </w:tblStylePr>
    <w:tblStylePr w:type="firstCol">
      <w:rPr>
        <w:rFonts w:ascii="Arial" w:hAnsi="Arial"/>
        <w:color w:val="F2F2F2"/>
        <w:sz w:val="22"/>
      </w:rPr>
      <w:tblPr/>
      <w:tcPr>
        <w:shd w:val="clear" w:color="577FCF" w:themeColor="accent1" w:themeTint="EA" w:fill="577FCF" w:themeFill="accent1" w:themeFillTint="EA"/>
      </w:tcPr>
    </w:tblStylePr>
    <w:tblStylePr w:type="lastCol">
      <w:rPr>
        <w:rFonts w:ascii="Arial" w:hAnsi="Arial"/>
        <w:color w:val="F2F2F2"/>
        <w:sz w:val="22"/>
      </w:rPr>
      <w:tblPr/>
      <w:tcPr>
        <w:shd w:val="clear" w:color="577FCF" w:themeColor="accent1" w:themeTint="EA" w:fill="577FCF"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5D3EE" w:themeColor="accent1" w:themeTint="50" w:fill="C5D3EE"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5D3EE" w:themeColor="accent1" w:themeTint="50" w:fill="C5D3EE" w:themeFill="accent1" w:themeFillTint="50"/>
      </w:tcPr>
    </w:tblStylePr>
    <w:tblStylePr w:type="neCell">
      <w:tblPr/>
    </w:tblStylePr>
    <w:tblStylePr w:type="nwCell">
      <w:tblPr/>
    </w:tblStylePr>
    <w:tblStylePr w:type="seCell">
      <w:tblPr/>
    </w:tblStylePr>
    <w:tblStylePr w:type="swCell">
      <w:tblPr/>
    </w:tblStylePr>
  </w:style>
  <w:style w:type="table" w:customStyle="1" w:styleId="180">
    <w:name w:val="Bordered &amp; Lined - Accent 2"/>
    <w:basedOn w:val="39"/>
    <w:qFormat/>
    <w:uiPriority w:val="99"/>
    <w:pPr>
      <w:spacing w:after="0" w:line="240" w:lineRule="auto"/>
    </w:pPr>
    <w:rPr>
      <w:color w:val="404040"/>
    </w:rPr>
    <w:tblPr>
      <w:tblBorders>
        <w:top w:val="single" w:color="994A0C" w:themeColor="accent2" w:themeShade="95" w:sz="4" w:space="0"/>
        <w:left w:val="single" w:color="994A0C" w:themeColor="accent2" w:themeShade="95" w:sz="4" w:space="0"/>
        <w:bottom w:val="single" w:color="994A0C" w:themeColor="accent2" w:themeShade="95" w:sz="4" w:space="0"/>
        <w:right w:val="single" w:color="994A0C" w:themeColor="accent2" w:themeShade="95" w:sz="4" w:space="0"/>
        <w:insideH w:val="single" w:color="994A0C" w:themeColor="accent2" w:themeShade="95" w:sz="4" w:space="0"/>
        <w:insideV w:val="single" w:color="994A0C" w:themeColor="accent2" w:themeShade="95" w:sz="4" w:space="0"/>
      </w:tblBorders>
    </w:tblPr>
    <w:tblStylePr w:type="firstRow">
      <w:rPr>
        <w:rFonts w:ascii="Arial" w:hAnsi="Arial"/>
        <w:color w:val="F2F2F2"/>
        <w:sz w:val="22"/>
      </w:rPr>
      <w:tblPr/>
      <w:tcPr>
        <w:shd w:val="clear" w:color="F4B483" w:themeColor="accent2" w:themeTint="97" w:fill="F4B483" w:themeFill="accent2" w:themeFillTint="97"/>
      </w:tcPr>
    </w:tblStylePr>
    <w:tblStylePr w:type="lastRow">
      <w:rPr>
        <w:rFonts w:ascii="Arial" w:hAnsi="Arial"/>
        <w:color w:val="F2F2F2"/>
        <w:sz w:val="22"/>
      </w:rPr>
      <w:tblPr/>
      <w:tcPr>
        <w:shd w:val="clear" w:color="F4B483" w:themeColor="accent2" w:themeTint="97" w:fill="F4B483" w:themeFill="accent2" w:themeFillTint="97"/>
      </w:tcPr>
    </w:tblStylePr>
    <w:tblStylePr w:type="firstCol">
      <w:rPr>
        <w:rFonts w:ascii="Arial" w:hAnsi="Arial"/>
        <w:color w:val="F2F2F2"/>
        <w:sz w:val="22"/>
      </w:rPr>
      <w:tblPr/>
      <w:tcPr>
        <w:shd w:val="clear" w:color="F4B483" w:themeColor="accent2" w:themeTint="97" w:fill="F4B483" w:themeFill="accent2" w:themeFillTint="97"/>
      </w:tcPr>
    </w:tblStylePr>
    <w:tblStylePr w:type="lastCol">
      <w:rPr>
        <w:rFonts w:ascii="Arial" w:hAnsi="Arial"/>
        <w:color w:val="F2F2F2"/>
        <w:sz w:val="22"/>
      </w:rPr>
      <w:tblPr/>
      <w:tcPr>
        <w:shd w:val="clear" w:color="F4B483" w:themeColor="accent2" w:themeTint="97" w:fill="F4B483"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6D6" w:themeColor="accent2" w:themeTint="32" w:fill="FBE6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6D6" w:themeColor="accent2" w:themeTint="32" w:fill="FBE6D6" w:themeFill="accent2" w:themeFillTint="32"/>
      </w:tcPr>
    </w:tblStylePr>
    <w:tblStylePr w:type="neCell">
      <w:tblPr/>
    </w:tblStylePr>
    <w:tblStylePr w:type="nwCell">
      <w:tblPr/>
    </w:tblStylePr>
    <w:tblStylePr w:type="seCell">
      <w:tblPr/>
    </w:tblStylePr>
    <w:tblStylePr w:type="swCell">
      <w:tblPr/>
    </w:tblStylePr>
  </w:style>
  <w:style w:type="table" w:customStyle="1" w:styleId="181">
    <w:name w:val="Bordered &amp; Lined - Accent 3"/>
    <w:basedOn w:val="39"/>
    <w:qFormat/>
    <w:uiPriority w:val="99"/>
    <w:pPr>
      <w:spacing w:after="0" w:line="240" w:lineRule="auto"/>
    </w:pPr>
    <w:rPr>
      <w:color w:val="404040"/>
    </w:rPr>
    <w:tblPr>
      <w:tblBorders>
        <w:top w:val="single" w:color="8D6C01" w:themeColor="accent3" w:themeShade="95" w:sz="4" w:space="0"/>
        <w:left w:val="single" w:color="8D6C01" w:themeColor="accent3" w:themeShade="95" w:sz="4" w:space="0"/>
        <w:bottom w:val="single" w:color="8D6C01" w:themeColor="accent3" w:themeShade="95" w:sz="4" w:space="0"/>
        <w:right w:val="single" w:color="8D6C01" w:themeColor="accent3" w:themeShade="95" w:sz="4" w:space="0"/>
        <w:insideH w:val="single" w:color="8D6C01" w:themeColor="accent3" w:themeShade="95" w:sz="4" w:space="0"/>
        <w:insideV w:val="single" w:color="8D6C01" w:themeColor="accent3" w:themeShade="95" w:sz="4" w:space="0"/>
      </w:tblBorders>
    </w:tblPr>
    <w:tblStylePr w:type="firstRow">
      <w:rPr>
        <w:rFonts w:ascii="Arial" w:hAnsi="Arial"/>
        <w:color w:val="F2F2F2"/>
        <w:sz w:val="22"/>
      </w:rPr>
      <w:tblPr/>
      <w:tcPr>
        <w:shd w:val="clear" w:color="F3BA02" w:themeColor="accent3" w:themeTint="FE" w:fill="F3BA02" w:themeFill="accent3" w:themeFillTint="FE"/>
      </w:tcPr>
    </w:tblStylePr>
    <w:tblStylePr w:type="lastRow">
      <w:rPr>
        <w:rFonts w:ascii="Arial" w:hAnsi="Arial"/>
        <w:color w:val="F2F2F2"/>
        <w:sz w:val="22"/>
      </w:rPr>
      <w:tblPr/>
      <w:tcPr>
        <w:shd w:val="clear" w:color="F3BA02" w:themeColor="accent3" w:themeTint="FE" w:fill="F3BA02" w:themeFill="accent3" w:themeFillTint="FE"/>
      </w:tcPr>
    </w:tblStylePr>
    <w:tblStylePr w:type="firstCol">
      <w:rPr>
        <w:rFonts w:ascii="Arial" w:hAnsi="Arial"/>
        <w:color w:val="F2F2F2"/>
        <w:sz w:val="22"/>
      </w:rPr>
      <w:tblPr/>
      <w:tcPr>
        <w:shd w:val="clear" w:color="F3BA02" w:themeColor="accent3" w:themeTint="FE" w:fill="F3BA02" w:themeFill="accent3" w:themeFillTint="FE"/>
      </w:tcPr>
    </w:tblStylePr>
    <w:tblStylePr w:type="lastCol">
      <w:rPr>
        <w:rFonts w:ascii="Arial" w:hAnsi="Arial"/>
        <w:color w:val="F2F2F2"/>
        <w:sz w:val="22"/>
      </w:rPr>
      <w:tblPr/>
      <w:tcPr>
        <w:shd w:val="clear" w:color="F3BA02" w:themeColor="accent3" w:themeTint="FE" w:fill="F3BA02"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FEF2C9" w:themeColor="accent3" w:themeTint="34" w:fill="FEF2C9"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9" w:themeColor="accent3" w:themeTint="34" w:fill="FEF2C9" w:themeFill="accent3" w:themeFillTint="34"/>
      </w:tcPr>
    </w:tblStylePr>
    <w:tblStylePr w:type="neCell">
      <w:tblPr/>
    </w:tblStylePr>
    <w:tblStylePr w:type="nwCell">
      <w:tblPr/>
    </w:tblStylePr>
    <w:tblStylePr w:type="seCell">
      <w:tblPr/>
    </w:tblStylePr>
    <w:tblStylePr w:type="swCell">
      <w:tblPr/>
    </w:tblStylePr>
  </w:style>
  <w:style w:type="table" w:customStyle="1" w:styleId="182">
    <w:name w:val="Bordered &amp; Lined - Accent 4"/>
    <w:basedOn w:val="39"/>
    <w:uiPriority w:val="99"/>
    <w:pPr>
      <w:spacing w:after="0" w:line="240" w:lineRule="auto"/>
    </w:pPr>
    <w:rPr>
      <w:color w:val="404040"/>
    </w:rPr>
    <w:tblPr>
      <w:tblBorders>
        <w:top w:val="single" w:color="446E26" w:themeColor="accent4" w:themeShade="95" w:sz="4" w:space="0"/>
        <w:left w:val="single" w:color="446E26" w:themeColor="accent4" w:themeShade="95" w:sz="4" w:space="0"/>
        <w:bottom w:val="single" w:color="446E26" w:themeColor="accent4" w:themeShade="95" w:sz="4" w:space="0"/>
        <w:right w:val="single" w:color="446E26" w:themeColor="accent4" w:themeShade="95" w:sz="4" w:space="0"/>
        <w:insideH w:val="single" w:color="446E26" w:themeColor="accent4" w:themeShade="95" w:sz="4" w:space="0"/>
        <w:insideV w:val="single" w:color="446E26" w:themeColor="accent4" w:themeShade="95" w:sz="4" w:space="0"/>
      </w:tblBorders>
    </w:tblPr>
    <w:tblStylePr w:type="firstRow">
      <w:rPr>
        <w:rFonts w:ascii="Arial" w:hAnsi="Arial"/>
        <w:color w:val="F2F2F2"/>
        <w:sz w:val="22"/>
      </w:rPr>
      <w:tblPr/>
      <w:tcPr>
        <w:shd w:val="clear" w:color="ABD78C" w:themeColor="accent4" w:themeTint="9A" w:fill="ABD78C" w:themeFill="accent4" w:themeFillTint="9A"/>
      </w:tcPr>
    </w:tblStylePr>
    <w:tblStylePr w:type="lastRow">
      <w:rPr>
        <w:rFonts w:ascii="Arial" w:hAnsi="Arial"/>
        <w:color w:val="F2F2F2"/>
        <w:sz w:val="22"/>
      </w:rPr>
      <w:tblPr/>
      <w:tcPr>
        <w:shd w:val="clear" w:color="ABD78C" w:themeColor="accent4" w:themeTint="9A" w:fill="ABD78C" w:themeFill="accent4" w:themeFillTint="9A"/>
      </w:tcPr>
    </w:tblStylePr>
    <w:tblStylePr w:type="firstCol">
      <w:rPr>
        <w:rFonts w:ascii="Arial" w:hAnsi="Arial"/>
        <w:color w:val="F2F2F2"/>
        <w:sz w:val="22"/>
      </w:rPr>
      <w:tblPr/>
      <w:tcPr>
        <w:shd w:val="clear" w:color="ABD78C" w:themeColor="accent4" w:themeTint="9A" w:fill="ABD78C" w:themeFill="accent4" w:themeFillTint="9A"/>
      </w:tcPr>
    </w:tblStylePr>
    <w:tblStylePr w:type="lastCol">
      <w:rPr>
        <w:rFonts w:ascii="Arial" w:hAnsi="Arial"/>
        <w:color w:val="F2F2F2"/>
        <w:sz w:val="22"/>
      </w:rPr>
      <w:tblPr/>
      <w:tcPr>
        <w:shd w:val="clear" w:color="ABD78C" w:themeColor="accent4" w:themeTint="9A" w:fill="ABD78C"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2F1D8" w:themeColor="accent4" w:themeTint="34" w:fill="E2F1D8"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2F1D8" w:themeColor="accent4" w:themeTint="34" w:fill="E2F1D8" w:themeFill="accent4" w:themeFillTint="34"/>
      </w:tcPr>
    </w:tblStylePr>
    <w:tblStylePr w:type="neCell">
      <w:tblPr/>
    </w:tblStylePr>
    <w:tblStylePr w:type="nwCell">
      <w:tblPr/>
    </w:tblStylePr>
    <w:tblStylePr w:type="seCell">
      <w:tblPr/>
    </w:tblStylePr>
    <w:tblStylePr w:type="swCell">
      <w:tblPr/>
    </w:tblStylePr>
  </w:style>
  <w:style w:type="table" w:customStyle="1" w:styleId="183">
    <w:name w:val="Bordered &amp; Lined - Accent 5"/>
    <w:basedOn w:val="39"/>
    <w:qFormat/>
    <w:uiPriority w:val="99"/>
    <w:pPr>
      <w:spacing w:after="0" w:line="240" w:lineRule="auto"/>
    </w:pPr>
    <w:rPr>
      <w:color w:val="404040"/>
    </w:rPr>
    <w:tblPr>
      <w:tblBorders>
        <w:top w:val="single" w:color="1C7069" w:themeColor="accent5" w:themeShade="95" w:sz="4" w:space="0"/>
        <w:left w:val="single" w:color="1C7069" w:themeColor="accent5" w:themeShade="95" w:sz="4" w:space="0"/>
        <w:bottom w:val="single" w:color="1C7069" w:themeColor="accent5" w:themeShade="95" w:sz="4" w:space="0"/>
        <w:right w:val="single" w:color="1C7069" w:themeColor="accent5" w:themeShade="95" w:sz="4" w:space="0"/>
        <w:insideH w:val="single" w:color="1C7069" w:themeColor="accent5" w:themeShade="95" w:sz="4" w:space="0"/>
        <w:insideV w:val="single" w:color="1C7069" w:themeColor="accent5" w:themeShade="95" w:sz="4" w:space="0"/>
      </w:tblBorders>
    </w:tblPr>
    <w:tblStylePr w:type="firstRow">
      <w:rPr>
        <w:rFonts w:ascii="Arial" w:hAnsi="Arial"/>
        <w:color w:val="F2F2F2"/>
        <w:sz w:val="22"/>
      </w:rPr>
      <w:tblPr/>
      <w:tcPr>
        <w:shd w:val="clear" w:color="30C0B4" w:themeColor="accent5" w:fill="30C0B4" w:themeFill="accent5"/>
      </w:tcPr>
    </w:tblStylePr>
    <w:tblStylePr w:type="lastRow">
      <w:rPr>
        <w:rFonts w:ascii="Arial" w:hAnsi="Arial"/>
        <w:color w:val="F2F2F2"/>
        <w:sz w:val="22"/>
      </w:rPr>
      <w:tblPr/>
      <w:tcPr>
        <w:shd w:val="clear" w:color="30C0B4" w:themeColor="accent5" w:fill="30C0B4" w:themeFill="accent5"/>
      </w:tcPr>
    </w:tblStylePr>
    <w:tblStylePr w:type="firstCol">
      <w:rPr>
        <w:rFonts w:ascii="Arial" w:hAnsi="Arial"/>
        <w:color w:val="F2F2F2"/>
        <w:sz w:val="22"/>
      </w:rPr>
      <w:tblPr/>
      <w:tcPr>
        <w:shd w:val="clear" w:color="30C0B4" w:themeColor="accent5" w:fill="30C0B4" w:themeFill="accent5"/>
      </w:tcPr>
    </w:tblStylePr>
    <w:tblStylePr w:type="lastCol">
      <w:rPr>
        <w:rFonts w:ascii="Arial" w:hAnsi="Arial"/>
        <w:color w:val="F2F2F2"/>
        <w:sz w:val="22"/>
      </w:rPr>
      <w:tblPr/>
      <w:tcPr>
        <w:shd w:val="clear" w:color="30C0B4" w:themeColor="accent5" w:fill="30C0B4"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2F3F1" w:themeColor="accent5" w:themeTint="34" w:fill="D2F3F1"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2F3F1" w:themeColor="accent5" w:themeTint="34" w:fill="D2F3F1" w:themeFill="accent5" w:themeFillTint="34"/>
      </w:tcPr>
    </w:tblStylePr>
    <w:tblStylePr w:type="neCell">
      <w:tblPr/>
    </w:tblStylePr>
    <w:tblStylePr w:type="nwCell">
      <w:tblPr/>
    </w:tblStylePr>
    <w:tblStylePr w:type="seCell">
      <w:tblPr/>
    </w:tblStylePr>
    <w:tblStylePr w:type="swCell">
      <w:tblPr/>
    </w:tblStylePr>
  </w:style>
  <w:style w:type="table" w:customStyle="1" w:styleId="184">
    <w:name w:val="Bordered &amp; Lined - Accent 6"/>
    <w:basedOn w:val="39"/>
    <w:uiPriority w:val="99"/>
    <w:pPr>
      <w:spacing w:after="0" w:line="240" w:lineRule="auto"/>
    </w:pPr>
    <w:rPr>
      <w:color w:val="404040"/>
    </w:rPr>
    <w:tblPr>
      <w:tblBorders>
        <w:top w:val="single" w:color="9B1626" w:themeColor="accent6" w:themeShade="95" w:sz="4" w:space="0"/>
        <w:left w:val="single" w:color="9B1626" w:themeColor="accent6" w:themeShade="95" w:sz="4" w:space="0"/>
        <w:bottom w:val="single" w:color="9B1626" w:themeColor="accent6" w:themeShade="95" w:sz="4" w:space="0"/>
        <w:right w:val="single" w:color="9B1626" w:themeColor="accent6" w:themeShade="95" w:sz="4" w:space="0"/>
        <w:insideH w:val="single" w:color="9B1626" w:themeColor="accent6" w:themeShade="95" w:sz="4" w:space="0"/>
        <w:insideV w:val="single" w:color="9B1626" w:themeColor="accent6" w:themeShade="95" w:sz="4" w:space="0"/>
      </w:tblBorders>
    </w:tblPr>
    <w:tblStylePr w:type="firstRow">
      <w:rPr>
        <w:rFonts w:ascii="Arial" w:hAnsi="Arial"/>
        <w:color w:val="F2F2F2"/>
        <w:sz w:val="22"/>
      </w:rPr>
      <w:tblPr/>
      <w:tcPr>
        <w:shd w:val="clear" w:color="E54C5E" w:themeColor="accent6" w:fill="E54C5E" w:themeFill="accent6"/>
      </w:tcPr>
    </w:tblStylePr>
    <w:tblStylePr w:type="lastRow">
      <w:rPr>
        <w:rFonts w:ascii="Arial" w:hAnsi="Arial"/>
        <w:color w:val="F2F2F2"/>
        <w:sz w:val="22"/>
      </w:rPr>
      <w:tblPr/>
      <w:tcPr>
        <w:shd w:val="clear" w:color="E54C5E" w:themeColor="accent6" w:fill="E54C5E" w:themeFill="accent6"/>
      </w:tcPr>
    </w:tblStylePr>
    <w:tblStylePr w:type="firstCol">
      <w:rPr>
        <w:rFonts w:ascii="Arial" w:hAnsi="Arial"/>
        <w:color w:val="F2F2F2"/>
        <w:sz w:val="22"/>
      </w:rPr>
      <w:tblPr/>
      <w:tcPr>
        <w:shd w:val="clear" w:color="E54C5E" w:themeColor="accent6" w:fill="E54C5E" w:themeFill="accent6"/>
      </w:tcPr>
    </w:tblStylePr>
    <w:tblStylePr w:type="lastCol">
      <w:rPr>
        <w:rFonts w:ascii="Arial" w:hAnsi="Arial"/>
        <w:color w:val="F2F2F2"/>
        <w:sz w:val="22"/>
      </w:rPr>
      <w:tblPr/>
      <w:tcPr>
        <w:shd w:val="clear" w:color="E54C5E" w:themeColor="accent6" w:fill="E54C5E"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9DADE" w:themeColor="accent6" w:themeTint="34" w:fill="F9DADE"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9DADE" w:themeColor="accent6" w:themeTint="34" w:fill="F9DADE" w:themeFill="accent6" w:themeFillTint="34"/>
      </w:tcPr>
    </w:tblStylePr>
    <w:tblStylePr w:type="neCell">
      <w:tblPr/>
    </w:tblStylePr>
    <w:tblStylePr w:type="nwCell">
      <w:tblPr/>
    </w:tblStylePr>
    <w:tblStylePr w:type="seCell">
      <w:tblPr/>
    </w:tblStylePr>
    <w:tblStylePr w:type="swCell">
      <w:tblPr/>
    </w:tblStylePr>
  </w:style>
  <w:style w:type="table" w:customStyle="1" w:styleId="185">
    <w:name w:val="Bordered"/>
    <w:basedOn w:val="39"/>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6">
    <w:name w:val="Bordered - Accent 1"/>
    <w:basedOn w:val="39"/>
    <w:uiPriority w:val="99"/>
    <w:pPr>
      <w:spacing w:after="0" w:line="240" w:lineRule="auto"/>
    </w:pPr>
    <w:tblPr>
      <w:tblBorders>
        <w:top w:val="single" w:color="B5C6E9" w:themeColor="accent1" w:themeTint="67" w:sz="4" w:space="0"/>
        <w:left w:val="single" w:color="B5C6E9" w:themeColor="accent1" w:themeTint="67" w:sz="4" w:space="0"/>
        <w:bottom w:val="single" w:color="B5C6E9" w:themeColor="accent1" w:themeTint="67" w:sz="4" w:space="0"/>
        <w:right w:val="single" w:color="B5C6E9" w:themeColor="accent1" w:themeTint="67" w:sz="4" w:space="0"/>
        <w:insideH w:val="single" w:color="B5C6E9" w:themeColor="accent1" w:themeTint="67" w:sz="4" w:space="0"/>
        <w:insideV w:val="single" w:color="B5C6E9" w:themeColor="accent1" w:themeTint="67" w:sz="4" w:space="0"/>
      </w:tblBorders>
    </w:tblPr>
    <w:tblStylePr w:type="firstRow">
      <w:rPr>
        <w:rFonts w:ascii="Arial" w:hAnsi="Arial"/>
        <w:color w:val="404040"/>
        <w:sz w:val="22"/>
      </w:rPr>
      <w:tblPr/>
      <w:tcPr>
        <w:tcBorders>
          <w:bottom w:val="single" w:color="4874CB" w:themeColor="accent1" w:sz="12" w:space="0"/>
        </w:tcBorders>
      </w:tcPr>
    </w:tblStylePr>
    <w:tblStylePr w:type="lastRow">
      <w:rPr>
        <w:rFonts w:ascii="Arial" w:hAnsi="Arial"/>
        <w:color w:val="404040"/>
        <w:sz w:val="22"/>
      </w:rPr>
      <w:tblPr/>
      <w:tcPr>
        <w:tcBorders>
          <w:top w:val="single" w:color="4874CB"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874CB"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5C6E9" w:themeColor="accent1" w:themeTint="67" w:sz="4" w:space="0"/>
          <w:left w:val="single" w:color="B5C6E9" w:themeColor="accent1" w:themeTint="67" w:sz="4" w:space="0"/>
          <w:bottom w:val="single" w:color="B5C6E9" w:themeColor="accent1" w:themeTint="67" w:sz="4" w:space="0"/>
          <w:right w:val="single" w:color="B5C6E9"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7">
    <w:name w:val="Bordered - Accent 2"/>
    <w:basedOn w:val="39"/>
    <w:qFormat/>
    <w:uiPriority w:val="99"/>
    <w:pPr>
      <w:spacing w:after="0" w:line="240" w:lineRule="auto"/>
    </w:pPr>
    <w:tblPr>
      <w:tblBorders>
        <w:top w:val="single" w:color="F8CCAA" w:themeColor="accent2" w:themeTint="67" w:sz="4" w:space="0"/>
        <w:left w:val="single" w:color="F8CCAA" w:themeColor="accent2" w:themeTint="67" w:sz="4" w:space="0"/>
        <w:bottom w:val="single" w:color="F8CCAA" w:themeColor="accent2" w:themeTint="67" w:sz="4" w:space="0"/>
        <w:right w:val="single" w:color="F8CCAA" w:themeColor="accent2" w:themeTint="67" w:sz="4" w:space="0"/>
        <w:insideH w:val="single" w:color="F8CCAA" w:themeColor="accent2" w:themeTint="67" w:sz="4" w:space="0"/>
        <w:insideV w:val="single" w:color="F8CCAA" w:themeColor="accent2" w:themeTint="67" w:sz="4" w:space="0"/>
      </w:tblBorders>
    </w:tblPr>
    <w:tblStylePr w:type="firstRow">
      <w:rPr>
        <w:rFonts w:ascii="Arial" w:hAnsi="Arial"/>
        <w:color w:val="404040"/>
        <w:sz w:val="22"/>
      </w:rPr>
      <w:tblPr/>
      <w:tcPr>
        <w:tcBorders>
          <w:bottom w:val="single" w:color="F4B483" w:themeColor="accent2" w:themeTint="97" w:sz="12" w:space="0"/>
        </w:tcBorders>
      </w:tcPr>
    </w:tblStylePr>
    <w:tblStylePr w:type="lastRow">
      <w:rPr>
        <w:rFonts w:ascii="Arial" w:hAnsi="Arial"/>
        <w:color w:val="404040"/>
        <w:sz w:val="22"/>
      </w:rPr>
      <w:tblPr/>
      <w:tcPr>
        <w:tcBorders>
          <w:top w:val="single" w:color="F4B483"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4B483"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8CCAA" w:themeColor="accent2" w:themeTint="67" w:sz="4" w:space="0"/>
          <w:left w:val="single" w:color="F8CCAA" w:themeColor="accent2" w:themeTint="67" w:sz="4" w:space="0"/>
          <w:bottom w:val="single" w:color="F8CCAA" w:themeColor="accent2" w:themeTint="67" w:sz="4" w:space="0"/>
          <w:right w:val="single" w:color="F8CCAA"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8">
    <w:name w:val="Bordered - Accent 3"/>
    <w:basedOn w:val="39"/>
    <w:uiPriority w:val="99"/>
    <w:pPr>
      <w:spacing w:after="0" w:line="240" w:lineRule="auto"/>
    </w:pPr>
    <w:tblPr>
      <w:tblBorders>
        <w:top w:val="single" w:color="FEE594" w:themeColor="accent3" w:themeTint="67" w:sz="4" w:space="0"/>
        <w:left w:val="single" w:color="FEE594" w:themeColor="accent3" w:themeTint="67" w:sz="4" w:space="0"/>
        <w:bottom w:val="single" w:color="FEE594" w:themeColor="accent3" w:themeTint="67" w:sz="4" w:space="0"/>
        <w:right w:val="single" w:color="FEE594" w:themeColor="accent3" w:themeTint="67" w:sz="4" w:space="0"/>
        <w:insideH w:val="single" w:color="FEE594" w:themeColor="accent3" w:themeTint="67" w:sz="4" w:space="0"/>
        <w:insideV w:val="single" w:color="FEE594" w:themeColor="accent3" w:themeTint="67" w:sz="4" w:space="0"/>
      </w:tblBorders>
    </w:tblPr>
    <w:tblStylePr w:type="firstRow">
      <w:rPr>
        <w:rFonts w:ascii="Arial" w:hAnsi="Arial"/>
        <w:color w:val="404040"/>
        <w:sz w:val="22"/>
      </w:rPr>
      <w:tblPr/>
      <w:tcPr>
        <w:tcBorders>
          <w:bottom w:val="single" w:color="FDD961" w:themeColor="accent3" w:themeTint="98" w:sz="12" w:space="0"/>
        </w:tcBorders>
      </w:tcPr>
    </w:tblStylePr>
    <w:tblStylePr w:type="lastRow">
      <w:rPr>
        <w:rFonts w:ascii="Arial" w:hAnsi="Arial"/>
        <w:color w:val="404040"/>
        <w:sz w:val="22"/>
      </w:rPr>
      <w:tblPr/>
      <w:tcPr>
        <w:tcBorders>
          <w:top w:val="single" w:color="FDD961"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DD961"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EE594" w:themeColor="accent3" w:themeTint="67" w:sz="4" w:space="0"/>
          <w:left w:val="single" w:color="FEE594" w:themeColor="accent3" w:themeTint="67" w:sz="4" w:space="0"/>
          <w:bottom w:val="single" w:color="FEE594" w:themeColor="accent3" w:themeTint="67" w:sz="4" w:space="0"/>
          <w:right w:val="single" w:color="FEE594"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9">
    <w:name w:val="Bordered - Accent 4"/>
    <w:basedOn w:val="39"/>
    <w:uiPriority w:val="99"/>
    <w:pPr>
      <w:spacing w:after="0" w:line="240" w:lineRule="auto"/>
    </w:pPr>
    <w:tblPr>
      <w:tblBorders>
        <w:top w:val="single" w:color="C7E4B2" w:themeColor="accent4" w:themeTint="67" w:sz="4" w:space="0"/>
        <w:left w:val="single" w:color="C7E4B2" w:themeColor="accent4" w:themeTint="67" w:sz="4" w:space="0"/>
        <w:bottom w:val="single" w:color="C7E4B2" w:themeColor="accent4" w:themeTint="67" w:sz="4" w:space="0"/>
        <w:right w:val="single" w:color="C7E4B2" w:themeColor="accent4" w:themeTint="67" w:sz="4" w:space="0"/>
        <w:insideH w:val="single" w:color="C7E4B2" w:themeColor="accent4" w:themeTint="67" w:sz="4" w:space="0"/>
        <w:insideV w:val="single" w:color="C7E4B2" w:themeColor="accent4" w:themeTint="67" w:sz="4" w:space="0"/>
      </w:tblBorders>
    </w:tblPr>
    <w:tblStylePr w:type="firstRow">
      <w:rPr>
        <w:rFonts w:ascii="Arial" w:hAnsi="Arial"/>
        <w:color w:val="404040"/>
        <w:sz w:val="22"/>
      </w:rPr>
      <w:tblPr/>
      <w:tcPr>
        <w:tcBorders>
          <w:bottom w:val="single" w:color="ABD78C" w:themeColor="accent4" w:themeTint="9A" w:sz="12" w:space="0"/>
        </w:tcBorders>
      </w:tcPr>
    </w:tblStylePr>
    <w:tblStylePr w:type="lastRow">
      <w:rPr>
        <w:rFonts w:ascii="Arial" w:hAnsi="Arial"/>
        <w:color w:val="404040"/>
        <w:sz w:val="22"/>
      </w:rPr>
      <w:tblPr/>
      <w:tcPr>
        <w:tcBorders>
          <w:top w:val="single" w:color="ABD78C"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ABD78C"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7E4B2" w:themeColor="accent4" w:themeTint="67" w:sz="4" w:space="0"/>
          <w:left w:val="single" w:color="C7E4B2" w:themeColor="accent4" w:themeTint="67" w:sz="4" w:space="0"/>
          <w:bottom w:val="single" w:color="C7E4B2" w:themeColor="accent4" w:themeTint="67" w:sz="4" w:space="0"/>
          <w:right w:val="single" w:color="C7E4B2"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0">
    <w:name w:val="Bordered - Accent 5"/>
    <w:basedOn w:val="39"/>
    <w:uiPriority w:val="99"/>
    <w:pPr>
      <w:spacing w:after="0" w:line="240" w:lineRule="auto"/>
    </w:pPr>
    <w:tblPr>
      <w:tblBorders>
        <w:top w:val="single" w:color="A7E9E3" w:themeColor="accent5" w:themeTint="67" w:sz="4" w:space="0"/>
        <w:left w:val="single" w:color="A7E9E3" w:themeColor="accent5" w:themeTint="67" w:sz="4" w:space="0"/>
        <w:bottom w:val="single" w:color="A7E9E3" w:themeColor="accent5" w:themeTint="67" w:sz="4" w:space="0"/>
        <w:right w:val="single" w:color="A7E9E3" w:themeColor="accent5" w:themeTint="67" w:sz="4" w:space="0"/>
        <w:insideH w:val="single" w:color="A7E9E3" w:themeColor="accent5" w:themeTint="67" w:sz="4" w:space="0"/>
        <w:insideV w:val="single" w:color="A7E9E3" w:themeColor="accent5" w:themeTint="67" w:sz="4" w:space="0"/>
      </w:tblBorders>
    </w:tblPr>
    <w:tblStylePr w:type="firstRow">
      <w:rPr>
        <w:rFonts w:ascii="Arial" w:hAnsi="Arial"/>
        <w:color w:val="404040"/>
        <w:sz w:val="22"/>
      </w:rPr>
      <w:tblPr/>
      <w:tcPr>
        <w:tcBorders>
          <w:bottom w:val="single" w:color="7CDED6" w:themeColor="accent5" w:themeTint="9A" w:sz="12" w:space="0"/>
        </w:tcBorders>
      </w:tcPr>
    </w:tblStylePr>
    <w:tblStylePr w:type="lastRow">
      <w:rPr>
        <w:rFonts w:ascii="Arial" w:hAnsi="Arial"/>
        <w:color w:val="404040"/>
        <w:sz w:val="22"/>
      </w:rPr>
      <w:tblPr/>
      <w:tcPr>
        <w:tcBorders>
          <w:top w:val="single" w:color="7CDED6"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CDED6"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A7E9E3" w:themeColor="accent5" w:themeTint="67" w:sz="4" w:space="0"/>
          <w:left w:val="single" w:color="A7E9E3" w:themeColor="accent5" w:themeTint="67" w:sz="4" w:space="0"/>
          <w:bottom w:val="single" w:color="A7E9E3" w:themeColor="accent5" w:themeTint="67" w:sz="4" w:space="0"/>
          <w:right w:val="single" w:color="A7E9E3"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1">
    <w:name w:val="Bordered - Accent 6"/>
    <w:basedOn w:val="39"/>
    <w:uiPriority w:val="99"/>
    <w:pPr>
      <w:spacing w:after="0" w:line="240" w:lineRule="auto"/>
    </w:pPr>
    <w:tblPr>
      <w:tblBorders>
        <w:top w:val="single" w:color="F4B6BD" w:themeColor="accent6" w:themeTint="67" w:sz="4" w:space="0"/>
        <w:left w:val="single" w:color="F4B6BD" w:themeColor="accent6" w:themeTint="67" w:sz="4" w:space="0"/>
        <w:bottom w:val="single" w:color="F4B6BD" w:themeColor="accent6" w:themeTint="67" w:sz="4" w:space="0"/>
        <w:right w:val="single" w:color="F4B6BD" w:themeColor="accent6" w:themeTint="67" w:sz="4" w:space="0"/>
        <w:insideH w:val="single" w:color="F4B6BD" w:themeColor="accent6" w:themeTint="67" w:sz="4" w:space="0"/>
        <w:insideV w:val="single" w:color="F4B6BD" w:themeColor="accent6" w:themeTint="67" w:sz="4" w:space="0"/>
      </w:tblBorders>
    </w:tblPr>
    <w:tblStylePr w:type="firstRow">
      <w:rPr>
        <w:rFonts w:ascii="Arial" w:hAnsi="Arial"/>
        <w:color w:val="404040"/>
        <w:sz w:val="22"/>
      </w:rPr>
      <w:tblPr/>
      <w:tcPr>
        <w:tcBorders>
          <w:bottom w:val="single" w:color="EF949F" w:themeColor="accent6" w:themeTint="98" w:sz="12" w:space="0"/>
        </w:tcBorders>
      </w:tcPr>
    </w:tblStylePr>
    <w:tblStylePr w:type="lastRow">
      <w:rPr>
        <w:rFonts w:ascii="Arial" w:hAnsi="Arial"/>
        <w:color w:val="404040"/>
        <w:sz w:val="22"/>
      </w:rPr>
      <w:tblPr/>
      <w:tcPr>
        <w:tcBorders>
          <w:top w:val="single" w:color="EF949F"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EF949F"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4B6BD" w:themeColor="accent6" w:themeTint="67" w:sz="4" w:space="0"/>
          <w:left w:val="single" w:color="F4B6BD" w:themeColor="accent6" w:themeTint="67" w:sz="4" w:space="0"/>
          <w:bottom w:val="single" w:color="F4B6BD" w:themeColor="accent6" w:themeTint="67" w:sz="4" w:space="0"/>
          <w:right w:val="single" w:color="F4B6BD"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92">
    <w:name w:val="Footnote Text Char"/>
    <w:link w:val="30"/>
    <w:qFormat/>
    <w:uiPriority w:val="99"/>
    <w:rPr>
      <w:sz w:val="18"/>
    </w:rPr>
  </w:style>
  <w:style w:type="character" w:customStyle="1" w:styleId="193">
    <w:name w:val="Endnote Text Char"/>
    <w:link w:val="24"/>
    <w:uiPriority w:val="99"/>
    <w:rPr>
      <w:sz w:val="20"/>
    </w:rPr>
  </w:style>
  <w:style w:type="paragraph" w:customStyle="1" w:styleId="194">
    <w:name w:val="TOC Heading"/>
    <w:unhideWhenUsed/>
    <w:qFormat/>
    <w:uiPriority w:val="39"/>
    <w:rPr>
      <w:rFonts w:hint="default" w:ascii="Times New Roman" w:hAnsi="Times New Roman" w:eastAsia="宋体" w:cs="Times New Roman"/>
    </w:rPr>
  </w:style>
  <w:style w:type="paragraph" w:customStyle="1" w:styleId="195">
    <w:name w:val="样式 正文缩进正文缩进2正文缩进 Char Char正文缩进 Char Char Char Char正文缩进 Char ..."/>
    <w:basedOn w:val="2"/>
    <w:qFormat/>
    <w:uiPriority w:val="0"/>
    <w:pPr>
      <w:spacing w:line="360" w:lineRule="auto"/>
      <w:ind w:firstLine="200"/>
    </w:pPr>
    <w:rPr>
      <w:rFonts w:cs="宋体"/>
      <w:sz w:val="24"/>
    </w:rPr>
  </w:style>
  <w:style w:type="paragraph" w:customStyle="1" w:styleId="196">
    <w:name w:val="正文1"/>
    <w:basedOn w:val="1"/>
    <w:next w:val="1"/>
    <w:qFormat/>
    <w:uiPriority w:val="0"/>
    <w:pPr>
      <w:spacing w:line="360" w:lineRule="atLeast"/>
      <w:jc w:val="center"/>
    </w:pPr>
  </w:style>
  <w:style w:type="paragraph" w:customStyle="1" w:styleId="197">
    <w:name w:val="Default"/>
    <w:basedOn w:val="198"/>
    <w:next w:val="12"/>
    <w:qFormat/>
    <w:uiPriority w:val="0"/>
    <w:pPr>
      <w:widowControl w:val="0"/>
    </w:pPr>
    <w:rPr>
      <w:rFonts w:ascii="宋体" w:hAnsi="Calibri" w:eastAsia="宋体" w:cs="宋体"/>
      <w:color w:val="000000"/>
      <w:sz w:val="24"/>
      <w:szCs w:val="24"/>
      <w:lang w:val="en-US" w:eastAsia="zh-CN" w:bidi="ar-SA"/>
    </w:rPr>
  </w:style>
  <w:style w:type="paragraph" w:customStyle="1" w:styleId="198">
    <w:name w:val="纯文本1"/>
    <w:basedOn w:val="1"/>
    <w:qFormat/>
    <w:uiPriority w:val="0"/>
    <w:rPr>
      <w:rFonts w:ascii="宋体" w:hAnsi="Courier New" w:eastAsia="Times New Roman"/>
      <w:sz w:val="20"/>
      <w:szCs w:val="20"/>
    </w:rPr>
  </w:style>
  <w:style w:type="paragraph" w:customStyle="1" w:styleId="199">
    <w:name w:val="[1]LY正文"/>
    <w:basedOn w:val="1"/>
    <w:qFormat/>
    <w:uiPriority w:val="0"/>
    <w:pPr>
      <w:ind w:firstLine="200"/>
    </w:pPr>
    <w:rPr>
      <w:rFonts w:ascii="Times New Roman" w:hAnsi="Times New Roman"/>
      <w:sz w:val="24"/>
      <w:szCs w:val="28"/>
    </w:rPr>
  </w:style>
  <w:style w:type="paragraph" w:customStyle="1" w:styleId="200">
    <w:name w:val="正文（缩进）"/>
    <w:basedOn w:val="1"/>
    <w:next w:val="1"/>
    <w:qFormat/>
    <w:uiPriority w:val="99"/>
    <w:pPr>
      <w:spacing w:line="360" w:lineRule="auto"/>
      <w:ind w:firstLine="480"/>
    </w:pPr>
    <w:rPr>
      <w:sz w:val="24"/>
    </w:rPr>
  </w:style>
  <w:style w:type="paragraph" w:customStyle="1" w:styleId="201">
    <w:name w:val="zw"/>
    <w:basedOn w:val="22"/>
    <w:next w:val="1"/>
    <w:qFormat/>
    <w:uiPriority w:val="0"/>
    <w:pPr>
      <w:spacing w:line="360" w:lineRule="auto"/>
      <w:ind w:firstLine="480"/>
    </w:pPr>
    <w:rPr>
      <w:rFonts w:ascii="Times New Roman" w:hAnsi="Times New Roman" w:eastAsia="仿宋_GB2312"/>
      <w:sz w:val="24"/>
      <w:lang w:val="en-US" w:eastAsia="zh-CN"/>
    </w:rPr>
  </w:style>
  <w:style w:type="paragraph" w:customStyle="1" w:styleId="202">
    <w:name w:val="Table Paragraph"/>
    <w:basedOn w:val="1"/>
    <w:qFormat/>
    <w:uiPriority w:val="1"/>
    <w:rPr>
      <w:rFonts w:ascii="宋体" w:hAnsi="宋体" w:eastAsia="宋体" w:cs="宋体"/>
    </w:rPr>
  </w:style>
  <w:style w:type="paragraph" w:customStyle="1" w:styleId="203">
    <w:name w:val="表一级标题"/>
    <w:basedOn w:val="1"/>
    <w:qFormat/>
    <w:uiPriority w:val="0"/>
    <w:pPr>
      <w:spacing w:line="360" w:lineRule="auto"/>
      <w:jc w:val="left"/>
    </w:pPr>
    <w:rPr>
      <w:rFonts w:eastAsia="黑体"/>
      <w:sz w:val="28"/>
      <w:szCs w:val="21"/>
    </w:rPr>
  </w:style>
  <w:style w:type="paragraph" w:customStyle="1" w:styleId="204">
    <w:name w:val="表格正文"/>
    <w:semiHidden/>
    <w:qFormat/>
    <w:uiPriority w:val="0"/>
    <w:pPr>
      <w:spacing w:before="60" w:after="60"/>
      <w:ind w:left="32"/>
      <w:jc w:val="center"/>
    </w:pPr>
    <w:rPr>
      <w:rFonts w:hint="default" w:ascii="宋体" w:hAnsi="宋体" w:eastAsia="宋体" w:cs="Times New Roman"/>
      <w:bCs/>
      <w:sz w:val="21"/>
      <w:szCs w:val="21"/>
      <w:lang w:val="en-US" w:eastAsia="zh-CN" w:bidi="ar-SA"/>
    </w:rPr>
  </w:style>
  <w:style w:type="paragraph" w:customStyle="1" w:styleId="205">
    <w:name w:val="表题"/>
    <w:basedOn w:val="1"/>
    <w:next w:val="1"/>
    <w:qFormat/>
    <w:uiPriority w:val="0"/>
    <w:pPr>
      <w:jc w:val="center"/>
    </w:pPr>
    <w:rPr>
      <w:b/>
      <w:bCs/>
      <w:szCs w:val="20"/>
    </w:rPr>
  </w:style>
  <w:style w:type="table" w:customStyle="1" w:styleId="206">
    <w:name w:val="Table Normal"/>
    <w:semiHidden/>
    <w:unhideWhenUsed/>
    <w:qFormat/>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customStyle="1" w:styleId="207">
    <w:name w:val="Table Text"/>
    <w:basedOn w:val="1"/>
    <w:semiHidden/>
    <w:qFormat/>
    <w:uiPriority w:val="0"/>
    <w:rPr>
      <w:rFonts w:ascii="宋体" w:hAnsi="宋体" w:eastAsia="宋体" w:cs="宋体"/>
      <w:sz w:val="28"/>
      <w:szCs w:val="28"/>
      <w:lang w:val="en-US" w:eastAsia="en-US" w:bidi="ar-SA"/>
    </w:rPr>
  </w:style>
  <w:style w:type="paragraph" w:customStyle="1" w:styleId="208">
    <w:name w:val="表格"/>
    <w:basedOn w:val="2"/>
    <w:next w:val="1"/>
    <w:qFormat/>
    <w:uiPriority w:val="0"/>
    <w:pPr>
      <w:spacing w:line="240" w:lineRule="auto"/>
      <w:ind w:firstLine="0"/>
      <w:jc w:val="center"/>
    </w:pPr>
    <w:rPr>
      <w:rFonts w:eastAsia="宋体"/>
      <w:sz w:val="21"/>
    </w:rPr>
  </w:style>
  <w:style w:type="paragraph" w:styleId="209">
    <w:name w:val="List Paragraph"/>
    <w:basedOn w:val="1"/>
    <w:semiHidden/>
    <w:unhideWhenUsed/>
    <w:qFormat/>
    <w:uiPriority w:val="99"/>
    <w:pPr>
      <w:ind w:left="1299" w:hanging="602"/>
    </w:pPr>
    <w:rPr>
      <w:rFonts w:ascii="宋体" w:hAnsi="宋体" w:eastAsia="宋体" w:cs="宋体"/>
      <w:lang w:val="zh-CN" w:eastAsia="zh-CN" w:bidi="zh-CN"/>
    </w:rPr>
  </w:style>
  <w:style w:type="paragraph" w:customStyle="1" w:styleId="210">
    <w:name w:val="000 正文"/>
    <w:basedOn w:val="1"/>
    <w:qFormat/>
    <w:uiPriority w:val="0"/>
    <w:pPr>
      <w:spacing w:line="360" w:lineRule="auto"/>
      <w:ind w:firstLine="480"/>
    </w:pPr>
    <w:rPr>
      <w:rFonts w:cs="Times New Roman"/>
      <w:sz w:val="24"/>
      <w:szCs w:val="24"/>
      <w:lang w:eastAsia="zh-CN"/>
    </w:rPr>
  </w:style>
  <w:style w:type="paragraph" w:customStyle="1" w:styleId="211">
    <w:name w:val="00表格样式"/>
    <w:basedOn w:val="212"/>
    <w:qFormat/>
    <w:uiPriority w:val="0"/>
  </w:style>
  <w:style w:type="paragraph" w:customStyle="1" w:styleId="212">
    <w:name w:val="表格bo"/>
    <w:basedOn w:val="1"/>
    <w:qFormat/>
    <w:uiPriority w:val="0"/>
    <w:pPr>
      <w:jc w:val="center"/>
    </w:pPr>
    <w:rPr>
      <w:rFonts w:cs="Times New Roman"/>
      <w:sz w:val="21"/>
      <w:szCs w:val="21"/>
      <w:lang w:eastAsia="zh-CN"/>
    </w:rPr>
  </w:style>
  <w:style w:type="paragraph" w:customStyle="1" w:styleId="213">
    <w:name w:val="0图表标题"/>
    <w:basedOn w:val="214"/>
    <w:qFormat/>
    <w:uiPriority w:val="0"/>
    <w:pPr>
      <w:ind w:firstLine="0"/>
      <w:jc w:val="center"/>
    </w:pPr>
    <w:rPr>
      <w:rFonts w:ascii="Times New Roman" w:hAnsi="Times New Roman"/>
      <w:b/>
      <w:sz w:val="21"/>
      <w:szCs w:val="24"/>
      <w:lang w:eastAsia="zh-CN"/>
    </w:rPr>
  </w:style>
  <w:style w:type="paragraph" w:customStyle="1" w:styleId="214">
    <w:name w:val="0正文"/>
    <w:basedOn w:val="22"/>
    <w:qFormat/>
    <w:uiPriority w:val="0"/>
    <w:pPr>
      <w:spacing w:line="360" w:lineRule="auto"/>
      <w:ind w:firstLine="200"/>
    </w:pPr>
    <w:rPr>
      <w:sz w:val="24"/>
    </w:rPr>
  </w:style>
  <w:style w:type="paragraph" w:customStyle="1" w:styleId="215">
    <w:name w:val="LN正文"/>
    <w:basedOn w:val="1"/>
    <w:qFormat/>
    <w:uiPriority w:val="0"/>
    <w:pPr>
      <w:spacing w:line="360" w:lineRule="auto"/>
      <w:ind w:firstLine="200"/>
    </w:pPr>
    <w:rPr>
      <w:sz w:val="24"/>
      <w:szCs w:val="24"/>
    </w:rPr>
  </w:style>
  <w:style w:type="paragraph" w:customStyle="1" w:styleId="216">
    <w:name w:val="中文报告书样式"/>
    <w:basedOn w:val="1"/>
    <w:qFormat/>
    <w:uiPriority w:val="0"/>
    <w:pPr>
      <w:spacing w:line="480" w:lineRule="atLeast"/>
      <w:ind w:firstLine="482"/>
    </w:pPr>
    <w:rPr>
      <w:rFonts w:ascii="Times New Roman" w:hAnsi="Times New Roman" w:eastAsia="宋体" w:cs="Times New Roman"/>
      <w:sz w:val="24"/>
      <w:szCs w:val="20"/>
    </w:rPr>
  </w:style>
  <w:style w:type="paragraph" w:customStyle="1" w:styleId="217">
    <w:name w:val="模板标题1"/>
    <w:basedOn w:val="1"/>
    <w:next w:val="1"/>
    <w:qFormat/>
    <w:uiPriority w:val="0"/>
    <w:pPr>
      <w:spacing w:line="360" w:lineRule="auto"/>
      <w:outlineLvl w:val="1"/>
    </w:pPr>
    <w:rPr>
      <w:b/>
      <w:bCs/>
      <w:lang w:val="zh-CN"/>
    </w:rPr>
  </w:style>
  <w:style w:type="paragraph" w:customStyle="1" w:styleId="218">
    <w:name w:val="正文-自建"/>
    <w:basedOn w:val="2"/>
    <w:qFormat/>
    <w:uiPriority w:val="0"/>
    <w:pPr>
      <w:spacing w:line="600" w:lineRule="exact"/>
    </w:pPr>
    <w:rPr>
      <w:szCs w:val="28"/>
    </w:rPr>
  </w:style>
  <w:style w:type="character" w:customStyle="1" w:styleId="219">
    <w:name w:val="font21"/>
    <w:basedOn w:val="41"/>
    <w:qFormat/>
    <w:uiPriority w:val="0"/>
    <w:rPr>
      <w:rFonts w:hint="default" w:ascii="Times New Roman" w:hAnsi="Times New Roman" w:cs="Times New Roman"/>
      <w:color w:val="0000FF"/>
      <w:sz w:val="21"/>
      <w:szCs w:val="21"/>
      <w:u w:val="none"/>
    </w:rPr>
  </w:style>
  <w:style w:type="character" w:customStyle="1" w:styleId="220">
    <w:name w:val="font11"/>
    <w:basedOn w:val="41"/>
    <w:qFormat/>
    <w:uiPriority w:val="0"/>
    <w:rPr>
      <w:rFonts w:hint="eastAsia" w:ascii="宋体" w:hAnsi="宋体" w:eastAsia="宋体" w:cs="宋体"/>
      <w:color w:val="0000FF"/>
      <w:sz w:val="21"/>
      <w:szCs w:val="21"/>
      <w:u w:val="none"/>
    </w:rPr>
  </w:style>
  <w:style w:type="character" w:customStyle="1" w:styleId="221">
    <w:name w:val="标题 1 Char"/>
    <w:link w:val="3"/>
    <w:uiPriority w:val="0"/>
    <w:rPr>
      <w:rFonts w:hint="eastAsia" w:ascii="宋体" w:hAnsi="宋体" w:eastAsia="宋体" w:cs="宋体"/>
      <w:b/>
      <w:bCs/>
      <w:sz w:val="48"/>
      <w:szCs w:val="48"/>
      <w:lang w:val="en-US" w:eastAsia="zh-CN" w:bidi="ar"/>
    </w:rPr>
  </w:style>
  <w:style w:type="character" w:customStyle="1" w:styleId="222">
    <w:name w:val="标题 2 Char"/>
    <w:link w:val="4"/>
    <w:uiPriority w:val="0"/>
    <w:rPr>
      <w:rFonts w:ascii="Arial" w:hAnsi="Arial" w:eastAsia="宋体" w:cs="Times New Roman"/>
      <w:b/>
      <w:sz w:val="32"/>
    </w:rPr>
  </w:style>
  <w:style w:type="character" w:customStyle="1" w:styleId="223">
    <w:name w:val="标题 3 Char"/>
    <w:link w:val="5"/>
    <w:qFormat/>
    <w:uiPriority w:val="0"/>
    <w:rPr>
      <w:rFonts w:ascii="Times New Roman" w:hAnsi="Times New Roman" w:eastAsia="宋体" w:cs="Times New Roman"/>
      <w:b/>
      <w:bCs/>
      <w:sz w:val="24"/>
      <w:szCs w:val="32"/>
    </w:rPr>
  </w:style>
  <w:style w:type="paragraph" w:customStyle="1" w:styleId="224">
    <w:name w:val="！正文"/>
    <w:basedOn w:val="1"/>
    <w:qFormat/>
    <w:uiPriority w:val="0"/>
    <w:pPr>
      <w:spacing w:line="360" w:lineRule="auto"/>
      <w:ind w:firstLine="480"/>
    </w:pPr>
    <w:rPr>
      <w:rFonts w:ascii="Times New Roman" w:hAnsi="Times New Roman" w:eastAsia="宋体" w:cs="宋体"/>
      <w:szCs w:val="20"/>
    </w:rPr>
  </w:style>
  <w:style w:type="paragraph" w:customStyle="1" w:styleId="225">
    <w:name w:val="正文4"/>
    <w:qFormat/>
    <w:uiPriority w:val="0"/>
    <w:pPr>
      <w:widowControl w:val="0"/>
      <w:spacing w:line="360" w:lineRule="atLeast"/>
    </w:pPr>
    <w:rPr>
      <w:rFonts w:hint="eastAsia" w:ascii="宋体" w:hAnsi="Times New Roman" w:eastAsia="宋体" w:cs="Times New Roman"/>
      <w:sz w:val="24"/>
      <w:lang w:val="en-US" w:eastAsia="zh-CN" w:bidi="ar-SA"/>
    </w:rPr>
  </w:style>
  <w:style w:type="paragraph" w:customStyle="1" w:styleId="226">
    <w:name w:val="正文3"/>
    <w:qFormat/>
    <w:uiPriority w:val="0"/>
    <w:pPr>
      <w:widowControl w:val="0"/>
      <w:spacing w:line="312" w:lineRule="atLeast"/>
      <w:jc w:val="both"/>
    </w:pPr>
    <w:rPr>
      <w:rFonts w:hint="default" w:ascii="宋体" w:hAnsi="Times New Roman" w:eastAsia="宋体" w:cs="Times New Roman"/>
      <w:sz w:val="34"/>
      <w:lang w:val="en-US" w:eastAsia="zh-CN" w:bidi="ar-SA"/>
    </w:rPr>
  </w:style>
  <w:style w:type="table" w:customStyle="1" w:styleId="227">
    <w:name w:val="Table Normal8"/>
    <w:unhideWhenUsed/>
    <w:qFormat/>
    <w:uiPriority w:val="0"/>
    <w:rPr>
      <w:rFonts w:ascii="Arial" w:hAnsi="Arial" w:eastAsia="等线" w:cs="Arial"/>
      <w:color w:val="000000"/>
      <w:sz w:val="21"/>
      <w:szCs w:val="21"/>
    </w:rPr>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customStyle="1" w:styleId="228">
    <w:name w:val="WPSOffice手动目录 1"/>
    <w:qFormat/>
    <w:uiPriority w:val="0"/>
    <w:rPr>
      <w:rFonts w:hint="default" w:ascii="Times New Roman" w:hAnsi="Times New Roman" w:eastAsia="宋体" w:cs="Times New Roman"/>
      <w:sz w:val="20"/>
      <w:szCs w:val="20"/>
    </w:rPr>
  </w:style>
  <w:style w:type="paragraph" w:customStyle="1" w:styleId="229">
    <w:name w:val="WPSOffice手动目录 2"/>
    <w:qFormat/>
    <w:uiPriority w:val="0"/>
    <w:rPr>
      <w:rFonts w:hint="default" w:ascii="Times New Roman" w:hAnsi="Times New Roman" w:eastAsia="宋体" w:cs="Times New Roman"/>
      <w:sz w:val="20"/>
      <w:szCs w:val="20"/>
    </w:rPr>
  </w:style>
  <w:style w:type="paragraph" w:customStyle="1" w:styleId="230">
    <w:name w:val="WPSOffice手动目录 3"/>
    <w:qFormat/>
    <w:uiPriority w:val="0"/>
    <w:rPr>
      <w:rFonts w:hint="default" w:ascii="Times New Roman" w:hAnsi="Times New Roman" w:eastAsia="宋体" w:cs="Times New Roman"/>
      <w:sz w:val="20"/>
      <w:szCs w:val="20"/>
    </w:rPr>
  </w:style>
  <w:style w:type="table" w:customStyle="1" w:styleId="231">
    <w:name w:val="Table Grid"/>
    <w:qFormat/>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emf"/><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等线 Light"/>
        <a:ea typeface="等线 Light"/>
        <a:cs typeface="Arial"/>
      </a:majorFont>
      <a:minorFont>
        <a:latin typeface="等线"/>
        <a:ea typeface="等线"/>
        <a:cs typeface="Arial"/>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230</Pages>
  <Words>9802</Words>
  <Characters>10975</Characters>
  <TotalTime>1</TotalTime>
  <ScaleCrop>false</ScaleCrop>
  <LinksUpToDate>false</LinksUpToDate>
  <CharactersWithSpaces>11025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2024-10-18T07:22:00Z</dcterms:created>
  <dc:creator>,,,,,,</dc:creator>
  <cp:lastModifiedBy>阳光与四叶草</cp:lastModifiedBy>
  <dcterms:modified xsi:type="dcterms:W3CDTF">2026-03-12T09:45:42Z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DEE25911400040DAA7276B14573394B0_13</vt:lpwstr>
  </property>
  <property fmtid="{D5CDD505-2E9C-101B-9397-08002B2CF9AE}" pid="4" name="KSOTemplateDocerSaveRecord">
    <vt:lpwstr>eyJoZGlkIjoiYWJhN2Q4NzNkNjRjMTBmNzM1ZWI4OTJhZWIzMDJiOWEiLCJ1c2VySWQiOiI1NjYyMDUzOTkifQ==</vt:lpwstr>
  </property>
</Properties>
</file>