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A4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kern w:val="0"/>
          <w:sz w:val="34"/>
          <w:szCs w:val="34"/>
          <w:shd w:val="clear" w:color="auto" w:fill="FFFFFF"/>
        </w:rPr>
      </w:pPr>
    </w:p>
    <w:p w14:paraId="76CD3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shd w:val="clear" w:color="auto" w:fill="FFFFFF"/>
        </w:rPr>
        <w:t>霍山县人民政府</w:t>
      </w:r>
    </w:p>
    <w:p w14:paraId="46E1B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shd w:val="clear" w:color="auto" w:fill="FFFFFF"/>
        </w:rPr>
        <w:t>2024年政府信息公开工作年度报告</w:t>
      </w:r>
    </w:p>
    <w:p w14:paraId="7C4724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after="0" w:line="580" w:lineRule="exact"/>
        <w:ind w:firstLine="68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4"/>
          <w:szCs w:val="34"/>
        </w:rPr>
      </w:pPr>
    </w:p>
    <w:p w14:paraId="3D161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本报告是根据《中华人民共和国政府信息公开条例》（以下简称《条例》）和《关于做好2024年度政府信息公开年度报告编制和发布的工作提示》要求，由霍山县人民政府办公室编制。全文由总体情况、主动公开政府信息情况、收到和处理政府信息公开申请情况、政府信息公开行政复议和行政诉讼情况、存在的主要问题及改进情况、其他需要报告的事项六部分组成。本报告中所列数据的统计期限自2024年1月1日起至2024年12月31日止。如有疑问，请与霍山县人民政府办公室联系（地址：霍山县行政中心527室，电话：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eastAsia="zh-CN"/>
        </w:rPr>
        <w:t>0564-5026063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）。</w:t>
      </w:r>
    </w:p>
    <w:p w14:paraId="09CD8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shd w:val="clear" w:color="auto" w:fill="FFFFFF"/>
        </w:rPr>
        <w:t>一、总体情况</w:t>
      </w:r>
    </w:p>
    <w:p w14:paraId="193E1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0"/>
          <w:sz w:val="32"/>
          <w:szCs w:val="32"/>
          <w:shd w:val="clear" w:color="auto" w:fill="FFFFFF"/>
        </w:rPr>
        <w:t>（一）主动公开。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持续打牢工作基础，充实人员力量，将政务公开行政法规纳入领导干部、初任公务员培训等，加强业务培训指导。强化工作调度，制定《关于印发2024年政务公开专项行动任务清单的通知》，及时组织开展督查通报，压紧压实工作责任。全面落实公开要求，围绕县委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、县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政府重点工作，加强稳经济、扩投资等领域政策信息发布和解读，公开政策举措、进展成效等180余条，制作高质量解读10余篇，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不断提高政策到达率和知晓率。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及时有力回应群众关切，紧盯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 w:bidi="ar"/>
        </w:rPr>
        <w:t>社会救助、就业创业、义务教育等民生重点，发布信息400余条。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聚焦“高效办成一件事”，发布政务服务事项目录、办事指南、办理进展等，助</w:t>
      </w:r>
      <w:r>
        <w:rPr>
          <w:rFonts w:hint="default" w:ascii="Times New Roman" w:hAnsi="Times New Roman" w:eastAsia="仿宋" w:cs="Times New Roman"/>
          <w:color w:val="auto"/>
          <w:spacing w:val="-11"/>
          <w:kern w:val="0"/>
          <w:sz w:val="32"/>
          <w:szCs w:val="32"/>
          <w:highlight w:val="none"/>
          <w:lang w:val="en-US" w:eastAsia="zh-CN" w:bidi="ar"/>
        </w:rPr>
        <w:t>力优化政务服务。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11"/>
          <w:kern w:val="0"/>
          <w:sz w:val="32"/>
          <w:szCs w:val="32"/>
          <w:shd w:val="clear" w:color="auto" w:fill="FFFFFF"/>
          <w:lang w:val="en-US" w:eastAsia="zh-CN" w:bidi="ar-SA"/>
        </w:rPr>
        <w:t>发布《关于印发2024年度霍山县重大行政决策事项目录的通知》，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11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现行意见征集全部进入“意见征集库”。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11"/>
          <w:kern w:val="0"/>
          <w:sz w:val="32"/>
          <w:szCs w:val="32"/>
          <w:shd w:val="clear" w:color="auto" w:fill="FFFFFF"/>
          <w:lang w:val="en-US" w:eastAsia="zh-CN" w:bidi="ar-SA"/>
        </w:rPr>
        <w:t>开展“政府开放日”系列活动7场。</w:t>
      </w:r>
      <w:r>
        <w:rPr>
          <w:rFonts w:hint="default" w:ascii="Times New Roman" w:hAnsi="Times New Roman" w:eastAsia="仿宋" w:cs="Times New Roman"/>
          <w:color w:val="auto"/>
          <w:spacing w:val="-11"/>
          <w:kern w:val="0"/>
          <w:sz w:val="32"/>
          <w:szCs w:val="32"/>
          <w:shd w:val="clear" w:color="auto" w:fill="FFFFFF"/>
          <w:lang w:val="en-US" w:eastAsia="zh-CN" w:bidi="ar-SA"/>
        </w:rPr>
        <w:t>强化权力运行公开，确保数据同源。</w:t>
      </w:r>
    </w:p>
    <w:p w14:paraId="4E68F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0"/>
          <w:sz w:val="32"/>
          <w:szCs w:val="32"/>
          <w:shd w:val="clear" w:color="auto" w:fill="FFFFFF"/>
        </w:rPr>
        <w:t>（二）依申请公开。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依托依申请公开办理平台，加强对各部门指导，做到所有办件均全流程规范办理、资料归档；强化部门联动，做实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“府院联动”机制，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助力征迁领域依申请办理，全年累计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受理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74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件依申请公开均按时办结。</w:t>
      </w:r>
    </w:p>
    <w:p w14:paraId="2980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0"/>
          <w:sz w:val="32"/>
          <w:szCs w:val="32"/>
          <w:shd w:val="clear" w:color="auto" w:fill="FFFFFF"/>
        </w:rPr>
        <w:t>（三）政府信息管理</w:t>
      </w:r>
      <w:r>
        <w:rPr>
          <w:rFonts w:hint="default" w:ascii="楷体" w:hAnsi="楷体" w:eastAsia="楷体" w:cs="楷体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/>
        </w:rPr>
        <w:t>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开展年度规范性文件专项清理并公开最新结果，组织开展规范性文件格式问题自查自改，严格按照省市要求规范更新到位。持续加大信息发布、审核监管力度，加强主动公开保密性审查，持续开展个人隐私排查，完成无关、无效、不需长期保留以及涉及个人隐私等信息的清理。全年发布政府公报2期。</w:t>
      </w:r>
    </w:p>
    <w:p w14:paraId="67124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0"/>
          <w:sz w:val="32"/>
          <w:szCs w:val="32"/>
          <w:shd w:val="clear" w:color="auto" w:fill="FFFFFF"/>
        </w:rPr>
        <w:t>（四）政府信息公开平台建设。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建成乡镇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基层政务公开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专区14个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，设立线下政策咨询窗口17个，开展专区活动5场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。建成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“霍山县集成式政策解读库”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政策文件库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等专题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汇总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</w:rPr>
        <w:t>展示政策信息110余条。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/>
        </w:rPr>
        <w:t>加强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公共企事业单位常态化信息公开，推进政府信息与官方微信公众号、政务服务等平台资源共享。</w:t>
      </w:r>
    </w:p>
    <w:p w14:paraId="7C43AEB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eastAsia="zh-CN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（五）监督保障。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强化高位推动，政务公开纳入县政府对各部门年度目标绩效管理考核、占比不低于4%，县政府领导及时听取工作汇报。加强工作调度，召开培训会议等3次，开展集中办公4次、线下督查1次，推动责任落实。落实政府信息公开社会评议和责任追究制度，年度未发生因信息公开而产生的责任追究情况。</w:t>
      </w:r>
    </w:p>
    <w:p w14:paraId="5E1DA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bCs/>
          <w:color w:val="auto"/>
          <w:kern w:val="0"/>
          <w:sz w:val="32"/>
          <w:szCs w:val="32"/>
          <w:shd w:val="clear" w:color="auto" w:fill="FFFFFF"/>
        </w:rPr>
      </w:pPr>
      <w:r>
        <w:rPr>
          <w:rFonts w:hint="default" w:ascii="黑体" w:hAnsi="黑体" w:eastAsia="黑体" w:cs="黑体"/>
          <w:bCs/>
          <w:color w:val="auto"/>
          <w:kern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8"/>
        <w:tblW w:w="97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4FA405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E8D3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第二十条第（一）项</w:t>
            </w:r>
          </w:p>
        </w:tc>
      </w:tr>
      <w:tr w14:paraId="4CFBDA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5E0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019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3B0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22A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现行有效件数</w:t>
            </w:r>
          </w:p>
        </w:tc>
      </w:tr>
      <w:tr w14:paraId="7690EB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D3C4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D901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　0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A3B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0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072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0 </w:t>
            </w:r>
          </w:p>
        </w:tc>
      </w:tr>
      <w:tr w14:paraId="7970C9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550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BC18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　2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79B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EC4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</w:t>
            </w:r>
            <w:bookmarkStart w:id="0" w:name="_GoBack"/>
            <w:bookmarkEnd w:id="0"/>
          </w:p>
        </w:tc>
      </w:tr>
      <w:tr w14:paraId="6D3CDB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3BF2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第二十条第（五）项</w:t>
            </w:r>
          </w:p>
        </w:tc>
      </w:tr>
      <w:tr w14:paraId="01859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D2D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063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  <w:t>本年处理决定数量</w:t>
            </w:r>
          </w:p>
        </w:tc>
      </w:tr>
      <w:tr w14:paraId="54143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B26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779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  <w:t>7095</w:t>
            </w:r>
          </w:p>
        </w:tc>
      </w:tr>
      <w:tr w14:paraId="0E809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62901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第二十条第（六）项</w:t>
            </w:r>
          </w:p>
        </w:tc>
      </w:tr>
      <w:tr w14:paraId="0F198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06D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2BE6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本年处理决定数量</w:t>
            </w:r>
          </w:p>
        </w:tc>
      </w:tr>
      <w:tr w14:paraId="00527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ECD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70EB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  <w:t>26490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　</w:t>
            </w:r>
          </w:p>
        </w:tc>
      </w:tr>
      <w:tr w14:paraId="47F8B6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1E7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723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　</w:t>
            </w:r>
          </w:p>
        </w:tc>
      </w:tr>
      <w:tr w14:paraId="5AB8E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B0A8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第二十条第（八）项</w:t>
            </w:r>
          </w:p>
        </w:tc>
      </w:tr>
      <w:tr w14:paraId="4CDA51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9BD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65854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本年收费金额（单位：万元）</w:t>
            </w:r>
          </w:p>
        </w:tc>
      </w:tr>
      <w:tr w14:paraId="4810EF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exac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844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0C60E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  <w:t>1576</w:t>
            </w:r>
          </w:p>
        </w:tc>
      </w:tr>
    </w:tbl>
    <w:p w14:paraId="4DCAB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200" w:lineRule="exact"/>
        <w:textAlignment w:val="auto"/>
        <w:rPr>
          <w:rFonts w:hint="eastAsia" w:ascii="仿宋" w:hAnsi="仿宋" w:eastAsia="仿宋" w:cs="仿宋"/>
          <w:bCs/>
          <w:color w:val="000000"/>
          <w:kern w:val="0"/>
          <w:sz w:val="34"/>
          <w:szCs w:val="34"/>
          <w:shd w:val="clear" w:color="auto" w:fill="FFFFFF"/>
        </w:rPr>
      </w:pPr>
    </w:p>
    <w:p w14:paraId="0815A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Cs/>
          <w:color w:val="auto"/>
          <w:kern w:val="0"/>
          <w:sz w:val="34"/>
          <w:szCs w:val="34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kern w:val="0"/>
          <w:sz w:val="34"/>
          <w:szCs w:val="34"/>
          <w:shd w:val="clear" w:color="auto" w:fill="FFFFFF"/>
        </w:rPr>
        <w:t>三、收到和处理政府信息公开申请情况</w:t>
      </w:r>
    </w:p>
    <w:tbl>
      <w:tblPr>
        <w:tblStyle w:val="8"/>
        <w:tblW w:w="974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3"/>
        <w:gridCol w:w="937"/>
        <w:gridCol w:w="3989"/>
        <w:gridCol w:w="506"/>
        <w:gridCol w:w="675"/>
        <w:gridCol w:w="637"/>
        <w:gridCol w:w="685"/>
        <w:gridCol w:w="731"/>
        <w:gridCol w:w="600"/>
        <w:gridCol w:w="582"/>
      </w:tblGrid>
      <w:tr w14:paraId="0C7825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6D69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（本列数据的勾稽关系为：第一项加第二项之和，等于第三项加第四项之和）</w:t>
            </w:r>
          </w:p>
        </w:tc>
        <w:tc>
          <w:tcPr>
            <w:tcW w:w="44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38D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申请人情况</w:t>
            </w:r>
          </w:p>
        </w:tc>
      </w:tr>
      <w:tr w14:paraId="3FA378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AA92A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50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3F6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自</w:t>
            </w:r>
          </w:p>
          <w:p w14:paraId="20A49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然</w:t>
            </w:r>
          </w:p>
          <w:p w14:paraId="32E63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人</w:t>
            </w:r>
          </w:p>
        </w:tc>
        <w:tc>
          <w:tcPr>
            <w:tcW w:w="332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0226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法人或其他组织</w:t>
            </w:r>
          </w:p>
        </w:tc>
        <w:tc>
          <w:tcPr>
            <w:tcW w:w="582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D09A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总计</w:t>
            </w:r>
          </w:p>
        </w:tc>
      </w:tr>
      <w:tr w14:paraId="343856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532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3408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50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A052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8F66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商业</w:t>
            </w:r>
          </w:p>
          <w:p w14:paraId="40834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企业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59BC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科研</w:t>
            </w:r>
          </w:p>
          <w:p w14:paraId="7743E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机构</w:t>
            </w:r>
          </w:p>
        </w:tc>
        <w:tc>
          <w:tcPr>
            <w:tcW w:w="6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F6F5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社会公益组织</w:t>
            </w:r>
          </w:p>
        </w:tc>
        <w:tc>
          <w:tcPr>
            <w:tcW w:w="73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DAB9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法律服务机构</w:t>
            </w:r>
          </w:p>
        </w:tc>
        <w:tc>
          <w:tcPr>
            <w:tcW w:w="6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392A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其他</w:t>
            </w:r>
          </w:p>
        </w:tc>
        <w:tc>
          <w:tcPr>
            <w:tcW w:w="582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8F0B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</w:tr>
      <w:tr w14:paraId="417499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0AA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一、本年新收政府信息公开申请数量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3C7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A48A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460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7F5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DA5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0FD3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ED7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74</w:t>
            </w:r>
          </w:p>
        </w:tc>
      </w:tr>
      <w:tr w14:paraId="4F777F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171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二、上年结转政府信息公开申请数量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B883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0F2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4FA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D3C0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EBF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ADA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CD0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1</w:t>
            </w:r>
          </w:p>
        </w:tc>
      </w:tr>
      <w:tr w14:paraId="6F629E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403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BCF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三、</w:t>
            </w:r>
          </w:p>
          <w:p w14:paraId="29659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本</w:t>
            </w:r>
          </w:p>
          <w:p w14:paraId="2883B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年</w:t>
            </w:r>
          </w:p>
          <w:p w14:paraId="212D9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度</w:t>
            </w:r>
          </w:p>
          <w:p w14:paraId="1868D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办</w:t>
            </w:r>
          </w:p>
          <w:p w14:paraId="23698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理</w:t>
            </w:r>
          </w:p>
          <w:p w14:paraId="2DBDD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结</w:t>
            </w:r>
          </w:p>
          <w:p w14:paraId="7537D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果</w:t>
            </w:r>
          </w:p>
        </w:tc>
        <w:tc>
          <w:tcPr>
            <w:tcW w:w="49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5D0B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（一）予以公开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431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1AF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6BC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46C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1F0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33E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778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</w:tr>
      <w:tr w14:paraId="7FEC27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2A9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49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3B3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（二）部分公开（区分处理的，只计这一情形，不计其他情形）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324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FF9C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7ED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EE0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2C3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B59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880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</w:tr>
      <w:tr w14:paraId="091BE0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AE03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4F5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（三）不予公开</w:t>
            </w: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785F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1.属于国家秘密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D7D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1EC2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5FA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88D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331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442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CA6C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4C2240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2DC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397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7E78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2.其他法律行政法规禁止公开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8D3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2D0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441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03D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F21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53A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92F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67A551D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58B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AFFB3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934C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3.危及“三安全一稳定”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C5BC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3BC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C14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AFB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5A9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2314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B41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53F777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33CED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E06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1DC4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4.保护第三方合法权益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5E9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86C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2124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75BA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31F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312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F21B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6D224C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6997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34F9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42C7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5.属于三类内部事务信息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DB3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6F7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9562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C5AA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56CB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DBE9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4B17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</w:tr>
      <w:tr w14:paraId="1B8747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585E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5F5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11F9E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6.属于四类过程性信息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0520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72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9D54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EE0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6A8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716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B7D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72C4F6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A0B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084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7229B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7.属于行政执法案卷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BB9B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560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DCD3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2DED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9BD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B3AE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0F1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45C104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B622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8B8E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8CC0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8.属于行政查询事项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E8B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497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4921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50B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4E4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6A6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2A3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172CD8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C82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AEA4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（四）无法提供</w:t>
            </w: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4CF0D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1.本机关不掌握相关政府信息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BD5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5DC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0EB7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FD0F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E2FA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48B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F93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14</w:t>
            </w:r>
          </w:p>
        </w:tc>
      </w:tr>
      <w:tr w14:paraId="4035BE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F764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042A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0521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2.没有现成信息需要另行制作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74B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2D2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6080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405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6656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3A3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5F21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7D676E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B722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D886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25A82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3.补正后申请内容仍不明确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59A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7E96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512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C57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4738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134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2A7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399626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F7EB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58C9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（五）不予处理</w:t>
            </w: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0C5E3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1.信访举报投诉类申请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94D1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8CA5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415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BD49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48F5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166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7A4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 w14:paraId="1DE42B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204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C144E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0932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2.重复申请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805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440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BD7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4199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175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CAF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57F7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344CF3B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907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3EDF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6A4F5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3.要求提供公开出版物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90E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E791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43D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B5E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92C3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5CC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67F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19D529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13DF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8E67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</w:tcPr>
          <w:p w14:paraId="37716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4.无正当理由大量反复申请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83D6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BA6D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635E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EC8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6BE4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2C23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756E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6DCAFD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173D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AF84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07C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5.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-11"/>
                <w:kern w:val="0"/>
                <w:sz w:val="21"/>
                <w:szCs w:val="21"/>
              </w:rPr>
              <w:t>要求行政机关确认或重新出具已获取信息</w:t>
            </w:r>
          </w:p>
        </w:tc>
        <w:tc>
          <w:tcPr>
            <w:tcW w:w="5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DB60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0DF1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769C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E224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18B5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AFF1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0672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3E1E47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02AEF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7E37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（六）其他处理</w:t>
            </w: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8F0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1.申请人无正当理由逾期不补正、行政机关不再处理其政府信息公开申请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E43A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39D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92F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802E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C978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8DA8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8245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00AEE6E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DB8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FA99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37F1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2.申请人逾期未按收费通知要求缴纳费用、行政机关不再处理其政府信息公开申请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E304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518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1742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F58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37AA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643E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EFE6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</w:tr>
      <w:tr w14:paraId="60906C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4EE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15CE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39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7129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3.其他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1CCF9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898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629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D24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A143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2BAE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9DB4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75BAB8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403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A96A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</w:p>
        </w:tc>
        <w:tc>
          <w:tcPr>
            <w:tcW w:w="492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925D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（七）总计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6F986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73D4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2335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A8A0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3DEB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C4B3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9816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61F48D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2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5AD93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四、结转下年度继续办理</w:t>
            </w:r>
          </w:p>
        </w:tc>
        <w:tc>
          <w:tcPr>
            <w:tcW w:w="5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44606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3A617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1865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01765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78BB8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37AFC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1"/>
                <w:szCs w:val="21"/>
              </w:rPr>
              <w:t>0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57" w:type="dxa"/>
              <w:right w:w="57" w:type="dxa"/>
            </w:tcMar>
            <w:vAlign w:val="center"/>
          </w:tcPr>
          <w:p w14:paraId="25F804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1"/>
                <w:szCs w:val="21"/>
                <w:lang w:val="en-US" w:eastAsia="zh-CN"/>
              </w:rPr>
              <w:t>0</w:t>
            </w:r>
          </w:p>
        </w:tc>
      </w:tr>
    </w:tbl>
    <w:p w14:paraId="14735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Cs/>
          <w:color w:val="auto"/>
          <w:kern w:val="0"/>
          <w:sz w:val="34"/>
          <w:szCs w:val="34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kern w:val="0"/>
          <w:sz w:val="34"/>
          <w:szCs w:val="34"/>
          <w:shd w:val="clear" w:color="auto" w:fill="FFFFFF"/>
        </w:rPr>
        <w:t>四、政府信息公开行政复议、行政诉讼情况</w:t>
      </w:r>
    </w:p>
    <w:tbl>
      <w:tblPr>
        <w:tblStyle w:val="8"/>
        <w:tblW w:w="974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14:paraId="7E5058C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8140E1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AF19F8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行政诉讼</w:t>
            </w:r>
          </w:p>
        </w:tc>
      </w:tr>
      <w:tr w14:paraId="2D978F6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FE84D6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0584422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8AEC8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其他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68BE77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尚未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304149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FA7E0C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6C01D4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复议后起诉</w:t>
            </w:r>
          </w:p>
        </w:tc>
      </w:tr>
      <w:tr w14:paraId="776DCB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EF77D8A">
            <w:pP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E6D33C7">
            <w:pP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9F69B8A">
            <w:pP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63F0947">
            <w:pP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F09D42">
            <w:pPr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E18014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C6F41D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D15C83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其他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E95DB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尚未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536D0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D3A84DA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BFB80C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B3E123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其他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7867243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尚未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6A377F0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1"/>
                <w:szCs w:val="21"/>
              </w:rPr>
              <w:t>总计</w:t>
            </w:r>
          </w:p>
        </w:tc>
      </w:tr>
      <w:tr w14:paraId="13297B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C64B32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05E46E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BC547D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E42251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78756D4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CA130C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49ABAE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175A625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FF0FB6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4758E67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77AA930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7E5FD19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8EEC95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637EDEA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9309B30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 w14:paraId="40EFE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jc w:val="both"/>
        <w:textAlignment w:val="auto"/>
        <w:rPr>
          <w:rFonts w:hint="eastAsia" w:ascii="黑体" w:hAnsi="黑体" w:eastAsia="黑体" w:cs="黑体"/>
          <w:bCs/>
          <w:color w:val="auto"/>
          <w:kern w:val="0"/>
          <w:sz w:val="34"/>
          <w:szCs w:val="34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kern w:val="0"/>
          <w:sz w:val="34"/>
          <w:szCs w:val="34"/>
          <w:shd w:val="clear" w:color="auto" w:fill="FFFFFF"/>
        </w:rPr>
        <w:t>五、存在的主要问题及改进情况</w:t>
      </w:r>
    </w:p>
    <w:p w14:paraId="00C03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textAlignment w:val="auto"/>
        <w:rPr>
          <w:rFonts w:hint="default" w:ascii="Times New Roman" w:hAnsi="Times New Roman" w:eastAsia="仿宋" w:cs="Times New Roman"/>
          <w:color w:val="auto"/>
          <w:sz w:val="34"/>
          <w:szCs w:val="34"/>
        </w:rPr>
      </w:pPr>
      <w:r>
        <w:rPr>
          <w:rFonts w:hint="default" w:ascii="楷体" w:hAnsi="楷体" w:eastAsia="楷体" w:cs="楷体"/>
          <w:color w:val="auto"/>
          <w:sz w:val="34"/>
          <w:szCs w:val="34"/>
          <w:shd w:val="clear" w:color="auto" w:fill="FFFFFF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color w:val="auto"/>
          <w:kern w:val="0"/>
          <w:sz w:val="34"/>
          <w:szCs w:val="34"/>
          <w:shd w:val="clear" w:color="auto" w:fill="FFFFFF"/>
        </w:rPr>
        <w:t>年度存在问题整改情况：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</w:rPr>
        <w:t>针对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" w:cs="Times New Roman"/>
          <w:color w:val="auto"/>
          <w:kern w:val="0"/>
          <w:sz w:val="34"/>
          <w:szCs w:val="34"/>
          <w:shd w:val="clear" w:color="auto" w:fill="FFFFFF"/>
        </w:rPr>
        <w:t>政府信息公开制度建设不够完善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val="en-US" w:eastAsia="zh-CN"/>
        </w:rPr>
        <w:t>问题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</w:rPr>
        <w:t>，我办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val="en-US" w:eastAsia="zh-CN"/>
        </w:rPr>
        <w:t>持续完善政府公开制度建设，严格执行现有政务公开信息发布制度，加强工作调度，先后根据全年重点工作印发通知、提示函等5份，强化责任落实；针对“</w:t>
      </w:r>
      <w:r>
        <w:rPr>
          <w:rFonts w:hint="default" w:ascii="Times New Roman" w:hAnsi="Times New Roman" w:eastAsia="仿宋" w:cs="Times New Roman"/>
          <w:color w:val="auto"/>
          <w:kern w:val="0"/>
          <w:sz w:val="34"/>
          <w:szCs w:val="34"/>
          <w:shd w:val="clear" w:color="auto" w:fill="FFFFFF"/>
        </w:rPr>
        <w:t>督查指导作用发挥还不够充分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val="en-US" w:eastAsia="zh-CN"/>
        </w:rPr>
        <w:t>”问题，组织县政府办、县直重点领域牵头部门对乡镇信息更新情况开展季度检查，及时反馈问题整改；同时，开展线下检查，督促完善政务公开专区建设、村务公开等；持续加强业务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</w:rPr>
        <w:t>培训力度，开展集中办公和人员跟班学习。</w:t>
      </w:r>
    </w:p>
    <w:p w14:paraId="58898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textAlignment w:val="auto"/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4"/>
          <w:szCs w:val="34"/>
          <w:shd w:val="clear" w:color="auto" w:fill="FFFFFF"/>
          <w:lang w:val="en-US" w:eastAsia="zh-CN"/>
        </w:rPr>
        <w:t>2024年存在问题：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val="en-US" w:eastAsia="zh-CN"/>
        </w:rPr>
        <w:t>基础工作还不够细，行政规范性文件规范化公开不到位，虽然已开展全面排查，但在历次测评中，依然出现格式、字体错误等现象。部分重点工作推进不够快，乡镇基层“两化”部分领域在测评中成为扣分“重灾区”。创优营商环境、民生领域信息公开不够及时。人员力量不够稳定，部分单位人员变动较快，对业务不够熟悉、指标不够清楚的情况依然存在。</w:t>
      </w:r>
    </w:p>
    <w:p w14:paraId="54F5D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textAlignment w:val="auto"/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val="en-US" w:eastAsia="zh-CN"/>
        </w:rPr>
      </w:pPr>
      <w:r>
        <w:rPr>
          <w:rFonts w:hint="default" w:ascii="楷体" w:hAnsi="楷体" w:eastAsia="楷体" w:cs="楷体"/>
          <w:color w:val="auto"/>
          <w:sz w:val="34"/>
          <w:szCs w:val="34"/>
          <w:shd w:val="clear" w:color="auto" w:fill="FFFFFF"/>
          <w:lang w:val="en-US" w:eastAsia="zh-CN"/>
        </w:rPr>
        <w:t>下一步改进措施：</w:t>
      </w:r>
      <w:r>
        <w:rPr>
          <w:rFonts w:hint="default" w:ascii="Times New Roman" w:hAnsi="Times New Roman" w:eastAsia="仿宋" w:cs="Times New Roman"/>
          <w:color w:val="auto"/>
          <w:sz w:val="34"/>
          <w:szCs w:val="34"/>
          <w:shd w:val="clear" w:color="auto" w:fill="FFFFFF"/>
          <w:lang w:val="en-US" w:eastAsia="zh-CN"/>
        </w:rPr>
        <w:t>切实提升责任意识，督促全县各公开单位确保政务公开工作有专人管、专人抓。加强关注社会热点主动性，提升回应社会关切及时性，落实政策解读有效性。加强培训力度，加强对行政机关工作人员特别是领导干部的培训，增强公开意识，提高审核信息、解读政策、回应关切的能力。提升公开质量，按照省市要求，全方位提升信息公开的及时性、规范性和全面性，推进重点领域信息全面公开。</w:t>
      </w:r>
    </w:p>
    <w:p w14:paraId="0D7A4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jc w:val="both"/>
        <w:textAlignment w:val="auto"/>
        <w:rPr>
          <w:rFonts w:hint="default" w:ascii="黑体" w:hAnsi="黑体" w:eastAsia="黑体" w:cs="黑体"/>
          <w:bCs/>
          <w:color w:val="auto"/>
          <w:kern w:val="0"/>
          <w:sz w:val="34"/>
          <w:szCs w:val="34"/>
          <w:shd w:val="clear" w:color="auto" w:fill="FFFFFF"/>
        </w:rPr>
      </w:pPr>
      <w:r>
        <w:rPr>
          <w:rFonts w:hint="default" w:ascii="黑体" w:hAnsi="黑体" w:eastAsia="黑体" w:cs="黑体"/>
          <w:bCs/>
          <w:color w:val="auto"/>
          <w:kern w:val="0"/>
          <w:sz w:val="34"/>
          <w:szCs w:val="34"/>
          <w:shd w:val="clear" w:color="auto" w:fill="FFFFFF"/>
        </w:rPr>
        <w:t>六、其他需要报告的事项</w:t>
      </w:r>
    </w:p>
    <w:p w14:paraId="104CE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600" w:lineRule="exact"/>
        <w:ind w:firstLine="680" w:firstLineChars="200"/>
        <w:textAlignment w:val="auto"/>
        <w:rPr>
          <w:rFonts w:hint="default" w:ascii="Times New Roman" w:hAnsi="Times New Roman" w:eastAsia="仿宋" w:cs="Times New Roman"/>
          <w:kern w:val="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" w:cs="Times New Roman"/>
          <w:kern w:val="0"/>
          <w:sz w:val="34"/>
          <w:szCs w:val="34"/>
          <w:shd w:val="clear" w:color="auto" w:fill="FFFFFF"/>
        </w:rPr>
        <w:t>按照《国务院办公厅关于印发〈政府信息公开信息处理费管理办法〉的通知》（国办函〔2020〕109号）规定的按件、按量收费标准，本年度没有产生信息公开处理费。</w:t>
      </w:r>
    </w:p>
    <w:sectPr>
      <w:footerReference r:id="rId3" w:type="default"/>
      <w:pgSz w:w="11906" w:h="16838"/>
      <w:pgMar w:top="1417" w:right="1587" w:bottom="1417" w:left="1587" w:header="1134" w:footer="1417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9B42">
    <w:pPr>
      <w:keepNext w:val="0"/>
      <w:keepLines w:val="0"/>
      <w:pageBreakBefore w:val="0"/>
      <w:widowControl w:val="0"/>
      <w:tabs>
        <w:tab w:val="center" w:pos="4153"/>
        <w:tab w:val="right" w:pos="8306"/>
      </w:tabs>
      <w:kinsoku/>
      <w:wordWrap/>
      <w:overflowPunct/>
      <w:topLinePunct w:val="0"/>
      <w:autoSpaceDE/>
      <w:autoSpaceDN/>
      <w:bidi w:val="0"/>
      <w:adjustRightInd w:val="0"/>
      <w:snapToGrid w:val="0"/>
      <w:spacing w:line="20" w:lineRule="exact"/>
      <w:jc w:val="right"/>
      <w:textAlignment w:val="auto"/>
      <w:rPr>
        <w:rFonts w:ascii="仿宋_GB2312" w:hAnsi="Times New Roman" w:eastAsia="仿宋_GB2312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C7529F">
                          <w:pPr>
                            <w:pStyle w:val="5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C7529F">
                    <w:pPr>
                      <w:pStyle w:val="5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5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61790239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00" w:lineRule="exact"/>
      <w:textAlignment w:val="auto"/>
      <w:rPr>
        <w:rFonts w:ascii="仿宋_GB2312" w:hAnsi="Times New Roman" w:eastAsia="仿宋_GB2312" w:cs="Times New Roman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58F"/>
    <w:rsid w:val="000E19E0"/>
    <w:rsid w:val="00130CD8"/>
    <w:rsid w:val="0015259F"/>
    <w:rsid w:val="001757EA"/>
    <w:rsid w:val="006A558F"/>
    <w:rsid w:val="00A3551B"/>
    <w:rsid w:val="00B007E1"/>
    <w:rsid w:val="00BE2BD2"/>
    <w:rsid w:val="00C37BD7"/>
    <w:rsid w:val="00D8027B"/>
    <w:rsid w:val="00EB0184"/>
    <w:rsid w:val="00F22C56"/>
    <w:rsid w:val="00FC1BB5"/>
    <w:rsid w:val="017018C6"/>
    <w:rsid w:val="01F26C21"/>
    <w:rsid w:val="02D63692"/>
    <w:rsid w:val="06C158EB"/>
    <w:rsid w:val="06FC7E48"/>
    <w:rsid w:val="0CB31B4E"/>
    <w:rsid w:val="0DA81D81"/>
    <w:rsid w:val="105E41AB"/>
    <w:rsid w:val="129E6898"/>
    <w:rsid w:val="13077253"/>
    <w:rsid w:val="14EA0E30"/>
    <w:rsid w:val="16606008"/>
    <w:rsid w:val="16695829"/>
    <w:rsid w:val="16EF2DA6"/>
    <w:rsid w:val="1AD90D16"/>
    <w:rsid w:val="1AFEAB6D"/>
    <w:rsid w:val="20AD0837"/>
    <w:rsid w:val="21B708D0"/>
    <w:rsid w:val="26590D78"/>
    <w:rsid w:val="27D73063"/>
    <w:rsid w:val="2A3648BC"/>
    <w:rsid w:val="2B54022C"/>
    <w:rsid w:val="2C9A4365"/>
    <w:rsid w:val="30830F3C"/>
    <w:rsid w:val="3D403F28"/>
    <w:rsid w:val="3D655CF2"/>
    <w:rsid w:val="40FA7793"/>
    <w:rsid w:val="482B3AFD"/>
    <w:rsid w:val="484C7D5F"/>
    <w:rsid w:val="4CBA2C2A"/>
    <w:rsid w:val="52EA3518"/>
    <w:rsid w:val="550F70AA"/>
    <w:rsid w:val="559079B2"/>
    <w:rsid w:val="58562B86"/>
    <w:rsid w:val="585A3044"/>
    <w:rsid w:val="5A862E7C"/>
    <w:rsid w:val="5CC670BB"/>
    <w:rsid w:val="6036211B"/>
    <w:rsid w:val="61744FEB"/>
    <w:rsid w:val="639C0AE0"/>
    <w:rsid w:val="642A77A1"/>
    <w:rsid w:val="6C800A02"/>
    <w:rsid w:val="6CB56076"/>
    <w:rsid w:val="6CEA1A52"/>
    <w:rsid w:val="7284420C"/>
    <w:rsid w:val="734633B6"/>
    <w:rsid w:val="74DE1FCB"/>
    <w:rsid w:val="763F191E"/>
    <w:rsid w:val="77513792"/>
    <w:rsid w:val="78925980"/>
    <w:rsid w:val="79474486"/>
    <w:rsid w:val="7A030800"/>
    <w:rsid w:val="7A24655F"/>
    <w:rsid w:val="7B02692A"/>
    <w:rsid w:val="7BDD1C51"/>
    <w:rsid w:val="7BE20509"/>
    <w:rsid w:val="7CF01BFA"/>
    <w:rsid w:val="7F3FA6B7"/>
    <w:rsid w:val="7FCE9D9D"/>
    <w:rsid w:val="D914B6AE"/>
    <w:rsid w:val="F5BE5B78"/>
    <w:rsid w:val="F7FCF8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unhideWhenUsed/>
    <w:qFormat/>
    <w:uiPriority w:val="99"/>
    <w:pPr>
      <w:widowControl w:val="0"/>
      <w:spacing w:after="12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Body Text First Indent"/>
    <w:qFormat/>
    <w:uiPriority w:val="0"/>
    <w:pPr>
      <w:widowControl w:val="0"/>
      <w:spacing w:after="120" w:line="500" w:lineRule="exact"/>
      <w:ind w:firstLine="42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2679</Words>
  <Characters>2778</Characters>
  <Lines>26</Lines>
  <Paragraphs>7</Paragraphs>
  <TotalTime>16</TotalTime>
  <ScaleCrop>false</ScaleCrop>
  <LinksUpToDate>false</LinksUpToDate>
  <CharactersWithSpaces>2787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2025-01-11T18:45:00Z</dcterms:created>
  <dc:creator>Administrator</dc:creator>
  <cp:lastModifiedBy>遇见理想</cp:lastModifiedBy>
  <dcterms:modified xsi:type="dcterms:W3CDTF">2026-05-12T19:07:47Z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8E9E0FDAA4A14FEF97D13B07E9BAAD47_13</vt:lpwstr>
  </property>
  <property fmtid="{D5CDD505-2E9C-101B-9397-08002B2CF9AE}" pid="4" name="KSOTemplateDocerSaveRecord">
    <vt:lpwstr>eyJoZGlkIjoiZmY5MDMwMWY3NDZiNWVhMGE2ZWIyNjdmYTQyMjRkODgiLCJ1c2VySWQiOiIyNDM3NjcwNDEifQ==</vt:lpwstr>
  </property>
</Properties>
</file>